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235"/>
        <w:gridCol w:w="2409"/>
        <w:gridCol w:w="3261"/>
        <w:gridCol w:w="6269"/>
      </w:tblGrid>
      <w:tr w:rsidR="00BF3480" w:rsidRPr="008A1B82" w:rsidTr="00807CB8">
        <w:trPr>
          <w:cantSplit/>
          <w:tblHeader/>
        </w:trPr>
        <w:tc>
          <w:tcPr>
            <w:tcW w:w="2235" w:type="dxa"/>
          </w:tcPr>
          <w:p w:rsidR="00BF3480" w:rsidRPr="008A1B82" w:rsidRDefault="00FA44F3" w:rsidP="008A1B82">
            <w:pPr>
              <w:rPr>
                <w:b/>
              </w:rPr>
            </w:pPr>
            <w:r>
              <w:rPr>
                <w:b/>
              </w:rPr>
              <w:t>Study</w:t>
            </w:r>
          </w:p>
        </w:tc>
        <w:tc>
          <w:tcPr>
            <w:tcW w:w="2409" w:type="dxa"/>
          </w:tcPr>
          <w:p w:rsidR="00BF3480" w:rsidRPr="008A1B82" w:rsidRDefault="00BF3480" w:rsidP="008A1B82">
            <w:pPr>
              <w:rPr>
                <w:b/>
              </w:rPr>
            </w:pPr>
            <w:r w:rsidRPr="008A1B82">
              <w:rPr>
                <w:b/>
              </w:rPr>
              <w:t>Design</w:t>
            </w:r>
          </w:p>
        </w:tc>
        <w:tc>
          <w:tcPr>
            <w:tcW w:w="3261" w:type="dxa"/>
          </w:tcPr>
          <w:p w:rsidR="00BF3480" w:rsidRPr="008A1B82" w:rsidRDefault="00BF3480" w:rsidP="008A1B82">
            <w:pPr>
              <w:rPr>
                <w:b/>
              </w:rPr>
            </w:pPr>
            <w:r w:rsidRPr="008A1B82">
              <w:rPr>
                <w:b/>
              </w:rPr>
              <w:t>Country, demographics and sample size</w:t>
            </w:r>
          </w:p>
        </w:tc>
        <w:tc>
          <w:tcPr>
            <w:tcW w:w="6269" w:type="dxa"/>
          </w:tcPr>
          <w:p w:rsidR="00BF3480" w:rsidRPr="008A1B82" w:rsidRDefault="00BF3480" w:rsidP="008A1B82">
            <w:pPr>
              <w:rPr>
                <w:b/>
              </w:rPr>
            </w:pPr>
            <w:r w:rsidRPr="008A1B82">
              <w:rPr>
                <w:b/>
              </w:rPr>
              <w:t xml:space="preserve">Key findings </w:t>
            </w:r>
          </w:p>
        </w:tc>
      </w:tr>
      <w:tr w:rsidR="00ED58CB" w:rsidTr="00993A4D">
        <w:tc>
          <w:tcPr>
            <w:tcW w:w="14174" w:type="dxa"/>
            <w:gridSpan w:val="4"/>
          </w:tcPr>
          <w:p w:rsidR="00ED58CB" w:rsidRDefault="00ED58CB" w:rsidP="008A1B82">
            <w:pPr>
              <w:spacing w:after="200"/>
            </w:pPr>
            <w:r w:rsidRPr="00FE5C9D">
              <w:rPr>
                <w:b/>
                <w:i/>
              </w:rPr>
              <w:t xml:space="preserve">General and </w:t>
            </w:r>
            <w:r>
              <w:rPr>
                <w:b/>
                <w:i/>
              </w:rPr>
              <w:t>c</w:t>
            </w:r>
            <w:r w:rsidRPr="00FE5C9D">
              <w:rPr>
                <w:b/>
                <w:i/>
              </w:rPr>
              <w:t xml:space="preserve">riminal </w:t>
            </w:r>
            <w:r>
              <w:rPr>
                <w:b/>
                <w:i/>
              </w:rPr>
              <w:t>t</w:t>
            </w:r>
            <w:r w:rsidRPr="00FE5C9D">
              <w:rPr>
                <w:b/>
                <w:i/>
              </w:rPr>
              <w:t xml:space="preserve">hinking and </w:t>
            </w:r>
            <w:r>
              <w:rPr>
                <w:b/>
                <w:i/>
              </w:rPr>
              <w:t>c</w:t>
            </w:r>
            <w:r w:rsidRPr="00FE5C9D">
              <w:rPr>
                <w:b/>
                <w:i/>
              </w:rPr>
              <w:t xml:space="preserve">riminal </w:t>
            </w:r>
            <w:r>
              <w:rPr>
                <w:b/>
                <w:i/>
              </w:rPr>
              <w:t>l</w:t>
            </w:r>
            <w:r w:rsidRPr="00FE5C9D">
              <w:rPr>
                <w:b/>
                <w:i/>
              </w:rPr>
              <w:t xml:space="preserve">ifestyle </w:t>
            </w:r>
            <w:r>
              <w:rPr>
                <w:b/>
                <w:i/>
              </w:rPr>
              <w:t>research</w:t>
            </w:r>
          </w:p>
        </w:tc>
      </w:tr>
      <w:tr w:rsidR="0043146C" w:rsidTr="00807CB8">
        <w:tc>
          <w:tcPr>
            <w:tcW w:w="2235" w:type="dxa"/>
          </w:tcPr>
          <w:p w:rsidR="0043146C" w:rsidRDefault="0043146C" w:rsidP="00633E50">
            <w:r w:rsidRPr="00515BDD">
              <w:t>Adamson</w:t>
            </w:r>
            <w:r w:rsidR="00633E50">
              <w:t xml:space="preserve"> </w:t>
            </w:r>
            <w:r w:rsidRPr="00515BDD">
              <w:t>(2004).</w:t>
            </w:r>
            <w:r w:rsidR="00A46B3C">
              <w:t xml:space="preserve"> </w:t>
            </w:r>
            <w:r w:rsidR="00A46B3C" w:rsidRPr="00515BDD">
              <w:rPr>
                <w:i/>
              </w:rPr>
              <w:t>Different routes to reducing youth crime</w:t>
            </w:r>
            <w:r w:rsidR="00A46B3C" w:rsidRPr="00515BDD">
              <w:t>.</w:t>
            </w:r>
          </w:p>
        </w:tc>
        <w:tc>
          <w:tcPr>
            <w:tcW w:w="2409" w:type="dxa"/>
          </w:tcPr>
          <w:p w:rsidR="007924A2" w:rsidRDefault="007924A2" w:rsidP="008A1B82">
            <w:r>
              <w:t>Pre-post comparison</w:t>
            </w:r>
          </w:p>
          <w:p w:rsidR="00E75E50" w:rsidRDefault="00E75E50" w:rsidP="00807CB8"/>
        </w:tc>
        <w:tc>
          <w:tcPr>
            <w:tcW w:w="3261" w:type="dxa"/>
          </w:tcPr>
          <w:p w:rsidR="00807CB8" w:rsidRDefault="004A7C06" w:rsidP="00993A4D">
            <w:pPr>
              <w:pStyle w:val="ListParagraph"/>
              <w:numPr>
                <w:ilvl w:val="0"/>
                <w:numId w:val="1"/>
              </w:numPr>
            </w:pPr>
            <w:r>
              <w:t>U.K.</w:t>
            </w:r>
            <w:r w:rsidR="00993A4D">
              <w:t xml:space="preserve"> </w:t>
            </w:r>
          </w:p>
          <w:p w:rsidR="0043146C" w:rsidRDefault="00807CB8" w:rsidP="00993A4D">
            <w:pPr>
              <w:pStyle w:val="ListParagraph"/>
              <w:numPr>
                <w:ilvl w:val="0"/>
                <w:numId w:val="1"/>
              </w:numPr>
            </w:pPr>
            <w:r>
              <w:t>O</w:t>
            </w:r>
            <w:r w:rsidR="00993A4D">
              <w:t xml:space="preserve">ver three years </w:t>
            </w:r>
          </w:p>
          <w:p w:rsidR="00993A4D" w:rsidRDefault="00993A4D" w:rsidP="00D8283F">
            <w:pPr>
              <w:pStyle w:val="ListParagraph"/>
              <w:numPr>
                <w:ilvl w:val="0"/>
                <w:numId w:val="1"/>
              </w:numPr>
            </w:pPr>
            <w:r>
              <w:t xml:space="preserve">50 young people </w:t>
            </w:r>
          </w:p>
        </w:tc>
        <w:tc>
          <w:tcPr>
            <w:tcW w:w="6269" w:type="dxa"/>
          </w:tcPr>
          <w:p w:rsidR="00716014" w:rsidRDefault="00716014" w:rsidP="00042D68">
            <w:pPr>
              <w:pStyle w:val="ListParagraph"/>
              <w:numPr>
                <w:ilvl w:val="0"/>
                <w:numId w:val="1"/>
              </w:numPr>
            </w:pPr>
            <w:r>
              <w:t>Small decrease in crime with youth (but approach conclusion with caution)</w:t>
            </w:r>
            <w:r w:rsidR="00D8283F">
              <w:t>.</w:t>
            </w:r>
          </w:p>
          <w:p w:rsidR="008F4EF6" w:rsidRDefault="00716014" w:rsidP="00D8283F">
            <w:pPr>
              <w:pStyle w:val="ListParagraph"/>
              <w:numPr>
                <w:ilvl w:val="0"/>
                <w:numId w:val="1"/>
              </w:numPr>
            </w:pPr>
            <w:r>
              <w:t>Reduction in criminal damage offences (Bradford) and violent offences (Hackney) some saw reduction in offending and reoffending, arrests and number of offences</w:t>
            </w:r>
            <w:r w:rsidR="00D8283F">
              <w:t>.</w:t>
            </w:r>
            <w:r>
              <w:t xml:space="preserve"> </w:t>
            </w:r>
          </w:p>
          <w:p w:rsidR="00E53806" w:rsidRDefault="00E53806" w:rsidP="007340CE">
            <w:pPr>
              <w:pStyle w:val="ListParagraph"/>
              <w:numPr>
                <w:ilvl w:val="0"/>
                <w:numId w:val="1"/>
              </w:numPr>
            </w:pPr>
            <w:r>
              <w:t>Bradford</w:t>
            </w:r>
            <w:r w:rsidR="00860661">
              <w:t xml:space="preserve"> – crimes saved 360 criminal damage, 1 drugs offence, 57 robberies, 57 theft from vehicle, 71 theft of </w:t>
            </w:r>
            <w:r w:rsidR="00264E1F">
              <w:t>vehicle</w:t>
            </w:r>
          </w:p>
        </w:tc>
      </w:tr>
      <w:tr w:rsidR="002C7130" w:rsidTr="00807CB8">
        <w:tc>
          <w:tcPr>
            <w:tcW w:w="2235" w:type="dxa"/>
          </w:tcPr>
          <w:p w:rsidR="002C7130" w:rsidRPr="00515BDD" w:rsidRDefault="002C7130" w:rsidP="00A46B3C">
            <w:r w:rsidRPr="008C4169">
              <w:t xml:space="preserve">Baker, Jones, Roberts, </w:t>
            </w:r>
            <w:r w:rsidR="00633E50" w:rsidRPr="008C4169">
              <w:t xml:space="preserve">&amp; </w:t>
            </w:r>
            <w:proofErr w:type="spellStart"/>
            <w:r w:rsidR="00633E50" w:rsidRPr="008C4169">
              <w:t>Merrington</w:t>
            </w:r>
            <w:proofErr w:type="spellEnd"/>
            <w:r w:rsidR="00633E50">
              <w:t xml:space="preserve"> </w:t>
            </w:r>
            <w:r w:rsidRPr="006740B9">
              <w:t>(2005).</w:t>
            </w:r>
            <w:r w:rsidR="00A46B3C">
              <w:t xml:space="preserve"> </w:t>
            </w:r>
            <w:r w:rsidR="00A46B3C" w:rsidRPr="006740B9">
              <w:rPr>
                <w:i/>
              </w:rPr>
              <w:t>The evaluation of the validity and reliability of the Youth Justice Board’s assessment for young offenders: Findings from the first two years of the use of ASSET.</w:t>
            </w:r>
          </w:p>
        </w:tc>
        <w:tc>
          <w:tcPr>
            <w:tcW w:w="2409" w:type="dxa"/>
          </w:tcPr>
          <w:p w:rsidR="0026502E" w:rsidRDefault="008C4169" w:rsidP="008A1B82">
            <w:r>
              <w:t>Non-experimental</w:t>
            </w:r>
          </w:p>
        </w:tc>
        <w:tc>
          <w:tcPr>
            <w:tcW w:w="3261" w:type="dxa"/>
          </w:tcPr>
          <w:p w:rsidR="00825DEE" w:rsidRDefault="00825DEE" w:rsidP="00042D68">
            <w:pPr>
              <w:pStyle w:val="ListParagraph"/>
              <w:numPr>
                <w:ilvl w:val="0"/>
                <w:numId w:val="1"/>
              </w:numPr>
            </w:pPr>
            <w:r>
              <w:t xml:space="preserve">U.K. </w:t>
            </w:r>
          </w:p>
          <w:p w:rsidR="002C7130" w:rsidRDefault="00825DEE" w:rsidP="00042D68">
            <w:pPr>
              <w:pStyle w:val="ListParagraph"/>
              <w:numPr>
                <w:ilvl w:val="0"/>
                <w:numId w:val="1"/>
              </w:numPr>
            </w:pPr>
            <w:r>
              <w:t xml:space="preserve">3395 </w:t>
            </w:r>
            <w:r w:rsidRPr="00A60546">
              <w:t>ASSET</w:t>
            </w:r>
            <w:r w:rsidR="008B7FEE">
              <w:t xml:space="preserve"> (assessment tool)</w:t>
            </w:r>
            <w:r>
              <w:t xml:space="preserve"> profiles </w:t>
            </w:r>
            <w:r w:rsidR="007849DE">
              <w:t>and 627 Forms completed by young offenders and comparative self-assessmen</w:t>
            </w:r>
            <w:r w:rsidR="00D8283F">
              <w:t>t data from a school population.</w:t>
            </w:r>
          </w:p>
          <w:p w:rsidR="00825DEE" w:rsidRDefault="00825DEE" w:rsidP="00421071">
            <w:pPr>
              <w:pStyle w:val="ListParagraph"/>
              <w:numPr>
                <w:ilvl w:val="0"/>
                <w:numId w:val="1"/>
              </w:numPr>
            </w:pPr>
            <w:r>
              <w:t>82% male, 18% female, 1</w:t>
            </w:r>
            <w:r w:rsidR="00421071">
              <w:t>0% ethnic minorities, 90% white</w:t>
            </w:r>
            <w:r w:rsidR="00D8283F">
              <w:t>.</w:t>
            </w:r>
          </w:p>
        </w:tc>
        <w:tc>
          <w:tcPr>
            <w:tcW w:w="6269" w:type="dxa"/>
          </w:tcPr>
          <w:p w:rsidR="002C7130" w:rsidRDefault="00971D6A" w:rsidP="00D8283F">
            <w:pPr>
              <w:pStyle w:val="ListParagraph"/>
              <w:numPr>
                <w:ilvl w:val="0"/>
                <w:numId w:val="1"/>
              </w:numPr>
            </w:pPr>
            <w:r>
              <w:t>ASSET rating score predicted</w:t>
            </w:r>
            <w:r w:rsidR="00D8283F">
              <w:t xml:space="preserve"> reconviction with 67% accuracy.</w:t>
            </w:r>
          </w:p>
        </w:tc>
      </w:tr>
      <w:tr w:rsidR="000D74D0" w:rsidTr="000D74D0">
        <w:tc>
          <w:tcPr>
            <w:tcW w:w="2235" w:type="dxa"/>
          </w:tcPr>
          <w:p w:rsidR="000D74D0" w:rsidRPr="008C4169" w:rsidRDefault="000D74D0" w:rsidP="008C4169">
            <w:r w:rsidRPr="008C4169">
              <w:t xml:space="preserve">Barry (2007). </w:t>
            </w:r>
            <w:r w:rsidR="00A46B3C" w:rsidRPr="006740B9">
              <w:t>Youth transitions: From offending to desistance.</w:t>
            </w:r>
          </w:p>
        </w:tc>
        <w:tc>
          <w:tcPr>
            <w:tcW w:w="2409" w:type="dxa"/>
          </w:tcPr>
          <w:p w:rsidR="000D74D0" w:rsidRPr="008C4169" w:rsidRDefault="000D74D0" w:rsidP="000D74D0">
            <w:r w:rsidRPr="008C4169">
              <w:t xml:space="preserve">Non-experimental </w:t>
            </w:r>
          </w:p>
        </w:tc>
        <w:tc>
          <w:tcPr>
            <w:tcW w:w="3261" w:type="dxa"/>
          </w:tcPr>
          <w:p w:rsidR="000D74D0" w:rsidRPr="00623D5E" w:rsidRDefault="000D74D0" w:rsidP="000D74D0">
            <w:pPr>
              <w:pStyle w:val="ListParagraph"/>
              <w:numPr>
                <w:ilvl w:val="0"/>
                <w:numId w:val="1"/>
              </w:numPr>
            </w:pPr>
            <w:r w:rsidRPr="00623D5E">
              <w:t>U.K.</w:t>
            </w:r>
          </w:p>
          <w:p w:rsidR="000D74D0" w:rsidRPr="00623D5E" w:rsidRDefault="000D74D0" w:rsidP="000D74D0">
            <w:pPr>
              <w:pStyle w:val="ListParagraph"/>
              <w:numPr>
                <w:ilvl w:val="0"/>
                <w:numId w:val="1"/>
              </w:numPr>
            </w:pPr>
            <w:r w:rsidRPr="00623D5E">
              <w:t xml:space="preserve">20 males and 20 </w:t>
            </w:r>
            <w:proofErr w:type="gramStart"/>
            <w:r w:rsidRPr="00623D5E">
              <w:t>females</w:t>
            </w:r>
            <w:proofErr w:type="gramEnd"/>
            <w:r w:rsidRPr="00623D5E">
              <w:t xml:space="preserve"> current or previous persistent young offenders aged 18-33 years old.</w:t>
            </w:r>
          </w:p>
        </w:tc>
        <w:tc>
          <w:tcPr>
            <w:tcW w:w="6269" w:type="dxa"/>
          </w:tcPr>
          <w:p w:rsidR="000D74D0" w:rsidRPr="00623D5E" w:rsidRDefault="00623D5E" w:rsidP="00623D5E">
            <w:pPr>
              <w:pStyle w:val="ListParagraph"/>
              <w:numPr>
                <w:ilvl w:val="0"/>
                <w:numId w:val="1"/>
              </w:numPr>
            </w:pPr>
            <w:r w:rsidRPr="00623D5E">
              <w:t xml:space="preserve">10 men and 18 women stopped </w:t>
            </w:r>
            <w:proofErr w:type="gramStart"/>
            <w:r w:rsidRPr="00623D5E">
              <w:t>offending</w:t>
            </w:r>
            <w:r w:rsidR="007F5DCB">
              <w:t>,</w:t>
            </w:r>
            <w:proofErr w:type="gramEnd"/>
            <w:r w:rsidR="007F5DCB">
              <w:t xml:space="preserve"> reasons included risks of being incarcerated and losing people close to them. </w:t>
            </w:r>
          </w:p>
        </w:tc>
      </w:tr>
      <w:tr w:rsidR="0043146C" w:rsidTr="00807CB8">
        <w:tc>
          <w:tcPr>
            <w:tcW w:w="2235" w:type="dxa"/>
          </w:tcPr>
          <w:p w:rsidR="0043146C" w:rsidRDefault="0043146C" w:rsidP="00633E50">
            <w:r w:rsidRPr="00515BDD">
              <w:t>Burnett</w:t>
            </w:r>
            <w:r w:rsidR="00633E50">
              <w:t xml:space="preserve"> </w:t>
            </w:r>
            <w:r w:rsidRPr="00515BDD">
              <w:t xml:space="preserve">&amp; Santos (2010). </w:t>
            </w:r>
            <w:r w:rsidR="00A46B3C" w:rsidRPr="00515BDD">
              <w:rPr>
                <w:i/>
              </w:rPr>
              <w:t xml:space="preserve">Found in transition? Local </w:t>
            </w:r>
            <w:r w:rsidR="00A46B3C" w:rsidRPr="00515BDD">
              <w:rPr>
                <w:i/>
              </w:rPr>
              <w:lastRenderedPageBreak/>
              <w:t>inter-agency systems for guiding young adults into better lives. Final report of the formative evaluation of the T2A pilots.</w:t>
            </w:r>
          </w:p>
        </w:tc>
        <w:tc>
          <w:tcPr>
            <w:tcW w:w="2409" w:type="dxa"/>
          </w:tcPr>
          <w:p w:rsidR="0043146C" w:rsidRDefault="000D74D0" w:rsidP="000D74D0">
            <w:r>
              <w:lastRenderedPageBreak/>
              <w:t>Non-experimental</w:t>
            </w:r>
            <w:r w:rsidR="00DD06E2">
              <w:t xml:space="preserve"> </w:t>
            </w:r>
          </w:p>
          <w:p w:rsidR="00A46B3C" w:rsidRDefault="00A46B3C" w:rsidP="000D74D0">
            <w:r>
              <w:t xml:space="preserve">Self report and </w:t>
            </w:r>
            <w:proofErr w:type="spellStart"/>
            <w:r>
              <w:t>keyworker</w:t>
            </w:r>
            <w:proofErr w:type="spellEnd"/>
            <w:r>
              <w:t xml:space="preserve">-s reports </w:t>
            </w:r>
            <w:r>
              <w:lastRenderedPageBreak/>
              <w:t xml:space="preserve">and interview. </w:t>
            </w:r>
          </w:p>
          <w:p w:rsidR="00A46B3C" w:rsidRDefault="00A46B3C" w:rsidP="000D74D0">
            <w:r>
              <w:t>No official reconviction data gathered.</w:t>
            </w:r>
          </w:p>
        </w:tc>
        <w:tc>
          <w:tcPr>
            <w:tcW w:w="3261" w:type="dxa"/>
          </w:tcPr>
          <w:p w:rsidR="0043146C" w:rsidRDefault="00B57E10" w:rsidP="00DD06E2">
            <w:pPr>
              <w:pStyle w:val="ListParagraph"/>
              <w:numPr>
                <w:ilvl w:val="0"/>
                <w:numId w:val="1"/>
              </w:numPr>
            </w:pPr>
            <w:r>
              <w:lastRenderedPageBreak/>
              <w:t xml:space="preserve">U.K. </w:t>
            </w:r>
          </w:p>
          <w:p w:rsidR="00DD06E2" w:rsidRDefault="00DD06E2" w:rsidP="00D8283F">
            <w:pPr>
              <w:pStyle w:val="ListParagraph"/>
              <w:numPr>
                <w:ilvl w:val="0"/>
                <w:numId w:val="1"/>
              </w:numPr>
            </w:pPr>
            <w:r>
              <w:t xml:space="preserve">29 case studies (first interview), 16 (second </w:t>
            </w:r>
            <w:r>
              <w:lastRenderedPageBreak/>
              <w:t>interview)</w:t>
            </w:r>
            <w:r w:rsidR="00D8283F">
              <w:t>.</w:t>
            </w:r>
          </w:p>
        </w:tc>
        <w:tc>
          <w:tcPr>
            <w:tcW w:w="6269" w:type="dxa"/>
          </w:tcPr>
          <w:p w:rsidR="0043146C" w:rsidRDefault="00DD06E2" w:rsidP="00042D68">
            <w:pPr>
              <w:pStyle w:val="ListParagraph"/>
              <w:numPr>
                <w:ilvl w:val="0"/>
                <w:numId w:val="1"/>
              </w:numPr>
            </w:pPr>
            <w:r>
              <w:lastRenderedPageBreak/>
              <w:t>76%</w:t>
            </w:r>
            <w:r w:rsidR="007340CE">
              <w:t xml:space="preserve"> (</w:t>
            </w:r>
            <w:r w:rsidR="007340CE" w:rsidRPr="007340CE">
              <w:rPr>
                <w:i/>
              </w:rPr>
              <w:t>n</w:t>
            </w:r>
            <w:r w:rsidR="007340CE">
              <w:t>=22)</w:t>
            </w:r>
            <w:r>
              <w:t xml:space="preserve"> of the 29 case study participants were either known or believed to </w:t>
            </w:r>
            <w:r w:rsidR="007340CE">
              <w:t xml:space="preserve">have not reoffended since the year they were first interviewed. </w:t>
            </w:r>
          </w:p>
          <w:p w:rsidR="00DD06E2" w:rsidRDefault="00DD06E2" w:rsidP="00976916">
            <w:pPr>
              <w:pStyle w:val="ListParagraph"/>
              <w:ind w:left="360"/>
            </w:pPr>
          </w:p>
        </w:tc>
      </w:tr>
      <w:tr w:rsidR="002C7130" w:rsidRPr="00A55012" w:rsidTr="00807CB8">
        <w:tc>
          <w:tcPr>
            <w:tcW w:w="2235" w:type="dxa"/>
          </w:tcPr>
          <w:p w:rsidR="002C7130" w:rsidRPr="00A55012" w:rsidRDefault="002C7130" w:rsidP="00633E50">
            <w:pPr>
              <w:rPr>
                <w:i/>
              </w:rPr>
            </w:pPr>
            <w:r w:rsidRPr="00A46B3C">
              <w:lastRenderedPageBreak/>
              <w:t>Cunningham</w:t>
            </w:r>
            <w:r w:rsidR="00633E50" w:rsidRPr="00A46B3C">
              <w:t xml:space="preserve"> </w:t>
            </w:r>
            <w:r w:rsidRPr="00A46B3C">
              <w:t>&amp; Underhill (2002).</w:t>
            </w:r>
            <w:r w:rsidRPr="00A55012">
              <w:rPr>
                <w:i/>
              </w:rPr>
              <w:t xml:space="preserve"> </w:t>
            </w:r>
            <w:r w:rsidR="00A46B3C" w:rsidRPr="006740B9">
              <w:rPr>
                <w:i/>
              </w:rPr>
              <w:t>Outcome evaluation of police youth at risk programmes: July 1997 to June 2000.</w:t>
            </w:r>
          </w:p>
        </w:tc>
        <w:tc>
          <w:tcPr>
            <w:tcW w:w="2409" w:type="dxa"/>
          </w:tcPr>
          <w:p w:rsidR="00542BAD" w:rsidRDefault="007340CE" w:rsidP="008A1B82">
            <w:r>
              <w:t>Non-experimental</w:t>
            </w:r>
          </w:p>
          <w:p w:rsidR="00A46B3C" w:rsidRPr="00A55012" w:rsidRDefault="00A46B3C" w:rsidP="008A1B82">
            <w:pPr>
              <w:rPr>
                <w:i/>
              </w:rPr>
            </w:pPr>
            <w:r>
              <w:t xml:space="preserve">Interviews with programme providers, questionnaires sent to random selection of stakeholders. </w:t>
            </w:r>
          </w:p>
        </w:tc>
        <w:tc>
          <w:tcPr>
            <w:tcW w:w="3261" w:type="dxa"/>
          </w:tcPr>
          <w:p w:rsidR="002C7130" w:rsidRPr="007340CE" w:rsidRDefault="00542BAD" w:rsidP="00042D68">
            <w:pPr>
              <w:pStyle w:val="ListParagraph"/>
              <w:numPr>
                <w:ilvl w:val="0"/>
                <w:numId w:val="1"/>
              </w:numPr>
            </w:pPr>
            <w:r w:rsidRPr="007340CE">
              <w:t>New Zealand</w:t>
            </w:r>
          </w:p>
          <w:p w:rsidR="00DF43F1" w:rsidRPr="00A55012" w:rsidRDefault="00DF43F1" w:rsidP="007340CE">
            <w:pPr>
              <w:pStyle w:val="ListParagraph"/>
              <w:numPr>
                <w:ilvl w:val="0"/>
                <w:numId w:val="1"/>
              </w:numPr>
              <w:rPr>
                <w:i/>
              </w:rPr>
            </w:pPr>
            <w:r w:rsidRPr="007340CE">
              <w:t>440 clients involved across 13 programmes and Otago Youth Well</w:t>
            </w:r>
            <w:r w:rsidR="007340CE" w:rsidRPr="007340CE">
              <w:t>ness Centre served 790 clients.</w:t>
            </w:r>
          </w:p>
        </w:tc>
        <w:tc>
          <w:tcPr>
            <w:tcW w:w="6269" w:type="dxa"/>
          </w:tcPr>
          <w:p w:rsidR="00FB7D17" w:rsidRPr="00A55012" w:rsidRDefault="00FB7D17" w:rsidP="00042D68">
            <w:pPr>
              <w:pStyle w:val="ListParagraph"/>
              <w:numPr>
                <w:ilvl w:val="0"/>
                <w:numId w:val="1"/>
              </w:numPr>
              <w:rPr>
                <w:i/>
              </w:rPr>
            </w:pPr>
            <w:r w:rsidRPr="00A55012">
              <w:rPr>
                <w:i/>
              </w:rPr>
              <w:t>Community-based programmes shown to be most effective, followed by programmes which used mentoring approach. The school-based programme was not effective</w:t>
            </w:r>
            <w:r w:rsidR="007340CE">
              <w:rPr>
                <w:i/>
              </w:rPr>
              <w:t>.</w:t>
            </w:r>
          </w:p>
          <w:p w:rsidR="00DF43F1" w:rsidRPr="007340CE" w:rsidRDefault="00DF43F1" w:rsidP="00FB7D17">
            <w:pPr>
              <w:pStyle w:val="ListParagraph"/>
              <w:numPr>
                <w:ilvl w:val="0"/>
                <w:numId w:val="1"/>
              </w:numPr>
            </w:pPr>
            <w:r w:rsidRPr="007340CE">
              <w:t xml:space="preserve">Between 40 and 90 per cent of clients offended prior to involvement with the programme, and this decreased </w:t>
            </w:r>
            <w:r w:rsidR="008B7FEE">
              <w:t xml:space="preserve">varied </w:t>
            </w:r>
            <w:r w:rsidRPr="007340CE">
              <w:t>between 6 and 70 per cent during the involvement</w:t>
            </w:r>
            <w:r w:rsidR="007340CE" w:rsidRPr="007340CE">
              <w:t>.</w:t>
            </w:r>
          </w:p>
          <w:p w:rsidR="00AF2C9D" w:rsidRPr="007340CE" w:rsidRDefault="00DF43F1" w:rsidP="007340CE">
            <w:pPr>
              <w:pStyle w:val="ListParagraph"/>
              <w:numPr>
                <w:ilvl w:val="0"/>
                <w:numId w:val="1"/>
              </w:numPr>
            </w:pPr>
            <w:r w:rsidRPr="007340CE">
              <w:t xml:space="preserve">For seven of the thirteen programmes, a reduction in the seriousness of offence was observed in the second time period. </w:t>
            </w:r>
          </w:p>
        </w:tc>
      </w:tr>
      <w:tr w:rsidR="0005778B" w:rsidTr="00807CB8">
        <w:tc>
          <w:tcPr>
            <w:tcW w:w="2235" w:type="dxa"/>
          </w:tcPr>
          <w:p w:rsidR="0005778B" w:rsidRDefault="0005778B" w:rsidP="00633E50">
            <w:r w:rsidRPr="00515BDD">
              <w:t>Farrington</w:t>
            </w:r>
            <w:r w:rsidR="00633E50">
              <w:t>,</w:t>
            </w:r>
            <w:r w:rsidRPr="00515BDD">
              <w:t xml:space="preserve"> </w:t>
            </w:r>
            <w:proofErr w:type="spellStart"/>
            <w:r w:rsidRPr="00515BDD">
              <w:t>Ditchfield</w:t>
            </w:r>
            <w:proofErr w:type="spellEnd"/>
            <w:r w:rsidR="00633E50">
              <w:t>,</w:t>
            </w:r>
            <w:r w:rsidRPr="00515BDD">
              <w:t xml:space="preserve"> Hancock</w:t>
            </w:r>
            <w:r w:rsidR="00633E50">
              <w:t>,</w:t>
            </w:r>
            <w:r w:rsidRPr="00515BDD">
              <w:t xml:space="preserve"> Howard</w:t>
            </w:r>
            <w:r w:rsidR="00633E50">
              <w:t>,</w:t>
            </w:r>
            <w:r w:rsidRPr="00515BDD">
              <w:t xml:space="preserve"> </w:t>
            </w:r>
            <w:proofErr w:type="spellStart"/>
            <w:r w:rsidRPr="00515BDD">
              <w:t>Jolliffe</w:t>
            </w:r>
            <w:proofErr w:type="spellEnd"/>
            <w:r w:rsidR="00633E50">
              <w:t>,</w:t>
            </w:r>
            <w:r w:rsidRPr="00515BDD">
              <w:t xml:space="preserve"> Livingston</w:t>
            </w:r>
            <w:r w:rsidR="00633E50">
              <w:t>,</w:t>
            </w:r>
            <w:r w:rsidRPr="00515BDD">
              <w:t xml:space="preserve"> &amp; Painter (2002)</w:t>
            </w:r>
            <w:r w:rsidRPr="00515BDD">
              <w:rPr>
                <w:i/>
              </w:rPr>
              <w:t xml:space="preserve">. </w:t>
            </w:r>
          </w:p>
        </w:tc>
        <w:tc>
          <w:tcPr>
            <w:tcW w:w="2409" w:type="dxa"/>
          </w:tcPr>
          <w:p w:rsidR="0005778B" w:rsidRDefault="0005778B" w:rsidP="008A1B82">
            <w:r>
              <w:t>Experimental</w:t>
            </w:r>
          </w:p>
          <w:p w:rsidR="000A1FB4" w:rsidRDefault="000A1FB4" w:rsidP="00807CB8"/>
        </w:tc>
        <w:tc>
          <w:tcPr>
            <w:tcW w:w="3261" w:type="dxa"/>
          </w:tcPr>
          <w:p w:rsidR="0005778B" w:rsidRDefault="00807CB8" w:rsidP="000A1FB4">
            <w:pPr>
              <w:pStyle w:val="ListParagraph"/>
              <w:numPr>
                <w:ilvl w:val="0"/>
                <w:numId w:val="1"/>
              </w:numPr>
            </w:pPr>
            <w:r>
              <w:t>U.K.</w:t>
            </w:r>
          </w:p>
          <w:p w:rsidR="00143437" w:rsidRDefault="00143437" w:rsidP="000A1FB4">
            <w:pPr>
              <w:pStyle w:val="ListParagraph"/>
              <w:numPr>
                <w:ilvl w:val="0"/>
                <w:numId w:val="1"/>
              </w:numPr>
            </w:pPr>
            <w:r>
              <w:t>Aged 18-21 male offenders</w:t>
            </w:r>
          </w:p>
          <w:p w:rsidR="00340164" w:rsidRDefault="00807CB8" w:rsidP="000A1FB4">
            <w:pPr>
              <w:pStyle w:val="ListParagraph"/>
              <w:numPr>
                <w:ilvl w:val="0"/>
                <w:numId w:val="1"/>
              </w:numPr>
            </w:pPr>
            <w:r>
              <w:t>Thorn Cross High Intensity (</w:t>
            </w:r>
            <w:r w:rsidR="00340164">
              <w:t>HIT</w:t>
            </w:r>
            <w:r>
              <w:t>)</w:t>
            </w:r>
            <w:r w:rsidR="00340164">
              <w:t xml:space="preserve"> 303 (176 </w:t>
            </w:r>
            <w:proofErr w:type="spellStart"/>
            <w:r w:rsidR="003C6A47">
              <w:t>experimentals</w:t>
            </w:r>
            <w:proofErr w:type="spellEnd"/>
            <w:r w:rsidR="00D8283F">
              <w:t>, 127 controls)</w:t>
            </w:r>
            <w:r w:rsidR="00340164">
              <w:t xml:space="preserve"> 1997-1998. </w:t>
            </w:r>
          </w:p>
          <w:p w:rsidR="00143437" w:rsidRDefault="00807CB8" w:rsidP="00D8283F">
            <w:pPr>
              <w:pStyle w:val="ListParagraph"/>
              <w:numPr>
                <w:ilvl w:val="0"/>
                <w:numId w:val="1"/>
              </w:numPr>
            </w:pPr>
            <w:r>
              <w:t xml:space="preserve">Military Corrective Training Centre (MCTC) </w:t>
            </w:r>
            <w:r w:rsidR="00143437">
              <w:t xml:space="preserve">109 (66 </w:t>
            </w:r>
            <w:proofErr w:type="spellStart"/>
            <w:r w:rsidR="00143437">
              <w:t>experimentals</w:t>
            </w:r>
            <w:proofErr w:type="spellEnd"/>
            <w:r w:rsidR="00143437">
              <w:t xml:space="preserve"> and 103 controls) 1998.</w:t>
            </w:r>
          </w:p>
        </w:tc>
        <w:tc>
          <w:tcPr>
            <w:tcW w:w="6269" w:type="dxa"/>
          </w:tcPr>
          <w:p w:rsidR="003E7450" w:rsidRPr="00BB0BE4" w:rsidRDefault="003E7450" w:rsidP="00FB7D17">
            <w:pPr>
              <w:pStyle w:val="ListParagraph"/>
              <w:numPr>
                <w:ilvl w:val="0"/>
                <w:numId w:val="1"/>
              </w:numPr>
              <w:rPr>
                <w:i/>
              </w:rPr>
            </w:pPr>
            <w:r w:rsidRPr="00BB0BE4">
              <w:rPr>
                <w:i/>
              </w:rPr>
              <w:t xml:space="preserve">Followed up over two years, Thorn Cross ex-prisoners reconvicted at significantly lower rate than Colchester. </w:t>
            </w:r>
          </w:p>
          <w:p w:rsidR="003E7450" w:rsidRPr="00BB0BE4" w:rsidRDefault="003E7450" w:rsidP="00FB7D17">
            <w:pPr>
              <w:pStyle w:val="ListParagraph"/>
              <w:numPr>
                <w:ilvl w:val="0"/>
                <w:numId w:val="1"/>
              </w:numPr>
              <w:rPr>
                <w:i/>
              </w:rPr>
            </w:pPr>
            <w:r w:rsidRPr="00BB0BE4">
              <w:rPr>
                <w:i/>
              </w:rPr>
              <w:t xml:space="preserve">Success was attributed to CBT skills programmes and to substantial education, training, mentoring and </w:t>
            </w:r>
            <w:proofErr w:type="spellStart"/>
            <w:r w:rsidRPr="00BB0BE4">
              <w:rPr>
                <w:i/>
              </w:rPr>
              <w:t>throughcare</w:t>
            </w:r>
            <w:proofErr w:type="spellEnd"/>
            <w:r w:rsidRPr="00BB0BE4">
              <w:rPr>
                <w:i/>
              </w:rPr>
              <w:t xml:space="preserve"> (Colchester was primarily psychical activities). </w:t>
            </w:r>
          </w:p>
          <w:p w:rsidR="003E7450" w:rsidRPr="00BB0BE4" w:rsidRDefault="003E7450" w:rsidP="003E7450">
            <w:pPr>
              <w:pStyle w:val="ListParagraph"/>
              <w:numPr>
                <w:ilvl w:val="0"/>
                <w:numId w:val="1"/>
              </w:numPr>
              <w:rPr>
                <w:i/>
              </w:rPr>
            </w:pPr>
            <w:r w:rsidRPr="00BB0BE4">
              <w:rPr>
                <w:i/>
              </w:rPr>
              <w:t>R</w:t>
            </w:r>
            <w:r w:rsidR="00273EE0" w:rsidRPr="00BB0BE4">
              <w:rPr>
                <w:i/>
              </w:rPr>
              <w:t xml:space="preserve">econviction rates for the Thorn Cross group </w:t>
            </w:r>
            <w:r w:rsidRPr="00BB0BE4">
              <w:rPr>
                <w:i/>
              </w:rPr>
              <w:t>was</w:t>
            </w:r>
            <w:r w:rsidR="00273EE0" w:rsidRPr="00BB0BE4">
              <w:rPr>
                <w:i/>
              </w:rPr>
              <w:t xml:space="preserve"> not sustained</w:t>
            </w:r>
            <w:r w:rsidRPr="00BB0BE4">
              <w:rPr>
                <w:i/>
              </w:rPr>
              <w:t xml:space="preserve"> in the second follow up</w:t>
            </w:r>
            <w:r w:rsidR="00273EE0" w:rsidRPr="00BB0BE4">
              <w:rPr>
                <w:i/>
              </w:rPr>
              <w:t>. However</w:t>
            </w:r>
            <w:r w:rsidRPr="00BB0BE4">
              <w:rPr>
                <w:i/>
              </w:rPr>
              <w:t xml:space="preserve"> </w:t>
            </w:r>
            <w:r w:rsidR="00273EE0" w:rsidRPr="00BB0BE4">
              <w:rPr>
                <w:i/>
              </w:rPr>
              <w:t>avoided reoffending for two mont</w:t>
            </w:r>
            <w:r w:rsidRPr="00BB0BE4">
              <w:rPr>
                <w:i/>
              </w:rPr>
              <w:t xml:space="preserve">hs longer than a control group, </w:t>
            </w:r>
            <w:r w:rsidR="00273EE0" w:rsidRPr="00BB0BE4">
              <w:rPr>
                <w:i/>
              </w:rPr>
              <w:t>committed substantially fewer offences than the control group</w:t>
            </w:r>
            <w:r w:rsidRPr="00BB0BE4">
              <w:rPr>
                <w:i/>
              </w:rPr>
              <w:t>, and</w:t>
            </w:r>
            <w:r w:rsidR="00273EE0" w:rsidRPr="00BB0BE4">
              <w:rPr>
                <w:i/>
              </w:rPr>
              <w:t xml:space="preserve"> the offences committed by the experimental group were less damaging. </w:t>
            </w:r>
          </w:p>
          <w:p w:rsidR="00273EE0" w:rsidRDefault="005D0CE4" w:rsidP="00ED499E">
            <w:pPr>
              <w:pStyle w:val="ListParagraph"/>
              <w:numPr>
                <w:ilvl w:val="0"/>
                <w:numId w:val="1"/>
              </w:numPr>
            </w:pPr>
            <w:r>
              <w:t xml:space="preserve">£5 saving for each £1 pound invested at Thorn Cross but </w:t>
            </w:r>
            <w:r w:rsidR="00ED499E">
              <w:t xml:space="preserve">for every £1 spent at Colchester </w:t>
            </w:r>
            <w:r w:rsidR="00BB0BE4">
              <w:t xml:space="preserve">£1 </w:t>
            </w:r>
            <w:r w:rsidR="00ED499E">
              <w:t xml:space="preserve">was lost. </w:t>
            </w:r>
          </w:p>
        </w:tc>
      </w:tr>
      <w:tr w:rsidR="0005778B" w:rsidTr="00807CB8">
        <w:tc>
          <w:tcPr>
            <w:tcW w:w="2235" w:type="dxa"/>
          </w:tcPr>
          <w:p w:rsidR="0005778B" w:rsidRDefault="0005778B" w:rsidP="00633E50">
            <w:r w:rsidRPr="00515BDD">
              <w:lastRenderedPageBreak/>
              <w:t>Flint,</w:t>
            </w:r>
            <w:r w:rsidR="00633E50">
              <w:t xml:space="preserve"> </w:t>
            </w:r>
            <w:r w:rsidRPr="00515BDD">
              <w:t>Batty</w:t>
            </w:r>
            <w:r w:rsidR="00633E50">
              <w:t>,</w:t>
            </w:r>
            <w:r w:rsidRPr="00515BDD">
              <w:t xml:space="preserve"> Parr</w:t>
            </w:r>
            <w:r w:rsidR="00633E50">
              <w:t>,</w:t>
            </w:r>
            <w:r w:rsidRPr="00515BDD">
              <w:t xml:space="preserve"> Fowler, Nixon, &amp; Sanderson (2010).</w:t>
            </w:r>
          </w:p>
        </w:tc>
        <w:tc>
          <w:tcPr>
            <w:tcW w:w="2409" w:type="dxa"/>
          </w:tcPr>
          <w:p w:rsidR="00D8283F" w:rsidRDefault="00D8283F" w:rsidP="008A1B82">
            <w:r>
              <w:t>Non-experimental</w:t>
            </w:r>
          </w:p>
          <w:p w:rsidR="00B74519" w:rsidRDefault="00B74519" w:rsidP="008A1B82"/>
        </w:tc>
        <w:tc>
          <w:tcPr>
            <w:tcW w:w="3261" w:type="dxa"/>
          </w:tcPr>
          <w:p w:rsidR="00291FE3" w:rsidRDefault="00291FE3" w:rsidP="00042D68">
            <w:pPr>
              <w:pStyle w:val="ListParagraph"/>
              <w:numPr>
                <w:ilvl w:val="0"/>
                <w:numId w:val="1"/>
              </w:numPr>
            </w:pPr>
            <w:r>
              <w:t>U.K.</w:t>
            </w:r>
          </w:p>
          <w:p w:rsidR="00BC3E58" w:rsidRDefault="00BC3E58" w:rsidP="00042D68">
            <w:pPr>
              <w:pStyle w:val="ListParagraph"/>
              <w:numPr>
                <w:ilvl w:val="0"/>
                <w:numId w:val="1"/>
              </w:numPr>
            </w:pPr>
            <w:r>
              <w:t xml:space="preserve">20 </w:t>
            </w:r>
            <w:r w:rsidR="00BB0BE4">
              <w:t>Intensive Intervention Projects (</w:t>
            </w:r>
            <w:r>
              <w:t>IIPs</w:t>
            </w:r>
            <w:r w:rsidR="00BB0BE4">
              <w:t>)</w:t>
            </w:r>
            <w:r>
              <w:t xml:space="preserve"> were established</w:t>
            </w:r>
          </w:p>
          <w:p w:rsidR="0005778B" w:rsidRDefault="00291FE3" w:rsidP="00042D68">
            <w:pPr>
              <w:pStyle w:val="ListParagraph"/>
              <w:numPr>
                <w:ilvl w:val="0"/>
                <w:numId w:val="1"/>
              </w:numPr>
            </w:pPr>
            <w:r>
              <w:t xml:space="preserve">15 young people </w:t>
            </w:r>
          </w:p>
        </w:tc>
        <w:tc>
          <w:tcPr>
            <w:tcW w:w="6269" w:type="dxa"/>
          </w:tcPr>
          <w:p w:rsidR="00291FE3" w:rsidRDefault="00291FE3" w:rsidP="00042D68">
            <w:pPr>
              <w:pStyle w:val="ListParagraph"/>
              <w:numPr>
                <w:ilvl w:val="0"/>
                <w:numId w:val="1"/>
              </w:numPr>
            </w:pPr>
            <w:r>
              <w:t xml:space="preserve">Two thirds of the case studies </w:t>
            </w:r>
            <w:r w:rsidR="00BB0BE4">
              <w:t xml:space="preserve">achieved cessations, </w:t>
            </w:r>
            <w:r>
              <w:t>reductions in offending</w:t>
            </w:r>
            <w:r w:rsidR="00BB0BE4">
              <w:t xml:space="preserve"> or</w:t>
            </w:r>
            <w:r>
              <w:t xml:space="preserve"> anti-social behaviour and improvements in education</w:t>
            </w:r>
            <w:r w:rsidR="00D8283F">
              <w:t>.</w:t>
            </w:r>
          </w:p>
          <w:p w:rsidR="00291FE3" w:rsidRDefault="00291FE3" w:rsidP="004876DA">
            <w:pPr>
              <w:pStyle w:val="ListParagraph"/>
              <w:numPr>
                <w:ilvl w:val="0"/>
                <w:numId w:val="1"/>
              </w:numPr>
            </w:pPr>
            <w:r>
              <w:t>IIPs represent good value for money.</w:t>
            </w:r>
            <w:r w:rsidR="004876DA">
              <w:t xml:space="preserve"> Return on investment – for each £1 spent £8 was saved</w:t>
            </w:r>
            <w:r w:rsidR="00D8283F">
              <w:t>.</w:t>
            </w:r>
          </w:p>
        </w:tc>
      </w:tr>
      <w:tr w:rsidR="0005778B" w:rsidTr="00807CB8">
        <w:tc>
          <w:tcPr>
            <w:tcW w:w="2235" w:type="dxa"/>
          </w:tcPr>
          <w:p w:rsidR="0005778B" w:rsidRDefault="00445644" w:rsidP="004D2B98">
            <w:r w:rsidRPr="006740B9">
              <w:t>Flint</w:t>
            </w:r>
            <w:r w:rsidR="004D2B98">
              <w:t>,</w:t>
            </w:r>
            <w:r w:rsidRPr="006740B9">
              <w:t xml:space="preserve"> Green</w:t>
            </w:r>
            <w:r w:rsidR="004D2B98">
              <w:t>,</w:t>
            </w:r>
            <w:r w:rsidRPr="006740B9">
              <w:t xml:space="preserve"> Hunter</w:t>
            </w:r>
            <w:r w:rsidR="004D2B98">
              <w:t>,</w:t>
            </w:r>
            <w:r w:rsidRPr="006740B9">
              <w:t xml:space="preserve"> Nixon</w:t>
            </w:r>
            <w:r w:rsidR="004D2B98">
              <w:t>,</w:t>
            </w:r>
            <w:r w:rsidRPr="006740B9">
              <w:t xml:space="preserve"> Parr</w:t>
            </w:r>
            <w:r w:rsidR="004D2B98">
              <w:t>,</w:t>
            </w:r>
            <w:r w:rsidRPr="006740B9">
              <w:t xml:space="preserve"> Manning</w:t>
            </w:r>
            <w:r w:rsidR="004D2B98">
              <w:t xml:space="preserve">, </w:t>
            </w:r>
            <w:r w:rsidRPr="006740B9">
              <w:t>Wilson</w:t>
            </w:r>
            <w:r w:rsidR="004D2B98">
              <w:t xml:space="preserve">, </w:t>
            </w:r>
            <w:proofErr w:type="spellStart"/>
            <w:r w:rsidRPr="006740B9">
              <w:t>Pawson</w:t>
            </w:r>
            <w:proofErr w:type="spellEnd"/>
            <w:r w:rsidR="004D2B98">
              <w:t>,</w:t>
            </w:r>
            <w:r w:rsidRPr="006740B9">
              <w:t xml:space="preserve"> Davidson</w:t>
            </w:r>
            <w:r w:rsidR="004D2B98">
              <w:t>,</w:t>
            </w:r>
            <w:r w:rsidRPr="006740B9">
              <w:t xml:space="preserve"> &amp; Anderson</w:t>
            </w:r>
            <w:r w:rsidR="004D2B98">
              <w:t xml:space="preserve"> (2007).</w:t>
            </w:r>
          </w:p>
        </w:tc>
        <w:tc>
          <w:tcPr>
            <w:tcW w:w="2409" w:type="dxa"/>
          </w:tcPr>
          <w:p w:rsidR="00BC3E58" w:rsidRDefault="00E952A7" w:rsidP="006251A7">
            <w:r>
              <w:t xml:space="preserve">Non-experimental </w:t>
            </w:r>
          </w:p>
        </w:tc>
        <w:tc>
          <w:tcPr>
            <w:tcW w:w="3261" w:type="dxa"/>
          </w:tcPr>
          <w:p w:rsidR="0005778B" w:rsidRDefault="00BC3E58" w:rsidP="00042D68">
            <w:pPr>
              <w:pStyle w:val="ListParagraph"/>
              <w:numPr>
                <w:ilvl w:val="0"/>
                <w:numId w:val="1"/>
              </w:numPr>
            </w:pPr>
            <w:r>
              <w:t>Scotland</w:t>
            </w:r>
            <w:r w:rsidR="00807CB8">
              <w:t>, U.K.</w:t>
            </w:r>
          </w:p>
          <w:p w:rsidR="002D3518" w:rsidRDefault="00807CB8" w:rsidP="00807CB8">
            <w:pPr>
              <w:pStyle w:val="ListParagraph"/>
              <w:numPr>
                <w:ilvl w:val="0"/>
                <w:numId w:val="1"/>
              </w:numPr>
            </w:pPr>
            <w:r>
              <w:t>8 neighbourhoods.</w:t>
            </w:r>
          </w:p>
        </w:tc>
        <w:tc>
          <w:tcPr>
            <w:tcW w:w="6269" w:type="dxa"/>
          </w:tcPr>
          <w:p w:rsidR="0005778B" w:rsidRPr="00BB0BE4" w:rsidRDefault="002D3518" w:rsidP="00BB0BE4">
            <w:pPr>
              <w:pStyle w:val="ListParagraph"/>
              <w:numPr>
                <w:ilvl w:val="0"/>
                <w:numId w:val="1"/>
              </w:numPr>
              <w:rPr>
                <w:i/>
              </w:rPr>
            </w:pPr>
            <w:r w:rsidRPr="00BB0BE4">
              <w:rPr>
                <w:i/>
              </w:rPr>
              <w:t>There was a general rise in the number of officially recorded incidents of antisocial behaviour across the 4 local authorities in the last 3 years. 7 of the case study neighbourhoods had also experienced a rise in recorded antisocial behaviour incidents, although there was a reduction in one neighbourhood</w:t>
            </w:r>
            <w:r w:rsidR="0031384F" w:rsidRPr="00BB0BE4">
              <w:rPr>
                <w:i/>
              </w:rPr>
              <w:t>.</w:t>
            </w:r>
          </w:p>
        </w:tc>
      </w:tr>
      <w:tr w:rsidR="0005778B" w:rsidTr="00807CB8">
        <w:tc>
          <w:tcPr>
            <w:tcW w:w="2235" w:type="dxa"/>
          </w:tcPr>
          <w:p w:rsidR="0005778B" w:rsidRDefault="0005778B" w:rsidP="004D2B98">
            <w:proofErr w:type="spellStart"/>
            <w:r w:rsidRPr="00515BDD">
              <w:t>Froundigoun</w:t>
            </w:r>
            <w:proofErr w:type="spellEnd"/>
            <w:r w:rsidR="004D2B98">
              <w:t xml:space="preserve"> </w:t>
            </w:r>
            <w:r w:rsidRPr="00515BDD">
              <w:t xml:space="preserve">&amp; </w:t>
            </w:r>
            <w:proofErr w:type="spellStart"/>
            <w:r w:rsidRPr="00515BDD">
              <w:t>Addidle</w:t>
            </w:r>
            <w:proofErr w:type="spellEnd"/>
            <w:r w:rsidR="004D2B98">
              <w:t xml:space="preserve"> </w:t>
            </w:r>
            <w:r w:rsidRPr="00515BDD">
              <w:t>(2009).</w:t>
            </w:r>
          </w:p>
        </w:tc>
        <w:tc>
          <w:tcPr>
            <w:tcW w:w="2409" w:type="dxa"/>
          </w:tcPr>
          <w:p w:rsidR="0005778B" w:rsidRDefault="00E952A7" w:rsidP="008A1B82">
            <w:r>
              <w:t>Non-experimental</w:t>
            </w:r>
          </w:p>
        </w:tc>
        <w:tc>
          <w:tcPr>
            <w:tcW w:w="3261" w:type="dxa"/>
          </w:tcPr>
          <w:p w:rsidR="0005778B" w:rsidRDefault="00603792" w:rsidP="00042D68">
            <w:pPr>
              <w:pStyle w:val="ListParagraph"/>
              <w:numPr>
                <w:ilvl w:val="0"/>
                <w:numId w:val="1"/>
              </w:numPr>
            </w:pPr>
            <w:r>
              <w:t xml:space="preserve">Scotland, </w:t>
            </w:r>
            <w:r w:rsidR="00ED1153">
              <w:t>U.K.</w:t>
            </w:r>
          </w:p>
          <w:p w:rsidR="00603792" w:rsidRDefault="00603792" w:rsidP="00042D68">
            <w:pPr>
              <w:pStyle w:val="ListParagraph"/>
              <w:numPr>
                <w:ilvl w:val="0"/>
                <w:numId w:val="1"/>
              </w:numPr>
            </w:pPr>
            <w:r>
              <w:t>Youth participants - 72 male and 16 female, 3 under 12 years of age and remaining aged 12-25</w:t>
            </w:r>
            <w:r w:rsidR="0031384F">
              <w:t>.</w:t>
            </w:r>
          </w:p>
          <w:p w:rsidR="00ED1153" w:rsidRDefault="00603792" w:rsidP="0031384F">
            <w:pPr>
              <w:pStyle w:val="ListParagraph"/>
              <w:numPr>
                <w:ilvl w:val="0"/>
                <w:numId w:val="1"/>
              </w:numPr>
            </w:pPr>
            <w:r>
              <w:t>Phase 1-204, Phase 2 – 186, total 390 young people</w:t>
            </w:r>
            <w:r w:rsidR="0031384F">
              <w:t>.</w:t>
            </w:r>
          </w:p>
        </w:tc>
        <w:tc>
          <w:tcPr>
            <w:tcW w:w="6269" w:type="dxa"/>
          </w:tcPr>
          <w:p w:rsidR="0005778B" w:rsidRDefault="0031384F" w:rsidP="0031384F">
            <w:pPr>
              <w:pStyle w:val="ListParagraph"/>
              <w:numPr>
                <w:ilvl w:val="0"/>
                <w:numId w:val="1"/>
              </w:numPr>
            </w:pPr>
            <w:r>
              <w:t>Policing initiative that focused on at risk youth to change behaviour patterns to program led to r</w:t>
            </w:r>
            <w:r w:rsidR="00B37FA5">
              <w:t xml:space="preserve">educed calls about </w:t>
            </w:r>
            <w:r w:rsidR="0021621F">
              <w:t xml:space="preserve">youth disorder </w:t>
            </w:r>
            <w:r w:rsidR="00B37FA5">
              <w:t>anti-social behaviour in the area by around 50%</w:t>
            </w:r>
            <w:r>
              <w:t>.</w:t>
            </w:r>
          </w:p>
        </w:tc>
      </w:tr>
      <w:tr w:rsidR="00445644" w:rsidTr="00807CB8">
        <w:tc>
          <w:tcPr>
            <w:tcW w:w="2235" w:type="dxa"/>
          </w:tcPr>
          <w:p w:rsidR="00445644" w:rsidRPr="00095D82" w:rsidRDefault="00445644" w:rsidP="004D2B98">
            <w:r w:rsidRPr="00515BDD">
              <w:t>Hales</w:t>
            </w:r>
            <w:r w:rsidR="004D2B98">
              <w:t>,</w:t>
            </w:r>
            <w:r w:rsidRPr="00515BDD">
              <w:t xml:space="preserve"> </w:t>
            </w:r>
            <w:proofErr w:type="spellStart"/>
            <w:r w:rsidRPr="00515BDD">
              <w:t>Nevill</w:t>
            </w:r>
            <w:proofErr w:type="spellEnd"/>
            <w:r w:rsidR="004D2B98">
              <w:t>,</w:t>
            </w:r>
            <w:r w:rsidRPr="00515BDD">
              <w:t xml:space="preserve"> </w:t>
            </w:r>
            <w:proofErr w:type="spellStart"/>
            <w:r w:rsidRPr="00515BDD">
              <w:t>Pudney</w:t>
            </w:r>
            <w:proofErr w:type="spellEnd"/>
            <w:r w:rsidR="004D2B98">
              <w:t>,</w:t>
            </w:r>
            <w:r w:rsidRPr="00515BDD">
              <w:t xml:space="preserve"> &amp; Tipping (2009). </w:t>
            </w:r>
          </w:p>
        </w:tc>
        <w:tc>
          <w:tcPr>
            <w:tcW w:w="2409" w:type="dxa"/>
          </w:tcPr>
          <w:p w:rsidR="00445644" w:rsidRDefault="0021621F" w:rsidP="008A1B82">
            <w:r>
              <w:t>Non-experimental</w:t>
            </w:r>
          </w:p>
        </w:tc>
        <w:tc>
          <w:tcPr>
            <w:tcW w:w="3261" w:type="dxa"/>
          </w:tcPr>
          <w:p w:rsidR="00445644" w:rsidRDefault="002654BA" w:rsidP="00042D68">
            <w:pPr>
              <w:pStyle w:val="ListParagraph"/>
              <w:numPr>
                <w:ilvl w:val="0"/>
                <w:numId w:val="1"/>
              </w:numPr>
            </w:pPr>
            <w:r>
              <w:t xml:space="preserve">U.K. </w:t>
            </w:r>
          </w:p>
          <w:p w:rsidR="002654BA" w:rsidRDefault="002654BA" w:rsidP="00042D68">
            <w:pPr>
              <w:pStyle w:val="ListParagraph"/>
              <w:numPr>
                <w:ilvl w:val="0"/>
                <w:numId w:val="1"/>
              </w:numPr>
            </w:pPr>
            <w:r>
              <w:t>Ages 10-25 interviewed four times</w:t>
            </w:r>
            <w:r w:rsidR="0031384F">
              <w:t>.</w:t>
            </w:r>
          </w:p>
          <w:p w:rsidR="00FB298A" w:rsidRDefault="00FB298A" w:rsidP="0031384F">
            <w:pPr>
              <w:pStyle w:val="ListParagraph"/>
              <w:numPr>
                <w:ilvl w:val="0"/>
                <w:numId w:val="1"/>
              </w:numPr>
            </w:pPr>
            <w:r>
              <w:t xml:space="preserve">Approximately 5,000 </w:t>
            </w:r>
            <w:r w:rsidR="0031384F">
              <w:t>participants.</w:t>
            </w:r>
          </w:p>
        </w:tc>
        <w:tc>
          <w:tcPr>
            <w:tcW w:w="6269" w:type="dxa"/>
          </w:tcPr>
          <w:p w:rsidR="00445644" w:rsidRDefault="00F34040" w:rsidP="00F34040">
            <w:pPr>
              <w:pStyle w:val="ListParagraph"/>
              <w:numPr>
                <w:ilvl w:val="0"/>
                <w:numId w:val="1"/>
              </w:numPr>
            </w:pPr>
            <w:r>
              <w:t xml:space="preserve">The likelihood of offending </w:t>
            </w:r>
            <w:r w:rsidRPr="001B6FC1">
              <w:rPr>
                <w:i/>
              </w:rPr>
              <w:t>generally increase</w:t>
            </w:r>
            <w:r>
              <w:t>d during the early teens, reaching a peak between the ages 14 and 16 before declinin</w:t>
            </w:r>
            <w:r w:rsidR="005E3347">
              <w:t>g. Over a period of four years the s</w:t>
            </w:r>
            <w:r>
              <w:t xml:space="preserve">ample members (82% of 10 to 25 years olds) with a low propensity to offend accounted for around one-third (36%) of all offences. This is about the same proportion of all offending as that admitted by the small group (4% of 10 to 25 year olds) described as ‘prolific offenders’ who committed a disproportionately large amount of offences (responsible for 32% of all offences) (p. 1). </w:t>
            </w:r>
          </w:p>
          <w:p w:rsidR="00F34040" w:rsidRDefault="00F34040" w:rsidP="00F34040">
            <w:pPr>
              <w:pStyle w:val="ListParagraph"/>
              <w:numPr>
                <w:ilvl w:val="0"/>
                <w:numId w:val="1"/>
              </w:numPr>
            </w:pPr>
            <w:r>
              <w:lastRenderedPageBreak/>
              <w:t xml:space="preserve">Younger sample members were </w:t>
            </w:r>
            <w:r w:rsidRPr="001B6FC1">
              <w:rPr>
                <w:i/>
              </w:rPr>
              <w:t>less likely</w:t>
            </w:r>
            <w:r>
              <w:t xml:space="preserve"> to be offenders, but this reflected a shorter time ‘at risk’ (p. 2)</w:t>
            </w:r>
          </w:p>
          <w:p w:rsidR="00F34040" w:rsidRDefault="00F34040" w:rsidP="00F34040">
            <w:pPr>
              <w:pStyle w:val="ListParagraph"/>
              <w:numPr>
                <w:ilvl w:val="0"/>
                <w:numId w:val="1"/>
              </w:numPr>
            </w:pPr>
            <w:r>
              <w:t xml:space="preserve">Female sample members were </w:t>
            </w:r>
            <w:r w:rsidRPr="001B6FC1">
              <w:rPr>
                <w:i/>
              </w:rPr>
              <w:t>significantly less likely</w:t>
            </w:r>
            <w:r>
              <w:t xml:space="preserve"> to have been offenders than males (p. 2). </w:t>
            </w:r>
          </w:p>
          <w:p w:rsidR="00F34040" w:rsidRDefault="00F34040" w:rsidP="00F34040">
            <w:pPr>
              <w:pStyle w:val="ListParagraph"/>
              <w:numPr>
                <w:ilvl w:val="0"/>
                <w:numId w:val="1"/>
              </w:numPr>
            </w:pPr>
            <w:r>
              <w:t>Social class, ethic group and religious participation were not significantly associated with increased or reduced likelihood of offending, ASB and drug use (p. 2).</w:t>
            </w:r>
          </w:p>
          <w:p w:rsidR="00F34040" w:rsidRDefault="00F34040" w:rsidP="00F34040">
            <w:pPr>
              <w:pStyle w:val="ListParagraph"/>
              <w:numPr>
                <w:ilvl w:val="0"/>
                <w:numId w:val="1"/>
              </w:numPr>
            </w:pPr>
            <w:r>
              <w:t xml:space="preserve">Family, peer group and school factors were found to be very important influences on the pathways of young people (p. 2). </w:t>
            </w:r>
          </w:p>
        </w:tc>
      </w:tr>
      <w:tr w:rsidR="00095D82" w:rsidTr="00807CB8">
        <w:tc>
          <w:tcPr>
            <w:tcW w:w="2235" w:type="dxa"/>
          </w:tcPr>
          <w:p w:rsidR="00095D82" w:rsidRDefault="00095D82" w:rsidP="004D2B98">
            <w:pPr>
              <w:spacing w:after="200"/>
            </w:pPr>
            <w:r w:rsidRPr="00095D82">
              <w:lastRenderedPageBreak/>
              <w:t xml:space="preserve">Healy (2010a). </w:t>
            </w:r>
          </w:p>
        </w:tc>
        <w:tc>
          <w:tcPr>
            <w:tcW w:w="2409" w:type="dxa"/>
          </w:tcPr>
          <w:p w:rsidR="00095D82" w:rsidRDefault="0031384F" w:rsidP="008A1B82">
            <w:r>
              <w:t>Quasi-experimental</w:t>
            </w:r>
            <w:r w:rsidR="00095D82">
              <w:t xml:space="preserve"> </w:t>
            </w:r>
          </w:p>
        </w:tc>
        <w:tc>
          <w:tcPr>
            <w:tcW w:w="3261" w:type="dxa"/>
          </w:tcPr>
          <w:p w:rsidR="00095D82" w:rsidRDefault="006251A7" w:rsidP="00042D68">
            <w:pPr>
              <w:pStyle w:val="ListParagraph"/>
              <w:numPr>
                <w:ilvl w:val="0"/>
                <w:numId w:val="1"/>
              </w:numPr>
            </w:pPr>
            <w:r>
              <w:t>U.K</w:t>
            </w:r>
            <w:r w:rsidR="00095D82">
              <w:t xml:space="preserve">. </w:t>
            </w:r>
          </w:p>
          <w:p w:rsidR="00095D82" w:rsidRDefault="00095D82" w:rsidP="00042D68">
            <w:pPr>
              <w:pStyle w:val="ListParagraph"/>
              <w:numPr>
                <w:ilvl w:val="0"/>
                <w:numId w:val="1"/>
              </w:numPr>
            </w:pPr>
            <w:r>
              <w:t>Male offenders</w:t>
            </w:r>
            <w:r w:rsidR="0031384F">
              <w:t>.</w:t>
            </w:r>
          </w:p>
          <w:p w:rsidR="00095D82" w:rsidRDefault="00B119D3" w:rsidP="0031384F">
            <w:pPr>
              <w:pStyle w:val="ListParagraph"/>
              <w:numPr>
                <w:ilvl w:val="0"/>
                <w:numId w:val="1"/>
              </w:numPr>
            </w:pPr>
            <w:r>
              <w:t>73 adult males mean age 25.4 years</w:t>
            </w:r>
            <w:r w:rsidR="0031384F">
              <w:t>.</w:t>
            </w:r>
          </w:p>
        </w:tc>
        <w:tc>
          <w:tcPr>
            <w:tcW w:w="6269" w:type="dxa"/>
          </w:tcPr>
          <w:p w:rsidR="00095D82" w:rsidRDefault="00095D82" w:rsidP="00042D68">
            <w:pPr>
              <w:pStyle w:val="ListParagraph"/>
              <w:numPr>
                <w:ilvl w:val="0"/>
                <w:numId w:val="1"/>
              </w:numPr>
            </w:pPr>
            <w:r>
              <w:t xml:space="preserve">Participants who reported no offending in the past month were defined as ‘primary </w:t>
            </w:r>
            <w:proofErr w:type="spellStart"/>
            <w:r>
              <w:t>desisters</w:t>
            </w:r>
            <w:proofErr w:type="spellEnd"/>
            <w:r>
              <w:t>.’ In a regression analysis, age, age at onset of offending and criminal thinking styles</w:t>
            </w:r>
            <w:r w:rsidR="005E3347">
              <w:t xml:space="preserve"> (measured at eight thinking styles that support criminal behaviour – mollification, </w:t>
            </w:r>
            <w:proofErr w:type="spellStart"/>
            <w:r w:rsidR="005E3347">
              <w:t>cutoff</w:t>
            </w:r>
            <w:proofErr w:type="spellEnd"/>
            <w:r w:rsidR="005E3347">
              <w:t>, entitlement, power orientation, sentimentality, super-optimism, cognitive indolence, and discontinuity)</w:t>
            </w:r>
            <w:r>
              <w:t xml:space="preserve"> emerged as important predictors of primary desistance, whereas social circumstances and pro-criminal attitudes did not </w:t>
            </w:r>
            <w:r w:rsidR="005E3347">
              <w:t>(pro-criminal – indicated more favourable attitudes toward crime).</w:t>
            </w:r>
          </w:p>
          <w:p w:rsidR="005412C2" w:rsidRDefault="002B0BDD" w:rsidP="002B0BDD">
            <w:pPr>
              <w:pStyle w:val="ListParagraph"/>
              <w:numPr>
                <w:ilvl w:val="0"/>
                <w:numId w:val="1"/>
              </w:numPr>
            </w:pPr>
            <w:r>
              <w:t xml:space="preserve">Primary </w:t>
            </w:r>
            <w:proofErr w:type="spellStart"/>
            <w:r>
              <w:t>desisters</w:t>
            </w:r>
            <w:proofErr w:type="spellEnd"/>
            <w:r>
              <w:t xml:space="preserve"> were significantly younger and </w:t>
            </w:r>
            <w:r w:rsidR="00FB30BB">
              <w:t>significantly</w:t>
            </w:r>
            <w:r>
              <w:t xml:space="preserve"> less likely to endorse pro-criminal attitudes and reported few social problems than current offenders.</w:t>
            </w:r>
          </w:p>
        </w:tc>
      </w:tr>
      <w:tr w:rsidR="00445644" w:rsidTr="00807CB8">
        <w:tc>
          <w:tcPr>
            <w:tcW w:w="2235" w:type="dxa"/>
          </w:tcPr>
          <w:p w:rsidR="00445644" w:rsidRPr="005412C2" w:rsidRDefault="00445644" w:rsidP="004D2B98">
            <w:pPr>
              <w:rPr>
                <w:b/>
              </w:rPr>
            </w:pPr>
            <w:proofErr w:type="spellStart"/>
            <w:r w:rsidRPr="006740B9">
              <w:t>Hirst</w:t>
            </w:r>
            <w:proofErr w:type="spellEnd"/>
            <w:r w:rsidRPr="006740B9">
              <w:t>, Formby, Parr</w:t>
            </w:r>
            <w:r w:rsidR="004D2B98">
              <w:t>,</w:t>
            </w:r>
            <w:r w:rsidRPr="006740B9">
              <w:t xml:space="preserve"> Nixon, Hunter, &amp; Flint</w:t>
            </w:r>
            <w:r w:rsidR="004D2B98">
              <w:t xml:space="preserve"> (2007).</w:t>
            </w:r>
          </w:p>
        </w:tc>
        <w:tc>
          <w:tcPr>
            <w:tcW w:w="2409" w:type="dxa"/>
          </w:tcPr>
          <w:p w:rsidR="00445644" w:rsidRDefault="00FB30BB" w:rsidP="008A1B82">
            <w:r>
              <w:t>Non-experimental</w:t>
            </w:r>
          </w:p>
        </w:tc>
        <w:tc>
          <w:tcPr>
            <w:tcW w:w="3261" w:type="dxa"/>
          </w:tcPr>
          <w:p w:rsidR="00445644" w:rsidRDefault="00DC328C" w:rsidP="00042D68">
            <w:pPr>
              <w:pStyle w:val="ListParagraph"/>
              <w:numPr>
                <w:ilvl w:val="0"/>
                <w:numId w:val="1"/>
              </w:numPr>
            </w:pPr>
            <w:r>
              <w:t xml:space="preserve">U.K. </w:t>
            </w:r>
          </w:p>
          <w:p w:rsidR="002C3063" w:rsidRDefault="002C3063" w:rsidP="00042D68">
            <w:pPr>
              <w:pStyle w:val="ListParagraph"/>
              <w:numPr>
                <w:ilvl w:val="0"/>
                <w:numId w:val="1"/>
              </w:numPr>
            </w:pPr>
            <w:r>
              <w:t xml:space="preserve">York 25 participants, age range of majority of members 11-12 year olds </w:t>
            </w:r>
            <w:r w:rsidR="005F6F94">
              <w:t>gender not specified</w:t>
            </w:r>
            <w:r>
              <w:t xml:space="preserve">. </w:t>
            </w:r>
          </w:p>
          <w:p w:rsidR="002C3063" w:rsidRDefault="002C3063" w:rsidP="001B6FC1">
            <w:pPr>
              <w:pStyle w:val="ListParagraph"/>
              <w:numPr>
                <w:ilvl w:val="0"/>
                <w:numId w:val="1"/>
              </w:numPr>
            </w:pPr>
            <w:r>
              <w:lastRenderedPageBreak/>
              <w:t>Bradford 44 participants, age range of majority of members 12-15</w:t>
            </w:r>
            <w:r w:rsidR="001B6FC1">
              <w:t>(include 9-10 year olds)</w:t>
            </w:r>
            <w:r w:rsidR="005F6F94">
              <w:t>, 12 boys and 32 females</w:t>
            </w:r>
            <w:r w:rsidR="002B0BDD">
              <w:t>.</w:t>
            </w:r>
          </w:p>
        </w:tc>
        <w:tc>
          <w:tcPr>
            <w:tcW w:w="6269" w:type="dxa"/>
          </w:tcPr>
          <w:p w:rsidR="005F6F94" w:rsidRDefault="005F6F94" w:rsidP="001B6FC1">
            <w:pPr>
              <w:pStyle w:val="ListParagraph"/>
              <w:numPr>
                <w:ilvl w:val="0"/>
                <w:numId w:val="1"/>
              </w:numPr>
            </w:pPr>
            <w:r>
              <w:lastRenderedPageBreak/>
              <w:t>Bradford scheme had greater success in recruiting and retaining young people and in completing activities</w:t>
            </w:r>
            <w:r w:rsidR="001B6FC1">
              <w:t xml:space="preserve"> (</w:t>
            </w:r>
            <w:r w:rsidR="001B6FC1">
              <w:rPr>
                <w:i/>
              </w:rPr>
              <w:t>n=</w:t>
            </w:r>
            <w:r w:rsidR="001B6FC1">
              <w:t>44)</w:t>
            </w:r>
            <w:r>
              <w:t xml:space="preserve"> (then York</w:t>
            </w:r>
            <w:r w:rsidR="001B6FC1">
              <w:t xml:space="preserve"> (</w:t>
            </w:r>
            <w:r w:rsidR="001B6FC1">
              <w:rPr>
                <w:i/>
              </w:rPr>
              <w:t>n=</w:t>
            </w:r>
            <w:r w:rsidR="001B6FC1">
              <w:t>25</w:t>
            </w:r>
            <w:r>
              <w:t xml:space="preserve">). </w:t>
            </w:r>
          </w:p>
        </w:tc>
      </w:tr>
      <w:tr w:rsidR="00ED58CB" w:rsidTr="00807CB8">
        <w:tc>
          <w:tcPr>
            <w:tcW w:w="2235" w:type="dxa"/>
          </w:tcPr>
          <w:p w:rsidR="00ED58CB" w:rsidRDefault="00ED58CB" w:rsidP="004D2B98">
            <w:proofErr w:type="spellStart"/>
            <w:r>
              <w:lastRenderedPageBreak/>
              <w:t>Lowenkamp</w:t>
            </w:r>
            <w:proofErr w:type="spellEnd"/>
            <w:r>
              <w:t xml:space="preserve">, </w:t>
            </w:r>
            <w:r w:rsidRPr="00FE5C9D">
              <w:t>Hubbard</w:t>
            </w:r>
            <w:r w:rsidR="004D2B98">
              <w:t>,</w:t>
            </w:r>
            <w:r w:rsidRPr="00FE5C9D">
              <w:t xml:space="preserve"> </w:t>
            </w:r>
            <w:proofErr w:type="spellStart"/>
            <w:r w:rsidRPr="00FE5C9D">
              <w:t>Makarios</w:t>
            </w:r>
            <w:proofErr w:type="spellEnd"/>
            <w:r>
              <w:t>, &amp;</w:t>
            </w:r>
            <w:r w:rsidRPr="00FE5C9D">
              <w:t xml:space="preserve"> </w:t>
            </w:r>
            <w:proofErr w:type="spellStart"/>
            <w:r w:rsidRPr="00FE5C9D">
              <w:t>Latessa</w:t>
            </w:r>
            <w:proofErr w:type="spellEnd"/>
            <w:r w:rsidR="004D2B98">
              <w:t xml:space="preserve"> </w:t>
            </w:r>
            <w:r>
              <w:t>(</w:t>
            </w:r>
            <w:r w:rsidRPr="00FE5C9D">
              <w:t>2009</w:t>
            </w:r>
            <w:r>
              <w:t>)</w:t>
            </w:r>
            <w:r w:rsidR="004D2B98">
              <w:t>.</w:t>
            </w:r>
          </w:p>
        </w:tc>
        <w:tc>
          <w:tcPr>
            <w:tcW w:w="2409" w:type="dxa"/>
          </w:tcPr>
          <w:p w:rsidR="00EA5DD9" w:rsidRDefault="008A1B82" w:rsidP="00806BE6">
            <w:r>
              <w:t>Quasi-experimental</w:t>
            </w:r>
          </w:p>
        </w:tc>
        <w:tc>
          <w:tcPr>
            <w:tcW w:w="3261" w:type="dxa"/>
          </w:tcPr>
          <w:p w:rsidR="00ED58CB" w:rsidRDefault="00042D68" w:rsidP="00042D68">
            <w:pPr>
              <w:pStyle w:val="ListParagraph"/>
              <w:numPr>
                <w:ilvl w:val="0"/>
                <w:numId w:val="1"/>
              </w:numPr>
            </w:pPr>
            <w:r>
              <w:t>U</w:t>
            </w:r>
            <w:r w:rsidR="00EA5DD9">
              <w:t>.</w:t>
            </w:r>
            <w:r>
              <w:t>S</w:t>
            </w:r>
            <w:r w:rsidR="00EA5DD9">
              <w:t>.</w:t>
            </w:r>
            <w:r>
              <w:t>A.</w:t>
            </w:r>
          </w:p>
          <w:p w:rsidR="00042D68" w:rsidRDefault="00042D68" w:rsidP="00042D68">
            <w:pPr>
              <w:pStyle w:val="ListParagraph"/>
              <w:numPr>
                <w:ilvl w:val="0"/>
                <w:numId w:val="1"/>
              </w:numPr>
            </w:pPr>
            <w:r>
              <w:t>Two groups similar age, race and gender. White (84%), male (71%), and average 33.5 years old</w:t>
            </w:r>
            <w:r w:rsidR="00FB30BB">
              <w:t>.</w:t>
            </w:r>
          </w:p>
          <w:p w:rsidR="00042D68" w:rsidRDefault="00EA5DD9" w:rsidP="00FB30BB">
            <w:pPr>
              <w:pStyle w:val="ListParagraph"/>
              <w:numPr>
                <w:ilvl w:val="0"/>
                <w:numId w:val="1"/>
              </w:numPr>
            </w:pPr>
            <w:r>
              <w:t xml:space="preserve">217 participants: </w:t>
            </w:r>
            <w:r w:rsidR="00042D68">
              <w:t>treatment group</w:t>
            </w:r>
            <w:r>
              <w:t xml:space="preserve"> (</w:t>
            </w:r>
            <w:r>
              <w:rPr>
                <w:i/>
              </w:rPr>
              <w:t>n=</w:t>
            </w:r>
            <w:r>
              <w:t>121</w:t>
            </w:r>
            <w:r w:rsidR="00042D68">
              <w:t>) and control group</w:t>
            </w:r>
            <w:r>
              <w:t xml:space="preserve"> (</w:t>
            </w:r>
            <w:r>
              <w:rPr>
                <w:i/>
              </w:rPr>
              <w:t>n=</w:t>
            </w:r>
            <w:r>
              <w:t>96</w:t>
            </w:r>
            <w:r w:rsidR="00042D68">
              <w:t>)</w:t>
            </w:r>
            <w:r w:rsidR="00FB30BB">
              <w:t>.</w:t>
            </w:r>
          </w:p>
        </w:tc>
        <w:tc>
          <w:tcPr>
            <w:tcW w:w="6269" w:type="dxa"/>
          </w:tcPr>
          <w:p w:rsidR="00ED58CB" w:rsidRDefault="00042D68" w:rsidP="00042D68">
            <w:pPr>
              <w:pStyle w:val="ListParagraph"/>
              <w:numPr>
                <w:ilvl w:val="0"/>
                <w:numId w:val="1"/>
              </w:numPr>
            </w:pPr>
            <w:r>
              <w:t xml:space="preserve">23% of the treatment group </w:t>
            </w:r>
            <w:proofErr w:type="spellStart"/>
            <w:r>
              <w:t>recidivated</w:t>
            </w:r>
            <w:proofErr w:type="spellEnd"/>
            <w:r>
              <w:t xml:space="preserve"> (i.e. were rearrest for new criminal behaviour) compared to 36% of the comparison group (</w:t>
            </w:r>
            <w:r w:rsidR="00FD71B7">
              <w:rPr>
                <w:i/>
              </w:rPr>
              <w:t>p=</w:t>
            </w:r>
            <w:r>
              <w:rPr>
                <w:i/>
              </w:rPr>
              <w:t>.</w:t>
            </w:r>
            <w:r>
              <w:t>047)</w:t>
            </w:r>
            <w:r w:rsidR="00FB30BB">
              <w:t>.</w:t>
            </w:r>
          </w:p>
          <w:p w:rsidR="00042D68" w:rsidRDefault="00042D68" w:rsidP="00042D68">
            <w:pPr>
              <w:pStyle w:val="ListParagraph"/>
              <w:numPr>
                <w:ilvl w:val="0"/>
                <w:numId w:val="1"/>
              </w:numPr>
            </w:pPr>
            <w:r>
              <w:t>Control group were 1.57 (57%) more likely to be arrested during the follow-up</w:t>
            </w:r>
            <w:r w:rsidR="00FB30BB">
              <w:t>.</w:t>
            </w:r>
          </w:p>
          <w:p w:rsidR="00EA5DD9" w:rsidRDefault="00EA5DD9" w:rsidP="00FB30BB">
            <w:pPr>
              <w:pStyle w:val="ListParagraph"/>
              <w:numPr>
                <w:ilvl w:val="0"/>
                <w:numId w:val="1"/>
              </w:numPr>
            </w:pPr>
            <w:r>
              <w:t>Younger offenders, higher-risk offenders, and offenders in the control group were more likely to be arrested for new criminal behaviour during the follow-up</w:t>
            </w:r>
            <w:r w:rsidR="00FB30BB">
              <w:t>.</w:t>
            </w:r>
          </w:p>
        </w:tc>
      </w:tr>
      <w:tr w:rsidR="00445644" w:rsidTr="00807CB8">
        <w:tc>
          <w:tcPr>
            <w:tcW w:w="2235" w:type="dxa"/>
          </w:tcPr>
          <w:p w:rsidR="00445644" w:rsidRPr="00515BDD" w:rsidRDefault="004D2B98" w:rsidP="00580644">
            <w:r>
              <w:t xml:space="preserve">National Audit Office </w:t>
            </w:r>
            <w:r w:rsidR="00445644" w:rsidRPr="00515BDD">
              <w:t xml:space="preserve">(2006). </w:t>
            </w:r>
          </w:p>
        </w:tc>
        <w:tc>
          <w:tcPr>
            <w:tcW w:w="2409" w:type="dxa"/>
          </w:tcPr>
          <w:p w:rsidR="00445644" w:rsidRDefault="00BC1438" w:rsidP="008A1B82">
            <w:r>
              <w:t>Non-experimental</w:t>
            </w:r>
            <w:r w:rsidR="002274AF">
              <w:t xml:space="preserve"> </w:t>
            </w:r>
          </w:p>
        </w:tc>
        <w:tc>
          <w:tcPr>
            <w:tcW w:w="3261" w:type="dxa"/>
          </w:tcPr>
          <w:p w:rsidR="00445644" w:rsidRDefault="0021577A" w:rsidP="00042D68">
            <w:pPr>
              <w:pStyle w:val="ListParagraph"/>
              <w:numPr>
                <w:ilvl w:val="0"/>
                <w:numId w:val="1"/>
              </w:numPr>
            </w:pPr>
            <w:r>
              <w:t xml:space="preserve">U.K. </w:t>
            </w:r>
          </w:p>
          <w:p w:rsidR="0021577A" w:rsidRDefault="0021577A" w:rsidP="00042D68">
            <w:pPr>
              <w:pStyle w:val="ListParagraph"/>
              <w:numPr>
                <w:ilvl w:val="0"/>
                <w:numId w:val="1"/>
              </w:numPr>
            </w:pPr>
            <w:r>
              <w:t>46</w:t>
            </w:r>
            <w:r w:rsidR="008246D8">
              <w:t>%</w:t>
            </w:r>
            <w:r>
              <w:t xml:space="preserve"> of cases were aged under 18 and 54</w:t>
            </w:r>
            <w:r w:rsidR="008246D8">
              <w:t xml:space="preserve">% </w:t>
            </w:r>
            <w:r>
              <w:t>were over 18.</w:t>
            </w:r>
          </w:p>
          <w:p w:rsidR="008246D8" w:rsidRDefault="008246D8" w:rsidP="00BC1438">
            <w:pPr>
              <w:pStyle w:val="ListParagraph"/>
              <w:numPr>
                <w:ilvl w:val="0"/>
                <w:numId w:val="1"/>
              </w:numPr>
            </w:pPr>
            <w:r>
              <w:t>893 case files in 6 local areas</w:t>
            </w:r>
            <w:r w:rsidR="00BC1438">
              <w:t>.</w:t>
            </w:r>
          </w:p>
        </w:tc>
        <w:tc>
          <w:tcPr>
            <w:tcW w:w="6269" w:type="dxa"/>
          </w:tcPr>
          <w:p w:rsidR="00BC1438" w:rsidRDefault="00BC1438" w:rsidP="00042D68">
            <w:pPr>
              <w:pStyle w:val="ListParagraph"/>
              <w:numPr>
                <w:ilvl w:val="0"/>
                <w:numId w:val="1"/>
              </w:numPr>
            </w:pPr>
            <w:r>
              <w:t>65% people</w:t>
            </w:r>
            <w:r w:rsidR="0021577A">
              <w:t xml:space="preserve"> who received an anti-social behaviour intervention did not re-engage in anti-social behaviour</w:t>
            </w:r>
            <w:r>
              <w:t xml:space="preserve">. </w:t>
            </w:r>
          </w:p>
          <w:p w:rsidR="00445644" w:rsidRDefault="00BC1438" w:rsidP="00042D68">
            <w:pPr>
              <w:pStyle w:val="ListParagraph"/>
              <w:numPr>
                <w:ilvl w:val="0"/>
                <w:numId w:val="1"/>
              </w:numPr>
            </w:pPr>
            <w:r>
              <w:t xml:space="preserve">Contracts were less effective with people aged </w:t>
            </w:r>
            <w:proofErr w:type="gramStart"/>
            <w:r>
              <w:t>under</w:t>
            </w:r>
            <w:proofErr w:type="gramEnd"/>
            <w:r>
              <w:t xml:space="preserve"> 18 where just over 60% of cases displayed further anti-social behaviour.</w:t>
            </w:r>
          </w:p>
          <w:p w:rsidR="0021577A" w:rsidRDefault="0021577A" w:rsidP="00042D68">
            <w:pPr>
              <w:pStyle w:val="ListParagraph"/>
              <w:numPr>
                <w:ilvl w:val="0"/>
                <w:numId w:val="1"/>
              </w:numPr>
            </w:pPr>
            <w:r>
              <w:t>Many individuals are responsible for minor incidents of anti-social behaviour and quickly desist from such behaviour. Some 65</w:t>
            </w:r>
            <w:r w:rsidR="008246D8">
              <w:t>%</w:t>
            </w:r>
            <w:r>
              <w:t xml:space="preserve"> of sample only received on</w:t>
            </w:r>
            <w:r w:rsidR="00BC1438">
              <w:t>e</w:t>
            </w:r>
            <w:r>
              <w:t xml:space="preserve"> intervention</w:t>
            </w:r>
            <w:r w:rsidR="00BC1438">
              <w:t>.</w:t>
            </w:r>
          </w:p>
          <w:p w:rsidR="008246D8" w:rsidRDefault="0021577A" w:rsidP="00BC1438">
            <w:pPr>
              <w:pStyle w:val="ListParagraph"/>
              <w:numPr>
                <w:ilvl w:val="0"/>
                <w:numId w:val="1"/>
              </w:numPr>
            </w:pPr>
            <w:r>
              <w:t>Small core of people repeatedly engaged in anti-social behaviour. Around 20</w:t>
            </w:r>
            <w:r w:rsidR="008246D8">
              <w:t>%</w:t>
            </w:r>
            <w:r>
              <w:t xml:space="preserve"> of sample received 55</w:t>
            </w:r>
            <w:r w:rsidR="008246D8">
              <w:t>%</w:t>
            </w:r>
            <w:r w:rsidR="00843F8F">
              <w:t xml:space="preserve"> of all interventions issued</w:t>
            </w:r>
            <w:r w:rsidR="00BC1438">
              <w:t>.</w:t>
            </w:r>
          </w:p>
        </w:tc>
      </w:tr>
      <w:tr w:rsidR="00445644" w:rsidTr="00807CB8">
        <w:tc>
          <w:tcPr>
            <w:tcW w:w="2235" w:type="dxa"/>
          </w:tcPr>
          <w:p w:rsidR="00445644" w:rsidRPr="00515BDD" w:rsidRDefault="00342B81" w:rsidP="00342B81">
            <w:r>
              <w:t>Sampson</w:t>
            </w:r>
            <w:r w:rsidR="00445644" w:rsidRPr="00515BDD">
              <w:t xml:space="preserve"> </w:t>
            </w:r>
            <w:r>
              <w:t xml:space="preserve">&amp; </w:t>
            </w:r>
            <w:proofErr w:type="spellStart"/>
            <w:r>
              <w:t>La</w:t>
            </w:r>
            <w:r w:rsidR="0043100E">
              <w:t>ub</w:t>
            </w:r>
            <w:proofErr w:type="spellEnd"/>
            <w:r w:rsidR="0043100E">
              <w:t xml:space="preserve"> </w:t>
            </w:r>
            <w:r>
              <w:t>(2003).</w:t>
            </w:r>
          </w:p>
        </w:tc>
        <w:tc>
          <w:tcPr>
            <w:tcW w:w="2409" w:type="dxa"/>
          </w:tcPr>
          <w:p w:rsidR="00445644" w:rsidRDefault="00BC1438" w:rsidP="00BC1438">
            <w:r w:rsidRPr="004D2305">
              <w:t>Quasi-experimental</w:t>
            </w:r>
            <w:r>
              <w:t xml:space="preserve"> </w:t>
            </w:r>
          </w:p>
        </w:tc>
        <w:tc>
          <w:tcPr>
            <w:tcW w:w="3261" w:type="dxa"/>
          </w:tcPr>
          <w:p w:rsidR="00583B2A" w:rsidRDefault="00583B2A" w:rsidP="00042D68">
            <w:pPr>
              <w:pStyle w:val="ListParagraph"/>
              <w:numPr>
                <w:ilvl w:val="0"/>
                <w:numId w:val="1"/>
              </w:numPr>
            </w:pPr>
            <w:r>
              <w:t>U.S.A.</w:t>
            </w:r>
          </w:p>
          <w:p w:rsidR="00445644" w:rsidRDefault="00E75049" w:rsidP="00042D68">
            <w:pPr>
              <w:pStyle w:val="ListParagraph"/>
              <w:numPr>
                <w:ilvl w:val="0"/>
                <w:numId w:val="1"/>
              </w:numPr>
            </w:pPr>
            <w:r>
              <w:t xml:space="preserve">Boys aged </w:t>
            </w:r>
            <w:r w:rsidR="00DD241D">
              <w:t>7 to 70</w:t>
            </w:r>
            <w:r w:rsidR="00583B2A">
              <w:t xml:space="preserve"> – 35 year follow up</w:t>
            </w:r>
            <w:r w:rsidR="002905FD">
              <w:t>.</w:t>
            </w:r>
          </w:p>
          <w:p w:rsidR="00583B2A" w:rsidRDefault="00583B2A" w:rsidP="002905FD">
            <w:pPr>
              <w:pStyle w:val="ListParagraph"/>
              <w:numPr>
                <w:ilvl w:val="0"/>
                <w:numId w:val="1"/>
              </w:numPr>
            </w:pPr>
            <w:r>
              <w:t xml:space="preserve">475 (of original 500) </w:t>
            </w:r>
            <w:r>
              <w:lastRenderedPageBreak/>
              <w:t>delinquents</w:t>
            </w:r>
            <w:r w:rsidR="002905FD">
              <w:t>.</w:t>
            </w:r>
          </w:p>
        </w:tc>
        <w:tc>
          <w:tcPr>
            <w:tcW w:w="6269" w:type="dxa"/>
          </w:tcPr>
          <w:p w:rsidR="00445644" w:rsidRDefault="00DD241D" w:rsidP="00042D68">
            <w:pPr>
              <w:pStyle w:val="ListParagraph"/>
              <w:numPr>
                <w:ilvl w:val="0"/>
                <w:numId w:val="1"/>
              </w:numPr>
            </w:pPr>
            <w:r>
              <w:lastRenderedPageBreak/>
              <w:t>Crime declines with age sooner or later for all offender groups, whether identified prospectively according to a multitude of childhood and adolescent risk factors, or retrospectively based on late</w:t>
            </w:r>
            <w:r w:rsidR="002905FD">
              <w:t>nt-class models of trajectories.</w:t>
            </w:r>
          </w:p>
          <w:p w:rsidR="00043113" w:rsidRDefault="00DD241D" w:rsidP="00042D68">
            <w:pPr>
              <w:pStyle w:val="ListParagraph"/>
              <w:numPr>
                <w:ilvl w:val="0"/>
                <w:numId w:val="1"/>
              </w:numPr>
            </w:pPr>
            <w:r>
              <w:lastRenderedPageBreak/>
              <w:t xml:space="preserve">Desistence processes are at work even among active offenders and predicted life-course </w:t>
            </w:r>
            <w:proofErr w:type="spellStart"/>
            <w:r>
              <w:t>persistors</w:t>
            </w:r>
            <w:proofErr w:type="spellEnd"/>
            <w:r>
              <w:t>, and that childhood prognoses account poorly for long</w:t>
            </w:r>
            <w:r w:rsidR="004D2305">
              <w:t>-term trajectories of offending.</w:t>
            </w:r>
          </w:p>
          <w:p w:rsidR="00043113" w:rsidRDefault="00043113" w:rsidP="00042D68">
            <w:pPr>
              <w:pStyle w:val="ListParagraph"/>
              <w:numPr>
                <w:ilvl w:val="0"/>
                <w:numId w:val="1"/>
              </w:numPr>
            </w:pPr>
            <w:r>
              <w:t>The average career length of the delinquent group was 25.6 years</w:t>
            </w:r>
            <w:r w:rsidR="002905FD">
              <w:t>.</w:t>
            </w:r>
          </w:p>
          <w:p w:rsidR="00DD241D" w:rsidRDefault="00043113" w:rsidP="004D2305">
            <w:pPr>
              <w:pStyle w:val="ListParagraph"/>
              <w:numPr>
                <w:ilvl w:val="0"/>
                <w:numId w:val="1"/>
              </w:numPr>
            </w:pPr>
            <w:r>
              <w:t>The mean onset for violence and alcohol and drug arrests was 22 and 25 respectively. Violent criminal careers were shortest 9 years</w:t>
            </w:r>
            <w:r w:rsidR="004D2305">
              <w:t>.</w:t>
            </w:r>
          </w:p>
        </w:tc>
      </w:tr>
      <w:tr w:rsidR="00445644" w:rsidTr="00807CB8">
        <w:tc>
          <w:tcPr>
            <w:tcW w:w="2235" w:type="dxa"/>
          </w:tcPr>
          <w:p w:rsidR="00445644" w:rsidRPr="00515BDD" w:rsidRDefault="00445644" w:rsidP="00342B81">
            <w:r w:rsidRPr="00515BDD">
              <w:lastRenderedPageBreak/>
              <w:t>Simons, Stewart, Gordon, Conger, &amp; Elder</w:t>
            </w:r>
            <w:r w:rsidR="00342B81">
              <w:t xml:space="preserve"> (2002).</w:t>
            </w:r>
          </w:p>
        </w:tc>
        <w:tc>
          <w:tcPr>
            <w:tcW w:w="2409" w:type="dxa"/>
          </w:tcPr>
          <w:p w:rsidR="00445644" w:rsidRDefault="004801F4" w:rsidP="008A1B82">
            <w:r>
              <w:t xml:space="preserve">Quasi-experimental </w:t>
            </w:r>
          </w:p>
        </w:tc>
        <w:tc>
          <w:tcPr>
            <w:tcW w:w="3261" w:type="dxa"/>
          </w:tcPr>
          <w:p w:rsidR="00931DB8" w:rsidRDefault="00931DB8" w:rsidP="00931DB8">
            <w:pPr>
              <w:pStyle w:val="ListParagraph"/>
              <w:numPr>
                <w:ilvl w:val="0"/>
                <w:numId w:val="1"/>
              </w:numPr>
            </w:pPr>
            <w:r>
              <w:t>U.S.A.</w:t>
            </w:r>
          </w:p>
          <w:p w:rsidR="00931DB8" w:rsidRDefault="00D56185" w:rsidP="00931DB8">
            <w:pPr>
              <w:pStyle w:val="ListParagraph"/>
              <w:numPr>
                <w:ilvl w:val="0"/>
                <w:numId w:val="1"/>
              </w:numPr>
            </w:pPr>
            <w:r>
              <w:t xml:space="preserve">236 young adults, </w:t>
            </w:r>
            <w:r w:rsidR="000661E5">
              <w:t xml:space="preserve">male and female (p. </w:t>
            </w:r>
            <w:r w:rsidR="00931DB8">
              <w:t>410</w:t>
            </w:r>
            <w:r w:rsidR="000661E5">
              <w:t>).</w:t>
            </w:r>
          </w:p>
          <w:p w:rsidR="00445644" w:rsidRDefault="00931DB8" w:rsidP="00931DB8">
            <w:pPr>
              <w:pStyle w:val="ListParagraph"/>
              <w:numPr>
                <w:ilvl w:val="0"/>
                <w:numId w:val="1"/>
              </w:numPr>
            </w:pPr>
            <w:r>
              <w:t>Mean age 22 years and partners interviewed in 1977 (p. 410).</w:t>
            </w:r>
            <w:r w:rsidR="000661E5">
              <w:t xml:space="preserve"> </w:t>
            </w:r>
          </w:p>
        </w:tc>
        <w:tc>
          <w:tcPr>
            <w:tcW w:w="6269" w:type="dxa"/>
          </w:tcPr>
          <w:p w:rsidR="00B8769D" w:rsidRDefault="000661E5" w:rsidP="00042D68">
            <w:pPr>
              <w:pStyle w:val="ListParagraph"/>
              <w:numPr>
                <w:ilvl w:val="0"/>
                <w:numId w:val="1"/>
              </w:numPr>
            </w:pPr>
            <w:r>
              <w:t>For both male and females, adolescent delinquency and affiliation with deviant peers predicted having an antisocial romantic partner as a young adult.</w:t>
            </w:r>
            <w:r w:rsidR="00B8769D">
              <w:t xml:space="preserve"> The path coefficients are .38 and .23 respectively. </w:t>
            </w:r>
          </w:p>
          <w:p w:rsidR="00445644" w:rsidRDefault="000661E5" w:rsidP="00B8769D">
            <w:pPr>
              <w:pStyle w:val="ListParagraph"/>
              <w:numPr>
                <w:ilvl w:val="0"/>
                <w:numId w:val="1"/>
              </w:numPr>
            </w:pPr>
            <w:r>
              <w:t>For females, quality of the romantic relationship also predicted crime</w:t>
            </w:r>
            <w:r w:rsidR="00B8769D">
              <w:t xml:space="preserve"> (β= -.15)</w:t>
            </w:r>
            <w:r>
              <w:t>. Analyses revealed several mediating influences. For females, a conventional romantic partner, strong job attachment, and conventional adult friends all served to moderate the chances that a woman with a delinquent history would graduate to adult crime. In contrast, only conventional adult friends served this function for males</w:t>
            </w:r>
            <w:r w:rsidR="00B8769D">
              <w:t>.</w:t>
            </w:r>
          </w:p>
        </w:tc>
      </w:tr>
      <w:tr w:rsidR="005412C2" w:rsidTr="00807CB8">
        <w:tc>
          <w:tcPr>
            <w:tcW w:w="2235" w:type="dxa"/>
          </w:tcPr>
          <w:p w:rsidR="005412C2" w:rsidRDefault="00F17A73" w:rsidP="00342B81">
            <w:pPr>
              <w:spacing w:after="200"/>
            </w:pPr>
            <w:r w:rsidRPr="00515BDD">
              <w:t xml:space="preserve">Wheeler, Holland, </w:t>
            </w:r>
            <w:proofErr w:type="spellStart"/>
            <w:r w:rsidRPr="00515BDD">
              <w:t>Bambrick</w:t>
            </w:r>
            <w:proofErr w:type="spellEnd"/>
            <w:r w:rsidRPr="00515BDD">
              <w:t>, Lindsay, Carson, Steptoe, Johnston, Tayler, Middleton</w:t>
            </w:r>
            <w:r w:rsidR="00342B81">
              <w:t>,</w:t>
            </w:r>
            <w:r w:rsidRPr="00515BDD">
              <w:t xml:space="preserve"> Price, &amp; O’Brien (2009). </w:t>
            </w:r>
          </w:p>
        </w:tc>
        <w:tc>
          <w:tcPr>
            <w:tcW w:w="2409" w:type="dxa"/>
          </w:tcPr>
          <w:p w:rsidR="00235834" w:rsidRDefault="004D2305" w:rsidP="006F4CBB">
            <w:r>
              <w:t>Comparison groups</w:t>
            </w:r>
          </w:p>
        </w:tc>
        <w:tc>
          <w:tcPr>
            <w:tcW w:w="3261" w:type="dxa"/>
          </w:tcPr>
          <w:p w:rsidR="005412C2" w:rsidRDefault="00F17A73" w:rsidP="00042D68">
            <w:pPr>
              <w:pStyle w:val="ListParagraph"/>
              <w:numPr>
                <w:ilvl w:val="0"/>
                <w:numId w:val="1"/>
              </w:numPr>
            </w:pPr>
            <w:r>
              <w:t xml:space="preserve">U.K. </w:t>
            </w:r>
          </w:p>
          <w:p w:rsidR="00F17A73" w:rsidRDefault="00F17A73" w:rsidP="00042D68">
            <w:pPr>
              <w:pStyle w:val="ListParagraph"/>
              <w:numPr>
                <w:ilvl w:val="0"/>
                <w:numId w:val="1"/>
              </w:numPr>
            </w:pPr>
            <w:r>
              <w:t>237 cases</w:t>
            </w:r>
            <w:r w:rsidR="004801F4">
              <w:t>.</w:t>
            </w:r>
          </w:p>
          <w:p w:rsidR="007F6722" w:rsidRDefault="007F6722" w:rsidP="00042D68">
            <w:pPr>
              <w:pStyle w:val="ListParagraph"/>
              <w:numPr>
                <w:ilvl w:val="0"/>
                <w:numId w:val="1"/>
              </w:numPr>
            </w:pPr>
            <w:r>
              <w:t>40.5% female</w:t>
            </w:r>
            <w:r w:rsidR="004801F4">
              <w:t xml:space="preserve">, </w:t>
            </w:r>
            <w:r w:rsidR="004D0D56">
              <w:t>average age 36 years</w:t>
            </w:r>
            <w:r w:rsidR="004801F4">
              <w:t>.</w:t>
            </w:r>
          </w:p>
          <w:p w:rsidR="00237C1A" w:rsidRDefault="00237C1A" w:rsidP="004801F4">
            <w:pPr>
              <w:pStyle w:val="ListParagraph"/>
              <w:numPr>
                <w:ilvl w:val="0"/>
                <w:numId w:val="1"/>
              </w:numPr>
            </w:pPr>
            <w:r>
              <w:t>Group 1: No CJS group- (</w:t>
            </w:r>
            <w:r>
              <w:rPr>
                <w:i/>
              </w:rPr>
              <w:t>n=</w:t>
            </w:r>
            <w:r>
              <w:t>188); Group 2: the CJS group (</w:t>
            </w:r>
            <w:r>
              <w:rPr>
                <w:i/>
              </w:rPr>
              <w:t>n</w:t>
            </w:r>
            <w:r>
              <w:t>=49)</w:t>
            </w:r>
            <w:r w:rsidR="004801F4">
              <w:t>.</w:t>
            </w:r>
          </w:p>
        </w:tc>
        <w:tc>
          <w:tcPr>
            <w:tcW w:w="6269" w:type="dxa"/>
          </w:tcPr>
          <w:p w:rsidR="005412C2" w:rsidRDefault="00235834" w:rsidP="006F4CBB">
            <w:pPr>
              <w:pStyle w:val="ListParagraph"/>
              <w:numPr>
                <w:ilvl w:val="0"/>
                <w:numId w:val="1"/>
              </w:numPr>
            </w:pPr>
            <w:r>
              <w:t xml:space="preserve">There was no association between mild ID and CJS contact or non-contact </w:t>
            </w:r>
            <w:r w:rsidR="006F4CBB">
              <w:t xml:space="preserve">Omnibus </w:t>
            </w:r>
            <w:r w:rsidR="00DC0BAC" w:rsidRPr="00661345">
              <w:t>χ</w:t>
            </w:r>
            <w:r w:rsidR="00DC0BAC" w:rsidRPr="00661345">
              <w:rPr>
                <w:vertAlign w:val="superscript"/>
              </w:rPr>
              <w:t>2</w:t>
            </w:r>
            <w:r w:rsidR="006F4CBB">
              <w:t xml:space="preserve">=84.034, </w:t>
            </w:r>
            <w:proofErr w:type="spellStart"/>
            <w:r w:rsidR="006F4CBB" w:rsidRPr="006F4CBB">
              <w:rPr>
                <w:i/>
              </w:rPr>
              <w:t>df</w:t>
            </w:r>
            <w:proofErr w:type="spellEnd"/>
            <w:r w:rsidR="006F4CBB">
              <w:t xml:space="preserve"> = 28, p &lt;.001</w:t>
            </w:r>
          </w:p>
        </w:tc>
      </w:tr>
    </w:tbl>
    <w:p w:rsidR="004801F4" w:rsidRDefault="004801F4">
      <w:r>
        <w:br w:type="page"/>
      </w:r>
    </w:p>
    <w:tbl>
      <w:tblPr>
        <w:tblStyle w:val="TableGrid"/>
        <w:tblW w:w="0" w:type="auto"/>
        <w:tblLook w:val="04A0"/>
      </w:tblPr>
      <w:tblGrid>
        <w:gridCol w:w="2235"/>
        <w:gridCol w:w="2409"/>
        <w:gridCol w:w="3261"/>
        <w:gridCol w:w="6269"/>
      </w:tblGrid>
      <w:tr w:rsidR="00ED58CB" w:rsidTr="00993A4D">
        <w:tc>
          <w:tcPr>
            <w:tcW w:w="14174" w:type="dxa"/>
            <w:gridSpan w:val="4"/>
          </w:tcPr>
          <w:p w:rsidR="00ED58CB" w:rsidRPr="00C55619" w:rsidRDefault="00ED58CB" w:rsidP="008A1B82">
            <w:pPr>
              <w:spacing w:after="200"/>
              <w:rPr>
                <w:b/>
                <w:i/>
              </w:rPr>
            </w:pPr>
            <w:r w:rsidRPr="00C55619">
              <w:rPr>
                <w:b/>
                <w:i/>
              </w:rPr>
              <w:lastRenderedPageBreak/>
              <w:t>Interventions designed to change criminal thinking through individual treatment, including drug and alcohol treatment</w:t>
            </w:r>
          </w:p>
          <w:p w:rsidR="00501E5A" w:rsidRPr="00ED58CB" w:rsidRDefault="00501E5A" w:rsidP="008A1B82">
            <w:pPr>
              <w:spacing w:after="200"/>
              <w:rPr>
                <w:b/>
                <w:i/>
              </w:rPr>
            </w:pPr>
            <w:r w:rsidRPr="00C55619">
              <w:rPr>
                <w:b/>
                <w:i/>
              </w:rPr>
              <w:t>Area 1: Individual treatment and lifestyle change (14 –only 1 randomised)</w:t>
            </w:r>
          </w:p>
        </w:tc>
      </w:tr>
      <w:tr w:rsidR="00AF3B76" w:rsidTr="00807CB8">
        <w:tc>
          <w:tcPr>
            <w:tcW w:w="2235" w:type="dxa"/>
          </w:tcPr>
          <w:p w:rsidR="00AF3B76" w:rsidRPr="00FE5C9D" w:rsidRDefault="00AF3B76" w:rsidP="00342B81">
            <w:r w:rsidRPr="00A60546">
              <w:rPr>
                <w:lang w:val="de-DE"/>
              </w:rPr>
              <w:t>Allen, Mackenzie, &amp; Hickman (</w:t>
            </w:r>
            <w:r w:rsidR="00342B81" w:rsidRPr="00A60546">
              <w:t>2001).</w:t>
            </w:r>
            <w:r w:rsidR="00980E46" w:rsidRPr="00515BDD">
              <w:t xml:space="preserve"> The effectiveness of cognitive behavioural treatment for adult offenders: A methodological, quality-based review.</w:t>
            </w:r>
          </w:p>
        </w:tc>
        <w:tc>
          <w:tcPr>
            <w:tcW w:w="2409" w:type="dxa"/>
          </w:tcPr>
          <w:p w:rsidR="00AF3B76" w:rsidRDefault="001B3727" w:rsidP="00FD71B7">
            <w:r>
              <w:t>Quasi-experiment</w:t>
            </w:r>
          </w:p>
          <w:p w:rsidR="001B3727" w:rsidRDefault="001B3727" w:rsidP="001B3727">
            <w:r>
              <w:t>Review of evaluations of two rehabilitation programs reviewed</w:t>
            </w:r>
          </w:p>
          <w:p w:rsidR="001B3727" w:rsidRDefault="001B3727" w:rsidP="001B3727">
            <w:pPr>
              <w:pStyle w:val="ListParagraph"/>
              <w:numPr>
                <w:ilvl w:val="0"/>
                <w:numId w:val="1"/>
              </w:numPr>
            </w:pPr>
            <w:r>
              <w:t xml:space="preserve">Moral </w:t>
            </w:r>
            <w:proofErr w:type="spellStart"/>
            <w:r>
              <w:t>Reconation</w:t>
            </w:r>
            <w:proofErr w:type="spellEnd"/>
            <w:r>
              <w:t xml:space="preserve"> Therapy (MRT)</w:t>
            </w:r>
          </w:p>
          <w:p w:rsidR="001B3727" w:rsidRDefault="001B3727" w:rsidP="001B3727">
            <w:r>
              <w:t>Reasoning and rehabilitation (R&amp;R)</w:t>
            </w:r>
          </w:p>
          <w:p w:rsidR="001B3727" w:rsidRDefault="001B3727" w:rsidP="00FD71B7"/>
          <w:p w:rsidR="00AF3B76" w:rsidRDefault="00AF3B76" w:rsidP="00667931"/>
        </w:tc>
        <w:tc>
          <w:tcPr>
            <w:tcW w:w="3261" w:type="dxa"/>
          </w:tcPr>
          <w:p w:rsidR="009E6379" w:rsidRPr="009E6379" w:rsidRDefault="009E6379" w:rsidP="00AF3B76">
            <w:r w:rsidRPr="009E6379">
              <w:t>U.S.A.</w:t>
            </w:r>
            <w:r>
              <w:t>&amp; Canada</w:t>
            </w:r>
          </w:p>
          <w:p w:rsidR="00AF3B76" w:rsidRPr="00BA5394" w:rsidRDefault="00AF3B76" w:rsidP="00AF3B76">
            <w:pPr>
              <w:rPr>
                <w:b/>
              </w:rPr>
            </w:pPr>
            <w:r w:rsidRPr="00BA5394">
              <w:rPr>
                <w:b/>
              </w:rPr>
              <w:t>MRT</w:t>
            </w:r>
          </w:p>
          <w:p w:rsidR="00AF3B76" w:rsidRDefault="00AF3B76" w:rsidP="00AF3B76">
            <w:r>
              <w:t>Drunk drivers</w:t>
            </w:r>
          </w:p>
          <w:p w:rsidR="00AF3B76" w:rsidRDefault="00597248" w:rsidP="00812ACA">
            <w:pPr>
              <w:pStyle w:val="ListParagraph"/>
              <w:numPr>
                <w:ilvl w:val="0"/>
                <w:numId w:val="12"/>
              </w:numPr>
            </w:pPr>
            <w:r>
              <w:t xml:space="preserve">115 driving-while-intoxicated offenders who received MRT during their incarceration and 65 who applied for the program but were unable to participate because of limited space. </w:t>
            </w:r>
          </w:p>
          <w:p w:rsidR="00AF3B76" w:rsidRDefault="00AF3B76" w:rsidP="00E91176">
            <w:r>
              <w:t>Felony drug offenders</w:t>
            </w:r>
          </w:p>
          <w:p w:rsidR="00E91176" w:rsidRDefault="00E91176" w:rsidP="00812ACA">
            <w:pPr>
              <w:pStyle w:val="ListParagraph"/>
              <w:numPr>
                <w:ilvl w:val="0"/>
                <w:numId w:val="12"/>
              </w:numPr>
            </w:pPr>
            <w:r>
              <w:t xml:space="preserve">70 male felons who admitted drug use and received MRT during incarceration and 82 male felons who volunteered for the program but were unable to participate because of limited space. </w:t>
            </w:r>
          </w:p>
          <w:p w:rsidR="00AF3B76" w:rsidRDefault="00AF3B76" w:rsidP="00E91176">
            <w:r>
              <w:t>General felony offenders</w:t>
            </w:r>
          </w:p>
          <w:p w:rsidR="00EB426C" w:rsidRDefault="00EB426C" w:rsidP="00812ACA">
            <w:pPr>
              <w:pStyle w:val="ListParagraph"/>
              <w:numPr>
                <w:ilvl w:val="0"/>
                <w:numId w:val="12"/>
              </w:numPr>
            </w:pPr>
            <w:r>
              <w:t xml:space="preserve">1,052 felony offenders who had participated in MRT at some point during their incarceration, including both dropouts and graduates. The control group consisted of 329 felony offenders who </w:t>
            </w:r>
            <w:r>
              <w:lastRenderedPageBreak/>
              <w:t>volunteered for the program but were unable to p</w:t>
            </w:r>
            <w:r w:rsidR="00A91A14">
              <w:t>articipate due to limited space</w:t>
            </w:r>
            <w:r w:rsidR="00441A68">
              <w:t>.</w:t>
            </w:r>
          </w:p>
          <w:p w:rsidR="00BA5394" w:rsidRDefault="00BA5394" w:rsidP="00BA5394">
            <w:r>
              <w:t>Other settings</w:t>
            </w:r>
          </w:p>
          <w:p w:rsidR="00BA5394" w:rsidRDefault="00BA5394" w:rsidP="00812ACA">
            <w:pPr>
              <w:pStyle w:val="ListParagraph"/>
              <w:numPr>
                <w:ilvl w:val="0"/>
                <w:numId w:val="12"/>
              </w:numPr>
            </w:pPr>
            <w:r>
              <w:t xml:space="preserve">20 male and female </w:t>
            </w:r>
            <w:proofErr w:type="spellStart"/>
            <w:r>
              <w:t>releasees</w:t>
            </w:r>
            <w:proofErr w:type="spellEnd"/>
            <w:r>
              <w:t xml:space="preserve"> who had received MRT in departm</w:t>
            </w:r>
            <w:r w:rsidR="009E6379">
              <w:t>ent of corrections field office</w:t>
            </w:r>
            <w:r w:rsidR="00A91A14">
              <w:t>.</w:t>
            </w:r>
          </w:p>
          <w:p w:rsidR="00BA5394" w:rsidRDefault="00BA5394" w:rsidP="00812ACA">
            <w:pPr>
              <w:pStyle w:val="ListParagraph"/>
              <w:numPr>
                <w:ilvl w:val="0"/>
                <w:numId w:val="12"/>
              </w:numPr>
            </w:pPr>
            <w:r>
              <w:t xml:space="preserve">Male offenders in a Florida detention </w:t>
            </w:r>
            <w:proofErr w:type="spellStart"/>
            <w:r>
              <w:t>center</w:t>
            </w:r>
            <w:proofErr w:type="spellEnd"/>
            <w:r>
              <w:t xml:space="preserve">, the sample consisted of a treatment group of offenders who participated in MRT during incarceration and control group consisted of all offenders released from the institution during a similar time period. </w:t>
            </w:r>
          </w:p>
          <w:p w:rsidR="00BA5394" w:rsidRDefault="009E6379" w:rsidP="00812ACA">
            <w:pPr>
              <w:pStyle w:val="ListParagraph"/>
              <w:numPr>
                <w:ilvl w:val="0"/>
                <w:numId w:val="12"/>
              </w:numPr>
            </w:pPr>
            <w:r>
              <w:t>I</w:t>
            </w:r>
            <w:r w:rsidR="00BA5394">
              <w:t xml:space="preserve">ndividuals released from a county jail in Ohio who received MRT, control group consisted of all inmates released from the jail during the same period of time. </w:t>
            </w:r>
          </w:p>
          <w:p w:rsidR="00BA5394" w:rsidRPr="00BA5394" w:rsidRDefault="00BA5394" w:rsidP="00BA5394">
            <w:pPr>
              <w:rPr>
                <w:b/>
              </w:rPr>
            </w:pPr>
            <w:r w:rsidRPr="00BA5394">
              <w:rPr>
                <w:b/>
              </w:rPr>
              <w:t>R&amp;R</w:t>
            </w:r>
          </w:p>
          <w:p w:rsidR="0037548E" w:rsidRDefault="0037548E" w:rsidP="0037548E">
            <w:r>
              <w:t>Federal offenders in Canada</w:t>
            </w:r>
          </w:p>
          <w:p w:rsidR="0037548E" w:rsidRDefault="009E6379" w:rsidP="00A91A14">
            <w:pPr>
              <w:pStyle w:val="ListParagraph"/>
              <w:numPr>
                <w:ilvl w:val="0"/>
                <w:numId w:val="13"/>
              </w:numPr>
            </w:pPr>
            <w:r>
              <w:t>A</w:t>
            </w:r>
            <w:r w:rsidR="0037548E">
              <w:t>dult male offenders in a federal</w:t>
            </w:r>
            <w:r w:rsidR="00A91A14">
              <w:t xml:space="preserve"> correctional system in Canada.</w:t>
            </w:r>
          </w:p>
          <w:p w:rsidR="002710C6" w:rsidRDefault="00C35071" w:rsidP="00812ACA">
            <w:pPr>
              <w:pStyle w:val="ListParagraph"/>
              <w:numPr>
                <w:ilvl w:val="0"/>
                <w:numId w:val="13"/>
              </w:numPr>
            </w:pPr>
            <w:r>
              <w:lastRenderedPageBreak/>
              <w:t>High risk male-probationers randomly assigned either to regular probation or to probat</w:t>
            </w:r>
            <w:r w:rsidR="00A91A14">
              <w:t>ion with R&amp;R, small sample size.</w:t>
            </w:r>
          </w:p>
          <w:p w:rsidR="008122D0" w:rsidRDefault="002710C6" w:rsidP="00A91A14">
            <w:pPr>
              <w:pStyle w:val="ListParagraph"/>
              <w:numPr>
                <w:ilvl w:val="0"/>
                <w:numId w:val="13"/>
              </w:numPr>
            </w:pPr>
            <w:r>
              <w:t>R&amp;R using treatment group and comparison group that were eligible for the program but did not participate</w:t>
            </w:r>
            <w:r w:rsidR="00AD35A3">
              <w:t xml:space="preserve">. </w:t>
            </w:r>
          </w:p>
        </w:tc>
        <w:tc>
          <w:tcPr>
            <w:tcW w:w="6269" w:type="dxa"/>
          </w:tcPr>
          <w:p w:rsidR="00AF3B76" w:rsidRDefault="00AF3B76" w:rsidP="00E91176">
            <w:pPr>
              <w:pStyle w:val="ListParagraph"/>
              <w:numPr>
                <w:ilvl w:val="0"/>
                <w:numId w:val="2"/>
              </w:numPr>
            </w:pPr>
            <w:r>
              <w:lastRenderedPageBreak/>
              <w:t xml:space="preserve">Moral </w:t>
            </w:r>
            <w:r w:rsidR="00A86776">
              <w:t>Recognition</w:t>
            </w:r>
            <w:r>
              <w:t xml:space="preserve"> Therapy and Reasoning and Rehabilitation programs appear to be successful approaches to reducing recidivism (p. 498).</w:t>
            </w:r>
          </w:p>
          <w:p w:rsidR="00A91A14" w:rsidRPr="009E6379" w:rsidRDefault="009E6379" w:rsidP="009E6379">
            <w:pPr>
              <w:rPr>
                <w:b/>
              </w:rPr>
            </w:pPr>
            <w:r>
              <w:rPr>
                <w:b/>
              </w:rPr>
              <w:t>MRT</w:t>
            </w:r>
          </w:p>
          <w:p w:rsidR="00597248" w:rsidRDefault="00597248" w:rsidP="00E91176">
            <w:pPr>
              <w:pStyle w:val="ListParagraph"/>
              <w:numPr>
                <w:ilvl w:val="0"/>
                <w:numId w:val="2"/>
              </w:numPr>
            </w:pPr>
            <w:r>
              <w:t>MRT for drunk drivers – the treatment group</w:t>
            </w:r>
            <w:r w:rsidR="00A3121C">
              <w:t xml:space="preserve"> </w:t>
            </w:r>
            <w:r>
              <w:t xml:space="preserve">consistently demonstrated </w:t>
            </w:r>
            <w:r w:rsidR="00A3121C">
              <w:t xml:space="preserve">lower </w:t>
            </w:r>
            <w:proofErr w:type="spellStart"/>
            <w:r w:rsidR="00A3121C">
              <w:t>reincarceration</w:t>
            </w:r>
            <w:proofErr w:type="spellEnd"/>
            <w:r w:rsidR="00A3121C">
              <w:t xml:space="preserve"> rate and lower rearrest rate </w:t>
            </w:r>
            <w:r>
              <w:t>for any offense over the course of the studies and this difference was statistically significant</w:t>
            </w:r>
            <w:r w:rsidR="00A3121C">
              <w:t>.</w:t>
            </w:r>
          </w:p>
          <w:p w:rsidR="00A3121C" w:rsidRDefault="00EB426C" w:rsidP="00EB426C">
            <w:pPr>
              <w:pStyle w:val="ListParagraph"/>
              <w:numPr>
                <w:ilvl w:val="0"/>
                <w:numId w:val="2"/>
              </w:numPr>
            </w:pPr>
            <w:r>
              <w:t xml:space="preserve">MRT for drug offenders - </w:t>
            </w:r>
            <w:r w:rsidR="00E91176">
              <w:t xml:space="preserve">The treatment group consistently demonstrated lower rearrest rate </w:t>
            </w:r>
            <w:r w:rsidR="00A3121C">
              <w:t xml:space="preserve">(significance not tested) </w:t>
            </w:r>
            <w:r w:rsidR="00E91176">
              <w:t>for any offense throug</w:t>
            </w:r>
            <w:r w:rsidR="00A3121C">
              <w:t>hout the four follow up studies</w:t>
            </w:r>
            <w:r w:rsidR="00E91176">
              <w:t xml:space="preserve">. </w:t>
            </w:r>
          </w:p>
          <w:p w:rsidR="00E91176" w:rsidRDefault="00E91176" w:rsidP="00EB426C">
            <w:pPr>
              <w:pStyle w:val="ListParagraph"/>
              <w:numPr>
                <w:ilvl w:val="0"/>
                <w:numId w:val="2"/>
              </w:numPr>
            </w:pPr>
            <w:r>
              <w:t xml:space="preserve">In addition, the group of felony drug offenders who received MRT had </w:t>
            </w:r>
            <w:proofErr w:type="spellStart"/>
            <w:r>
              <w:t>reincarceration</w:t>
            </w:r>
            <w:proofErr w:type="spellEnd"/>
            <w:r>
              <w:t xml:space="preserve"> rates that were consistently lower and these differences were significant in recent evaluations</w:t>
            </w:r>
            <w:r w:rsidR="00A3121C">
              <w:t>.</w:t>
            </w:r>
          </w:p>
          <w:p w:rsidR="00A3121C" w:rsidRDefault="00441A68" w:rsidP="00E91176">
            <w:pPr>
              <w:pStyle w:val="ListParagraph"/>
              <w:numPr>
                <w:ilvl w:val="0"/>
                <w:numId w:val="2"/>
              </w:numPr>
            </w:pPr>
            <w:r>
              <w:t>MRT – general felony offenders suggest that those that participated in MRT had decreased recidivism</w:t>
            </w:r>
            <w:r w:rsidR="00A3121C">
              <w:t>, lower rearrest rate and fewer arrests</w:t>
            </w:r>
            <w:r>
              <w:t xml:space="preserve">. </w:t>
            </w:r>
          </w:p>
          <w:p w:rsidR="00BA5394" w:rsidRDefault="00BA5394" w:rsidP="00E91176">
            <w:pPr>
              <w:pStyle w:val="ListParagraph"/>
              <w:numPr>
                <w:ilvl w:val="0"/>
                <w:numId w:val="2"/>
              </w:numPr>
            </w:pPr>
            <w:r>
              <w:t>MRT – other settings (Washington</w:t>
            </w:r>
            <w:r w:rsidR="00A0054E">
              <w:t xml:space="preserve"> &amp; Ohio</w:t>
            </w:r>
            <w:r>
              <w:t xml:space="preserve">) found that the treatment group had significantly lower rearrest and </w:t>
            </w:r>
            <w:proofErr w:type="spellStart"/>
            <w:r>
              <w:t>reincarceration</w:t>
            </w:r>
            <w:proofErr w:type="spellEnd"/>
            <w:r>
              <w:t xml:space="preserve"> rates</w:t>
            </w:r>
            <w:r w:rsidR="00A0054E">
              <w:t>.</w:t>
            </w:r>
          </w:p>
          <w:p w:rsidR="00BA5394" w:rsidRDefault="00BA5394" w:rsidP="00E91176">
            <w:pPr>
              <w:pStyle w:val="ListParagraph"/>
              <w:numPr>
                <w:ilvl w:val="0"/>
                <w:numId w:val="2"/>
              </w:numPr>
            </w:pPr>
            <w:r>
              <w:t xml:space="preserve">MRT – other settings (Florida) participants had a significantly lower </w:t>
            </w:r>
            <w:proofErr w:type="spellStart"/>
            <w:r>
              <w:t>reincarceration</w:t>
            </w:r>
            <w:proofErr w:type="spellEnd"/>
            <w:r>
              <w:t xml:space="preserve"> rate</w:t>
            </w:r>
            <w:r w:rsidR="00A3121C">
              <w:t>.</w:t>
            </w:r>
            <w:r>
              <w:t xml:space="preserve"> </w:t>
            </w:r>
          </w:p>
          <w:p w:rsidR="0037548E" w:rsidRPr="0037548E" w:rsidRDefault="0037548E" w:rsidP="0037548E">
            <w:pPr>
              <w:rPr>
                <w:b/>
              </w:rPr>
            </w:pPr>
            <w:r w:rsidRPr="0037548E">
              <w:rPr>
                <w:b/>
              </w:rPr>
              <w:t>R&amp;R</w:t>
            </w:r>
          </w:p>
          <w:p w:rsidR="0037548E" w:rsidRDefault="0037548E" w:rsidP="00812ACA">
            <w:pPr>
              <w:pStyle w:val="ListParagraph"/>
              <w:numPr>
                <w:ilvl w:val="0"/>
                <w:numId w:val="14"/>
              </w:numPr>
            </w:pPr>
            <w:r>
              <w:t xml:space="preserve">R&amp;R - Federal offenders in Canada – indicated a lower </w:t>
            </w:r>
            <w:proofErr w:type="spellStart"/>
            <w:r>
              <w:t>reincarceration</w:t>
            </w:r>
            <w:proofErr w:type="spellEnd"/>
            <w:r>
              <w:t xml:space="preserve"> rate for individuals who completed treatment, but this difference was not statistically significant. </w:t>
            </w:r>
          </w:p>
          <w:p w:rsidR="0037548E" w:rsidRDefault="0037548E" w:rsidP="00812ACA">
            <w:pPr>
              <w:pStyle w:val="ListParagraph"/>
              <w:numPr>
                <w:ilvl w:val="0"/>
                <w:numId w:val="14"/>
              </w:numPr>
            </w:pPr>
            <w:r>
              <w:lastRenderedPageBreak/>
              <w:t>R&amp;R found lower official reconviction and readmission rates for the treatment group</w:t>
            </w:r>
            <w:r w:rsidR="009E6379">
              <w:t>.</w:t>
            </w:r>
          </w:p>
          <w:p w:rsidR="008122D0" w:rsidRDefault="008122D0" w:rsidP="008122D0">
            <w:r>
              <w:t xml:space="preserve">Other R&amp;R – </w:t>
            </w:r>
          </w:p>
          <w:p w:rsidR="008122D0" w:rsidRDefault="008122D0" w:rsidP="00812ACA">
            <w:pPr>
              <w:pStyle w:val="ListParagraph"/>
              <w:numPr>
                <w:ilvl w:val="0"/>
                <w:numId w:val="14"/>
              </w:numPr>
            </w:pPr>
            <w:r>
              <w:t xml:space="preserve">Found that although the 1 year reconviction rate for both general and serious offenses was lower for R&amp;R </w:t>
            </w:r>
            <w:r w:rsidR="002B6CE4">
              <w:t>participants than for the control group, this difference disappeared at 2 years</w:t>
            </w:r>
            <w:r w:rsidR="009E6379">
              <w:t>.</w:t>
            </w:r>
          </w:p>
          <w:p w:rsidR="002B6CE4" w:rsidRDefault="002B6CE4" w:rsidP="009E6379">
            <w:pPr>
              <w:pStyle w:val="ListParagraph"/>
              <w:numPr>
                <w:ilvl w:val="0"/>
                <w:numId w:val="14"/>
              </w:numPr>
            </w:pPr>
            <w:r>
              <w:t xml:space="preserve">R&amp;R participants had a higher reconviction and </w:t>
            </w:r>
            <w:proofErr w:type="spellStart"/>
            <w:r>
              <w:t>reincarceration</w:t>
            </w:r>
            <w:proofErr w:type="spellEnd"/>
            <w:r>
              <w:t xml:space="preserve"> rate than the control group</w:t>
            </w:r>
            <w:r w:rsidR="009E6379">
              <w:t>.</w:t>
            </w:r>
          </w:p>
        </w:tc>
      </w:tr>
      <w:tr w:rsidR="001F20DE" w:rsidTr="00807CB8">
        <w:tc>
          <w:tcPr>
            <w:tcW w:w="2235" w:type="dxa"/>
          </w:tcPr>
          <w:p w:rsidR="001F20DE" w:rsidRPr="001B3727" w:rsidRDefault="00342B81" w:rsidP="00342B81">
            <w:pPr>
              <w:rPr>
                <w:i/>
              </w:rPr>
            </w:pPr>
            <w:proofErr w:type="spellStart"/>
            <w:r>
              <w:lastRenderedPageBreak/>
              <w:t>Blud</w:t>
            </w:r>
            <w:proofErr w:type="spellEnd"/>
            <w:r>
              <w:t xml:space="preserve"> </w:t>
            </w:r>
            <w:r w:rsidR="001B3727">
              <w:t xml:space="preserve">&amp; Travers (2001). Interpersonal problem-solving skills training: a comparison of R&amp;R and ETS. </w:t>
            </w:r>
          </w:p>
        </w:tc>
        <w:tc>
          <w:tcPr>
            <w:tcW w:w="2409" w:type="dxa"/>
          </w:tcPr>
          <w:p w:rsidR="001F20DE" w:rsidRDefault="001B3727" w:rsidP="00FD71B7">
            <w:r>
              <w:t>Quasi-experiment</w:t>
            </w:r>
          </w:p>
          <w:p w:rsidR="001F20DE" w:rsidRDefault="001B3727" w:rsidP="006E2581">
            <w:r>
              <w:t>Comparison of Reasoning and Rehabilitation (R&amp;R) and Enhanced Thinking Skills (ETS)</w:t>
            </w:r>
          </w:p>
          <w:p w:rsidR="001B3727" w:rsidRDefault="001B3727" w:rsidP="006E2581">
            <w:r>
              <w:t xml:space="preserve">Pre-post and follow-up data </w:t>
            </w:r>
          </w:p>
        </w:tc>
        <w:tc>
          <w:tcPr>
            <w:tcW w:w="3261" w:type="dxa"/>
          </w:tcPr>
          <w:p w:rsidR="001F20DE" w:rsidRDefault="001F20DE" w:rsidP="00EA5DD9">
            <w:pPr>
              <w:pStyle w:val="ListParagraph"/>
              <w:numPr>
                <w:ilvl w:val="0"/>
                <w:numId w:val="2"/>
              </w:numPr>
            </w:pPr>
            <w:r>
              <w:t xml:space="preserve">U.K. </w:t>
            </w:r>
          </w:p>
          <w:p w:rsidR="001B3727" w:rsidRDefault="001B3727" w:rsidP="006E2581">
            <w:pPr>
              <w:pStyle w:val="ListParagraph"/>
              <w:numPr>
                <w:ilvl w:val="0"/>
                <w:numId w:val="2"/>
              </w:numPr>
            </w:pPr>
            <w:r>
              <w:t xml:space="preserve">Over </w:t>
            </w:r>
            <w:r w:rsidR="001F20DE">
              <w:t>8000 participants</w:t>
            </w:r>
          </w:p>
          <w:p w:rsidR="001F20DE" w:rsidRDefault="001B3727" w:rsidP="001B3727">
            <w:pPr>
              <w:pStyle w:val="ListParagraph"/>
              <w:numPr>
                <w:ilvl w:val="0"/>
                <w:numId w:val="2"/>
              </w:numPr>
            </w:pPr>
            <w:r>
              <w:t>C</w:t>
            </w:r>
            <w:r w:rsidR="001F20DE">
              <w:t>omparisons made between R&amp;R (</w:t>
            </w:r>
            <w:r w:rsidR="001F20DE">
              <w:rPr>
                <w:i/>
              </w:rPr>
              <w:t>n</w:t>
            </w:r>
            <w:r w:rsidR="001F20DE">
              <w:t xml:space="preserve">=1910) and </w:t>
            </w:r>
            <w:r w:rsidR="006E2581">
              <w:t>Enhanced Thinking Skills (</w:t>
            </w:r>
            <w:r w:rsidR="001F20DE">
              <w:t>ETS</w:t>
            </w:r>
            <w:r w:rsidR="006E2581">
              <w:t>)</w:t>
            </w:r>
            <w:r w:rsidR="001F20DE">
              <w:t xml:space="preserve"> (</w:t>
            </w:r>
            <w:r w:rsidR="001F20DE">
              <w:rPr>
                <w:i/>
              </w:rPr>
              <w:t>n=</w:t>
            </w:r>
            <w:r w:rsidR="001F20DE">
              <w:t xml:space="preserve">6636) </w:t>
            </w:r>
          </w:p>
        </w:tc>
        <w:tc>
          <w:tcPr>
            <w:tcW w:w="6269" w:type="dxa"/>
          </w:tcPr>
          <w:p w:rsidR="001B3727" w:rsidRDefault="001F20DE" w:rsidP="001B3727">
            <w:pPr>
              <w:pStyle w:val="ListParagraph"/>
              <w:numPr>
                <w:ilvl w:val="0"/>
                <w:numId w:val="2"/>
              </w:numPr>
            </w:pPr>
            <w:r>
              <w:t>Significant differences were observed on all aspects of problem solving and effect sizes were moderate. While small but significant differences were observed, what is noteworthy is that the impact of the two programmes is similar (p. 251).</w:t>
            </w:r>
          </w:p>
          <w:p w:rsidR="001B3727" w:rsidRDefault="001B3727" w:rsidP="001B3727">
            <w:pPr>
              <w:pStyle w:val="ListParagraph"/>
              <w:numPr>
                <w:ilvl w:val="0"/>
                <w:numId w:val="2"/>
              </w:numPr>
              <w:autoSpaceDE w:val="0"/>
              <w:autoSpaceDN w:val="0"/>
              <w:adjustRightInd w:val="0"/>
            </w:pPr>
            <w:r>
              <w:rPr>
                <w:rFonts w:ascii="Goudy" w:hAnsi="Goudy" w:cs="Goudy"/>
                <w:sz w:val="22"/>
                <w:szCs w:val="22"/>
              </w:rPr>
              <w:t>I</w:t>
            </w:r>
            <w:r w:rsidRPr="001B3727">
              <w:rPr>
                <w:rFonts w:ascii="Goudy" w:hAnsi="Goudy" w:cs="Goudy"/>
                <w:sz w:val="22"/>
                <w:szCs w:val="22"/>
              </w:rPr>
              <w:t xml:space="preserve">mprovements from pre- to post-programme were greater for the R&amp;R graduates than for ETS (alternatives: </w:t>
            </w:r>
            <w:r w:rsidRPr="001B3727">
              <w:rPr>
                <w:rFonts w:ascii="Goudy-Italic" w:hAnsi="Goudy-Italic" w:cs="Goudy-Italic"/>
                <w:i/>
                <w:iCs/>
                <w:sz w:val="22"/>
                <w:szCs w:val="22"/>
              </w:rPr>
              <w:t xml:space="preserve">F </w:t>
            </w:r>
            <w:r w:rsidRPr="001B3727">
              <w:rPr>
                <w:rFonts w:ascii="Goudy" w:hAnsi="Goudy" w:cs="Goudy"/>
                <w:sz w:val="22"/>
                <w:szCs w:val="22"/>
              </w:rPr>
              <w:t xml:space="preserve">= 3.311, </w:t>
            </w:r>
            <w:r w:rsidRPr="001B3727">
              <w:rPr>
                <w:rFonts w:ascii="Goudy-Italic" w:hAnsi="Goudy-Italic" w:cs="Goudy-Italic"/>
                <w:i/>
                <w:iCs/>
                <w:sz w:val="22"/>
                <w:szCs w:val="22"/>
              </w:rPr>
              <w:t xml:space="preserve">p </w:t>
            </w:r>
            <w:r w:rsidRPr="001B3727">
              <w:rPr>
                <w:rFonts w:ascii="Goudy" w:hAnsi="Goudy" w:cs="Goudy"/>
                <w:sz w:val="22"/>
                <w:szCs w:val="22"/>
              </w:rPr>
              <w:t xml:space="preserve">&lt; 0.05, solutions: </w:t>
            </w:r>
            <w:r w:rsidRPr="001B3727">
              <w:rPr>
                <w:rFonts w:ascii="Goudy-Italic" w:hAnsi="Goudy-Italic" w:cs="Goudy-Italic"/>
                <w:i/>
                <w:iCs/>
                <w:sz w:val="22"/>
                <w:szCs w:val="22"/>
              </w:rPr>
              <w:t xml:space="preserve">F </w:t>
            </w:r>
            <w:r w:rsidRPr="001B3727">
              <w:rPr>
                <w:rFonts w:ascii="Goudy" w:hAnsi="Goudy" w:cs="Goudy"/>
                <w:sz w:val="22"/>
                <w:szCs w:val="22"/>
              </w:rPr>
              <w:t xml:space="preserve">= 5.034, </w:t>
            </w:r>
            <w:r w:rsidRPr="001B3727">
              <w:rPr>
                <w:rFonts w:ascii="Goudy-Italic" w:hAnsi="Goudy-Italic" w:cs="Goudy-Italic"/>
                <w:i/>
                <w:iCs/>
                <w:sz w:val="22"/>
                <w:szCs w:val="22"/>
              </w:rPr>
              <w:t xml:space="preserve">p </w:t>
            </w:r>
            <w:r w:rsidRPr="001B3727">
              <w:rPr>
                <w:rFonts w:ascii="Goudy" w:hAnsi="Goudy" w:cs="Goudy"/>
                <w:sz w:val="22"/>
                <w:szCs w:val="22"/>
              </w:rPr>
              <w:t>&lt;</w:t>
            </w:r>
            <w:r>
              <w:rPr>
                <w:rFonts w:ascii="Goudy" w:hAnsi="Goudy" w:cs="Goudy"/>
                <w:sz w:val="22"/>
                <w:szCs w:val="22"/>
              </w:rPr>
              <w:t xml:space="preserve">0.01). </w:t>
            </w:r>
          </w:p>
        </w:tc>
      </w:tr>
      <w:tr w:rsidR="009259DB" w:rsidTr="00807CB8">
        <w:tc>
          <w:tcPr>
            <w:tcW w:w="2235" w:type="dxa"/>
          </w:tcPr>
          <w:p w:rsidR="009259DB" w:rsidRPr="00FE5C9D" w:rsidRDefault="009259DB" w:rsidP="00342B81">
            <w:r w:rsidRPr="00515BDD">
              <w:t>Briggs</w:t>
            </w:r>
            <w:r w:rsidR="00342B81">
              <w:t>,</w:t>
            </w:r>
            <w:r w:rsidRPr="00515BDD">
              <w:t xml:space="preserve"> Gray, </w:t>
            </w:r>
            <w:r w:rsidR="00342B81">
              <w:t xml:space="preserve">&amp; Stephens </w:t>
            </w:r>
            <w:r w:rsidRPr="00515BDD">
              <w:t>(2003)</w:t>
            </w:r>
            <w:r w:rsidRPr="00515BDD">
              <w:rPr>
                <w:i/>
              </w:rPr>
              <w:t xml:space="preserve">. </w:t>
            </w:r>
            <w:r w:rsidR="003A6429" w:rsidRPr="00515BDD">
              <w:rPr>
                <w:i/>
              </w:rPr>
              <w:t>Offender literacy and attrition from the enhanced thinking skills programme.</w:t>
            </w:r>
          </w:p>
        </w:tc>
        <w:tc>
          <w:tcPr>
            <w:tcW w:w="2409" w:type="dxa"/>
          </w:tcPr>
          <w:p w:rsidR="003A6429" w:rsidRDefault="00FF0C13" w:rsidP="00FD71B7">
            <w:r>
              <w:t>Quasi-experiment</w:t>
            </w:r>
          </w:p>
          <w:p w:rsidR="003A6429" w:rsidRDefault="003A6429" w:rsidP="00FD71B7">
            <w:r>
              <w:t>Comparison group</w:t>
            </w:r>
          </w:p>
          <w:p w:rsidR="00A86776" w:rsidRPr="004D0D56" w:rsidRDefault="003A6429" w:rsidP="00FD71B7">
            <w:r>
              <w:t>Follow up 6 months</w:t>
            </w:r>
            <w:r w:rsidR="00A86776">
              <w:t xml:space="preserve"> </w:t>
            </w:r>
          </w:p>
        </w:tc>
        <w:tc>
          <w:tcPr>
            <w:tcW w:w="3261" w:type="dxa"/>
          </w:tcPr>
          <w:p w:rsidR="009259DB" w:rsidRDefault="00A86776" w:rsidP="00EA5DD9">
            <w:pPr>
              <w:pStyle w:val="ListParagraph"/>
              <w:numPr>
                <w:ilvl w:val="0"/>
                <w:numId w:val="2"/>
              </w:numPr>
            </w:pPr>
            <w:r>
              <w:t xml:space="preserve">U.K. </w:t>
            </w:r>
          </w:p>
          <w:p w:rsidR="00A86776" w:rsidRDefault="003A6429" w:rsidP="00EA5DD9">
            <w:pPr>
              <w:pStyle w:val="ListParagraph"/>
              <w:numPr>
                <w:ilvl w:val="0"/>
                <w:numId w:val="2"/>
              </w:numPr>
            </w:pPr>
            <w:r>
              <w:t xml:space="preserve">Offenders - </w:t>
            </w:r>
            <w:r w:rsidR="00BD109A">
              <w:t xml:space="preserve">39 </w:t>
            </w:r>
            <w:proofErr w:type="gramStart"/>
            <w:r w:rsidR="00A86776">
              <w:t>treatment</w:t>
            </w:r>
            <w:proofErr w:type="gramEnd"/>
            <w:r w:rsidR="00A86776">
              <w:t xml:space="preserve"> and 50 non treatment</w:t>
            </w:r>
            <w:r w:rsidR="00BD109A">
              <w:t>.</w:t>
            </w:r>
          </w:p>
          <w:p w:rsidR="00BD109A" w:rsidRDefault="00BD109A" w:rsidP="00EA5DD9">
            <w:pPr>
              <w:pStyle w:val="ListParagraph"/>
              <w:numPr>
                <w:ilvl w:val="0"/>
                <w:numId w:val="2"/>
              </w:numPr>
            </w:pPr>
            <w:r>
              <w:t xml:space="preserve">Literacy problem </w:t>
            </w:r>
            <w:r w:rsidR="003A6429">
              <w:t xml:space="preserve">group </w:t>
            </w:r>
            <w:r>
              <w:t xml:space="preserve">13% female, 87% male and comparison </w:t>
            </w:r>
            <w:r w:rsidR="003A6429">
              <w:t xml:space="preserve">group </w:t>
            </w:r>
            <w:r>
              <w:t>14% female, 86% male</w:t>
            </w:r>
            <w:r w:rsidR="003A6429">
              <w:t>.</w:t>
            </w:r>
          </w:p>
          <w:p w:rsidR="00BD109A" w:rsidRDefault="00BD109A" w:rsidP="003A6429">
            <w:pPr>
              <w:pStyle w:val="ListParagraph"/>
              <w:numPr>
                <w:ilvl w:val="0"/>
                <w:numId w:val="2"/>
              </w:numPr>
            </w:pPr>
            <w:r>
              <w:t>92% white treatment and 90% white comparison</w:t>
            </w:r>
            <w:r w:rsidR="003A6429">
              <w:t>.</w:t>
            </w:r>
          </w:p>
        </w:tc>
        <w:tc>
          <w:tcPr>
            <w:tcW w:w="6269" w:type="dxa"/>
          </w:tcPr>
          <w:p w:rsidR="009259DB" w:rsidRDefault="003A6429" w:rsidP="00EA5DD9">
            <w:pPr>
              <w:pStyle w:val="ListParagraph"/>
              <w:numPr>
                <w:ilvl w:val="0"/>
                <w:numId w:val="2"/>
              </w:numPr>
            </w:pPr>
            <w:r>
              <w:t>“</w:t>
            </w:r>
            <w:r w:rsidR="00A86776">
              <w:t>Offenders with identified literacy problems were more likely to drop out at every stage between sentence and final completion of post programme psychometric tests</w:t>
            </w:r>
            <w:r>
              <w:t>”</w:t>
            </w:r>
            <w:r w:rsidR="00510FEF">
              <w:t xml:space="preserve"> (p. 1)</w:t>
            </w:r>
            <w:r w:rsidR="00D72E0C">
              <w:t>.</w:t>
            </w:r>
          </w:p>
          <w:p w:rsidR="0066507D" w:rsidRDefault="0066507D" w:rsidP="003A6429">
            <w:pPr>
              <w:pStyle w:val="ListParagraph"/>
              <w:ind w:left="360"/>
            </w:pPr>
          </w:p>
        </w:tc>
      </w:tr>
      <w:tr w:rsidR="00ED58CB" w:rsidTr="00807CB8">
        <w:tc>
          <w:tcPr>
            <w:tcW w:w="2235" w:type="dxa"/>
          </w:tcPr>
          <w:p w:rsidR="00ED58CB" w:rsidRDefault="00ED58CB" w:rsidP="00342B81">
            <w:pPr>
              <w:spacing w:after="200"/>
            </w:pPr>
            <w:r w:rsidRPr="00FE5C9D">
              <w:t>Butler, Baruch</w:t>
            </w:r>
            <w:r>
              <w:t xml:space="preserve">, </w:t>
            </w:r>
            <w:r w:rsidRPr="00FE5C9D">
              <w:t>Hickey</w:t>
            </w:r>
            <w:r>
              <w:t xml:space="preserve">, &amp; </w:t>
            </w:r>
            <w:proofErr w:type="spellStart"/>
            <w:r w:rsidRPr="00FE5C9D">
              <w:t>Fonagy</w:t>
            </w:r>
            <w:proofErr w:type="spellEnd"/>
            <w:r w:rsidRPr="00FE5C9D">
              <w:t xml:space="preserve"> </w:t>
            </w:r>
            <w:r>
              <w:t>(</w:t>
            </w:r>
            <w:r w:rsidRPr="00FE5C9D">
              <w:t>2011</w:t>
            </w:r>
            <w:r>
              <w:t>)</w:t>
            </w:r>
            <w:r w:rsidR="00342B81">
              <w:t>.</w:t>
            </w:r>
            <w:r w:rsidR="003A6429">
              <w:t xml:space="preserve"> </w:t>
            </w:r>
            <w:r w:rsidR="003A6429" w:rsidRPr="00FE5C9D">
              <w:t xml:space="preserve">A </w:t>
            </w:r>
            <w:r w:rsidR="003A6429">
              <w:t>r</w:t>
            </w:r>
            <w:r w:rsidR="003A6429" w:rsidRPr="00FE5C9D">
              <w:t xml:space="preserve">andomized </w:t>
            </w:r>
            <w:r w:rsidR="003A6429">
              <w:lastRenderedPageBreak/>
              <w:t>c</w:t>
            </w:r>
            <w:r w:rsidR="003A6429" w:rsidRPr="00FE5C9D">
              <w:t xml:space="preserve">ontrolled </w:t>
            </w:r>
            <w:r w:rsidR="003A6429">
              <w:t>t</w:t>
            </w:r>
            <w:r w:rsidR="003A6429" w:rsidRPr="00FE5C9D">
              <w:t xml:space="preserve">rial of </w:t>
            </w:r>
            <w:proofErr w:type="spellStart"/>
            <w:r w:rsidR="003A6429">
              <w:t>m</w:t>
            </w:r>
            <w:r w:rsidR="003A6429" w:rsidRPr="00FE5C9D">
              <w:t>ultisystemic</w:t>
            </w:r>
            <w:proofErr w:type="spellEnd"/>
            <w:r w:rsidR="003A6429" w:rsidRPr="00FE5C9D">
              <w:t xml:space="preserve"> </w:t>
            </w:r>
            <w:r w:rsidR="003A6429">
              <w:t>t</w:t>
            </w:r>
            <w:r w:rsidR="003A6429" w:rsidRPr="00FE5C9D">
              <w:t xml:space="preserve">herapy and a </w:t>
            </w:r>
            <w:r w:rsidR="003A6429">
              <w:t>s</w:t>
            </w:r>
            <w:r w:rsidR="003A6429" w:rsidRPr="00FE5C9D">
              <w:t xml:space="preserve">tatutory </w:t>
            </w:r>
            <w:r w:rsidR="003A6429">
              <w:t>t</w:t>
            </w:r>
            <w:r w:rsidR="003A6429" w:rsidRPr="00FE5C9D">
              <w:t xml:space="preserve">herapeutic </w:t>
            </w:r>
            <w:r w:rsidR="003A6429">
              <w:t>i</w:t>
            </w:r>
            <w:r w:rsidR="003A6429" w:rsidRPr="00FE5C9D">
              <w:t xml:space="preserve">ntervention for </w:t>
            </w:r>
            <w:r w:rsidR="003A6429">
              <w:t>y</w:t>
            </w:r>
            <w:r w:rsidR="003A6429" w:rsidRPr="00FE5C9D">
              <w:t xml:space="preserve">oung </w:t>
            </w:r>
            <w:r w:rsidR="003A6429">
              <w:t>offenders</w:t>
            </w:r>
          </w:p>
        </w:tc>
        <w:tc>
          <w:tcPr>
            <w:tcW w:w="2409" w:type="dxa"/>
          </w:tcPr>
          <w:p w:rsidR="00FD71B7" w:rsidRDefault="00FF0C13" w:rsidP="00FD71B7">
            <w:r>
              <w:lastRenderedPageBreak/>
              <w:t>Quasi-experiment</w:t>
            </w:r>
          </w:p>
          <w:p w:rsidR="000778F0" w:rsidRDefault="000778F0" w:rsidP="00FD71B7">
            <w:r>
              <w:t xml:space="preserve">Randomized </w:t>
            </w:r>
            <w:r w:rsidR="00153DEA">
              <w:t>to MST or YOT</w:t>
            </w:r>
          </w:p>
          <w:p w:rsidR="000778F0" w:rsidRDefault="000778F0" w:rsidP="00FD71B7">
            <w:r>
              <w:t>18 month follow up</w:t>
            </w:r>
          </w:p>
          <w:p w:rsidR="00ED58CB" w:rsidRDefault="00ED58CB" w:rsidP="00667931"/>
        </w:tc>
        <w:tc>
          <w:tcPr>
            <w:tcW w:w="3261" w:type="dxa"/>
          </w:tcPr>
          <w:p w:rsidR="00ED58CB" w:rsidRDefault="00667931" w:rsidP="00EA5DD9">
            <w:pPr>
              <w:pStyle w:val="ListParagraph"/>
              <w:numPr>
                <w:ilvl w:val="0"/>
                <w:numId w:val="2"/>
              </w:numPr>
            </w:pPr>
            <w:r>
              <w:lastRenderedPageBreak/>
              <w:t>U.K.</w:t>
            </w:r>
          </w:p>
          <w:p w:rsidR="00103E59" w:rsidRDefault="00103E59" w:rsidP="00EA5DD9">
            <w:pPr>
              <w:pStyle w:val="ListParagraph"/>
              <w:numPr>
                <w:ilvl w:val="0"/>
                <w:numId w:val="2"/>
              </w:numPr>
            </w:pPr>
            <w:r>
              <w:t xml:space="preserve">Majority of </w:t>
            </w:r>
            <w:proofErr w:type="gramStart"/>
            <w:r>
              <w:t>participants</w:t>
            </w:r>
            <w:proofErr w:type="gramEnd"/>
            <w:r>
              <w:t xml:space="preserve"> male, about equal number</w:t>
            </w:r>
            <w:r w:rsidR="007C0306">
              <w:t xml:space="preserve">s of white and black </w:t>
            </w:r>
            <w:r w:rsidR="007C0306">
              <w:lastRenderedPageBreak/>
              <w:t>ethnicity.</w:t>
            </w:r>
          </w:p>
          <w:p w:rsidR="00EA5DD9" w:rsidRDefault="00EA5DD9" w:rsidP="007C0306">
            <w:pPr>
              <w:pStyle w:val="ListParagraph"/>
              <w:numPr>
                <w:ilvl w:val="0"/>
                <w:numId w:val="2"/>
              </w:numPr>
            </w:pPr>
            <w:r>
              <w:t>108 families randomized to MST (</w:t>
            </w:r>
            <w:r w:rsidRPr="00EA5DD9">
              <w:rPr>
                <w:i/>
              </w:rPr>
              <w:t>n</w:t>
            </w:r>
            <w:r>
              <w:t xml:space="preserve">=56) </w:t>
            </w:r>
            <w:r w:rsidR="00A903F3">
              <w:t>and those in</w:t>
            </w:r>
            <w:r>
              <w:t xml:space="preserve"> usual services delivered by youth offending teams (YOT) (</w:t>
            </w:r>
            <w:r>
              <w:rPr>
                <w:i/>
              </w:rPr>
              <w:t>n=</w:t>
            </w:r>
            <w:r>
              <w:t>52)</w:t>
            </w:r>
            <w:r w:rsidR="007C0306">
              <w:t>.</w:t>
            </w:r>
          </w:p>
          <w:p w:rsidR="000778F0" w:rsidRDefault="000778F0" w:rsidP="007C0306">
            <w:pPr>
              <w:pStyle w:val="ListParagraph"/>
              <w:numPr>
                <w:ilvl w:val="0"/>
                <w:numId w:val="2"/>
              </w:numPr>
            </w:pPr>
            <w:r>
              <w:t>MST – 16.4% female</w:t>
            </w:r>
            <w:r w:rsidR="00153DEA">
              <w:t>, 49.1% White British/European, 27.3% Black African/Afro-Caribbean, 3.6% Asian, 20% Mixed/other.</w:t>
            </w:r>
          </w:p>
          <w:p w:rsidR="000778F0" w:rsidRDefault="00153DEA" w:rsidP="00153DEA">
            <w:pPr>
              <w:pStyle w:val="ListParagraph"/>
              <w:numPr>
                <w:ilvl w:val="0"/>
                <w:numId w:val="2"/>
              </w:numPr>
            </w:pPr>
            <w:r>
              <w:t>YOT – 19.2% female, 25.5% White British/European, 39.2% Black African/Afro-Caribbean, 5.9% Asian, 29.4% Mixed/other.</w:t>
            </w:r>
          </w:p>
        </w:tc>
        <w:tc>
          <w:tcPr>
            <w:tcW w:w="6269" w:type="dxa"/>
          </w:tcPr>
          <w:p w:rsidR="00145EB1" w:rsidRPr="00145EB1" w:rsidRDefault="00EA5DD9" w:rsidP="00145EB1">
            <w:pPr>
              <w:pStyle w:val="ListParagraph"/>
              <w:numPr>
                <w:ilvl w:val="0"/>
                <w:numId w:val="2"/>
              </w:numPr>
              <w:autoSpaceDE w:val="0"/>
              <w:autoSpaceDN w:val="0"/>
              <w:adjustRightInd w:val="0"/>
              <w:rPr>
                <w:rFonts w:ascii="Palatino-Roman" w:hAnsi="Palatino-Roman" w:cs="Palatino-Roman"/>
                <w:sz w:val="20"/>
                <w:szCs w:val="20"/>
              </w:rPr>
            </w:pPr>
            <w:r>
              <w:lastRenderedPageBreak/>
              <w:t xml:space="preserve">MST </w:t>
            </w:r>
            <w:r w:rsidR="007C0306">
              <w:t>reduced offending significantly</w:t>
            </w:r>
            <w:r w:rsidR="000778F0">
              <w:t xml:space="preserve"> and the</w:t>
            </w:r>
            <w:r>
              <w:t xml:space="preserve"> likelihood </w:t>
            </w:r>
            <w:r w:rsidR="00FD71B7">
              <w:t>of nonviolent offending during an 18-month follow up period</w:t>
            </w:r>
            <w:r w:rsidR="007C0306">
              <w:t>.</w:t>
            </w:r>
          </w:p>
          <w:p w:rsidR="00145EB1" w:rsidRPr="00145EB1" w:rsidRDefault="00611D51" w:rsidP="00145EB1">
            <w:pPr>
              <w:pStyle w:val="ListParagraph"/>
              <w:numPr>
                <w:ilvl w:val="0"/>
                <w:numId w:val="2"/>
              </w:numPr>
              <w:autoSpaceDE w:val="0"/>
              <w:autoSpaceDN w:val="0"/>
              <w:adjustRightInd w:val="0"/>
              <w:rPr>
                <w:rFonts w:ascii="Palatino-Roman" w:hAnsi="Palatino-Roman" w:cs="Palatino-Roman"/>
                <w:sz w:val="20"/>
                <w:szCs w:val="20"/>
              </w:rPr>
            </w:pPr>
            <w:r>
              <w:t xml:space="preserve">By the last six months of the study, only 8% in the MST </w:t>
            </w:r>
            <w:r>
              <w:lastRenderedPageBreak/>
              <w:t xml:space="preserve">group compared to 34% in the </w:t>
            </w:r>
            <w:r w:rsidR="00145EB1">
              <w:t>control group</w:t>
            </w:r>
            <w:r>
              <w:t xml:space="preserve">, had one or more records of a non-violent offense </w:t>
            </w:r>
            <w:r w:rsidR="00145EB1" w:rsidRPr="00145EB1">
              <w:t>[</w:t>
            </w:r>
            <w:r w:rsidR="00145EB1" w:rsidRPr="00661345">
              <w:t>χ</w:t>
            </w:r>
            <w:r w:rsidR="00145EB1" w:rsidRPr="009B5B55">
              <w:rPr>
                <w:vertAlign w:val="superscript"/>
              </w:rPr>
              <w:t>2</w:t>
            </w:r>
            <w:r w:rsidR="00145EB1" w:rsidRPr="00145EB1">
              <w:t xml:space="preserve"> (1) = 10.6, p &lt;</w:t>
            </w:r>
            <w:r w:rsidR="00145EB1">
              <w:t>.</w:t>
            </w:r>
            <w:r w:rsidR="00145EB1" w:rsidRPr="00145EB1">
              <w:t>001, RR =</w:t>
            </w:r>
            <w:r w:rsidR="00145EB1">
              <w:t xml:space="preserve"> </w:t>
            </w:r>
            <w:r w:rsidR="00145EB1" w:rsidRPr="00145EB1">
              <w:t>4.42, 95% CI = 1.57, 12.45].</w:t>
            </w:r>
          </w:p>
          <w:p w:rsidR="00611D51" w:rsidRPr="00145EB1" w:rsidRDefault="00611D51" w:rsidP="00145EB1">
            <w:pPr>
              <w:pStyle w:val="ListParagraph"/>
              <w:numPr>
                <w:ilvl w:val="0"/>
                <w:numId w:val="2"/>
              </w:numPr>
              <w:autoSpaceDE w:val="0"/>
              <w:autoSpaceDN w:val="0"/>
              <w:adjustRightInd w:val="0"/>
              <w:rPr>
                <w:rFonts w:ascii="Palatino-Roman" w:hAnsi="Palatino-Roman" w:cs="Palatino-Roman"/>
                <w:sz w:val="20"/>
                <w:szCs w:val="20"/>
              </w:rPr>
            </w:pPr>
            <w:r>
              <w:t xml:space="preserve">At 18 month follow-up found significant increase in custodial placement only for the YOT group </w:t>
            </w:r>
            <w:r w:rsidR="00145EB1" w:rsidRPr="00145EB1">
              <w:t xml:space="preserve">[Kendall’s W = 0.07, </w:t>
            </w:r>
            <w:r w:rsidR="00145EB1" w:rsidRPr="00661345">
              <w:t>χ</w:t>
            </w:r>
            <w:r w:rsidR="00145EB1" w:rsidRPr="009B5B55">
              <w:rPr>
                <w:vertAlign w:val="superscript"/>
              </w:rPr>
              <w:t>2</w:t>
            </w:r>
            <w:r w:rsidR="00145EB1" w:rsidRPr="00145EB1">
              <w:t xml:space="preserve"> (4) =15.5, p&lt;.01; Kendall’s W = 0.03, </w:t>
            </w:r>
            <w:r w:rsidR="00145EB1" w:rsidRPr="00661345">
              <w:t>χ</w:t>
            </w:r>
            <w:r w:rsidR="00145EB1" w:rsidRPr="009B5B55">
              <w:rPr>
                <w:vertAlign w:val="superscript"/>
              </w:rPr>
              <w:t>2</w:t>
            </w:r>
            <w:r w:rsidR="00145EB1" w:rsidRPr="00145EB1">
              <w:t xml:space="preserve"> (4) = 6.41, p&lt;.2; for the YOT and MST groups respectively).</w:t>
            </w:r>
          </w:p>
        </w:tc>
      </w:tr>
      <w:tr w:rsidR="008B070C" w:rsidTr="00807CB8">
        <w:tc>
          <w:tcPr>
            <w:tcW w:w="2235" w:type="dxa"/>
          </w:tcPr>
          <w:p w:rsidR="008B070C" w:rsidRPr="00FE5C9D" w:rsidRDefault="008B070C" w:rsidP="00342B81">
            <w:proofErr w:type="spellStart"/>
            <w:r w:rsidRPr="00FF0C13">
              <w:rPr>
                <w:highlight w:val="yellow"/>
              </w:rPr>
              <w:lastRenderedPageBreak/>
              <w:t>Cann</w:t>
            </w:r>
            <w:proofErr w:type="spellEnd"/>
            <w:r w:rsidRPr="00FF0C13">
              <w:rPr>
                <w:highlight w:val="yellow"/>
              </w:rPr>
              <w:t xml:space="preserve">, </w:t>
            </w:r>
            <w:proofErr w:type="spellStart"/>
            <w:r w:rsidRPr="00FF0C13">
              <w:rPr>
                <w:highlight w:val="yellow"/>
              </w:rPr>
              <w:t>Falshaw</w:t>
            </w:r>
            <w:proofErr w:type="spellEnd"/>
            <w:r w:rsidRPr="00FF0C13">
              <w:rPr>
                <w:highlight w:val="yellow"/>
              </w:rPr>
              <w:t xml:space="preserve">, Nugent, </w:t>
            </w:r>
            <w:r w:rsidR="00342B81" w:rsidRPr="00FF0C13">
              <w:rPr>
                <w:highlight w:val="yellow"/>
              </w:rPr>
              <w:t>&amp; Friendship</w:t>
            </w:r>
            <w:r w:rsidRPr="00FF0C13">
              <w:rPr>
                <w:highlight w:val="yellow"/>
              </w:rPr>
              <w:t xml:space="preserve"> (2003).</w:t>
            </w:r>
            <w:r w:rsidRPr="00515BDD">
              <w:t xml:space="preserve"> </w:t>
            </w:r>
            <w:r w:rsidR="00435F71" w:rsidRPr="00515BDD">
              <w:rPr>
                <w:i/>
              </w:rPr>
              <w:t>Understanding what works: Accredited cognitive skills programmes for adult men and young offenders.</w:t>
            </w:r>
          </w:p>
        </w:tc>
        <w:tc>
          <w:tcPr>
            <w:tcW w:w="2409" w:type="dxa"/>
          </w:tcPr>
          <w:p w:rsidR="008B070C" w:rsidRDefault="001514D5" w:rsidP="001514D5">
            <w:r>
              <w:t>Two m</w:t>
            </w:r>
            <w:r w:rsidR="00BD109A">
              <w:t xml:space="preserve">atched </w:t>
            </w:r>
            <w:r>
              <w:t>comparison groups</w:t>
            </w:r>
          </w:p>
          <w:p w:rsidR="001514D5" w:rsidRDefault="001514D5" w:rsidP="001514D5">
            <w:r>
              <w:t>Control</w:t>
            </w:r>
          </w:p>
        </w:tc>
        <w:tc>
          <w:tcPr>
            <w:tcW w:w="3261" w:type="dxa"/>
          </w:tcPr>
          <w:p w:rsidR="008B070C" w:rsidRDefault="00BD109A" w:rsidP="00D961C9">
            <w:pPr>
              <w:pStyle w:val="ListParagraph"/>
              <w:numPr>
                <w:ilvl w:val="0"/>
                <w:numId w:val="5"/>
              </w:numPr>
            </w:pPr>
            <w:r>
              <w:t xml:space="preserve">U.K. </w:t>
            </w:r>
          </w:p>
          <w:p w:rsidR="00447AB0" w:rsidRDefault="00447AB0" w:rsidP="00D961C9">
            <w:pPr>
              <w:pStyle w:val="ListParagraph"/>
              <w:numPr>
                <w:ilvl w:val="0"/>
                <w:numId w:val="5"/>
              </w:numPr>
            </w:pPr>
            <w:r>
              <w:t xml:space="preserve">Adult offender sample </w:t>
            </w:r>
            <w:r>
              <w:rPr>
                <w:i/>
              </w:rPr>
              <w:t>n=</w:t>
            </w:r>
            <w:r>
              <w:t xml:space="preserve"> 2,195 males</w:t>
            </w:r>
            <w:r w:rsidR="001514D5">
              <w:t xml:space="preserve"> - aged 22 years or more at sentencing.</w:t>
            </w:r>
          </w:p>
          <w:p w:rsidR="00447AB0" w:rsidRDefault="00447AB0" w:rsidP="001514D5">
            <w:pPr>
              <w:pStyle w:val="ListParagraph"/>
              <w:numPr>
                <w:ilvl w:val="0"/>
                <w:numId w:val="5"/>
              </w:numPr>
            </w:pPr>
            <w:r>
              <w:t xml:space="preserve">Young offender sample </w:t>
            </w:r>
            <w:r>
              <w:rPr>
                <w:i/>
              </w:rPr>
              <w:t>n=</w:t>
            </w:r>
            <w:r>
              <w:t xml:space="preserve"> 1,534 </w:t>
            </w:r>
            <w:r w:rsidR="001514D5">
              <w:t xml:space="preserve">– aged 21 years or less at sentencing. </w:t>
            </w:r>
          </w:p>
        </w:tc>
        <w:tc>
          <w:tcPr>
            <w:tcW w:w="6269" w:type="dxa"/>
          </w:tcPr>
          <w:p w:rsidR="008B070C" w:rsidRDefault="00BD109A" w:rsidP="00611D51">
            <w:pPr>
              <w:pStyle w:val="ListParagraph"/>
              <w:numPr>
                <w:ilvl w:val="0"/>
                <w:numId w:val="5"/>
              </w:numPr>
            </w:pPr>
            <w:r>
              <w:t>There were no differences in the one and two year reconviction rates between adult men who started a prison-based cognitive skills programme and their matched comparison group (p. 1).</w:t>
            </w:r>
          </w:p>
          <w:p w:rsidR="00BD109A" w:rsidRDefault="00BD109A" w:rsidP="00611D51">
            <w:pPr>
              <w:pStyle w:val="ListParagraph"/>
              <w:numPr>
                <w:ilvl w:val="0"/>
                <w:numId w:val="5"/>
              </w:numPr>
            </w:pPr>
            <w:r>
              <w:t>There was no difference in the one and two year reconviction rate between young offenders who started a prison-based cognitive skills programme and their matched comparison group (p. 1).</w:t>
            </w:r>
          </w:p>
          <w:p w:rsidR="00BD109A" w:rsidRDefault="00BD109A" w:rsidP="00611D51">
            <w:pPr>
              <w:pStyle w:val="ListParagraph"/>
              <w:numPr>
                <w:ilvl w:val="0"/>
                <w:numId w:val="5"/>
              </w:numPr>
            </w:pPr>
            <w:r>
              <w:t>These results are in contrast to the first evaluation study of adult male programme participants, where a reduction in reconviction was shown, but are similar to the last evaluation which also showed no reduction in reconviction for programme participants (p. 1).</w:t>
            </w:r>
          </w:p>
          <w:p w:rsidR="00BD109A" w:rsidRDefault="00BD109A" w:rsidP="00611D51">
            <w:pPr>
              <w:pStyle w:val="ListParagraph"/>
              <w:numPr>
                <w:ilvl w:val="0"/>
                <w:numId w:val="5"/>
              </w:numPr>
            </w:pPr>
            <w:r>
              <w:t xml:space="preserve">When programme dropouts were excluded, however, the </w:t>
            </w:r>
            <w:r>
              <w:lastRenderedPageBreak/>
              <w:t>one year reconviction rate for both adult men and young offender programme completers was significantly lower than for the matched comparison groups. This represents a 2.5 percentage point difference in reconviction for the adult male programme completers (not seen in the last evaluation) and a 4.1 percentage point difference for the young offender programme completers</w:t>
            </w:r>
            <w:r w:rsidR="005362CD">
              <w:t xml:space="preserve"> (p. 1).</w:t>
            </w:r>
          </w:p>
          <w:p w:rsidR="00BD109A" w:rsidRDefault="00BD109A" w:rsidP="00611D51">
            <w:pPr>
              <w:pStyle w:val="ListParagraph"/>
              <w:numPr>
                <w:ilvl w:val="0"/>
                <w:numId w:val="5"/>
              </w:numPr>
            </w:pPr>
            <w:r>
              <w:t>These differences in reconviction at one year were not maintained at two years following release from prison (p. 1).</w:t>
            </w:r>
          </w:p>
        </w:tc>
      </w:tr>
      <w:tr w:rsidR="0066225C" w:rsidTr="00807CB8">
        <w:tc>
          <w:tcPr>
            <w:tcW w:w="2235" w:type="dxa"/>
          </w:tcPr>
          <w:p w:rsidR="0066225C" w:rsidRPr="00FE5C9D" w:rsidRDefault="0066225C" w:rsidP="000B54F9">
            <w:r w:rsidRPr="00FE5C9D">
              <w:lastRenderedPageBreak/>
              <w:t xml:space="preserve">Davidson, </w:t>
            </w:r>
            <w:proofErr w:type="spellStart"/>
            <w:r w:rsidRPr="00FE5C9D">
              <w:t>Tyrer</w:t>
            </w:r>
            <w:proofErr w:type="spellEnd"/>
            <w:r w:rsidRPr="00FE5C9D">
              <w:t>,</w:t>
            </w:r>
            <w:r>
              <w:t xml:space="preserve"> </w:t>
            </w:r>
            <w:r w:rsidRPr="00FE5C9D">
              <w:t>Tata,</w:t>
            </w:r>
            <w:r>
              <w:t xml:space="preserve"> </w:t>
            </w:r>
            <w:r w:rsidRPr="00FE5C9D">
              <w:t>Cooke,</w:t>
            </w:r>
            <w:r>
              <w:t xml:space="preserve"> </w:t>
            </w:r>
            <w:proofErr w:type="spellStart"/>
            <w:r w:rsidRPr="00FE5C9D">
              <w:t>Gumley</w:t>
            </w:r>
            <w:proofErr w:type="spellEnd"/>
            <w:r w:rsidRPr="00FE5C9D">
              <w:t>,</w:t>
            </w:r>
            <w:r>
              <w:t xml:space="preserve"> </w:t>
            </w:r>
            <w:r w:rsidRPr="00FE5C9D">
              <w:t>Ford</w:t>
            </w:r>
            <w:r w:rsidR="000B54F9">
              <w:t>,</w:t>
            </w:r>
            <w:r w:rsidRPr="00FE5C9D">
              <w:t xml:space="preserve"> Walker,</w:t>
            </w:r>
            <w:r>
              <w:t xml:space="preserve"> </w:t>
            </w:r>
            <w:proofErr w:type="spellStart"/>
            <w:r>
              <w:t>Bezlyak</w:t>
            </w:r>
            <w:proofErr w:type="spellEnd"/>
            <w:r w:rsidR="000B54F9">
              <w:t>,</w:t>
            </w:r>
            <w:r>
              <w:t xml:space="preserve"> </w:t>
            </w:r>
            <w:proofErr w:type="spellStart"/>
            <w:r>
              <w:t>Seivewright</w:t>
            </w:r>
            <w:proofErr w:type="spellEnd"/>
            <w:r>
              <w:t>, Robertson, &amp; Crawford</w:t>
            </w:r>
            <w:r w:rsidRPr="00FE5C9D">
              <w:t xml:space="preserve"> </w:t>
            </w:r>
            <w:r>
              <w:t>(</w:t>
            </w:r>
            <w:r w:rsidRPr="00FE5C9D">
              <w:t>2009</w:t>
            </w:r>
            <w:r w:rsidR="000B54F9">
              <w:t>).</w:t>
            </w:r>
            <w:r w:rsidR="00435F71">
              <w:t xml:space="preserve"> </w:t>
            </w:r>
            <w:r w:rsidR="00435F71" w:rsidRPr="00FE5C9D">
              <w:t xml:space="preserve">Cognitive </w:t>
            </w:r>
            <w:r w:rsidR="00435F71">
              <w:t>b</w:t>
            </w:r>
            <w:r w:rsidR="00435F71" w:rsidRPr="00FE5C9D">
              <w:t xml:space="preserve">ehaviour </w:t>
            </w:r>
            <w:r w:rsidR="00435F71">
              <w:t>t</w:t>
            </w:r>
            <w:r w:rsidR="00435F71" w:rsidRPr="00FE5C9D">
              <w:t xml:space="preserve">herapy for </w:t>
            </w:r>
            <w:r w:rsidR="00435F71">
              <w:t>v</w:t>
            </w:r>
            <w:r w:rsidR="00435F71" w:rsidRPr="00FE5C9D">
              <w:t xml:space="preserve">iolent </w:t>
            </w:r>
            <w:r w:rsidR="00435F71">
              <w:t>m</w:t>
            </w:r>
            <w:r w:rsidR="00435F71" w:rsidRPr="00FE5C9D">
              <w:t xml:space="preserve">en with </w:t>
            </w:r>
            <w:r w:rsidR="00435F71">
              <w:t>a</w:t>
            </w:r>
            <w:r w:rsidR="00435F71" w:rsidRPr="00FE5C9D">
              <w:t xml:space="preserve">ntisocial </w:t>
            </w:r>
            <w:r w:rsidR="00435F71">
              <w:t>p</w:t>
            </w:r>
            <w:r w:rsidR="00435F71" w:rsidRPr="00FE5C9D">
              <w:t xml:space="preserve">ersonality </w:t>
            </w:r>
            <w:r w:rsidR="00435F71">
              <w:t>d</w:t>
            </w:r>
            <w:r w:rsidR="00435F71" w:rsidRPr="00FE5C9D">
              <w:t xml:space="preserve">isorder in the </w:t>
            </w:r>
            <w:r w:rsidR="00435F71">
              <w:t>c</w:t>
            </w:r>
            <w:r w:rsidR="00435F71" w:rsidRPr="00FE5C9D">
              <w:t>ommunity:</w:t>
            </w:r>
            <w:r w:rsidR="00435F71">
              <w:t xml:space="preserve"> </w:t>
            </w:r>
            <w:r w:rsidR="00435F71" w:rsidRPr="00FE5C9D">
              <w:t xml:space="preserve">An </w:t>
            </w:r>
            <w:r w:rsidR="00435F71">
              <w:t>ex</w:t>
            </w:r>
            <w:r w:rsidR="00435F71" w:rsidRPr="00FE5C9D">
              <w:t xml:space="preserve">ploratory </w:t>
            </w:r>
            <w:r w:rsidR="00435F71">
              <w:t>r</w:t>
            </w:r>
            <w:r w:rsidR="00435F71" w:rsidRPr="00FE5C9D">
              <w:t xml:space="preserve">andomized </w:t>
            </w:r>
            <w:r w:rsidR="00435F71">
              <w:t>c</w:t>
            </w:r>
            <w:r w:rsidR="00435F71" w:rsidRPr="00FE5C9D">
              <w:t xml:space="preserve">ontrolled </w:t>
            </w:r>
            <w:r w:rsidR="00435F71">
              <w:t>t</w:t>
            </w:r>
            <w:r w:rsidR="00435F71" w:rsidRPr="00FE5C9D">
              <w:t>rial.</w:t>
            </w:r>
          </w:p>
        </w:tc>
        <w:tc>
          <w:tcPr>
            <w:tcW w:w="2409" w:type="dxa"/>
          </w:tcPr>
          <w:p w:rsidR="00611D51" w:rsidRDefault="00042D68" w:rsidP="000B76BA">
            <w:r>
              <w:t>Experimental</w:t>
            </w:r>
          </w:p>
          <w:p w:rsidR="002C2B8F" w:rsidRDefault="002C2B8F" w:rsidP="000B76BA">
            <w:r>
              <w:t xml:space="preserve">Randomized controlled trial. </w:t>
            </w:r>
          </w:p>
          <w:p w:rsidR="002C2B8F" w:rsidRDefault="002C2B8F" w:rsidP="000B76BA">
            <w:r>
              <w:t xml:space="preserve">Randomized to either treatment at usual (TAU) plus CBT, or usual treatment alone. </w:t>
            </w:r>
          </w:p>
          <w:p w:rsidR="002C2B8F" w:rsidRDefault="002C2B8F" w:rsidP="000B76BA">
            <w:r>
              <w:t>12 month follow up</w:t>
            </w:r>
          </w:p>
        </w:tc>
        <w:tc>
          <w:tcPr>
            <w:tcW w:w="3261" w:type="dxa"/>
          </w:tcPr>
          <w:p w:rsidR="00D961C9" w:rsidRDefault="000B76BA" w:rsidP="00D961C9">
            <w:pPr>
              <w:pStyle w:val="ListParagraph"/>
              <w:numPr>
                <w:ilvl w:val="0"/>
                <w:numId w:val="5"/>
              </w:numPr>
            </w:pPr>
            <w:r>
              <w:t>U.K.</w:t>
            </w:r>
          </w:p>
          <w:p w:rsidR="000B76BA" w:rsidRDefault="000B76BA" w:rsidP="00D961C9">
            <w:pPr>
              <w:pStyle w:val="ListParagraph"/>
              <w:numPr>
                <w:ilvl w:val="0"/>
                <w:numId w:val="5"/>
              </w:numPr>
            </w:pPr>
            <w:r>
              <w:t>5</w:t>
            </w:r>
            <w:r w:rsidR="002C2B8F">
              <w:t>2</w:t>
            </w:r>
            <w:r>
              <w:t xml:space="preserve"> </w:t>
            </w:r>
            <w:r w:rsidR="002C2B8F">
              <w:t xml:space="preserve">adult men </w:t>
            </w:r>
            <w:r>
              <w:t xml:space="preserve">participants </w:t>
            </w:r>
          </w:p>
          <w:p w:rsidR="002C2B8F" w:rsidRDefault="002C2B8F" w:rsidP="002C2B8F">
            <w:pPr>
              <w:pStyle w:val="ListParagraph"/>
              <w:numPr>
                <w:ilvl w:val="0"/>
                <w:numId w:val="5"/>
              </w:numPr>
            </w:pPr>
            <w:r>
              <w:t>A</w:t>
            </w:r>
            <w:r w:rsidR="00277A90">
              <w:t>verage age 38 years old</w:t>
            </w:r>
          </w:p>
          <w:p w:rsidR="0066225C" w:rsidRDefault="002C2B8F" w:rsidP="002C2B8F">
            <w:pPr>
              <w:pStyle w:val="ListParagraph"/>
              <w:numPr>
                <w:ilvl w:val="0"/>
                <w:numId w:val="5"/>
              </w:numPr>
            </w:pPr>
            <w:r>
              <w:t>67.3% white</w:t>
            </w:r>
          </w:p>
          <w:p w:rsidR="002C2B8F" w:rsidRDefault="002C2B8F" w:rsidP="002C2B8F">
            <w:pPr>
              <w:pStyle w:val="ListParagraph"/>
              <w:numPr>
                <w:ilvl w:val="0"/>
                <w:numId w:val="5"/>
              </w:numPr>
            </w:pPr>
            <w:r>
              <w:t>27 TAU, 25 CBT</w:t>
            </w:r>
          </w:p>
        </w:tc>
        <w:tc>
          <w:tcPr>
            <w:tcW w:w="6269" w:type="dxa"/>
          </w:tcPr>
          <w:p w:rsidR="00435F71" w:rsidRDefault="00611D51" w:rsidP="00435F71">
            <w:pPr>
              <w:pStyle w:val="ListParagraph"/>
              <w:numPr>
                <w:ilvl w:val="0"/>
                <w:numId w:val="5"/>
              </w:numPr>
            </w:pPr>
            <w:r>
              <w:t>At 12 months, both groups reported a decrease in the occurrence of any acts o</w:t>
            </w:r>
            <w:r w:rsidR="00435F71">
              <w:t>f verbal or physical aggression</w:t>
            </w:r>
          </w:p>
          <w:p w:rsidR="0066225C" w:rsidRDefault="00435F71" w:rsidP="00435F71">
            <w:pPr>
              <w:pStyle w:val="ListParagraph"/>
              <w:numPr>
                <w:ilvl w:val="0"/>
                <w:numId w:val="5"/>
              </w:numPr>
              <w:autoSpaceDE w:val="0"/>
              <w:autoSpaceDN w:val="0"/>
              <w:adjustRightInd w:val="0"/>
            </w:pPr>
            <w:r>
              <w:t>“</w:t>
            </w:r>
            <w:r w:rsidRPr="00435F71">
              <w:t>Numbers of participants reporting any act of verbal aggression reduced from 26 (96.30%) to 17 (80.95%) in the TAU group and from 25 (100%) to 17 (77.27%) in the CBT group. In terms of physical aggression, numbers of participants reporting any act of physical aggression decreased from 23 (85.10%) to eight (38.10%) in the TAU group and from 22 (88%) to seven (31.82%) in the CBT group</w:t>
            </w:r>
            <w:r>
              <w:t>” (p. 574)</w:t>
            </w:r>
            <w:r w:rsidRPr="00435F71">
              <w:rPr>
                <w:rFonts w:ascii="AdvpalSR" w:hAnsi="AdvpalSR" w:cs="AdvpalSR"/>
                <w:sz w:val="18"/>
                <w:szCs w:val="18"/>
              </w:rPr>
              <w:t>.</w:t>
            </w:r>
          </w:p>
          <w:p w:rsidR="00611D51" w:rsidRDefault="00611D51" w:rsidP="00435F71">
            <w:pPr>
              <w:pStyle w:val="ListParagraph"/>
              <w:numPr>
                <w:ilvl w:val="0"/>
                <w:numId w:val="5"/>
              </w:numPr>
            </w:pPr>
            <w:r>
              <w:t xml:space="preserve">CBT did not improve outcomes more than usual treatment for men with </w:t>
            </w:r>
            <w:r w:rsidR="00435F71">
              <w:t>antisocial personality disorder (</w:t>
            </w:r>
            <w:r>
              <w:t>ASPD</w:t>
            </w:r>
            <w:r w:rsidR="00435F71">
              <w:t>)</w:t>
            </w:r>
            <w:r>
              <w:t xml:space="preserve"> who </w:t>
            </w:r>
            <w:r w:rsidR="00435F71">
              <w:t>were</w:t>
            </w:r>
            <w:r>
              <w:t xml:space="preserve"> aggressive and living in the community</w:t>
            </w:r>
            <w:r w:rsidR="00435F71">
              <w:t>.</w:t>
            </w:r>
          </w:p>
        </w:tc>
      </w:tr>
      <w:tr w:rsidR="008B070C" w:rsidRPr="00D812CE" w:rsidTr="00807CB8">
        <w:tc>
          <w:tcPr>
            <w:tcW w:w="2235" w:type="dxa"/>
          </w:tcPr>
          <w:p w:rsidR="008B070C" w:rsidRPr="00D812CE" w:rsidRDefault="008B070C" w:rsidP="000B54F9">
            <w:proofErr w:type="spellStart"/>
            <w:r w:rsidRPr="00D812CE">
              <w:t>Falshaw</w:t>
            </w:r>
            <w:proofErr w:type="spellEnd"/>
            <w:r w:rsidRPr="00D812CE">
              <w:t xml:space="preserve">, Friendship, Travers, &amp; Nugent, </w:t>
            </w:r>
            <w:r w:rsidR="000B54F9" w:rsidRPr="00D812CE">
              <w:t>(2003).</w:t>
            </w:r>
            <w:r w:rsidR="00435F71">
              <w:t xml:space="preserve"> </w:t>
            </w:r>
            <w:r w:rsidR="00435F71" w:rsidRPr="00515BDD">
              <w:rPr>
                <w:i/>
              </w:rPr>
              <w:t>Searching for ‘what works’: An evaluation of cognitive skills programmes.</w:t>
            </w:r>
          </w:p>
        </w:tc>
        <w:tc>
          <w:tcPr>
            <w:tcW w:w="2409" w:type="dxa"/>
          </w:tcPr>
          <w:p w:rsidR="008B070C" w:rsidRDefault="00FF0C13" w:rsidP="008A1B82">
            <w:r>
              <w:t>Quasi-experiment</w:t>
            </w:r>
          </w:p>
          <w:p w:rsidR="00435F71" w:rsidRPr="00D812CE" w:rsidRDefault="00435F71" w:rsidP="008A1B82">
            <w:r>
              <w:t>Matched comparison group</w:t>
            </w:r>
          </w:p>
        </w:tc>
        <w:tc>
          <w:tcPr>
            <w:tcW w:w="3261" w:type="dxa"/>
          </w:tcPr>
          <w:p w:rsidR="008B070C" w:rsidRDefault="00D812CE" w:rsidP="00BD3700">
            <w:pPr>
              <w:pStyle w:val="ListParagraph"/>
              <w:numPr>
                <w:ilvl w:val="0"/>
                <w:numId w:val="6"/>
              </w:numPr>
            </w:pPr>
            <w:r>
              <w:t xml:space="preserve">U.K. </w:t>
            </w:r>
          </w:p>
          <w:p w:rsidR="00D812CE" w:rsidRDefault="00734DB1" w:rsidP="00BD3700">
            <w:pPr>
              <w:pStyle w:val="ListParagraph"/>
              <w:numPr>
                <w:ilvl w:val="0"/>
                <w:numId w:val="6"/>
              </w:numPr>
            </w:pPr>
            <w:r>
              <w:t>649 adult male offenders.</w:t>
            </w:r>
          </w:p>
          <w:p w:rsidR="00D812CE" w:rsidRPr="00D812CE" w:rsidRDefault="00D812CE" w:rsidP="00734DB1">
            <w:pPr>
              <w:pStyle w:val="ListParagraph"/>
              <w:numPr>
                <w:ilvl w:val="0"/>
                <w:numId w:val="6"/>
              </w:numPr>
            </w:pPr>
            <w:r>
              <w:t>Comparison group 1,947 males who did not participate</w:t>
            </w:r>
            <w:r w:rsidR="00734DB1">
              <w:t>.</w:t>
            </w:r>
          </w:p>
        </w:tc>
        <w:tc>
          <w:tcPr>
            <w:tcW w:w="6269" w:type="dxa"/>
          </w:tcPr>
          <w:p w:rsidR="008B070C" w:rsidRPr="00D812CE" w:rsidRDefault="00435F71" w:rsidP="00BD3700">
            <w:pPr>
              <w:pStyle w:val="ListParagraph"/>
              <w:numPr>
                <w:ilvl w:val="0"/>
                <w:numId w:val="6"/>
              </w:numPr>
            </w:pPr>
            <w:r>
              <w:t>“</w:t>
            </w:r>
            <w:r w:rsidR="0069719B">
              <w:t xml:space="preserve">Found no differences in the two-year reconviction rates for prisoners who had participated in a cognitive skills programme </w:t>
            </w:r>
            <w:proofErr w:type="gramStart"/>
            <w:r w:rsidR="0069719B">
              <w:t>between 1996-1998</w:t>
            </w:r>
            <w:proofErr w:type="gramEnd"/>
            <w:r w:rsidR="0069719B">
              <w:t xml:space="preserve"> and a matched comparison group. This contrasts with the reduction in reconviction shown in the previous evaluation of cognitive skills programmes for prisoners, delivered </w:t>
            </w:r>
            <w:proofErr w:type="gramStart"/>
            <w:r w:rsidR="0069719B">
              <w:t>between 1992-1996</w:t>
            </w:r>
            <w:proofErr w:type="gramEnd"/>
            <w:r>
              <w:t>”</w:t>
            </w:r>
            <w:r w:rsidR="0069719B">
              <w:t xml:space="preserve"> (p. 1).</w:t>
            </w:r>
          </w:p>
        </w:tc>
      </w:tr>
      <w:tr w:rsidR="008B070C" w:rsidTr="00807CB8">
        <w:tc>
          <w:tcPr>
            <w:tcW w:w="2235" w:type="dxa"/>
          </w:tcPr>
          <w:p w:rsidR="008B070C" w:rsidRPr="00FE5C9D" w:rsidRDefault="008B070C" w:rsidP="00B71CD0">
            <w:r w:rsidRPr="00515BDD">
              <w:lastRenderedPageBreak/>
              <w:t xml:space="preserve">Golden (2002). </w:t>
            </w:r>
            <w:r w:rsidR="003A5BE7" w:rsidRPr="00515BDD">
              <w:rPr>
                <w:i/>
              </w:rPr>
              <w:t xml:space="preserve">Evaluation of the efficacy of a cognitive </w:t>
            </w:r>
            <w:proofErr w:type="spellStart"/>
            <w:r w:rsidR="003A5BE7" w:rsidRPr="00515BDD">
              <w:rPr>
                <w:i/>
              </w:rPr>
              <w:t>behavioral</w:t>
            </w:r>
            <w:proofErr w:type="spellEnd"/>
            <w:r w:rsidR="003A5BE7" w:rsidRPr="00515BDD">
              <w:rPr>
                <w:i/>
              </w:rPr>
              <w:t xml:space="preserve"> program for offenders on probation: Thinking for a change.</w:t>
            </w:r>
          </w:p>
        </w:tc>
        <w:tc>
          <w:tcPr>
            <w:tcW w:w="2409" w:type="dxa"/>
          </w:tcPr>
          <w:p w:rsidR="00E420C6" w:rsidRDefault="00FF0C13" w:rsidP="004D0D56">
            <w:r>
              <w:t>Quasi-experiment</w:t>
            </w:r>
          </w:p>
          <w:p w:rsidR="003A5BE7" w:rsidRDefault="003A5BE7" w:rsidP="004D0D56">
            <w:r>
              <w:t>Matched comparison group</w:t>
            </w:r>
          </w:p>
          <w:p w:rsidR="003A5BE7" w:rsidRDefault="003A5BE7" w:rsidP="003A5BE7">
            <w:r>
              <w:t>Three month to one year follow up</w:t>
            </w:r>
          </w:p>
        </w:tc>
        <w:tc>
          <w:tcPr>
            <w:tcW w:w="3261" w:type="dxa"/>
          </w:tcPr>
          <w:p w:rsidR="008B070C" w:rsidRDefault="00D4618C" w:rsidP="00BD3700">
            <w:pPr>
              <w:pStyle w:val="ListParagraph"/>
              <w:numPr>
                <w:ilvl w:val="0"/>
                <w:numId w:val="6"/>
              </w:numPr>
            </w:pPr>
            <w:r>
              <w:t>U.S.</w:t>
            </w:r>
            <w:r w:rsidR="000B76BA">
              <w:t>A.</w:t>
            </w:r>
          </w:p>
          <w:p w:rsidR="00E3440E" w:rsidRDefault="00D4618C" w:rsidP="00BD3700">
            <w:pPr>
              <w:pStyle w:val="ListParagraph"/>
              <w:numPr>
                <w:ilvl w:val="0"/>
                <w:numId w:val="6"/>
              </w:numPr>
            </w:pPr>
            <w:r>
              <w:t>100 males and 42 females</w:t>
            </w:r>
            <w:r w:rsidR="00E420C6">
              <w:t xml:space="preserve"> – 71 experimental and 71 comparison</w:t>
            </w:r>
            <w:r w:rsidR="00E3440E">
              <w:t>.</w:t>
            </w:r>
          </w:p>
          <w:p w:rsidR="003A5BE7" w:rsidRDefault="003A5BE7" w:rsidP="003A5BE7">
            <w:pPr>
              <w:pStyle w:val="ListParagraph"/>
              <w:numPr>
                <w:ilvl w:val="0"/>
                <w:numId w:val="6"/>
              </w:numPr>
            </w:pPr>
            <w:r>
              <w:t>Over 18 years old, a</w:t>
            </w:r>
            <w:r w:rsidR="00E3440E">
              <w:t>verage age 27 years</w:t>
            </w:r>
            <w:r>
              <w:t>.</w:t>
            </w:r>
          </w:p>
          <w:p w:rsidR="00D4618C" w:rsidRDefault="00E3440E" w:rsidP="003A5BE7">
            <w:pPr>
              <w:pStyle w:val="ListParagraph"/>
              <w:numPr>
                <w:ilvl w:val="0"/>
                <w:numId w:val="6"/>
              </w:numPr>
            </w:pPr>
            <w:r>
              <w:t>50% African American/Black, 33.1% Caucasian, 13.4% Hispanic/Latino, 2.1% Asian, 0.7% Native American, 0.7% Black Indian</w:t>
            </w:r>
            <w:r w:rsidR="00734DB1">
              <w:t>.</w:t>
            </w:r>
          </w:p>
        </w:tc>
        <w:tc>
          <w:tcPr>
            <w:tcW w:w="6269" w:type="dxa"/>
          </w:tcPr>
          <w:p w:rsidR="003A5BE7" w:rsidRPr="003A5BE7" w:rsidRDefault="003A5BE7" w:rsidP="003A5BE7">
            <w:pPr>
              <w:pStyle w:val="ListParagraph"/>
              <w:numPr>
                <w:ilvl w:val="0"/>
                <w:numId w:val="6"/>
              </w:numPr>
              <w:autoSpaceDE w:val="0"/>
              <w:autoSpaceDN w:val="0"/>
              <w:adjustRightInd w:val="0"/>
              <w:rPr>
                <w:rFonts w:ascii="TimesNewRoman" w:hAnsi="TimesNewRoman" w:cs="TimesNewRoman"/>
              </w:rPr>
            </w:pPr>
            <w:r>
              <w:rPr>
                <w:rFonts w:ascii="TimesNewRoman" w:hAnsi="TimesNewRoman" w:cs="TimesNewRoman"/>
              </w:rPr>
              <w:t>“</w:t>
            </w:r>
            <w:r w:rsidRPr="003A5BE7">
              <w:rPr>
                <w:rFonts w:ascii="TimesNewRoman" w:hAnsi="TimesNewRoman" w:cs="TimesNewRoman"/>
              </w:rPr>
              <w:t>With n = 120, the trend</w:t>
            </w:r>
            <w:r>
              <w:rPr>
                <w:rFonts w:ascii="TimesNewRoman" w:hAnsi="TimesNewRoman" w:cs="TimesNewRoman"/>
              </w:rPr>
              <w:t xml:space="preserve"> </w:t>
            </w:r>
            <w:r w:rsidRPr="003A5BE7">
              <w:rPr>
                <w:rFonts w:ascii="TimesNewRoman" w:hAnsi="TimesNewRoman" w:cs="TimesNewRoman"/>
              </w:rPr>
              <w:t>appears to be that group completers re-offend less frequently than their untreated</w:t>
            </w:r>
            <w:r>
              <w:rPr>
                <w:rFonts w:ascii="TimesNewRoman" w:hAnsi="TimesNewRoman" w:cs="TimesNewRoman"/>
              </w:rPr>
              <w:t xml:space="preserve"> </w:t>
            </w:r>
            <w:r w:rsidRPr="003A5BE7">
              <w:rPr>
                <w:rFonts w:ascii="TimesNewRoman" w:hAnsi="TimesNewRoman" w:cs="TimesNewRoman"/>
              </w:rPr>
              <w:t>counterparts, with a 6.8% difference, or 33% reduction in new offenses between group completers and comparison subjects</w:t>
            </w:r>
            <w:r>
              <w:rPr>
                <w:rFonts w:ascii="TimesNewRoman" w:hAnsi="TimesNewRoman" w:cs="TimesNewRoman"/>
              </w:rPr>
              <w:t>” (p. 72)</w:t>
            </w:r>
            <w:r w:rsidRPr="003A5BE7">
              <w:rPr>
                <w:rFonts w:ascii="TimesNewRoman" w:hAnsi="TimesNewRoman" w:cs="TimesNewRoman"/>
              </w:rPr>
              <w:t>.</w:t>
            </w:r>
          </w:p>
          <w:p w:rsidR="009B5B55" w:rsidRPr="009B5B55" w:rsidRDefault="009B5B55" w:rsidP="009B5B55">
            <w:pPr>
              <w:pStyle w:val="ListParagraph"/>
              <w:numPr>
                <w:ilvl w:val="0"/>
                <w:numId w:val="6"/>
              </w:numPr>
              <w:autoSpaceDE w:val="0"/>
              <w:autoSpaceDN w:val="0"/>
              <w:adjustRightInd w:val="0"/>
            </w:pPr>
            <w:r>
              <w:rPr>
                <w:rFonts w:ascii="TimesNewRoman" w:hAnsi="TimesNewRoman" w:cs="TimesNewRoman"/>
              </w:rPr>
              <w:t>“Recidivism rate for t</w:t>
            </w:r>
            <w:r w:rsidRPr="009B5B55">
              <w:rPr>
                <w:rFonts w:ascii="TimesNewRoman" w:hAnsi="TimesNewRoman" w:cs="TimesNewRoman"/>
              </w:rPr>
              <w:t xml:space="preserve">echnical violations </w:t>
            </w:r>
            <w:r>
              <w:rPr>
                <w:rFonts w:ascii="TimesNewRoman" w:hAnsi="TimesNewRoman" w:cs="TimesNewRoman"/>
              </w:rPr>
              <w:t xml:space="preserve">was </w:t>
            </w:r>
            <w:r w:rsidR="003A5BE7" w:rsidRPr="009B5B55">
              <w:rPr>
                <w:rFonts w:ascii="TimesNewRoman" w:hAnsi="TimesNewRoman" w:cs="TimesNewRoman"/>
              </w:rPr>
              <w:t>42.1% for group</w:t>
            </w:r>
            <w:r w:rsidRPr="009B5B55">
              <w:rPr>
                <w:rFonts w:ascii="TimesNewRoman" w:hAnsi="TimesNewRoman" w:cs="TimesNewRoman"/>
              </w:rPr>
              <w:t xml:space="preserve"> </w:t>
            </w:r>
            <w:r w:rsidR="003A5BE7" w:rsidRPr="009B5B55">
              <w:rPr>
                <w:rFonts w:ascii="TimesNewRoman" w:hAnsi="TimesNewRoman" w:cs="TimesNewRoman"/>
              </w:rPr>
              <w:t>completers (16 violators), 77.3% for dropouts (17 violators), and 45% for the comparison</w:t>
            </w:r>
            <w:r w:rsidRPr="009B5B55">
              <w:rPr>
                <w:rFonts w:ascii="TimesNewRoman" w:hAnsi="TimesNewRoman" w:cs="TimesNewRoman"/>
              </w:rPr>
              <w:t xml:space="preserve"> </w:t>
            </w:r>
            <w:r w:rsidR="003A5BE7" w:rsidRPr="009B5B55">
              <w:rPr>
                <w:rFonts w:ascii="TimesNewRoman" w:hAnsi="TimesNewRoman" w:cs="TimesNewRoman"/>
              </w:rPr>
              <w:t>group (27 violators)</w:t>
            </w:r>
            <w:r>
              <w:rPr>
                <w:rFonts w:ascii="TimesNewRoman" w:hAnsi="TimesNewRoman" w:cs="TimesNewRoman"/>
              </w:rPr>
              <w:t>. T</w:t>
            </w:r>
            <w:r w:rsidR="003A5BE7" w:rsidRPr="009B5B55">
              <w:rPr>
                <w:rFonts w:ascii="TimesNewRoman" w:hAnsi="TimesNewRoman" w:cs="TimesNewRoman"/>
              </w:rPr>
              <w:t>here was a</w:t>
            </w:r>
            <w:r w:rsidRPr="009B5B55">
              <w:rPr>
                <w:rFonts w:ascii="TimesNewRoman" w:hAnsi="TimesNewRoman" w:cs="TimesNewRoman"/>
              </w:rPr>
              <w:t xml:space="preserve"> </w:t>
            </w:r>
            <w:r w:rsidR="003A5BE7" w:rsidRPr="009B5B55">
              <w:rPr>
                <w:rFonts w:ascii="TimesNewRoman" w:hAnsi="TimesNewRoman" w:cs="TimesNewRoman"/>
              </w:rPr>
              <w:t xml:space="preserve">significant difference among groups, </w:t>
            </w:r>
            <w:r w:rsidRPr="00661345">
              <w:t>χ</w:t>
            </w:r>
            <w:r w:rsidRPr="009B5B55">
              <w:rPr>
                <w:vertAlign w:val="superscript"/>
              </w:rPr>
              <w:t>2</w:t>
            </w:r>
            <w:r w:rsidR="003A5BE7" w:rsidRPr="009B5B55">
              <w:rPr>
                <w:rFonts w:ascii="TimesNewRoman" w:hAnsi="TimesNewRoman" w:cs="TimesNewRoman"/>
              </w:rPr>
              <w:t xml:space="preserve">= (2, </w:t>
            </w:r>
            <w:r>
              <w:rPr>
                <w:rFonts w:ascii="TimesNewRoman" w:hAnsi="TimesNewRoman" w:cs="TimesNewRoman"/>
                <w:i/>
              </w:rPr>
              <w:t>n</w:t>
            </w:r>
            <w:r w:rsidR="003A5BE7" w:rsidRPr="009B5B55">
              <w:rPr>
                <w:rFonts w:ascii="TimesNewRoman" w:hAnsi="TimesNewRoman" w:cs="TimesNewRoman"/>
              </w:rPr>
              <w:t xml:space="preserve"> = 120) = 8.09, </w:t>
            </w:r>
            <w:r w:rsidR="003A5BE7" w:rsidRPr="009B5B55">
              <w:rPr>
                <w:rFonts w:ascii="TimesNewRoman" w:hAnsi="TimesNewRoman" w:cs="TimesNewRoman"/>
                <w:i/>
              </w:rPr>
              <w:t>p</w:t>
            </w:r>
            <w:r w:rsidR="003A5BE7" w:rsidRPr="009B5B55">
              <w:rPr>
                <w:rFonts w:ascii="TimesNewRoman" w:hAnsi="TimesNewRoman" w:cs="TimesNewRoman"/>
              </w:rPr>
              <w:t xml:space="preserve"> = .017, with group</w:t>
            </w:r>
            <w:r w:rsidRPr="009B5B55">
              <w:rPr>
                <w:rFonts w:ascii="TimesNewRoman" w:hAnsi="TimesNewRoman" w:cs="TimesNewRoman"/>
              </w:rPr>
              <w:t xml:space="preserve"> </w:t>
            </w:r>
            <w:r w:rsidR="003A5BE7" w:rsidRPr="009B5B55">
              <w:rPr>
                <w:rFonts w:ascii="TimesNewRoman" w:hAnsi="TimesNewRoman" w:cs="TimesNewRoman"/>
              </w:rPr>
              <w:t>dropouts receiving technical violations at a significantly higher rate than either group</w:t>
            </w:r>
            <w:r w:rsidRPr="009B5B55">
              <w:rPr>
                <w:rFonts w:ascii="TimesNewRoman" w:hAnsi="TimesNewRoman" w:cs="TimesNewRoman"/>
              </w:rPr>
              <w:t xml:space="preserve"> </w:t>
            </w:r>
            <w:r w:rsidR="003A5BE7" w:rsidRPr="009B5B55">
              <w:rPr>
                <w:rFonts w:ascii="TimesNewRoman" w:hAnsi="TimesNewRoman" w:cs="TimesNewRoman"/>
              </w:rPr>
              <w:t>completers or comparisons, and no differences observed between completer and</w:t>
            </w:r>
            <w:r w:rsidRPr="009B5B55">
              <w:rPr>
                <w:rFonts w:ascii="TimesNewRoman" w:hAnsi="TimesNewRoman" w:cs="TimesNewRoman"/>
              </w:rPr>
              <w:t xml:space="preserve"> </w:t>
            </w:r>
            <w:r w:rsidR="003A5BE7" w:rsidRPr="009B5B55">
              <w:rPr>
                <w:rFonts w:ascii="TimesNewRoman" w:hAnsi="TimesNewRoman" w:cs="TimesNewRoman"/>
              </w:rPr>
              <w:t>comparison groups</w:t>
            </w:r>
            <w:r>
              <w:rPr>
                <w:rFonts w:ascii="TimesNewRoman" w:hAnsi="TimesNewRoman" w:cs="TimesNewRoman"/>
              </w:rPr>
              <w:t xml:space="preserve">” (p. 74). </w:t>
            </w:r>
          </w:p>
          <w:p w:rsidR="003A5BE7" w:rsidRPr="009B5B55" w:rsidRDefault="003A5BE7" w:rsidP="009B5B55">
            <w:pPr>
              <w:pStyle w:val="ListParagraph"/>
              <w:numPr>
                <w:ilvl w:val="0"/>
                <w:numId w:val="6"/>
              </w:numPr>
              <w:autoSpaceDE w:val="0"/>
              <w:autoSpaceDN w:val="0"/>
              <w:adjustRightInd w:val="0"/>
            </w:pPr>
            <w:r>
              <w:t>“</w:t>
            </w:r>
            <w:r w:rsidR="00D4618C">
              <w:t xml:space="preserve">Group dropouts </w:t>
            </w:r>
            <w:r w:rsidR="009B5B55">
              <w:t>were 4.7 times more likely to receive a</w:t>
            </w:r>
            <w:r w:rsidR="00D4618C">
              <w:t xml:space="preserve"> technical violations that the completers or comparison groups</w:t>
            </w:r>
            <w:r w:rsidR="009B5B55">
              <w:t xml:space="preserve"> </w:t>
            </w:r>
            <w:r w:rsidR="009B5B55" w:rsidRPr="00661345">
              <w:t>χ</w:t>
            </w:r>
            <w:r w:rsidR="009B5B55" w:rsidRPr="009B5B55">
              <w:rPr>
                <w:vertAlign w:val="superscript"/>
              </w:rPr>
              <w:t>2</w:t>
            </w:r>
            <w:r w:rsidR="009B5B55">
              <w:rPr>
                <w:vertAlign w:val="superscript"/>
              </w:rPr>
              <w:t xml:space="preserve"> </w:t>
            </w:r>
            <w:r w:rsidR="009B5B55">
              <w:t>(1</w:t>
            </w:r>
            <w:r w:rsidR="009B5B55" w:rsidRPr="009B5B55">
              <w:rPr>
                <w:rFonts w:ascii="TimesNewRoman" w:hAnsi="TimesNewRoman" w:cs="TimesNewRoman"/>
              </w:rPr>
              <w:t xml:space="preserve">, </w:t>
            </w:r>
            <w:r w:rsidR="009B5B55">
              <w:rPr>
                <w:rFonts w:ascii="TimesNewRoman" w:hAnsi="TimesNewRoman" w:cs="TimesNewRoman"/>
                <w:i/>
              </w:rPr>
              <w:t>n</w:t>
            </w:r>
            <w:r w:rsidR="009B5B55" w:rsidRPr="009B5B55">
              <w:rPr>
                <w:rFonts w:ascii="TimesNewRoman" w:hAnsi="TimesNewRoman" w:cs="TimesNewRoman"/>
              </w:rPr>
              <w:t xml:space="preserve">= 120) = 5.20, </w:t>
            </w:r>
            <w:r w:rsidR="009B5B55" w:rsidRPr="009B5B55">
              <w:rPr>
                <w:rFonts w:ascii="TimesNewRoman" w:hAnsi="TimesNewRoman" w:cs="TimesNewRoman"/>
                <w:i/>
              </w:rPr>
              <w:t>p</w:t>
            </w:r>
            <w:r w:rsidR="009B5B55" w:rsidRPr="009B5B55">
              <w:rPr>
                <w:rFonts w:ascii="TimesNewRoman" w:hAnsi="TimesNewRoman" w:cs="TimesNewRoman"/>
              </w:rPr>
              <w:t xml:space="preserve"> = .023</w:t>
            </w:r>
            <w:r w:rsidR="009B5B55">
              <w:t>” (p. 75).</w:t>
            </w:r>
            <w:r w:rsidR="00D4618C">
              <w:t xml:space="preserve"> </w:t>
            </w:r>
            <w:r w:rsidR="009B5B55">
              <w:t>“</w:t>
            </w:r>
            <w:r w:rsidR="00D4618C">
              <w:t xml:space="preserve">Being a group dropout, being classified as ‘high risk,’ and having poorer interpersonal problem solving </w:t>
            </w:r>
            <w:r w:rsidR="00E420C6">
              <w:t>skills were all pred</w:t>
            </w:r>
            <w:r>
              <w:t>ictive of technical violations” (pp. 11-12).</w:t>
            </w:r>
          </w:p>
          <w:p w:rsidR="008B070C" w:rsidRDefault="003A5BE7" w:rsidP="003A5BE7">
            <w:pPr>
              <w:pStyle w:val="ListParagraph"/>
              <w:numPr>
                <w:ilvl w:val="0"/>
                <w:numId w:val="6"/>
              </w:numPr>
            </w:pPr>
            <w:r>
              <w:t>“</w:t>
            </w:r>
            <w:r w:rsidR="00E420C6">
              <w:t>Study provides encouragement for cognitive behaviour group treatment for offenders, as positive change was found for social and problem solving skills, and a trend toward reduced criminal activity was observed</w:t>
            </w:r>
            <w:r w:rsidR="00435F71">
              <w:t>”</w:t>
            </w:r>
            <w:r w:rsidR="00E420C6">
              <w:t xml:space="preserve"> (pp. 11-12).</w:t>
            </w:r>
            <w:r w:rsidR="00D4618C">
              <w:t xml:space="preserve"> </w:t>
            </w:r>
          </w:p>
        </w:tc>
      </w:tr>
      <w:tr w:rsidR="008B070C" w:rsidTr="00807CB8">
        <w:tc>
          <w:tcPr>
            <w:tcW w:w="2235" w:type="dxa"/>
          </w:tcPr>
          <w:p w:rsidR="008B070C" w:rsidRPr="00FE5C9D" w:rsidRDefault="008B070C" w:rsidP="00B71CD0">
            <w:proofErr w:type="spellStart"/>
            <w:r w:rsidRPr="00515BDD">
              <w:t>Hamil-Luker</w:t>
            </w:r>
            <w:proofErr w:type="spellEnd"/>
            <w:r w:rsidRPr="00515BDD">
              <w:t xml:space="preserve">, Land, &amp; </w:t>
            </w:r>
            <w:proofErr w:type="spellStart"/>
            <w:r w:rsidRPr="00515BDD">
              <w:t>Blau</w:t>
            </w:r>
            <w:proofErr w:type="spellEnd"/>
            <w:r w:rsidRPr="00515BDD">
              <w:t xml:space="preserve"> (2003). </w:t>
            </w:r>
            <w:r w:rsidR="009B5B55" w:rsidRPr="00515BDD">
              <w:t xml:space="preserve">Diverse trajectories of cocaine use through early adulthood among rebellious and </w:t>
            </w:r>
            <w:r w:rsidR="009B5B55" w:rsidRPr="00515BDD">
              <w:lastRenderedPageBreak/>
              <w:t>socially conforming youth</w:t>
            </w:r>
            <w:r w:rsidR="009B5B55">
              <w:t>.</w:t>
            </w:r>
          </w:p>
        </w:tc>
        <w:tc>
          <w:tcPr>
            <w:tcW w:w="2409" w:type="dxa"/>
          </w:tcPr>
          <w:p w:rsidR="008B070C" w:rsidRDefault="003A5BE7" w:rsidP="008A1B82">
            <w:r>
              <w:lastRenderedPageBreak/>
              <w:t>Quasi-experiment</w:t>
            </w:r>
          </w:p>
          <w:p w:rsidR="009B5B55" w:rsidRDefault="009B5B55" w:rsidP="008A1B82">
            <w:r>
              <w:t xml:space="preserve">Longitudinal survey – 18 year follow up </w:t>
            </w:r>
          </w:p>
        </w:tc>
        <w:tc>
          <w:tcPr>
            <w:tcW w:w="3261" w:type="dxa"/>
          </w:tcPr>
          <w:p w:rsidR="008B070C" w:rsidRDefault="000B76BA" w:rsidP="00BD3700">
            <w:pPr>
              <w:pStyle w:val="ListParagraph"/>
              <w:numPr>
                <w:ilvl w:val="0"/>
                <w:numId w:val="6"/>
              </w:numPr>
            </w:pPr>
            <w:r>
              <w:t>U.S.A.</w:t>
            </w:r>
          </w:p>
          <w:p w:rsidR="00BC012B" w:rsidRDefault="00BC012B" w:rsidP="00BD3700">
            <w:pPr>
              <w:pStyle w:val="ListParagraph"/>
              <w:numPr>
                <w:ilvl w:val="0"/>
                <w:numId w:val="6"/>
              </w:numPr>
            </w:pPr>
            <w:r>
              <w:t>National Longitudinal Survey of Youth 1979.</w:t>
            </w:r>
          </w:p>
          <w:p w:rsidR="00BC012B" w:rsidRDefault="00BC012B" w:rsidP="00BD3700">
            <w:pPr>
              <w:pStyle w:val="ListParagraph"/>
              <w:numPr>
                <w:ilvl w:val="0"/>
                <w:numId w:val="6"/>
              </w:numPr>
            </w:pPr>
            <w:r>
              <w:t>National sample of youth age</w:t>
            </w:r>
            <w:r w:rsidR="009B5B55">
              <w:t>d</w:t>
            </w:r>
            <w:r>
              <w:t xml:space="preserve"> 14-16 in 1979</w:t>
            </w:r>
            <w:r w:rsidR="00734DB1">
              <w:t xml:space="preserve">, </w:t>
            </w:r>
            <w:r>
              <w:t>group followed up between 1984 and 1998.</w:t>
            </w:r>
          </w:p>
          <w:p w:rsidR="00BC012B" w:rsidRDefault="00BC012B" w:rsidP="009B5B55">
            <w:pPr>
              <w:pStyle w:val="ListParagraph"/>
              <w:numPr>
                <w:ilvl w:val="0"/>
                <w:numId w:val="6"/>
              </w:numPr>
            </w:pPr>
            <w:r>
              <w:rPr>
                <w:i/>
              </w:rPr>
              <w:lastRenderedPageBreak/>
              <w:t>n=</w:t>
            </w:r>
            <w:r>
              <w:t xml:space="preserve"> </w:t>
            </w:r>
            <w:r w:rsidR="009B5B55">
              <w:t>2,509</w:t>
            </w:r>
            <w:r w:rsidR="00734DB1">
              <w:t>.</w:t>
            </w:r>
          </w:p>
        </w:tc>
        <w:tc>
          <w:tcPr>
            <w:tcW w:w="6269" w:type="dxa"/>
          </w:tcPr>
          <w:p w:rsidR="008B070C" w:rsidRDefault="00BC012B" w:rsidP="00BC012B">
            <w:pPr>
              <w:pStyle w:val="ListParagraph"/>
              <w:numPr>
                <w:ilvl w:val="0"/>
                <w:numId w:val="6"/>
              </w:numPr>
            </w:pPr>
            <w:r>
              <w:lastRenderedPageBreak/>
              <w:t>In support of a life-course perspective, found that social ties to schools, families, religion, and the labour market help differentiate youth who refrain from, maintain, or desist from using cocaine through early adulthood (p. 300).</w:t>
            </w:r>
          </w:p>
          <w:p w:rsidR="009B5B55" w:rsidRDefault="00A05C37" w:rsidP="00BC012B">
            <w:pPr>
              <w:pStyle w:val="ListParagraph"/>
              <w:numPr>
                <w:ilvl w:val="0"/>
                <w:numId w:val="6"/>
              </w:numPr>
            </w:pPr>
            <w:r w:rsidRPr="00A05C37">
              <w:rPr>
                <w:highlight w:val="yellow"/>
              </w:rPr>
              <w:t>Return to results</w:t>
            </w:r>
          </w:p>
        </w:tc>
      </w:tr>
      <w:tr w:rsidR="008B070C" w:rsidTr="00807CB8">
        <w:tc>
          <w:tcPr>
            <w:tcW w:w="2235" w:type="dxa"/>
          </w:tcPr>
          <w:p w:rsidR="008B070C" w:rsidRPr="00FE5C9D" w:rsidRDefault="008B070C" w:rsidP="0066507D">
            <w:proofErr w:type="spellStart"/>
            <w:r w:rsidRPr="0066507D">
              <w:lastRenderedPageBreak/>
              <w:t>Hollin</w:t>
            </w:r>
            <w:proofErr w:type="spellEnd"/>
            <w:r w:rsidRPr="0066507D">
              <w:t xml:space="preserve">, McGuire, </w:t>
            </w:r>
            <w:proofErr w:type="spellStart"/>
            <w:r w:rsidRPr="0066507D">
              <w:t>Hounsome</w:t>
            </w:r>
            <w:proofErr w:type="spellEnd"/>
            <w:r w:rsidRPr="0066507D">
              <w:t>, Hatcher, Bilby, &amp; Palmer (2008).</w:t>
            </w:r>
            <w:r w:rsidRPr="00515BDD">
              <w:t xml:space="preserve"> </w:t>
            </w:r>
            <w:r w:rsidR="00A05C37" w:rsidRPr="00515BDD">
              <w:t xml:space="preserve">Cognitive skills </w:t>
            </w:r>
            <w:proofErr w:type="spellStart"/>
            <w:r w:rsidR="00A05C37" w:rsidRPr="00515BDD">
              <w:t>behavior</w:t>
            </w:r>
            <w:proofErr w:type="spellEnd"/>
            <w:r w:rsidR="00A05C37" w:rsidRPr="00515BDD">
              <w:t xml:space="preserve"> programs for offenders in the community: A reconviction analysis.</w:t>
            </w:r>
          </w:p>
        </w:tc>
        <w:tc>
          <w:tcPr>
            <w:tcW w:w="2409" w:type="dxa"/>
          </w:tcPr>
          <w:p w:rsidR="00A05C37" w:rsidRDefault="00A05C37" w:rsidP="004D0D56">
            <w:r>
              <w:t>Quasi-experiment</w:t>
            </w:r>
          </w:p>
          <w:p w:rsidR="008B070C" w:rsidRDefault="00A05C37" w:rsidP="004D0D56">
            <w:r>
              <w:t>Controlled for population factors</w:t>
            </w:r>
            <w:r w:rsidR="00A36B88">
              <w:t xml:space="preserve"> </w:t>
            </w:r>
          </w:p>
          <w:p w:rsidR="00A05C37" w:rsidRDefault="00A05C37" w:rsidP="004D0D56">
            <w:r>
              <w:t>Comparison group</w:t>
            </w:r>
          </w:p>
        </w:tc>
        <w:tc>
          <w:tcPr>
            <w:tcW w:w="3261" w:type="dxa"/>
          </w:tcPr>
          <w:p w:rsidR="008B070C" w:rsidRDefault="00A36B88" w:rsidP="00BD3700">
            <w:pPr>
              <w:pStyle w:val="ListParagraph"/>
              <w:numPr>
                <w:ilvl w:val="0"/>
                <w:numId w:val="6"/>
              </w:numPr>
            </w:pPr>
            <w:r>
              <w:t xml:space="preserve">U.K. </w:t>
            </w:r>
          </w:p>
          <w:p w:rsidR="00A36B88" w:rsidRDefault="00A36B88" w:rsidP="00BD3700">
            <w:pPr>
              <w:pStyle w:val="ListParagraph"/>
              <w:numPr>
                <w:ilvl w:val="0"/>
                <w:numId w:val="6"/>
              </w:numPr>
            </w:pPr>
            <w:r>
              <w:rPr>
                <w:i/>
              </w:rPr>
              <w:t>n=</w:t>
            </w:r>
            <w:r>
              <w:t xml:space="preserve"> 2,186 male offenders, comparison group </w:t>
            </w:r>
            <w:r>
              <w:rPr>
                <w:i/>
              </w:rPr>
              <w:t>n=</w:t>
            </w:r>
            <w:r w:rsidR="00734DB1">
              <w:t xml:space="preserve"> 2,749.</w:t>
            </w:r>
          </w:p>
          <w:p w:rsidR="00A36B88" w:rsidRDefault="00FC172D" w:rsidP="00734DB1">
            <w:pPr>
              <w:pStyle w:val="ListParagraph"/>
              <w:numPr>
                <w:ilvl w:val="0"/>
                <w:numId w:val="6"/>
              </w:numPr>
            </w:pPr>
            <w:r>
              <w:t>M</w:t>
            </w:r>
            <w:r w:rsidR="00A36B88">
              <w:t>ean of 28.23 years</w:t>
            </w:r>
            <w:r w:rsidR="00A05C37">
              <w:t xml:space="preserve">, aged ranged from 16 to 83 years. </w:t>
            </w:r>
          </w:p>
        </w:tc>
        <w:tc>
          <w:tcPr>
            <w:tcW w:w="6269" w:type="dxa"/>
          </w:tcPr>
          <w:p w:rsidR="00A05C37" w:rsidRDefault="00A05C37" w:rsidP="00BD3700">
            <w:pPr>
              <w:pStyle w:val="ListParagraph"/>
              <w:numPr>
                <w:ilvl w:val="0"/>
                <w:numId w:val="6"/>
              </w:numPr>
            </w:pPr>
            <w:r>
              <w:t xml:space="preserve">Three offending behaviour programs Reasoning and Rehabilitation (R&amp;R), Enhanced Thinking Skills (ETS), and Think First. </w:t>
            </w:r>
          </w:p>
          <w:p w:rsidR="00EC0241" w:rsidRPr="00EC0241" w:rsidRDefault="00A05C37" w:rsidP="00A05C37">
            <w:pPr>
              <w:pStyle w:val="ListParagraph"/>
              <w:numPr>
                <w:ilvl w:val="0"/>
                <w:numId w:val="6"/>
              </w:numPr>
            </w:pPr>
            <w:r>
              <w:t>“</w:t>
            </w:r>
            <w:r w:rsidR="00A36B88">
              <w:t xml:space="preserve">There was no difference in the reconviction rates of offenders allocated to programs and </w:t>
            </w:r>
            <w:r w:rsidR="00EC0241">
              <w:t xml:space="preserve">comparison group” (p. 270). </w:t>
            </w:r>
            <w:r w:rsidR="00EC0241" w:rsidRPr="00661345">
              <w:t>χ</w:t>
            </w:r>
            <w:r w:rsidR="00EC0241" w:rsidRPr="009B5B55">
              <w:rPr>
                <w:vertAlign w:val="superscript"/>
              </w:rPr>
              <w:t>2</w:t>
            </w:r>
            <w:r w:rsidR="00EC0241">
              <w:rPr>
                <w:rFonts w:ascii="Times-Roman" w:hAnsi="Times-Roman" w:cs="Times-Roman"/>
                <w:sz w:val="22"/>
                <w:szCs w:val="22"/>
              </w:rPr>
              <w:t xml:space="preserve"> </w:t>
            </w:r>
            <w:r w:rsidRPr="00DB4B43">
              <w:t xml:space="preserve">(1, </w:t>
            </w:r>
            <w:r w:rsidR="00EC0241" w:rsidRPr="00DB4B43">
              <w:rPr>
                <w:i/>
              </w:rPr>
              <w:t>n</w:t>
            </w:r>
            <w:r w:rsidRPr="00DB4B43">
              <w:t xml:space="preserve"> = 4,935) = 1.78, </w:t>
            </w:r>
            <w:r w:rsidRPr="00DB4B43">
              <w:rPr>
                <w:i/>
              </w:rPr>
              <w:t>p</w:t>
            </w:r>
            <w:r w:rsidRPr="00DB4B43">
              <w:t xml:space="preserve"> = </w:t>
            </w:r>
            <w:proofErr w:type="spellStart"/>
            <w:r w:rsidRPr="00DB4B43">
              <w:t>n.s</w:t>
            </w:r>
            <w:proofErr w:type="spellEnd"/>
            <w:r w:rsidRPr="00DB4B43">
              <w:t>.</w:t>
            </w:r>
            <w:r w:rsidR="00EC0241" w:rsidRPr="00DB4B43">
              <w:t xml:space="preserve"> (p. 274).</w:t>
            </w:r>
          </w:p>
          <w:p w:rsidR="008B070C" w:rsidRDefault="00EC0241" w:rsidP="00EC0241">
            <w:pPr>
              <w:pStyle w:val="ListParagraph"/>
              <w:numPr>
                <w:ilvl w:val="0"/>
                <w:numId w:val="6"/>
              </w:numPr>
            </w:pPr>
            <w:r>
              <w:t>“</w:t>
            </w:r>
            <w:r w:rsidR="00A36B88">
              <w:t xml:space="preserve">Offenders who completed a program had a lower rate of reconviction compared to the nonstarter, </w:t>
            </w:r>
            <w:proofErr w:type="spellStart"/>
            <w:r w:rsidR="00A36B88">
              <w:t>noncompleter</w:t>
            </w:r>
            <w:proofErr w:type="spellEnd"/>
            <w:r w:rsidR="00A36B88">
              <w:t>, and comparison groups</w:t>
            </w:r>
            <w:r w:rsidR="00A05C37">
              <w:t>”</w:t>
            </w:r>
            <w:r w:rsidR="00A36B88">
              <w:t xml:space="preserve"> (p. 270)</w:t>
            </w:r>
            <w:r>
              <w:t xml:space="preserve"> </w:t>
            </w:r>
            <w:r w:rsidRPr="00661345">
              <w:t>χ</w:t>
            </w:r>
            <w:r w:rsidRPr="009B5B55">
              <w:rPr>
                <w:vertAlign w:val="superscript"/>
              </w:rPr>
              <w:t>2</w:t>
            </w:r>
            <w:r>
              <w:rPr>
                <w:rFonts w:ascii="Times-Roman" w:hAnsi="Times-Roman" w:cs="Times-Roman"/>
                <w:sz w:val="22"/>
                <w:szCs w:val="22"/>
              </w:rPr>
              <w:t xml:space="preserve"> </w:t>
            </w:r>
            <w:r w:rsidRPr="00DB4B43">
              <w:t xml:space="preserve">(3, </w:t>
            </w:r>
            <w:r w:rsidRPr="00DB4B43">
              <w:rPr>
                <w:i/>
                <w:iCs/>
              </w:rPr>
              <w:t xml:space="preserve">n </w:t>
            </w:r>
            <w:r w:rsidRPr="00DB4B43">
              <w:t xml:space="preserve">= 3,365) = 14.68, </w:t>
            </w:r>
            <w:r w:rsidRPr="00DB4B43">
              <w:rPr>
                <w:i/>
                <w:iCs/>
              </w:rPr>
              <w:t xml:space="preserve">p </w:t>
            </w:r>
            <w:r w:rsidRPr="00DB4B43">
              <w:t>&lt; .001 (p. 276).</w:t>
            </w:r>
          </w:p>
        </w:tc>
      </w:tr>
      <w:tr w:rsidR="008B070C" w:rsidTr="00807CB8">
        <w:tc>
          <w:tcPr>
            <w:tcW w:w="2235" w:type="dxa"/>
          </w:tcPr>
          <w:p w:rsidR="008B070C" w:rsidRPr="00FE5C9D" w:rsidRDefault="008B070C" w:rsidP="0066507D">
            <w:proofErr w:type="spellStart"/>
            <w:r w:rsidRPr="001E53E4">
              <w:rPr>
                <w:highlight w:val="yellow"/>
              </w:rPr>
              <w:t>Hussong</w:t>
            </w:r>
            <w:proofErr w:type="spellEnd"/>
            <w:r w:rsidRPr="001E53E4">
              <w:rPr>
                <w:highlight w:val="yellow"/>
              </w:rPr>
              <w:t xml:space="preserve">, Curran, Moffitt, </w:t>
            </w:r>
            <w:proofErr w:type="spellStart"/>
            <w:r w:rsidRPr="001E53E4">
              <w:rPr>
                <w:highlight w:val="yellow"/>
              </w:rPr>
              <w:t>Caspi</w:t>
            </w:r>
            <w:proofErr w:type="spellEnd"/>
            <w:r w:rsidRPr="001E53E4">
              <w:rPr>
                <w:highlight w:val="yellow"/>
              </w:rPr>
              <w:t xml:space="preserve">, &amp; </w:t>
            </w:r>
            <w:proofErr w:type="spellStart"/>
            <w:r w:rsidRPr="001E53E4">
              <w:rPr>
                <w:highlight w:val="yellow"/>
              </w:rPr>
              <w:t>Carrig</w:t>
            </w:r>
            <w:r w:rsidR="0066507D" w:rsidRPr="001E53E4">
              <w:rPr>
                <w:highlight w:val="yellow"/>
              </w:rPr>
              <w:t>n</w:t>
            </w:r>
            <w:proofErr w:type="spellEnd"/>
            <w:r w:rsidRPr="001E53E4">
              <w:rPr>
                <w:highlight w:val="yellow"/>
              </w:rPr>
              <w:t xml:space="preserve"> (2004). </w:t>
            </w:r>
            <w:r w:rsidR="00C12745" w:rsidRPr="001E53E4">
              <w:rPr>
                <w:highlight w:val="yellow"/>
              </w:rPr>
              <w:t xml:space="preserve">Substance abuse hinders desistance in young adults’ antisocial </w:t>
            </w:r>
            <w:proofErr w:type="spellStart"/>
            <w:r w:rsidR="00C12745" w:rsidRPr="001E53E4">
              <w:rPr>
                <w:highlight w:val="yellow"/>
              </w:rPr>
              <w:t>behavior</w:t>
            </w:r>
            <w:proofErr w:type="spellEnd"/>
            <w:r w:rsidR="00C12745" w:rsidRPr="00515BDD">
              <w:t>.</w:t>
            </w:r>
          </w:p>
        </w:tc>
        <w:tc>
          <w:tcPr>
            <w:tcW w:w="2409" w:type="dxa"/>
          </w:tcPr>
          <w:p w:rsidR="008B070C" w:rsidRDefault="00DB4B43" w:rsidP="008A1B82">
            <w:r>
              <w:t xml:space="preserve">Non-experimental </w:t>
            </w:r>
          </w:p>
          <w:p w:rsidR="00DB4B43" w:rsidRDefault="00DB4B43" w:rsidP="008A1B82"/>
        </w:tc>
        <w:tc>
          <w:tcPr>
            <w:tcW w:w="3261" w:type="dxa"/>
          </w:tcPr>
          <w:p w:rsidR="00A36B88" w:rsidRDefault="000B76BA" w:rsidP="00A36B88">
            <w:pPr>
              <w:pStyle w:val="ListParagraph"/>
              <w:numPr>
                <w:ilvl w:val="0"/>
                <w:numId w:val="6"/>
              </w:numPr>
            </w:pPr>
            <w:r>
              <w:t>New Zealand</w:t>
            </w:r>
          </w:p>
          <w:p w:rsidR="00167D42" w:rsidRDefault="00167D42" w:rsidP="00A36B88">
            <w:pPr>
              <w:pStyle w:val="ListParagraph"/>
              <w:numPr>
                <w:ilvl w:val="0"/>
                <w:numId w:val="6"/>
              </w:numPr>
            </w:pPr>
            <w:r>
              <w:t>Dunedin Multidisciplinary Health and Development Study</w:t>
            </w:r>
          </w:p>
          <w:p w:rsidR="00A36B88" w:rsidRDefault="00A36B88" w:rsidP="00DB4B43">
            <w:pPr>
              <w:pStyle w:val="ListParagraph"/>
              <w:numPr>
                <w:ilvl w:val="0"/>
                <w:numId w:val="6"/>
              </w:numPr>
            </w:pPr>
            <w:r>
              <w:rPr>
                <w:i/>
              </w:rPr>
              <w:t>n=</w:t>
            </w:r>
            <w:r>
              <w:t xml:space="preserve"> 461 men</w:t>
            </w:r>
            <w:r w:rsidR="00F57251">
              <w:t xml:space="preserve"> </w:t>
            </w:r>
            <w:r w:rsidR="00DB4B43">
              <w:t xml:space="preserve">accessed at </w:t>
            </w:r>
            <w:r w:rsidR="00F57251">
              <w:t>age 18</w:t>
            </w:r>
            <w:r w:rsidR="00DB4B43">
              <w:t>, 21 and 26</w:t>
            </w:r>
            <w:r w:rsidR="00734DB1">
              <w:t>.</w:t>
            </w:r>
          </w:p>
        </w:tc>
        <w:tc>
          <w:tcPr>
            <w:tcW w:w="6269" w:type="dxa"/>
          </w:tcPr>
          <w:p w:rsidR="00C12745" w:rsidRPr="001E53E4" w:rsidRDefault="00C12745" w:rsidP="001E53E4">
            <w:pPr>
              <w:pStyle w:val="ListParagraph"/>
              <w:numPr>
                <w:ilvl w:val="0"/>
                <w:numId w:val="6"/>
              </w:numPr>
              <w:autoSpaceDE w:val="0"/>
              <w:autoSpaceDN w:val="0"/>
              <w:adjustRightInd w:val="0"/>
            </w:pPr>
          </w:p>
        </w:tc>
      </w:tr>
      <w:tr w:rsidR="008B070C" w:rsidTr="00807CB8">
        <w:tc>
          <w:tcPr>
            <w:tcW w:w="2235" w:type="dxa"/>
          </w:tcPr>
          <w:p w:rsidR="008B070C" w:rsidRPr="00FE5C9D" w:rsidRDefault="008B070C" w:rsidP="0066507D">
            <w:r w:rsidRPr="00515BDD">
              <w:t xml:space="preserve">McGuire, Bilby, Hatcher, </w:t>
            </w:r>
            <w:proofErr w:type="spellStart"/>
            <w:r w:rsidRPr="00515BDD">
              <w:t>Hollin</w:t>
            </w:r>
            <w:proofErr w:type="spellEnd"/>
            <w:r w:rsidRPr="00515BDD">
              <w:t xml:space="preserve">, </w:t>
            </w:r>
            <w:proofErr w:type="spellStart"/>
            <w:r w:rsidRPr="00515BDD">
              <w:t>Hounsome</w:t>
            </w:r>
            <w:proofErr w:type="spellEnd"/>
            <w:r w:rsidRPr="00515BDD">
              <w:t>, &amp; Palmer</w:t>
            </w:r>
            <w:r w:rsidR="0066507D">
              <w:t xml:space="preserve"> (2008).</w:t>
            </w:r>
            <w:r w:rsidR="009A6B70" w:rsidRPr="00515BDD">
              <w:t xml:space="preserve"> Evaluation of structured cognitive-behavioural treatment programmes in reducing criminal recidivism.</w:t>
            </w:r>
          </w:p>
        </w:tc>
        <w:tc>
          <w:tcPr>
            <w:tcW w:w="2409" w:type="dxa"/>
          </w:tcPr>
          <w:p w:rsidR="008B070C" w:rsidRDefault="0028759A" w:rsidP="0028759A">
            <w:r>
              <w:t>Quasi-experimental</w:t>
            </w:r>
          </w:p>
          <w:p w:rsidR="009A6B70" w:rsidRDefault="009A6B70" w:rsidP="0028759A">
            <w:r>
              <w:t>17 month follow up</w:t>
            </w:r>
          </w:p>
          <w:p w:rsidR="009A6B70" w:rsidRDefault="009A6B70" w:rsidP="0028759A">
            <w:r>
              <w:t>Comparison group and control sample</w:t>
            </w:r>
          </w:p>
        </w:tc>
        <w:tc>
          <w:tcPr>
            <w:tcW w:w="3261" w:type="dxa"/>
          </w:tcPr>
          <w:p w:rsidR="008B070C" w:rsidRDefault="007A0A3E" w:rsidP="00BD3700">
            <w:pPr>
              <w:pStyle w:val="ListParagraph"/>
              <w:numPr>
                <w:ilvl w:val="0"/>
                <w:numId w:val="6"/>
              </w:numPr>
            </w:pPr>
            <w:r>
              <w:t xml:space="preserve">U.K. </w:t>
            </w:r>
          </w:p>
          <w:p w:rsidR="0011689D" w:rsidRDefault="00192FD8" w:rsidP="00BD3700">
            <w:pPr>
              <w:pStyle w:val="ListParagraph"/>
              <w:numPr>
                <w:ilvl w:val="0"/>
                <w:numId w:val="6"/>
              </w:numPr>
            </w:pPr>
            <w:r>
              <w:t>929 male offenders (735 experimental group and 194 comparison group)</w:t>
            </w:r>
          </w:p>
          <w:p w:rsidR="009A6B70" w:rsidRDefault="009A6B70" w:rsidP="00BD3700">
            <w:pPr>
              <w:pStyle w:val="ListParagraph"/>
              <w:numPr>
                <w:ilvl w:val="0"/>
                <w:numId w:val="6"/>
              </w:numPr>
            </w:pPr>
            <w:r>
              <w:t>Completed program (</w:t>
            </w:r>
            <w:r>
              <w:rPr>
                <w:i/>
              </w:rPr>
              <w:t>n=</w:t>
            </w:r>
            <w:r>
              <w:t>215), non-completion program (</w:t>
            </w:r>
            <w:r>
              <w:rPr>
                <w:i/>
              </w:rPr>
              <w:t>n=</w:t>
            </w:r>
            <w:r>
              <w:t>181), group allocated to programmes but not commenced (</w:t>
            </w:r>
            <w:r>
              <w:rPr>
                <w:i/>
              </w:rPr>
              <w:t>n=</w:t>
            </w:r>
            <w:r>
              <w:t>339) and control (</w:t>
            </w:r>
            <w:r>
              <w:rPr>
                <w:i/>
              </w:rPr>
              <w:t>n</w:t>
            </w:r>
            <w:r>
              <w:t>=194).</w:t>
            </w:r>
          </w:p>
          <w:p w:rsidR="00192FD8" w:rsidRDefault="0011689D" w:rsidP="00734DB1">
            <w:pPr>
              <w:pStyle w:val="ListParagraph"/>
              <w:numPr>
                <w:ilvl w:val="0"/>
                <w:numId w:val="6"/>
              </w:numPr>
            </w:pPr>
            <w:r>
              <w:t>M</w:t>
            </w:r>
            <w:r w:rsidR="00192FD8">
              <w:t>ean age 26.87 years, white 84.6%, African-</w:t>
            </w:r>
            <w:r w:rsidR="00192FD8">
              <w:lastRenderedPageBreak/>
              <w:t>Caribbean 6.9%, Asian 2.2%</w:t>
            </w:r>
            <w:r w:rsidR="00734DB1">
              <w:t>, other 3.7%, missing data 2.6%.</w:t>
            </w:r>
          </w:p>
        </w:tc>
        <w:tc>
          <w:tcPr>
            <w:tcW w:w="6269" w:type="dxa"/>
          </w:tcPr>
          <w:p w:rsidR="002D3C98" w:rsidRDefault="00192FD8" w:rsidP="002D3C98">
            <w:pPr>
              <w:pStyle w:val="ListParagraph"/>
              <w:numPr>
                <w:ilvl w:val="0"/>
                <w:numId w:val="6"/>
              </w:numPr>
            </w:pPr>
            <w:r>
              <w:lastRenderedPageBreak/>
              <w:t>Results suggested a possible treatment effect for moderate and higher-risk cases (p. 21).</w:t>
            </w:r>
          </w:p>
          <w:p w:rsidR="002D3C98" w:rsidRPr="002D3C98" w:rsidRDefault="002D3C98" w:rsidP="00605EC1">
            <w:pPr>
              <w:pStyle w:val="ListParagraph"/>
              <w:numPr>
                <w:ilvl w:val="0"/>
                <w:numId w:val="6"/>
              </w:numPr>
            </w:pPr>
            <w:r w:rsidRPr="002D3C98">
              <w:rPr>
                <w:color w:val="141314"/>
              </w:rPr>
              <w:t>“Pairwise comparisons showed that, when the key variables were controlled statistically, offenders in the completers group were significantly less likely to be re-convicted than were offenders in the comparison group [</w:t>
            </w:r>
            <w:r w:rsidRPr="002D3C98">
              <w:t>χ</w:t>
            </w:r>
            <w:r w:rsidRPr="002D3C98">
              <w:rPr>
                <w:vertAlign w:val="superscript"/>
              </w:rPr>
              <w:t>2</w:t>
            </w:r>
            <w:r w:rsidRPr="002D3C98">
              <w:rPr>
                <w:color w:val="141314"/>
              </w:rPr>
              <w:t xml:space="preserve"> (1, n=409) = 4.46, </w:t>
            </w:r>
            <w:r w:rsidRPr="002D3C98">
              <w:rPr>
                <w:i/>
                <w:color w:val="141314"/>
              </w:rPr>
              <w:t>p</w:t>
            </w:r>
            <w:r w:rsidRPr="002D3C98">
              <w:rPr>
                <w:color w:val="141314"/>
              </w:rPr>
              <w:t>&lt;0.05], the non-completers group [</w:t>
            </w:r>
            <w:r w:rsidRPr="002D3C98">
              <w:t>χ</w:t>
            </w:r>
            <w:r w:rsidRPr="002D3C98">
              <w:rPr>
                <w:vertAlign w:val="superscript"/>
              </w:rPr>
              <w:t>2</w:t>
            </w:r>
            <w:r w:rsidRPr="002D3C98">
              <w:rPr>
                <w:color w:val="141314"/>
              </w:rPr>
              <w:t xml:space="preserve"> (1, n=396) = 26.92, </w:t>
            </w:r>
            <w:r w:rsidRPr="002D3C98">
              <w:rPr>
                <w:i/>
                <w:color w:val="141314"/>
              </w:rPr>
              <w:t>p</w:t>
            </w:r>
            <w:r w:rsidRPr="002D3C98">
              <w:rPr>
                <w:color w:val="141314"/>
              </w:rPr>
              <w:t>&lt;0.001], and the non-starters Group [</w:t>
            </w:r>
            <w:r w:rsidRPr="002D3C98">
              <w:t>χ</w:t>
            </w:r>
            <w:r w:rsidRPr="002D3C98">
              <w:rPr>
                <w:vertAlign w:val="superscript"/>
              </w:rPr>
              <w:t>2</w:t>
            </w:r>
            <w:r w:rsidRPr="002D3C98">
              <w:rPr>
                <w:color w:val="141314"/>
              </w:rPr>
              <w:t xml:space="preserve"> (1, n=554) = 33.30, </w:t>
            </w:r>
            <w:r w:rsidRPr="002D3C98">
              <w:rPr>
                <w:i/>
                <w:color w:val="141314"/>
              </w:rPr>
              <w:t>p</w:t>
            </w:r>
            <w:r w:rsidRPr="002D3C98">
              <w:rPr>
                <w:color w:val="141314"/>
              </w:rPr>
              <w:t xml:space="preserve">&lt;0.001]”. </w:t>
            </w:r>
            <w:r w:rsidR="00605EC1">
              <w:rPr>
                <w:color w:val="141314"/>
              </w:rPr>
              <w:t xml:space="preserve">Shown in as well in </w:t>
            </w:r>
            <w:proofErr w:type="spellStart"/>
            <w:r w:rsidR="00605EC1">
              <w:rPr>
                <w:color w:val="141314"/>
              </w:rPr>
              <w:t>u</w:t>
            </w:r>
            <w:r w:rsidRPr="002D3C98">
              <w:rPr>
                <w:color w:val="141314"/>
              </w:rPr>
              <w:t>nivariate</w:t>
            </w:r>
            <w:proofErr w:type="spellEnd"/>
            <w:r w:rsidRPr="002D3C98">
              <w:rPr>
                <w:color w:val="141314"/>
              </w:rPr>
              <w:t xml:space="preserve"> analysis [</w:t>
            </w:r>
            <w:r w:rsidRPr="002D3C98">
              <w:t>χ</w:t>
            </w:r>
            <w:r w:rsidRPr="002D3C98">
              <w:rPr>
                <w:vertAlign w:val="superscript"/>
              </w:rPr>
              <w:t>2</w:t>
            </w:r>
            <w:r w:rsidRPr="002D3C98">
              <w:rPr>
                <w:color w:val="141314"/>
              </w:rPr>
              <w:t xml:space="preserve"> (3, n=925) = 55.58, </w:t>
            </w:r>
            <w:r w:rsidRPr="002D3C98">
              <w:rPr>
                <w:i/>
                <w:color w:val="141314"/>
              </w:rPr>
              <w:t>p</w:t>
            </w:r>
            <w:r w:rsidRPr="002D3C98">
              <w:rPr>
                <w:color w:val="141314"/>
              </w:rPr>
              <w:t>&lt;0.001]. (p. 31).</w:t>
            </w:r>
          </w:p>
        </w:tc>
      </w:tr>
      <w:tr w:rsidR="0028759A" w:rsidTr="00807CB8">
        <w:tc>
          <w:tcPr>
            <w:tcW w:w="2235" w:type="dxa"/>
          </w:tcPr>
          <w:p w:rsidR="00454D92" w:rsidRPr="00FE5C9D" w:rsidRDefault="0028759A" w:rsidP="00454D92">
            <w:r w:rsidRPr="00515BDD">
              <w:lastRenderedPageBreak/>
              <w:t>Prendergast, Huang</w:t>
            </w:r>
            <w:r>
              <w:t xml:space="preserve">, </w:t>
            </w:r>
            <w:r w:rsidRPr="00515BDD">
              <w:t xml:space="preserve">&amp; </w:t>
            </w:r>
            <w:proofErr w:type="spellStart"/>
            <w:r w:rsidRPr="00515BDD">
              <w:t>Hser</w:t>
            </w:r>
            <w:proofErr w:type="spellEnd"/>
            <w:r>
              <w:t xml:space="preserve"> (2008).</w:t>
            </w:r>
            <w:r w:rsidR="00454D92">
              <w:t xml:space="preserve"> </w:t>
            </w:r>
            <w:r w:rsidR="00454D92" w:rsidRPr="00515BDD">
              <w:t xml:space="preserve">Patterns of crime and drug use trajectories in relation to treatment initiative and five-year outcomes: An application of growth mixture </w:t>
            </w:r>
            <w:proofErr w:type="spellStart"/>
            <w:r w:rsidR="00454D92" w:rsidRPr="00515BDD">
              <w:t>modeling</w:t>
            </w:r>
            <w:proofErr w:type="spellEnd"/>
            <w:r w:rsidR="00454D92" w:rsidRPr="00515BDD">
              <w:t xml:space="preserve"> across three datasets.</w:t>
            </w:r>
          </w:p>
        </w:tc>
        <w:tc>
          <w:tcPr>
            <w:tcW w:w="2409" w:type="dxa"/>
          </w:tcPr>
          <w:p w:rsidR="0028759A" w:rsidRDefault="003C6A47" w:rsidP="008C4E2B">
            <w:r>
              <w:t xml:space="preserve">Quasi-experimental </w:t>
            </w:r>
          </w:p>
          <w:p w:rsidR="008C4E2B" w:rsidRDefault="008C4E2B" w:rsidP="008C4E2B">
            <w:pPr>
              <w:pStyle w:val="ListParagraph"/>
              <w:numPr>
                <w:ilvl w:val="0"/>
                <w:numId w:val="69"/>
              </w:numPr>
            </w:pPr>
            <w:r>
              <w:t>Randomised, control group, 5 year follow up</w:t>
            </w:r>
          </w:p>
          <w:p w:rsidR="008C4E2B" w:rsidRDefault="008C4E2B" w:rsidP="008C4E2B">
            <w:pPr>
              <w:pStyle w:val="ListParagraph"/>
              <w:numPr>
                <w:ilvl w:val="0"/>
                <w:numId w:val="69"/>
              </w:numPr>
            </w:pPr>
            <w:r>
              <w:t>Follow up</w:t>
            </w:r>
          </w:p>
          <w:p w:rsidR="008C4E2B" w:rsidRDefault="008C4E2B" w:rsidP="008C4E2B">
            <w:pPr>
              <w:pStyle w:val="ListParagraph"/>
              <w:numPr>
                <w:ilvl w:val="0"/>
                <w:numId w:val="69"/>
              </w:numPr>
            </w:pPr>
            <w:r>
              <w:t>Randomized</w:t>
            </w:r>
          </w:p>
        </w:tc>
        <w:tc>
          <w:tcPr>
            <w:tcW w:w="3261" w:type="dxa"/>
          </w:tcPr>
          <w:p w:rsidR="0028759A" w:rsidRPr="00CB3B10" w:rsidRDefault="0028759A" w:rsidP="001D2C92">
            <w:pPr>
              <w:pStyle w:val="ListParagraph"/>
              <w:numPr>
                <w:ilvl w:val="0"/>
                <w:numId w:val="6"/>
              </w:numPr>
            </w:pPr>
            <w:r w:rsidRPr="00CB3B10">
              <w:t>U.S.</w:t>
            </w:r>
            <w:r w:rsidR="00194977" w:rsidRPr="00CB3B10">
              <w:t>A.</w:t>
            </w:r>
            <w:r w:rsidRPr="00CB3B10">
              <w:t xml:space="preserve"> </w:t>
            </w:r>
          </w:p>
          <w:p w:rsidR="00454D92" w:rsidRPr="00CB3B10" w:rsidRDefault="00454D92" w:rsidP="001D2C92">
            <w:pPr>
              <w:pStyle w:val="ListParagraph"/>
              <w:numPr>
                <w:ilvl w:val="0"/>
                <w:numId w:val="6"/>
              </w:numPr>
            </w:pPr>
            <w:r w:rsidRPr="00CB3B10">
              <w:t xml:space="preserve">Three sample groups which were combined: </w:t>
            </w:r>
          </w:p>
          <w:p w:rsidR="00454D92" w:rsidRPr="00CB3B10" w:rsidRDefault="008C4E2B" w:rsidP="001D2C92">
            <w:pPr>
              <w:pStyle w:val="ListParagraph"/>
              <w:numPr>
                <w:ilvl w:val="0"/>
                <w:numId w:val="6"/>
              </w:numPr>
            </w:pPr>
            <w:r w:rsidRPr="00CB3B10">
              <w:t xml:space="preserve">Amity Study: </w:t>
            </w:r>
            <w:r w:rsidR="00454D92" w:rsidRPr="00CB3B10">
              <w:t>5 year follow up, randomized to prison treatment program (</w:t>
            </w:r>
            <w:r w:rsidR="00454D92" w:rsidRPr="00CB3B10">
              <w:rPr>
                <w:i/>
              </w:rPr>
              <w:t>n=</w:t>
            </w:r>
            <w:r w:rsidR="00454D92" w:rsidRPr="00CB3B10">
              <w:t>425) or to no treatment (</w:t>
            </w:r>
            <w:r w:rsidR="00454D92" w:rsidRPr="00CB3B10">
              <w:rPr>
                <w:i/>
              </w:rPr>
              <w:t>n=</w:t>
            </w:r>
            <w:r w:rsidR="00454D92" w:rsidRPr="00CB3B10">
              <w:t xml:space="preserve">290), 80% of original sample interviewed </w:t>
            </w:r>
            <w:r w:rsidR="00454D92" w:rsidRPr="00CB3B10">
              <w:rPr>
                <w:i/>
              </w:rPr>
              <w:t>n=</w:t>
            </w:r>
            <w:r w:rsidR="00454D92" w:rsidRPr="00CB3B10">
              <w:t>448, all men</w:t>
            </w:r>
          </w:p>
          <w:p w:rsidR="00454D92" w:rsidRPr="00CB3B10" w:rsidRDefault="008C4E2B" w:rsidP="001D2C92">
            <w:pPr>
              <w:pStyle w:val="ListParagraph"/>
              <w:numPr>
                <w:ilvl w:val="0"/>
                <w:numId w:val="6"/>
              </w:numPr>
            </w:pPr>
            <w:r w:rsidRPr="00CB3B10">
              <w:t xml:space="preserve">TUE study: </w:t>
            </w:r>
            <w:r w:rsidR="00454D92" w:rsidRPr="00CB3B10">
              <w:t>1,800 drug users, at second follow up with 566 subjects. Male subjects from second follow up who reported having participated in treatment (</w:t>
            </w:r>
            <w:r w:rsidR="00454D92" w:rsidRPr="00CB3B10">
              <w:rPr>
                <w:i/>
              </w:rPr>
              <w:t>n=</w:t>
            </w:r>
            <w:r w:rsidR="00454D92" w:rsidRPr="00CB3B10">
              <w:t xml:space="preserve">129) were included in analyses. </w:t>
            </w:r>
          </w:p>
          <w:p w:rsidR="0028759A" w:rsidRPr="00CB3B10" w:rsidRDefault="008C4E2B" w:rsidP="00454D92">
            <w:pPr>
              <w:pStyle w:val="ListParagraph"/>
              <w:numPr>
                <w:ilvl w:val="0"/>
                <w:numId w:val="6"/>
              </w:numPr>
            </w:pPr>
            <w:r w:rsidRPr="00CB3B10">
              <w:t xml:space="preserve">TXPROC study: </w:t>
            </w:r>
            <w:r w:rsidR="0028759A" w:rsidRPr="00CB3B10">
              <w:t>511 drug abusers recruited from a stratified rand</w:t>
            </w:r>
            <w:r w:rsidR="0011689D" w:rsidRPr="00CB3B10">
              <w:t xml:space="preserve">om sample of treatment programs. </w:t>
            </w:r>
            <w:r w:rsidR="0028759A" w:rsidRPr="00CB3B10">
              <w:t xml:space="preserve">Only men </w:t>
            </w:r>
            <w:r w:rsidR="00454D92" w:rsidRPr="00CB3B10">
              <w:t>were</w:t>
            </w:r>
            <w:r w:rsidR="0028759A" w:rsidRPr="00CB3B10">
              <w:t xml:space="preserve"> used in the present analysis, for a total of 215 subjects</w:t>
            </w:r>
            <w:r w:rsidR="00734DB1" w:rsidRPr="00CB3B10">
              <w:t>.</w:t>
            </w:r>
          </w:p>
          <w:p w:rsidR="0028759A" w:rsidRPr="00CB3B10" w:rsidRDefault="0028759A" w:rsidP="00734DB1">
            <w:pPr>
              <w:pStyle w:val="ListParagraph"/>
              <w:numPr>
                <w:ilvl w:val="0"/>
                <w:numId w:val="6"/>
              </w:numPr>
            </w:pPr>
            <w:r w:rsidRPr="00CB3B10">
              <w:t>In sum, the analysis sample (</w:t>
            </w:r>
            <w:r w:rsidR="00734DB1" w:rsidRPr="00CB3B10">
              <w:rPr>
                <w:i/>
              </w:rPr>
              <w:t>n</w:t>
            </w:r>
            <w:r w:rsidRPr="00CB3B10">
              <w:t xml:space="preserve">= 792) consisted of 56.6% of subjects from the Amity Study, 16.3% from the TUE study, and 27.1% </w:t>
            </w:r>
            <w:r w:rsidRPr="00CB3B10">
              <w:lastRenderedPageBreak/>
              <w:t>from the TXPROC study</w:t>
            </w:r>
            <w:r w:rsidR="00734DB1" w:rsidRPr="00CB3B10">
              <w:t>.</w:t>
            </w:r>
          </w:p>
        </w:tc>
        <w:tc>
          <w:tcPr>
            <w:tcW w:w="6269" w:type="dxa"/>
          </w:tcPr>
          <w:p w:rsidR="008C4E2B" w:rsidRPr="00CB3B10" w:rsidRDefault="0028759A" w:rsidP="008C4E2B">
            <w:pPr>
              <w:pStyle w:val="ListParagraph"/>
              <w:numPr>
                <w:ilvl w:val="0"/>
                <w:numId w:val="6"/>
              </w:numPr>
              <w:autoSpaceDE w:val="0"/>
              <w:autoSpaceDN w:val="0"/>
              <w:adjustRightInd w:val="0"/>
            </w:pPr>
            <w:r w:rsidRPr="00CB3B10">
              <w:lastRenderedPageBreak/>
              <w:t xml:space="preserve">Findings indicate that </w:t>
            </w:r>
            <w:proofErr w:type="spellStart"/>
            <w:r w:rsidRPr="00CB3B10">
              <w:t>posttreatment</w:t>
            </w:r>
            <w:proofErr w:type="spellEnd"/>
            <w:r w:rsidRPr="00CB3B10">
              <w:t xml:space="preserve"> dru</w:t>
            </w:r>
            <w:r w:rsidR="008C4E2B" w:rsidRPr="00CB3B10">
              <w:t>g use decreased. “Overall, after controlling for potential covariates, the total sample used drugs at a mean of 5.16 days (=e</w:t>
            </w:r>
            <w:r w:rsidR="008C4E2B" w:rsidRPr="00CB3B10">
              <w:rPr>
                <w:vertAlign w:val="superscript"/>
              </w:rPr>
              <w:t>1.64</w:t>
            </w:r>
            <w:r w:rsidR="008C4E2B" w:rsidRPr="00CB3B10">
              <w:t xml:space="preserve">) in the month following discharge, and days of drug use per month decreased significantly over the 5 years after discharge from first treatment by an average rate of 0.82 (=e </w:t>
            </w:r>
            <w:r w:rsidR="008C4E2B" w:rsidRPr="00CB3B10">
              <w:rPr>
                <w:vertAlign w:val="superscript"/>
              </w:rPr>
              <w:t>−0.20</w:t>
            </w:r>
            <w:r w:rsidR="008C4E2B" w:rsidRPr="00CB3B10">
              <w:t>) per year” (p. 66).</w:t>
            </w:r>
          </w:p>
          <w:p w:rsidR="00CB3B10" w:rsidRPr="00CB3B10" w:rsidRDefault="008C4E2B" w:rsidP="00CB3B10">
            <w:pPr>
              <w:pStyle w:val="ListParagraph"/>
              <w:numPr>
                <w:ilvl w:val="0"/>
                <w:numId w:val="6"/>
              </w:numPr>
              <w:autoSpaceDE w:val="0"/>
              <w:autoSpaceDN w:val="0"/>
              <w:adjustRightInd w:val="0"/>
            </w:pPr>
            <w:r w:rsidRPr="00CB3B10">
              <w:t xml:space="preserve">“Those who received jail/prison treatment had a significantly lower level of incarceration right after treatment discharge than did those who had received community treatment, the increase in their incarceration (β = 0.17; </w:t>
            </w:r>
            <w:r w:rsidRPr="00CB3B10">
              <w:rPr>
                <w:i/>
              </w:rPr>
              <w:t>p</w:t>
            </w:r>
            <w:r w:rsidRPr="00CB3B10">
              <w:t xml:space="preserve"> &lt; .01) during the 5 years </w:t>
            </w:r>
            <w:proofErr w:type="spellStart"/>
            <w:r w:rsidRPr="00CB3B10">
              <w:t>posttreatment</w:t>
            </w:r>
            <w:proofErr w:type="spellEnd"/>
            <w:r w:rsidRPr="00CB3B10">
              <w:t xml:space="preserve"> was significantly higher than that for those whose first treatment was in the community” (p. 67).</w:t>
            </w:r>
          </w:p>
          <w:p w:rsidR="00CB3B10" w:rsidRPr="00CB3B10" w:rsidRDefault="008C4E2B" w:rsidP="00CB3B10">
            <w:pPr>
              <w:pStyle w:val="ListParagraph"/>
              <w:numPr>
                <w:ilvl w:val="0"/>
                <w:numId w:val="6"/>
              </w:numPr>
              <w:autoSpaceDE w:val="0"/>
              <w:autoSpaceDN w:val="0"/>
              <w:adjustRightInd w:val="0"/>
            </w:pPr>
            <w:proofErr w:type="spellStart"/>
            <w:r w:rsidRPr="00CB3B10">
              <w:t>P</w:t>
            </w:r>
            <w:r w:rsidR="0028759A" w:rsidRPr="00CB3B10">
              <w:t>osttreatment</w:t>
            </w:r>
            <w:proofErr w:type="spellEnd"/>
            <w:r w:rsidR="0028759A" w:rsidRPr="00CB3B10">
              <w:t xml:space="preserve"> employment</w:t>
            </w:r>
            <w:r w:rsidRPr="00CB3B10">
              <w:t xml:space="preserve"> outcomes</w:t>
            </w:r>
            <w:r w:rsidR="0028759A" w:rsidRPr="00CB3B10">
              <w:t xml:space="preserve"> increased</w:t>
            </w:r>
            <w:r w:rsidRPr="00CB3B10">
              <w:t xml:space="preserve"> over the years after treatment (β = 0.10, p &lt; .05)</w:t>
            </w:r>
            <w:r w:rsidR="0028759A" w:rsidRPr="00CB3B10">
              <w:t xml:space="preserve">. </w:t>
            </w:r>
          </w:p>
          <w:p w:rsidR="008C4E2B" w:rsidRPr="00CB3B10" w:rsidRDefault="00CB3B10" w:rsidP="00CB3B10">
            <w:pPr>
              <w:pStyle w:val="ListParagraph"/>
              <w:numPr>
                <w:ilvl w:val="0"/>
                <w:numId w:val="6"/>
              </w:numPr>
              <w:autoSpaceDE w:val="0"/>
              <w:autoSpaceDN w:val="0"/>
              <w:adjustRightInd w:val="0"/>
            </w:pPr>
            <w:r w:rsidRPr="00CB3B10">
              <w:t xml:space="preserve">However, the main effect of drug use and the interaction of the drug use and incarceration grouping were significant predictors of the slope of the </w:t>
            </w:r>
            <w:proofErr w:type="spellStart"/>
            <w:r w:rsidRPr="00CB3B10">
              <w:t>posttreatment</w:t>
            </w:r>
            <w:proofErr w:type="spellEnd"/>
            <w:r w:rsidRPr="00CB3B10">
              <w:t xml:space="preserve"> employment pattern, with the Low Incarceration/Low Drug Use group showing the highest increasing rate of employment, or an increase of 138% per year (= e</w:t>
            </w:r>
            <w:r w:rsidRPr="00CB3B10">
              <w:rPr>
                <w:vertAlign w:val="superscript"/>
              </w:rPr>
              <w:t>(0.10−0.01+0.10+0.33)</w:t>
            </w:r>
            <w:r w:rsidRPr="00CB3B10">
              <w:t xml:space="preserve"> =1.38).</w:t>
            </w:r>
          </w:p>
          <w:p w:rsidR="00454D92" w:rsidRPr="00CB3B10" w:rsidRDefault="00454D92" w:rsidP="009B59E8"/>
        </w:tc>
      </w:tr>
      <w:tr w:rsidR="0028759A" w:rsidTr="00807CB8">
        <w:tc>
          <w:tcPr>
            <w:tcW w:w="2235" w:type="dxa"/>
          </w:tcPr>
          <w:p w:rsidR="0028759A" w:rsidRPr="00FE5C9D" w:rsidRDefault="0028759A" w:rsidP="0066507D">
            <w:proofErr w:type="spellStart"/>
            <w:r w:rsidRPr="00515BDD">
              <w:lastRenderedPageBreak/>
              <w:t>Wallinius</w:t>
            </w:r>
            <w:proofErr w:type="spellEnd"/>
            <w:r w:rsidRPr="00515BDD">
              <w:t xml:space="preserve">, Johansson, </w:t>
            </w:r>
            <w:proofErr w:type="spellStart"/>
            <w:r w:rsidRPr="00515BDD">
              <w:t>Larden</w:t>
            </w:r>
            <w:proofErr w:type="spellEnd"/>
            <w:r w:rsidRPr="00515BDD">
              <w:t xml:space="preserve">, &amp; </w:t>
            </w:r>
            <w:proofErr w:type="spellStart"/>
            <w:r w:rsidRPr="00515BDD">
              <w:t>Dernevik</w:t>
            </w:r>
            <w:proofErr w:type="spellEnd"/>
            <w:r>
              <w:t xml:space="preserve"> (2011).</w:t>
            </w:r>
            <w:r w:rsidR="00866B03" w:rsidRPr="00515BDD">
              <w:t xml:space="preserve"> Self-serving cognitive distortions and antisocial behaviour among adults and adolescents.</w:t>
            </w:r>
          </w:p>
        </w:tc>
        <w:tc>
          <w:tcPr>
            <w:tcW w:w="2409" w:type="dxa"/>
          </w:tcPr>
          <w:p w:rsidR="0028759A" w:rsidRDefault="0028759A" w:rsidP="00101216">
            <w:r>
              <w:t>Self-report questionnaire</w:t>
            </w:r>
          </w:p>
        </w:tc>
        <w:tc>
          <w:tcPr>
            <w:tcW w:w="3261" w:type="dxa"/>
          </w:tcPr>
          <w:p w:rsidR="0028759A" w:rsidRDefault="0028759A" w:rsidP="00BD3700">
            <w:pPr>
              <w:pStyle w:val="ListParagraph"/>
              <w:numPr>
                <w:ilvl w:val="0"/>
                <w:numId w:val="6"/>
              </w:numPr>
            </w:pPr>
            <w:r>
              <w:t>Sweden.</w:t>
            </w:r>
          </w:p>
          <w:p w:rsidR="0028759A" w:rsidRDefault="0028759A" w:rsidP="00BD3700">
            <w:pPr>
              <w:pStyle w:val="ListParagraph"/>
              <w:numPr>
                <w:ilvl w:val="0"/>
                <w:numId w:val="6"/>
              </w:numPr>
            </w:pPr>
            <w:r>
              <w:t xml:space="preserve">Tested among offenders and </w:t>
            </w:r>
            <w:proofErr w:type="spellStart"/>
            <w:r>
              <w:t>nonoffender</w:t>
            </w:r>
            <w:proofErr w:type="spellEnd"/>
            <w:r>
              <w:t xml:space="preserve"> adults and adolescents (</w:t>
            </w:r>
            <w:r>
              <w:rPr>
                <w:i/>
              </w:rPr>
              <w:t xml:space="preserve">n= </w:t>
            </w:r>
            <w:r>
              <w:t>364)</w:t>
            </w:r>
            <w:r w:rsidR="00734DB1">
              <w:t>.</w:t>
            </w:r>
          </w:p>
          <w:p w:rsidR="0028759A" w:rsidRDefault="0028759A" w:rsidP="00BD3700">
            <w:pPr>
              <w:pStyle w:val="ListParagraph"/>
              <w:numPr>
                <w:ilvl w:val="0"/>
                <w:numId w:val="6"/>
              </w:numPr>
            </w:pPr>
            <w:r>
              <w:t>Adult sample (</w:t>
            </w:r>
            <w:r>
              <w:rPr>
                <w:i/>
              </w:rPr>
              <w:t xml:space="preserve">n= </w:t>
            </w:r>
            <w:r>
              <w:t>116) – male prison inmates (</w:t>
            </w:r>
            <w:r>
              <w:rPr>
                <w:i/>
              </w:rPr>
              <w:t>n=</w:t>
            </w:r>
            <w:r>
              <w:t xml:space="preserve"> 56) and male university students (</w:t>
            </w:r>
            <w:r>
              <w:rPr>
                <w:i/>
              </w:rPr>
              <w:t xml:space="preserve">n= </w:t>
            </w:r>
            <w:r>
              <w:t>60). Prisoners mean age 36.8 years and university mean age 20.4 years</w:t>
            </w:r>
            <w:r w:rsidR="00734DB1">
              <w:t>.</w:t>
            </w:r>
          </w:p>
          <w:p w:rsidR="0028759A" w:rsidRDefault="0028759A" w:rsidP="00734DB1">
            <w:pPr>
              <w:pStyle w:val="ListParagraph"/>
              <w:numPr>
                <w:ilvl w:val="0"/>
                <w:numId w:val="6"/>
              </w:numPr>
            </w:pPr>
            <w:r>
              <w:t>Adolescent sample (</w:t>
            </w:r>
            <w:r>
              <w:rPr>
                <w:i/>
              </w:rPr>
              <w:t xml:space="preserve">n= </w:t>
            </w:r>
            <w:r>
              <w:t>248) – incarcerated under the Care of Young Persons Act (</w:t>
            </w:r>
            <w:r>
              <w:rPr>
                <w:i/>
              </w:rPr>
              <w:t>n=</w:t>
            </w:r>
            <w:r>
              <w:t xml:space="preserve"> 58) and </w:t>
            </w:r>
            <w:proofErr w:type="spellStart"/>
            <w:r>
              <w:t>nonoffender</w:t>
            </w:r>
            <w:proofErr w:type="spellEnd"/>
            <w:r>
              <w:t xml:space="preserve"> adolescents from primary and secondary education facilities (</w:t>
            </w:r>
            <w:r>
              <w:rPr>
                <w:i/>
              </w:rPr>
              <w:t>n=</w:t>
            </w:r>
            <w:r>
              <w:t xml:space="preserve"> 190). </w:t>
            </w:r>
            <w:proofErr w:type="gramStart"/>
            <w:r>
              <w:t>Offender mean</w:t>
            </w:r>
            <w:proofErr w:type="gramEnd"/>
            <w:r>
              <w:t xml:space="preserve"> age 15.8 and </w:t>
            </w:r>
            <w:proofErr w:type="spellStart"/>
            <w:r>
              <w:t>nonoffender</w:t>
            </w:r>
            <w:proofErr w:type="spellEnd"/>
            <w:r>
              <w:t xml:space="preserve"> mean age 15.2</w:t>
            </w:r>
            <w:r w:rsidR="00734DB1">
              <w:t>.</w:t>
            </w:r>
          </w:p>
        </w:tc>
        <w:tc>
          <w:tcPr>
            <w:tcW w:w="6269" w:type="dxa"/>
          </w:tcPr>
          <w:p w:rsidR="00DD3C35" w:rsidRDefault="0028759A" w:rsidP="00DD3C35">
            <w:pPr>
              <w:pStyle w:val="ListParagraph"/>
              <w:numPr>
                <w:ilvl w:val="0"/>
                <w:numId w:val="6"/>
              </w:numPr>
            </w:pPr>
            <w:r>
              <w:t xml:space="preserve">Results showed self-serving distortions to be more common among offenders and to predict self-reported antisocial behaviour when tested among adults. The underlying structure of the How I Think (HIT) was best explained by a three-factor solution with one major cognitive </w:t>
            </w:r>
            <w:proofErr w:type="gramStart"/>
            <w:r>
              <w:t>factors</w:t>
            </w:r>
            <w:proofErr w:type="gramEnd"/>
            <w:r>
              <w:t xml:space="preserve">, referred to as ‘criminal mind.’ Concluded that the HIT, after further examination of its structural and divergent validity, could be used as a measure of criminal thinking in adults as well as in adolescents (p. 287). </w:t>
            </w:r>
          </w:p>
          <w:p w:rsidR="00866B03" w:rsidRPr="00866B03" w:rsidRDefault="00DD3C35" w:rsidP="00866B03">
            <w:pPr>
              <w:pStyle w:val="ListParagraph"/>
              <w:numPr>
                <w:ilvl w:val="0"/>
                <w:numId w:val="6"/>
              </w:numPr>
            </w:pPr>
            <w:r>
              <w:t>“</w:t>
            </w:r>
            <w:r w:rsidRPr="00DD3C35">
              <w:rPr>
                <w:rFonts w:ascii="TimesNewRomanPSMT" w:hAnsi="TimesNewRomanPSMT" w:cs="TimesNewRomanPSMT"/>
                <w:sz w:val="22"/>
                <w:szCs w:val="22"/>
                <w:lang w:val="en-US"/>
              </w:rPr>
              <w:t xml:space="preserve">The adult offenders scored higher than the adult </w:t>
            </w:r>
            <w:proofErr w:type="spellStart"/>
            <w:r w:rsidRPr="00DD3C35">
              <w:rPr>
                <w:rFonts w:ascii="TimesNewRomanPSMT" w:hAnsi="TimesNewRomanPSMT" w:cs="TimesNewRomanPSMT"/>
                <w:sz w:val="22"/>
                <w:szCs w:val="22"/>
                <w:lang w:val="en-US"/>
              </w:rPr>
              <w:t>nonoffenders</w:t>
            </w:r>
            <w:proofErr w:type="spellEnd"/>
            <w:r w:rsidRPr="00DD3C35">
              <w:rPr>
                <w:rFonts w:ascii="TimesNewRomanPSMT" w:hAnsi="TimesNewRomanPSMT" w:cs="TimesNewRomanPSMT"/>
                <w:sz w:val="22"/>
                <w:szCs w:val="22"/>
                <w:lang w:val="en-US"/>
              </w:rPr>
              <w:t xml:space="preserve"> on the total SCID-II measures of antisocial behavior, </w:t>
            </w:r>
            <w:proofErr w:type="gramStart"/>
            <w:r w:rsidRPr="00DD3C35">
              <w:rPr>
                <w:rFonts w:ascii="TimesNewRomanPS-ItalicMT" w:hAnsi="TimesNewRomanPS-ItalicMT" w:cs="TimesNewRomanPS-ItalicMT"/>
                <w:i/>
                <w:iCs/>
                <w:sz w:val="22"/>
                <w:szCs w:val="22"/>
                <w:lang w:val="en-US"/>
              </w:rPr>
              <w:t>t</w:t>
            </w:r>
            <w:r w:rsidRPr="00DD3C35">
              <w:rPr>
                <w:rFonts w:ascii="TimesNewRomanPSMT" w:hAnsi="TimesNewRomanPSMT" w:cs="TimesNewRomanPSMT"/>
                <w:sz w:val="22"/>
                <w:szCs w:val="22"/>
                <w:lang w:val="en-US"/>
              </w:rPr>
              <w:t>(</w:t>
            </w:r>
            <w:proofErr w:type="gramEnd"/>
            <w:r w:rsidRPr="00DD3C35">
              <w:rPr>
                <w:rFonts w:ascii="TimesNewRomanPSMT" w:hAnsi="TimesNewRomanPSMT" w:cs="TimesNewRomanPSMT"/>
                <w:sz w:val="22"/>
                <w:szCs w:val="22"/>
                <w:lang w:val="en-US"/>
              </w:rPr>
              <w:t xml:space="preserve">1, 89) </w:t>
            </w:r>
            <w:r w:rsidRPr="00DD3C35">
              <w:rPr>
                <w:rFonts w:ascii="SymbolMT" w:hAnsi="SymbolMT" w:cs="SymbolMT"/>
                <w:sz w:val="22"/>
                <w:szCs w:val="22"/>
                <w:lang w:val="en-US"/>
              </w:rPr>
              <w:t xml:space="preserve">= </w:t>
            </w:r>
            <w:r w:rsidRPr="00DD3C35">
              <w:rPr>
                <w:rFonts w:ascii="TimesNewRomanPSMT" w:hAnsi="TimesNewRomanPSMT" w:cs="TimesNewRomanPSMT"/>
                <w:sz w:val="22"/>
                <w:szCs w:val="22"/>
                <w:lang w:val="en-US"/>
              </w:rPr>
              <w:t xml:space="preserve">–14.06, </w:t>
            </w:r>
            <w:r w:rsidRPr="00DD3C35">
              <w:rPr>
                <w:rFonts w:ascii="TimesNewRomanPS-ItalicMT" w:hAnsi="TimesNewRomanPS-ItalicMT" w:cs="TimesNewRomanPS-ItalicMT"/>
                <w:i/>
                <w:iCs/>
                <w:sz w:val="22"/>
                <w:szCs w:val="22"/>
                <w:lang w:val="en-US"/>
              </w:rPr>
              <w:t xml:space="preserve">p </w:t>
            </w:r>
            <w:r w:rsidRPr="00DD3C35">
              <w:rPr>
                <w:rFonts w:ascii="SymbolMT" w:hAnsi="SymbolMT" w:cs="SymbolMT"/>
                <w:sz w:val="22"/>
                <w:szCs w:val="22"/>
                <w:lang w:val="en-US"/>
              </w:rPr>
              <w:t xml:space="preserve">&lt; </w:t>
            </w:r>
            <w:r w:rsidRPr="00DD3C35">
              <w:rPr>
                <w:rFonts w:ascii="TimesNewRomanPSMT" w:hAnsi="TimesNewRomanPSMT" w:cs="TimesNewRomanPSMT"/>
                <w:sz w:val="22"/>
                <w:szCs w:val="22"/>
                <w:lang w:val="en-US"/>
              </w:rPr>
              <w:t xml:space="preserve">.001; conduct disorder, </w:t>
            </w:r>
            <w:r w:rsidRPr="00DD3C35">
              <w:rPr>
                <w:rFonts w:ascii="TimesNewRomanPS-ItalicMT" w:hAnsi="TimesNewRomanPS-ItalicMT" w:cs="TimesNewRomanPS-ItalicMT"/>
                <w:i/>
                <w:iCs/>
                <w:sz w:val="22"/>
                <w:szCs w:val="22"/>
                <w:lang w:val="en-US"/>
              </w:rPr>
              <w:t>t</w:t>
            </w:r>
            <w:r w:rsidRPr="00DD3C35">
              <w:rPr>
                <w:rFonts w:ascii="TimesNewRomanPSMT" w:hAnsi="TimesNewRomanPSMT" w:cs="TimesNewRomanPSMT"/>
                <w:sz w:val="22"/>
                <w:szCs w:val="22"/>
                <w:lang w:val="en-US"/>
              </w:rPr>
              <w:t xml:space="preserve">(1, 79) </w:t>
            </w:r>
            <w:r w:rsidRPr="00DD3C35">
              <w:rPr>
                <w:rFonts w:ascii="SymbolMT" w:hAnsi="SymbolMT" w:cs="SymbolMT"/>
                <w:sz w:val="22"/>
                <w:szCs w:val="22"/>
                <w:lang w:val="en-US"/>
              </w:rPr>
              <w:t xml:space="preserve">= </w:t>
            </w:r>
            <w:r w:rsidRPr="00DD3C35">
              <w:rPr>
                <w:rFonts w:ascii="TimesNewRomanPSMT" w:hAnsi="TimesNewRomanPSMT" w:cs="TimesNewRomanPSMT"/>
                <w:sz w:val="22"/>
                <w:szCs w:val="22"/>
                <w:lang w:val="en-US"/>
              </w:rPr>
              <w:t xml:space="preserve">–9.94, </w:t>
            </w:r>
            <w:r w:rsidRPr="00DD3C35">
              <w:rPr>
                <w:rFonts w:ascii="TimesNewRomanPS-ItalicMT" w:hAnsi="TimesNewRomanPS-ItalicMT" w:cs="TimesNewRomanPS-ItalicMT"/>
                <w:i/>
                <w:iCs/>
                <w:sz w:val="22"/>
                <w:szCs w:val="22"/>
                <w:lang w:val="en-US"/>
              </w:rPr>
              <w:t xml:space="preserve">p </w:t>
            </w:r>
            <w:r w:rsidRPr="00DD3C35">
              <w:rPr>
                <w:rFonts w:ascii="SymbolMT" w:hAnsi="SymbolMT" w:cs="SymbolMT"/>
                <w:sz w:val="22"/>
                <w:szCs w:val="22"/>
                <w:lang w:val="en-US"/>
              </w:rPr>
              <w:t xml:space="preserve">&lt; </w:t>
            </w:r>
            <w:r w:rsidRPr="00DD3C35">
              <w:rPr>
                <w:rFonts w:ascii="TimesNewRomanPSMT" w:hAnsi="TimesNewRomanPSMT" w:cs="TimesNewRomanPSMT"/>
                <w:sz w:val="22"/>
                <w:szCs w:val="22"/>
                <w:lang w:val="en-US"/>
              </w:rPr>
              <w:t xml:space="preserve">.001; and </w:t>
            </w:r>
            <w:r w:rsidR="00866B03">
              <w:rPr>
                <w:rFonts w:ascii="TimesNewRomanPSMT" w:hAnsi="TimesNewRomanPSMT" w:cs="TimesNewRomanPSMT"/>
                <w:sz w:val="22"/>
                <w:szCs w:val="22"/>
                <w:lang w:val="en-US"/>
              </w:rPr>
              <w:t>antisocial personality disorder (</w:t>
            </w:r>
            <w:r w:rsidRPr="00DD3C35">
              <w:rPr>
                <w:rFonts w:ascii="TimesNewRomanPSMT" w:hAnsi="TimesNewRomanPSMT" w:cs="TimesNewRomanPSMT"/>
                <w:sz w:val="22"/>
                <w:szCs w:val="22"/>
                <w:lang w:val="en-US"/>
              </w:rPr>
              <w:t>APD</w:t>
            </w:r>
            <w:r w:rsidR="00866B03">
              <w:rPr>
                <w:rFonts w:ascii="TimesNewRomanPSMT" w:hAnsi="TimesNewRomanPSMT" w:cs="TimesNewRomanPSMT"/>
                <w:sz w:val="22"/>
                <w:szCs w:val="22"/>
                <w:lang w:val="en-US"/>
              </w:rPr>
              <w:t>)</w:t>
            </w:r>
            <w:r w:rsidRPr="00DD3C35">
              <w:rPr>
                <w:rFonts w:ascii="TimesNewRomanPSMT" w:hAnsi="TimesNewRomanPSMT" w:cs="TimesNewRomanPSMT"/>
                <w:sz w:val="22"/>
                <w:szCs w:val="22"/>
                <w:lang w:val="en-US"/>
              </w:rPr>
              <w:t xml:space="preserve">, </w:t>
            </w:r>
            <w:r w:rsidRPr="00DD3C35">
              <w:rPr>
                <w:rFonts w:ascii="TimesNewRomanPS-ItalicMT" w:hAnsi="TimesNewRomanPS-ItalicMT" w:cs="TimesNewRomanPS-ItalicMT"/>
                <w:i/>
                <w:iCs/>
                <w:sz w:val="22"/>
                <w:szCs w:val="22"/>
                <w:lang w:val="en-US"/>
              </w:rPr>
              <w:t>t</w:t>
            </w:r>
            <w:r w:rsidRPr="00DD3C35">
              <w:rPr>
                <w:rFonts w:ascii="TimesNewRomanPSMT" w:hAnsi="TimesNewRomanPSMT" w:cs="TimesNewRomanPSMT"/>
                <w:sz w:val="22"/>
                <w:szCs w:val="22"/>
                <w:lang w:val="en-US"/>
              </w:rPr>
              <w:t xml:space="preserve">(1, 114) </w:t>
            </w:r>
            <w:r w:rsidRPr="00DD3C35">
              <w:rPr>
                <w:rFonts w:ascii="SymbolMT" w:hAnsi="SymbolMT" w:cs="SymbolMT"/>
                <w:sz w:val="22"/>
                <w:szCs w:val="22"/>
                <w:lang w:val="en-US"/>
              </w:rPr>
              <w:t xml:space="preserve">= </w:t>
            </w:r>
            <w:r w:rsidRPr="00DD3C35">
              <w:rPr>
                <w:rFonts w:ascii="TimesNewRomanPSMT" w:hAnsi="TimesNewRomanPSMT" w:cs="TimesNewRomanPSMT"/>
                <w:sz w:val="22"/>
                <w:szCs w:val="22"/>
                <w:lang w:val="en-US"/>
              </w:rPr>
              <w:t xml:space="preserve">–16.20, </w:t>
            </w:r>
            <w:r w:rsidRPr="00DD3C35">
              <w:rPr>
                <w:rFonts w:ascii="TimesNewRomanPS-ItalicMT" w:hAnsi="TimesNewRomanPS-ItalicMT" w:cs="TimesNewRomanPS-ItalicMT"/>
                <w:i/>
                <w:iCs/>
                <w:sz w:val="22"/>
                <w:szCs w:val="22"/>
                <w:lang w:val="en-US"/>
              </w:rPr>
              <w:t xml:space="preserve">p </w:t>
            </w:r>
            <w:r w:rsidRPr="00DD3C35">
              <w:rPr>
                <w:rFonts w:ascii="SymbolMT" w:hAnsi="SymbolMT" w:cs="SymbolMT"/>
                <w:sz w:val="22"/>
                <w:szCs w:val="22"/>
                <w:lang w:val="en-US"/>
              </w:rPr>
              <w:t xml:space="preserve">&lt; </w:t>
            </w:r>
            <w:r>
              <w:rPr>
                <w:rFonts w:ascii="TimesNewRomanPSMT" w:hAnsi="TimesNewRomanPSMT" w:cs="TimesNewRomanPSMT"/>
                <w:sz w:val="22"/>
                <w:szCs w:val="22"/>
                <w:lang w:val="en-US"/>
              </w:rPr>
              <w:t>.001” (pp. 293-294).</w:t>
            </w:r>
          </w:p>
          <w:p w:rsidR="00866B03" w:rsidRDefault="00866B03" w:rsidP="00866B03">
            <w:pPr>
              <w:pStyle w:val="ListParagraph"/>
              <w:numPr>
                <w:ilvl w:val="0"/>
                <w:numId w:val="6"/>
              </w:numPr>
              <w:autoSpaceDE w:val="0"/>
              <w:autoSpaceDN w:val="0"/>
              <w:adjustRightInd w:val="0"/>
            </w:pPr>
            <w:r>
              <w:rPr>
                <w:rFonts w:ascii="TimesNewRomanPSMT" w:hAnsi="TimesNewRomanPSMT" w:cs="TimesNewRomanPSMT"/>
                <w:sz w:val="22"/>
                <w:szCs w:val="22"/>
                <w:lang w:val="en-US"/>
              </w:rPr>
              <w:t>“</w:t>
            </w:r>
            <w:r w:rsidRPr="00866B03">
              <w:rPr>
                <w:rFonts w:ascii="TimesNewRomanPSMT" w:hAnsi="TimesNewRomanPSMT" w:cs="TimesNewRomanPSMT"/>
                <w:sz w:val="22"/>
                <w:szCs w:val="22"/>
                <w:lang w:val="en-US"/>
              </w:rPr>
              <w:t xml:space="preserve">When the total HIT scores were compared between the offender and the </w:t>
            </w:r>
            <w:proofErr w:type="spellStart"/>
            <w:r w:rsidRPr="00866B03">
              <w:rPr>
                <w:rFonts w:ascii="TimesNewRomanPSMT" w:hAnsi="TimesNewRomanPSMT" w:cs="TimesNewRomanPSMT"/>
                <w:sz w:val="22"/>
                <w:szCs w:val="22"/>
                <w:lang w:val="en-US"/>
              </w:rPr>
              <w:t>nonoffender</w:t>
            </w:r>
            <w:proofErr w:type="spellEnd"/>
            <w:r w:rsidRPr="00866B03">
              <w:rPr>
                <w:rFonts w:ascii="TimesNewRomanPSMT" w:hAnsi="TimesNewRomanPSMT" w:cs="TimesNewRomanPSMT"/>
                <w:sz w:val="22"/>
                <w:szCs w:val="22"/>
                <w:lang w:val="en-US"/>
              </w:rPr>
              <w:t xml:space="preserve"> subgroups, both the adult, </w:t>
            </w:r>
            <w:proofErr w:type="gramStart"/>
            <w:r w:rsidRPr="00866B03">
              <w:rPr>
                <w:rFonts w:ascii="TimesNewRomanPS-ItalicMT" w:hAnsi="TimesNewRomanPS-ItalicMT" w:cs="TimesNewRomanPS-ItalicMT"/>
                <w:i/>
                <w:iCs/>
                <w:sz w:val="22"/>
                <w:szCs w:val="22"/>
                <w:lang w:val="en-US"/>
              </w:rPr>
              <w:t>t</w:t>
            </w:r>
            <w:r w:rsidRPr="00866B03">
              <w:rPr>
                <w:rFonts w:ascii="TimesNewRomanPSMT" w:hAnsi="TimesNewRomanPSMT" w:cs="TimesNewRomanPSMT"/>
                <w:sz w:val="22"/>
                <w:szCs w:val="22"/>
                <w:lang w:val="en-US"/>
              </w:rPr>
              <w:t>(</w:t>
            </w:r>
            <w:proofErr w:type="gramEnd"/>
            <w:r w:rsidRPr="00866B03">
              <w:rPr>
                <w:rFonts w:ascii="TimesNewRomanPSMT" w:hAnsi="TimesNewRomanPSMT" w:cs="TimesNewRomanPSMT"/>
                <w:sz w:val="22"/>
                <w:szCs w:val="22"/>
                <w:lang w:val="en-US"/>
              </w:rPr>
              <w:t xml:space="preserve">1, 81) </w:t>
            </w:r>
            <w:r w:rsidRPr="00866B03">
              <w:rPr>
                <w:rFonts w:ascii="SymbolMT" w:hAnsi="SymbolMT" w:cs="SymbolMT"/>
                <w:sz w:val="22"/>
                <w:szCs w:val="22"/>
                <w:lang w:val="en-US"/>
              </w:rPr>
              <w:t xml:space="preserve">= </w:t>
            </w:r>
            <w:r w:rsidRPr="00866B03">
              <w:rPr>
                <w:rFonts w:ascii="TimesNewRomanPSMT" w:hAnsi="TimesNewRomanPSMT" w:cs="TimesNewRomanPSMT"/>
                <w:sz w:val="22"/>
                <w:szCs w:val="22"/>
                <w:lang w:val="en-US"/>
              </w:rPr>
              <w:t xml:space="preserve">–6.25, </w:t>
            </w:r>
            <w:r w:rsidRPr="00866B03">
              <w:rPr>
                <w:rFonts w:ascii="TimesNewRomanPS-ItalicMT" w:hAnsi="TimesNewRomanPS-ItalicMT" w:cs="TimesNewRomanPS-ItalicMT"/>
                <w:i/>
                <w:iCs/>
                <w:sz w:val="22"/>
                <w:szCs w:val="22"/>
                <w:lang w:val="en-US"/>
              </w:rPr>
              <w:t xml:space="preserve">p </w:t>
            </w:r>
            <w:r w:rsidRPr="00866B03">
              <w:rPr>
                <w:rFonts w:ascii="SymbolMT" w:hAnsi="SymbolMT" w:cs="SymbolMT"/>
                <w:sz w:val="22"/>
                <w:szCs w:val="22"/>
                <w:lang w:val="en-US"/>
              </w:rPr>
              <w:t xml:space="preserve">&lt; </w:t>
            </w:r>
            <w:r w:rsidRPr="00866B03">
              <w:rPr>
                <w:rFonts w:ascii="TimesNewRomanPSMT" w:hAnsi="TimesNewRomanPSMT" w:cs="TimesNewRomanPSMT"/>
                <w:sz w:val="22"/>
                <w:szCs w:val="22"/>
                <w:lang w:val="en-US"/>
              </w:rPr>
              <w:t xml:space="preserve">.001, and adolescent offenders, </w:t>
            </w:r>
            <w:r w:rsidRPr="00866B03">
              <w:rPr>
                <w:rFonts w:ascii="TimesNewRomanPS-ItalicMT" w:hAnsi="TimesNewRomanPS-ItalicMT" w:cs="TimesNewRomanPS-ItalicMT"/>
                <w:i/>
                <w:iCs/>
                <w:sz w:val="22"/>
                <w:szCs w:val="22"/>
                <w:lang w:val="en-US"/>
              </w:rPr>
              <w:t>t</w:t>
            </w:r>
            <w:r w:rsidRPr="00866B03">
              <w:rPr>
                <w:rFonts w:ascii="TimesNewRomanPSMT" w:hAnsi="TimesNewRomanPSMT" w:cs="TimesNewRomanPSMT"/>
                <w:sz w:val="22"/>
                <w:szCs w:val="22"/>
                <w:lang w:val="en-US"/>
              </w:rPr>
              <w:t xml:space="preserve">(1, 73) </w:t>
            </w:r>
            <w:r w:rsidRPr="00866B03">
              <w:rPr>
                <w:rFonts w:ascii="SymbolMT" w:hAnsi="SymbolMT" w:cs="SymbolMT"/>
                <w:sz w:val="22"/>
                <w:szCs w:val="22"/>
                <w:lang w:val="en-US"/>
              </w:rPr>
              <w:t xml:space="preserve">= </w:t>
            </w:r>
            <w:r w:rsidRPr="00866B03">
              <w:rPr>
                <w:rFonts w:ascii="TimesNewRomanPSMT" w:hAnsi="TimesNewRomanPSMT" w:cs="TimesNewRomanPSMT"/>
                <w:sz w:val="22"/>
                <w:szCs w:val="22"/>
                <w:lang w:val="en-US"/>
              </w:rPr>
              <w:t>–9.76,</w:t>
            </w:r>
            <w:r>
              <w:rPr>
                <w:rFonts w:ascii="TimesNewRomanPSMT" w:hAnsi="TimesNewRomanPSMT" w:cs="TimesNewRomanPSMT"/>
                <w:sz w:val="22"/>
                <w:szCs w:val="22"/>
                <w:lang w:val="en-US"/>
              </w:rPr>
              <w:t xml:space="preserve"> </w:t>
            </w:r>
            <w:r>
              <w:rPr>
                <w:rFonts w:ascii="TimesNewRomanPS-ItalicMT" w:hAnsi="TimesNewRomanPS-ItalicMT" w:cs="TimesNewRomanPS-ItalicMT"/>
                <w:i/>
                <w:iCs/>
                <w:sz w:val="22"/>
                <w:szCs w:val="22"/>
                <w:lang w:val="en-US"/>
              </w:rPr>
              <w:t xml:space="preserve">p </w:t>
            </w:r>
            <w:r>
              <w:rPr>
                <w:rFonts w:ascii="SymbolMT" w:hAnsi="SymbolMT" w:cs="SymbolMT"/>
                <w:sz w:val="22"/>
                <w:szCs w:val="22"/>
                <w:lang w:val="en-US"/>
              </w:rPr>
              <w:t xml:space="preserve">&lt; </w:t>
            </w:r>
            <w:r>
              <w:rPr>
                <w:rFonts w:ascii="TimesNewRomanPSMT" w:hAnsi="TimesNewRomanPSMT" w:cs="TimesNewRomanPSMT"/>
                <w:sz w:val="22"/>
                <w:szCs w:val="22"/>
                <w:lang w:val="en-US"/>
              </w:rPr>
              <w:t xml:space="preserve">.001, showed more self-serving cognitive distortions than the </w:t>
            </w:r>
            <w:proofErr w:type="spellStart"/>
            <w:r>
              <w:rPr>
                <w:rFonts w:ascii="TimesNewRomanPSMT" w:hAnsi="TimesNewRomanPSMT" w:cs="TimesNewRomanPSMT"/>
                <w:sz w:val="22"/>
                <w:szCs w:val="22"/>
                <w:lang w:val="en-US"/>
              </w:rPr>
              <w:t>nonoffender</w:t>
            </w:r>
            <w:proofErr w:type="spellEnd"/>
            <w:r>
              <w:rPr>
                <w:rFonts w:ascii="TimesNewRomanPSMT" w:hAnsi="TimesNewRomanPSMT" w:cs="TimesNewRomanPSMT"/>
                <w:sz w:val="22"/>
                <w:szCs w:val="22"/>
                <w:lang w:val="en-US"/>
              </w:rPr>
              <w:t xml:space="preserve"> groups” (p. 294).</w:t>
            </w:r>
          </w:p>
        </w:tc>
      </w:tr>
      <w:tr w:rsidR="0028759A" w:rsidTr="00807CB8">
        <w:tc>
          <w:tcPr>
            <w:tcW w:w="2235" w:type="dxa"/>
          </w:tcPr>
          <w:p w:rsidR="0028759A" w:rsidRPr="00FE5C9D" w:rsidRDefault="0028759A" w:rsidP="0066507D">
            <w:proofErr w:type="spellStart"/>
            <w:r w:rsidRPr="00515BDD">
              <w:t>Wiesner</w:t>
            </w:r>
            <w:proofErr w:type="spellEnd"/>
            <w:r w:rsidRPr="00515BDD">
              <w:t xml:space="preserve">, Kim, </w:t>
            </w:r>
            <w:r>
              <w:t xml:space="preserve">&amp; </w:t>
            </w:r>
            <w:proofErr w:type="spellStart"/>
            <w:r>
              <w:t>Capaldi</w:t>
            </w:r>
            <w:proofErr w:type="spellEnd"/>
            <w:r>
              <w:t xml:space="preserve"> </w:t>
            </w:r>
            <w:r w:rsidRPr="00515BDD">
              <w:t>(2005).</w:t>
            </w:r>
            <w:r w:rsidR="00866B03">
              <w:t xml:space="preserve"> </w:t>
            </w:r>
            <w:r w:rsidR="00866B03" w:rsidRPr="00515BDD">
              <w:t xml:space="preserve">Developmental trajectories of offending: Validation and prediction to young adult alcohol use, drug use, and </w:t>
            </w:r>
            <w:r w:rsidR="00866B03" w:rsidRPr="00515BDD">
              <w:lastRenderedPageBreak/>
              <w:t>depressive symptoms.</w:t>
            </w:r>
          </w:p>
        </w:tc>
        <w:tc>
          <w:tcPr>
            <w:tcW w:w="2409" w:type="dxa"/>
          </w:tcPr>
          <w:p w:rsidR="00536079" w:rsidRDefault="00536079" w:rsidP="008A1B82">
            <w:r>
              <w:lastRenderedPageBreak/>
              <w:t>Quasi-experimental</w:t>
            </w:r>
          </w:p>
          <w:p w:rsidR="00536079" w:rsidRDefault="00536079" w:rsidP="008A1B82">
            <w:r>
              <w:t>Longitudinal study</w:t>
            </w:r>
          </w:p>
          <w:p w:rsidR="0028759A" w:rsidRDefault="0028759A" w:rsidP="008A1B82">
            <w:r>
              <w:t>Self-reported offending</w:t>
            </w:r>
            <w:r w:rsidR="007664CA">
              <w:t xml:space="preserve"> </w:t>
            </w:r>
            <w:r w:rsidR="006D66DD">
              <w:t>behaviour, official arrests</w:t>
            </w:r>
          </w:p>
        </w:tc>
        <w:tc>
          <w:tcPr>
            <w:tcW w:w="3261" w:type="dxa"/>
          </w:tcPr>
          <w:p w:rsidR="0028759A" w:rsidRDefault="0028759A" w:rsidP="00BD3700">
            <w:pPr>
              <w:pStyle w:val="ListParagraph"/>
              <w:numPr>
                <w:ilvl w:val="0"/>
                <w:numId w:val="6"/>
              </w:numPr>
            </w:pPr>
            <w:r>
              <w:t>U.S.A.</w:t>
            </w:r>
          </w:p>
          <w:p w:rsidR="0028759A" w:rsidRDefault="0028759A" w:rsidP="00BD3700">
            <w:pPr>
              <w:pStyle w:val="ListParagraph"/>
              <w:numPr>
                <w:ilvl w:val="0"/>
                <w:numId w:val="6"/>
              </w:numPr>
            </w:pPr>
            <w:r>
              <w:rPr>
                <w:i/>
              </w:rPr>
              <w:t xml:space="preserve">n= </w:t>
            </w:r>
            <w:r>
              <w:t>204 men</w:t>
            </w:r>
          </w:p>
          <w:p w:rsidR="007664CA" w:rsidRDefault="007664CA" w:rsidP="00BD3700">
            <w:pPr>
              <w:pStyle w:val="ListParagraph"/>
              <w:numPr>
                <w:ilvl w:val="0"/>
                <w:numId w:val="6"/>
              </w:numPr>
            </w:pPr>
            <w:r>
              <w:t>Oregon Youth Study data</w:t>
            </w:r>
          </w:p>
          <w:p w:rsidR="007664CA" w:rsidRDefault="007664CA" w:rsidP="00BD3700">
            <w:pPr>
              <w:pStyle w:val="ListParagraph"/>
              <w:numPr>
                <w:ilvl w:val="0"/>
                <w:numId w:val="6"/>
              </w:numPr>
            </w:pPr>
            <w:r>
              <w:t>90% Caucasian</w:t>
            </w:r>
          </w:p>
        </w:tc>
        <w:tc>
          <w:tcPr>
            <w:tcW w:w="6269" w:type="dxa"/>
          </w:tcPr>
          <w:p w:rsidR="007664CA" w:rsidRPr="006D66DD" w:rsidRDefault="0028759A" w:rsidP="00BD3700">
            <w:pPr>
              <w:pStyle w:val="ListParagraph"/>
              <w:numPr>
                <w:ilvl w:val="0"/>
                <w:numId w:val="6"/>
              </w:numPr>
              <w:rPr>
                <w:highlight w:val="yellow"/>
              </w:rPr>
            </w:pPr>
            <w:r w:rsidRPr="006D66DD">
              <w:rPr>
                <w:highlight w:val="yellow"/>
              </w:rPr>
              <w:t>Chronic high-level offenders had higher levels of depressive symptoms and engaged more often in drug use compared with very rare, decreasing low-level, and decreasing high-level offenders</w:t>
            </w:r>
            <w:r w:rsidR="007664CA" w:rsidRPr="006D66DD">
              <w:rPr>
                <w:highlight w:val="yellow"/>
              </w:rPr>
              <w:t xml:space="preserve"> (p. 251).</w:t>
            </w:r>
          </w:p>
          <w:p w:rsidR="007664CA" w:rsidRPr="006D66DD" w:rsidRDefault="0028759A" w:rsidP="00BD3700">
            <w:pPr>
              <w:pStyle w:val="ListParagraph"/>
              <w:numPr>
                <w:ilvl w:val="0"/>
                <w:numId w:val="6"/>
              </w:numPr>
              <w:rPr>
                <w:highlight w:val="yellow"/>
              </w:rPr>
            </w:pPr>
            <w:r w:rsidRPr="006D66DD">
              <w:rPr>
                <w:highlight w:val="yellow"/>
              </w:rPr>
              <w:t>Chronic low-level offenders, in contrast, displayed fewer systematic differences compared with the two decreasing offender groups and the chronic high-level offenders</w:t>
            </w:r>
            <w:r w:rsidR="007664CA" w:rsidRPr="006D66DD">
              <w:rPr>
                <w:highlight w:val="yellow"/>
              </w:rPr>
              <w:t xml:space="preserve"> (p. 251).</w:t>
            </w:r>
          </w:p>
          <w:p w:rsidR="0028759A" w:rsidRDefault="0028759A" w:rsidP="00BD3700">
            <w:pPr>
              <w:pStyle w:val="ListParagraph"/>
              <w:numPr>
                <w:ilvl w:val="0"/>
                <w:numId w:val="6"/>
              </w:numPr>
            </w:pPr>
            <w:r w:rsidRPr="006D66DD">
              <w:rPr>
                <w:highlight w:val="yellow"/>
              </w:rPr>
              <w:t xml:space="preserve">The findings supported the contention that varying courses </w:t>
            </w:r>
            <w:r w:rsidRPr="006D66DD">
              <w:rPr>
                <w:highlight w:val="yellow"/>
              </w:rPr>
              <w:lastRenderedPageBreak/>
              <w:t>of offending may have plausible causal effects on young adult outcomes beyond the effects of an underlying propensity for crime (p. 251).</w:t>
            </w:r>
          </w:p>
        </w:tc>
      </w:tr>
      <w:tr w:rsidR="0028759A" w:rsidTr="00807CB8">
        <w:tc>
          <w:tcPr>
            <w:tcW w:w="2235" w:type="dxa"/>
          </w:tcPr>
          <w:p w:rsidR="0028759A" w:rsidRPr="00FE5C9D" w:rsidRDefault="0028759A" w:rsidP="0066507D">
            <w:r w:rsidRPr="00515BDD">
              <w:lastRenderedPageBreak/>
              <w:t xml:space="preserve">Wilkinson (2005). </w:t>
            </w:r>
            <w:r w:rsidR="000E3A73" w:rsidRPr="00515BDD">
              <w:t>Evaluating evidence for the effectiveness of the reasoning and rehabilitation programme.</w:t>
            </w:r>
          </w:p>
        </w:tc>
        <w:tc>
          <w:tcPr>
            <w:tcW w:w="2409" w:type="dxa"/>
          </w:tcPr>
          <w:p w:rsidR="000E3A73" w:rsidRDefault="000E3A73" w:rsidP="000E3A73">
            <w:r>
              <w:t>Quasi-experimental</w:t>
            </w:r>
          </w:p>
          <w:p w:rsidR="0028759A" w:rsidRDefault="0028759A" w:rsidP="008A1B82">
            <w:r>
              <w:t>Matched control study</w:t>
            </w:r>
          </w:p>
          <w:p w:rsidR="0028759A" w:rsidRDefault="008170D7" w:rsidP="000E3A73">
            <w:r>
              <w:t>2 year follow up</w:t>
            </w:r>
          </w:p>
        </w:tc>
        <w:tc>
          <w:tcPr>
            <w:tcW w:w="3261" w:type="dxa"/>
          </w:tcPr>
          <w:p w:rsidR="0028759A" w:rsidRPr="008170D7" w:rsidRDefault="0028759A" w:rsidP="00BD3700">
            <w:pPr>
              <w:pStyle w:val="ListParagraph"/>
              <w:numPr>
                <w:ilvl w:val="0"/>
                <w:numId w:val="6"/>
              </w:numPr>
            </w:pPr>
            <w:r w:rsidRPr="008170D7">
              <w:t>U.K.</w:t>
            </w:r>
          </w:p>
          <w:p w:rsidR="0028759A" w:rsidRPr="008170D7" w:rsidRDefault="0028759A" w:rsidP="00BD3700">
            <w:pPr>
              <w:pStyle w:val="ListParagraph"/>
              <w:numPr>
                <w:ilvl w:val="0"/>
                <w:numId w:val="6"/>
              </w:numPr>
            </w:pPr>
            <w:r w:rsidRPr="008170D7">
              <w:rPr>
                <w:i/>
              </w:rPr>
              <w:t>n=</w:t>
            </w:r>
            <w:r w:rsidRPr="008170D7">
              <w:t xml:space="preserve"> 203</w:t>
            </w:r>
          </w:p>
          <w:p w:rsidR="0028759A" w:rsidRPr="008170D7" w:rsidRDefault="0028759A" w:rsidP="00BD3700">
            <w:pPr>
              <w:pStyle w:val="ListParagraph"/>
              <w:numPr>
                <w:ilvl w:val="0"/>
                <w:numId w:val="6"/>
              </w:numPr>
            </w:pPr>
            <w:r w:rsidRPr="008170D7">
              <w:t>Adult offenders</w:t>
            </w:r>
          </w:p>
        </w:tc>
        <w:tc>
          <w:tcPr>
            <w:tcW w:w="6269" w:type="dxa"/>
          </w:tcPr>
          <w:p w:rsidR="008170D7" w:rsidRPr="005E1846" w:rsidRDefault="0028759A" w:rsidP="008170D7">
            <w:pPr>
              <w:pStyle w:val="ListParagraph"/>
              <w:numPr>
                <w:ilvl w:val="0"/>
                <w:numId w:val="6"/>
              </w:numPr>
              <w:autoSpaceDE w:val="0"/>
              <w:autoSpaceDN w:val="0"/>
              <w:adjustRightInd w:val="0"/>
              <w:rPr>
                <w:highlight w:val="yellow"/>
              </w:rPr>
            </w:pPr>
            <w:r w:rsidRPr="005E1846">
              <w:rPr>
                <w:highlight w:val="yellow"/>
              </w:rPr>
              <w:t xml:space="preserve">Findings for reconviction </w:t>
            </w:r>
            <w:r w:rsidR="008170D7" w:rsidRPr="005E1846">
              <w:rPr>
                <w:highlight w:val="yellow"/>
              </w:rPr>
              <w:t>were</w:t>
            </w:r>
            <w:r w:rsidRPr="005E1846">
              <w:rPr>
                <w:highlight w:val="yellow"/>
              </w:rPr>
              <w:t xml:space="preserve"> mixed. </w:t>
            </w:r>
            <w:r w:rsidR="008170D7" w:rsidRPr="005E1846">
              <w:rPr>
                <w:highlight w:val="yellow"/>
              </w:rPr>
              <w:t>“</w:t>
            </w:r>
            <w:r w:rsidR="008170D7" w:rsidRPr="005E1846">
              <w:rPr>
                <w:highlight w:val="yellow"/>
                <w:lang w:val="en-US"/>
              </w:rPr>
              <w:t xml:space="preserve">67% of the R&amp;R group were reconvicted within two years compared to 56% of offenders sentenced to custody from time of </w:t>
            </w:r>
            <w:proofErr w:type="gramStart"/>
            <w:r w:rsidR="008170D7" w:rsidRPr="005E1846">
              <w:rPr>
                <w:highlight w:val="yellow"/>
                <w:lang w:val="en-US"/>
              </w:rPr>
              <w:t>sentence,</w:t>
            </w:r>
            <w:proofErr w:type="gramEnd"/>
            <w:r w:rsidR="008170D7" w:rsidRPr="005E1846">
              <w:rPr>
                <w:highlight w:val="yellow"/>
                <w:lang w:val="en-US"/>
              </w:rPr>
              <w:t xml:space="preserve"> it would seems R&amp;R did not reduce offending. Alternatively the fact that 5% fewer of the R&amp;R group were reconvicted than predicted on the basis of age and previous convictions, compared to 14% more of the custody group after release, could be taken as indicating success” (p. 81). </w:t>
            </w:r>
            <w:r w:rsidRPr="005E1846">
              <w:rPr>
                <w:highlight w:val="yellow"/>
              </w:rPr>
              <w:t>Offenders whose attitudes change pro-socially were more likely to be reconvicted than were offenders whose attit</w:t>
            </w:r>
            <w:r w:rsidR="008170D7" w:rsidRPr="005E1846">
              <w:rPr>
                <w:highlight w:val="yellow"/>
              </w:rPr>
              <w:t>udes did not change positively (p. 70).</w:t>
            </w:r>
          </w:p>
          <w:p w:rsidR="008170D7" w:rsidRPr="005E1846" w:rsidRDefault="008170D7" w:rsidP="008170D7">
            <w:pPr>
              <w:pStyle w:val="ListParagraph"/>
              <w:numPr>
                <w:ilvl w:val="0"/>
                <w:numId w:val="6"/>
              </w:numPr>
              <w:autoSpaceDE w:val="0"/>
              <w:autoSpaceDN w:val="0"/>
              <w:adjustRightInd w:val="0"/>
              <w:rPr>
                <w:highlight w:val="yellow"/>
              </w:rPr>
            </w:pPr>
            <w:r w:rsidRPr="005E1846">
              <w:rPr>
                <w:highlight w:val="yellow"/>
                <w:lang w:val="en-US"/>
              </w:rPr>
              <w:t xml:space="preserve">“Over a two-year follow up there was no difference in the proportion reconvicted between offenders who commenced the </w:t>
            </w:r>
            <w:proofErr w:type="spellStart"/>
            <w:r w:rsidRPr="005E1846">
              <w:rPr>
                <w:highlight w:val="yellow"/>
                <w:lang w:val="en-US"/>
              </w:rPr>
              <w:t>programme</w:t>
            </w:r>
            <w:proofErr w:type="spellEnd"/>
            <w:r w:rsidRPr="005E1846">
              <w:rPr>
                <w:highlight w:val="yellow"/>
                <w:lang w:val="en-US"/>
              </w:rPr>
              <w:t xml:space="preserve"> and those given other sentences (see Table 3). However offenders who started the </w:t>
            </w:r>
            <w:proofErr w:type="spellStart"/>
            <w:r w:rsidRPr="005E1846">
              <w:rPr>
                <w:highlight w:val="yellow"/>
                <w:lang w:val="en-US"/>
              </w:rPr>
              <w:t>programme</w:t>
            </w:r>
            <w:proofErr w:type="spellEnd"/>
            <w:r w:rsidRPr="005E1846">
              <w:rPr>
                <w:highlight w:val="yellow"/>
                <w:lang w:val="en-US"/>
              </w:rPr>
              <w:t xml:space="preserve"> were less likely to be sentenced to custody at first reconviction: 29% of the R&amp;R group compared to 35% of those given other sentences. On this basis, attending R&amp;R could be said to have been associated with a 17% reduction in custody at reconviction for these offenders. This implies that the R&amp;R group, when reconvicted, had committed less serious offences… These findings are not statistically significant” (pp. 76-77).</w:t>
            </w:r>
          </w:p>
          <w:p w:rsidR="0028759A" w:rsidRPr="008170D7" w:rsidRDefault="0028759A" w:rsidP="00BD3700">
            <w:pPr>
              <w:pStyle w:val="ListParagraph"/>
              <w:numPr>
                <w:ilvl w:val="0"/>
                <w:numId w:val="6"/>
              </w:numPr>
            </w:pPr>
            <w:r w:rsidRPr="005E1846">
              <w:rPr>
                <w:highlight w:val="yellow"/>
              </w:rPr>
              <w:t>This casts doubt on whether reconviction is reduced because of attitudinal change and on the use of measures of attitudinal change in evaluation (p. 70).</w:t>
            </w:r>
          </w:p>
        </w:tc>
      </w:tr>
      <w:tr w:rsidR="0028759A" w:rsidTr="00807CB8">
        <w:tc>
          <w:tcPr>
            <w:tcW w:w="2235" w:type="dxa"/>
          </w:tcPr>
          <w:p w:rsidR="0028759A" w:rsidRPr="00FE5C9D" w:rsidRDefault="0028759A" w:rsidP="00066435">
            <w:pPr>
              <w:spacing w:after="200"/>
            </w:pPr>
            <w:r w:rsidRPr="00FE5C9D">
              <w:t xml:space="preserve">Young, </w:t>
            </w:r>
            <w:proofErr w:type="spellStart"/>
            <w:r w:rsidRPr="00FE5C9D">
              <w:t>Hopkin</w:t>
            </w:r>
            <w:proofErr w:type="spellEnd"/>
            <w:r>
              <w:t xml:space="preserve">, </w:t>
            </w:r>
            <w:r w:rsidRPr="00FE5C9D">
              <w:t>Perkins,</w:t>
            </w:r>
            <w:r>
              <w:t xml:space="preserve"> </w:t>
            </w:r>
            <w:r w:rsidRPr="00FE5C9D">
              <w:t>Farr,</w:t>
            </w:r>
            <w:r>
              <w:t xml:space="preserve"> </w:t>
            </w:r>
            <w:proofErr w:type="spellStart"/>
            <w:r w:rsidRPr="00FE5C9D">
              <w:t>Doidge</w:t>
            </w:r>
            <w:proofErr w:type="spellEnd"/>
            <w:r w:rsidRPr="00FE5C9D">
              <w:t>,</w:t>
            </w:r>
            <w:r>
              <w:t xml:space="preserve"> &amp; </w:t>
            </w:r>
            <w:proofErr w:type="spellStart"/>
            <w:r w:rsidRPr="00FE5C9D">
              <w:lastRenderedPageBreak/>
              <w:t>Gudjonsson</w:t>
            </w:r>
            <w:proofErr w:type="spellEnd"/>
            <w:r w:rsidRPr="00FE5C9D">
              <w:t xml:space="preserve"> </w:t>
            </w:r>
            <w:r>
              <w:t>(</w:t>
            </w:r>
            <w:r w:rsidRPr="00FE5C9D">
              <w:t>201</w:t>
            </w:r>
            <w:r>
              <w:t>3)</w:t>
            </w:r>
            <w:r w:rsidRPr="00FE5C9D">
              <w:t>.</w:t>
            </w:r>
            <w:r w:rsidR="005E1846">
              <w:t xml:space="preserve"> </w:t>
            </w:r>
            <w:r w:rsidR="005E1846" w:rsidRPr="00515BDD">
              <w:t>A controlled trial of a cognitive skills program for personality-disordered offenders.</w:t>
            </w:r>
          </w:p>
        </w:tc>
        <w:tc>
          <w:tcPr>
            <w:tcW w:w="2409" w:type="dxa"/>
          </w:tcPr>
          <w:p w:rsidR="0028759A" w:rsidRDefault="0028759A" w:rsidP="000B76BA">
            <w:r>
              <w:lastRenderedPageBreak/>
              <w:t>Experimental</w:t>
            </w:r>
          </w:p>
        </w:tc>
        <w:tc>
          <w:tcPr>
            <w:tcW w:w="3261" w:type="dxa"/>
          </w:tcPr>
          <w:p w:rsidR="0028759A" w:rsidRDefault="0028759A" w:rsidP="00BD3700">
            <w:pPr>
              <w:pStyle w:val="ListParagraph"/>
              <w:numPr>
                <w:ilvl w:val="0"/>
                <w:numId w:val="6"/>
              </w:numPr>
            </w:pPr>
            <w:r>
              <w:t xml:space="preserve">U.K. </w:t>
            </w:r>
          </w:p>
          <w:p w:rsidR="005E1846" w:rsidRDefault="005E1846" w:rsidP="00BD3700">
            <w:pPr>
              <w:pStyle w:val="ListParagraph"/>
              <w:numPr>
                <w:ilvl w:val="0"/>
                <w:numId w:val="6"/>
              </w:numPr>
            </w:pPr>
            <w:r>
              <w:t xml:space="preserve">31 males: 16 participated in group condition and 15 </w:t>
            </w:r>
            <w:proofErr w:type="gramStart"/>
            <w:r>
              <w:lastRenderedPageBreak/>
              <w:t>control</w:t>
            </w:r>
            <w:proofErr w:type="gramEnd"/>
            <w:r>
              <w:t>.</w:t>
            </w:r>
          </w:p>
          <w:p w:rsidR="0028759A" w:rsidRDefault="005E1846" w:rsidP="005E1846">
            <w:pPr>
              <w:pStyle w:val="ListParagraph"/>
              <w:numPr>
                <w:ilvl w:val="0"/>
                <w:numId w:val="6"/>
              </w:numPr>
            </w:pPr>
            <w:r>
              <w:t>W</w:t>
            </w:r>
            <w:r w:rsidR="0028759A">
              <w:t>hite (87</w:t>
            </w:r>
            <w:r w:rsidR="00916291">
              <w:t>.1</w:t>
            </w:r>
            <w:r w:rsidR="0028759A">
              <w:t>%)</w:t>
            </w:r>
            <w:r w:rsidR="00916291">
              <w:t>, black (9.7%)</w:t>
            </w:r>
            <w:r w:rsidR="0028759A">
              <w:t xml:space="preserve">, </w:t>
            </w:r>
            <w:r w:rsidR="00916291">
              <w:t xml:space="preserve">mixed race (3.2%), </w:t>
            </w:r>
            <w:r w:rsidR="0028759A">
              <w:t xml:space="preserve">average age of treatment </w:t>
            </w:r>
            <w:r>
              <w:t xml:space="preserve">group </w:t>
            </w:r>
            <w:r w:rsidR="0028759A">
              <w:t xml:space="preserve">43.37 and control </w:t>
            </w:r>
            <w:r>
              <w:t xml:space="preserve">group </w:t>
            </w:r>
            <w:r w:rsidR="0028759A">
              <w:t>36.93 years old</w:t>
            </w:r>
            <w:r w:rsidR="00734DB1">
              <w:t>.</w:t>
            </w:r>
          </w:p>
        </w:tc>
        <w:tc>
          <w:tcPr>
            <w:tcW w:w="6269" w:type="dxa"/>
          </w:tcPr>
          <w:p w:rsidR="0028759A" w:rsidRDefault="0028759A" w:rsidP="00916291">
            <w:pPr>
              <w:pStyle w:val="ListParagraph"/>
              <w:numPr>
                <w:ilvl w:val="0"/>
                <w:numId w:val="6"/>
              </w:numPr>
            </w:pPr>
            <w:r>
              <w:lastRenderedPageBreak/>
              <w:t>Reasoning and Rehabilitation ADHD program (R&amp;R2ADHD) was effective in a small sample of severely personality-disordered offenders</w:t>
            </w:r>
            <w:r w:rsidR="00916291">
              <w:t xml:space="preserve">. 75% of group </w:t>
            </w:r>
            <w:r w:rsidR="00916291">
              <w:lastRenderedPageBreak/>
              <w:t xml:space="preserve">participants completed the program, in contrast to the controls, showed significant improvements in scores with mainly </w:t>
            </w:r>
            <w:r w:rsidR="00916291" w:rsidRPr="00916291">
              <w:t>medium effect sizes</w:t>
            </w:r>
            <w:r w:rsidR="00916291">
              <w:t xml:space="preserve"> (using Cohen’s </w:t>
            </w:r>
            <w:r w:rsidR="00916291">
              <w:rPr>
                <w:i/>
              </w:rPr>
              <w:t xml:space="preserve">d </w:t>
            </w:r>
            <w:r w:rsidR="00916291">
              <w:t xml:space="preserve">for efficacy measures). </w:t>
            </w:r>
            <w:r>
              <w:t xml:space="preserve"> </w:t>
            </w:r>
          </w:p>
        </w:tc>
      </w:tr>
    </w:tbl>
    <w:p w:rsidR="00E92304" w:rsidRDefault="00E92304">
      <w:r>
        <w:lastRenderedPageBreak/>
        <w:br w:type="page"/>
      </w:r>
    </w:p>
    <w:tbl>
      <w:tblPr>
        <w:tblStyle w:val="TableGrid"/>
        <w:tblW w:w="0" w:type="auto"/>
        <w:tblLook w:val="04A0"/>
      </w:tblPr>
      <w:tblGrid>
        <w:gridCol w:w="2235"/>
        <w:gridCol w:w="2409"/>
        <w:gridCol w:w="3261"/>
        <w:gridCol w:w="6269"/>
      </w:tblGrid>
      <w:tr w:rsidR="0028759A" w:rsidTr="00993A4D">
        <w:tc>
          <w:tcPr>
            <w:tcW w:w="14174" w:type="dxa"/>
            <w:gridSpan w:val="4"/>
          </w:tcPr>
          <w:p w:rsidR="0028759A" w:rsidRPr="00FE5C9D" w:rsidRDefault="0028759A" w:rsidP="008A1B82">
            <w:pPr>
              <w:rPr>
                <w:b/>
                <w:i/>
              </w:rPr>
            </w:pPr>
            <w:r>
              <w:rPr>
                <w:b/>
                <w:i/>
              </w:rPr>
              <w:lastRenderedPageBreak/>
              <w:t>Area 2: Sports/leisure activities and lifestyle change</w:t>
            </w:r>
          </w:p>
        </w:tc>
      </w:tr>
      <w:tr w:rsidR="0028759A" w:rsidRPr="000B76BA" w:rsidTr="00807CB8">
        <w:tc>
          <w:tcPr>
            <w:tcW w:w="2235" w:type="dxa"/>
          </w:tcPr>
          <w:p w:rsidR="0028759A" w:rsidRPr="00C40B6A" w:rsidRDefault="0028759A" w:rsidP="00066435">
            <w:r w:rsidRPr="00C40B6A">
              <w:t xml:space="preserve">Hartmann &amp; </w:t>
            </w:r>
            <w:proofErr w:type="spellStart"/>
            <w:r w:rsidRPr="00C40B6A">
              <w:t>Depro</w:t>
            </w:r>
            <w:proofErr w:type="spellEnd"/>
            <w:r w:rsidRPr="00C40B6A">
              <w:t xml:space="preserve"> (2006)</w:t>
            </w:r>
            <w:r w:rsidR="001B3612">
              <w:t xml:space="preserve">. Rethinking sports-based community crime prevention: A preliminary analysis of the relationship between midnight basketball and urban crime rates. </w:t>
            </w:r>
          </w:p>
        </w:tc>
        <w:tc>
          <w:tcPr>
            <w:tcW w:w="2409" w:type="dxa"/>
          </w:tcPr>
          <w:p w:rsidR="001B3612" w:rsidRDefault="001B3612" w:rsidP="00C67906">
            <w:r>
              <w:t>Non-experimental</w:t>
            </w:r>
          </w:p>
          <w:p w:rsidR="0028759A" w:rsidRPr="00C40B6A" w:rsidRDefault="0028759A" w:rsidP="00C67906">
            <w:r w:rsidRPr="00C40B6A">
              <w:t>Pre-post crime data</w:t>
            </w:r>
          </w:p>
        </w:tc>
        <w:tc>
          <w:tcPr>
            <w:tcW w:w="3261" w:type="dxa"/>
          </w:tcPr>
          <w:p w:rsidR="0028759A" w:rsidRDefault="0028759A" w:rsidP="00C67906">
            <w:pPr>
              <w:pStyle w:val="ListParagraph"/>
              <w:numPr>
                <w:ilvl w:val="0"/>
                <w:numId w:val="6"/>
              </w:numPr>
            </w:pPr>
            <w:r w:rsidRPr="00C40B6A">
              <w:t xml:space="preserve">U.S. </w:t>
            </w:r>
          </w:p>
          <w:p w:rsidR="00C40B6A" w:rsidRDefault="00C40B6A" w:rsidP="00C67906">
            <w:pPr>
              <w:pStyle w:val="ListParagraph"/>
              <w:numPr>
                <w:ilvl w:val="0"/>
                <w:numId w:val="6"/>
              </w:numPr>
            </w:pPr>
            <w:r>
              <w:t>Target group was young men between the ages 17 and 22 years</w:t>
            </w:r>
            <w:r w:rsidR="00734DB1">
              <w:t>.</w:t>
            </w:r>
          </w:p>
          <w:p w:rsidR="00AE5D02" w:rsidRPr="00C40B6A" w:rsidRDefault="00AE5D02" w:rsidP="00734DB1">
            <w:pPr>
              <w:pStyle w:val="ListParagraph"/>
              <w:numPr>
                <w:ilvl w:val="0"/>
                <w:numId w:val="6"/>
              </w:numPr>
            </w:pPr>
            <w:r>
              <w:t>28 cities with midnight basketball and 170 cities without</w:t>
            </w:r>
            <w:r w:rsidR="00734DB1">
              <w:t>.</w:t>
            </w:r>
          </w:p>
        </w:tc>
        <w:tc>
          <w:tcPr>
            <w:tcW w:w="6269" w:type="dxa"/>
          </w:tcPr>
          <w:p w:rsidR="001B3612" w:rsidRDefault="008F295B" w:rsidP="00C40B6A">
            <w:pPr>
              <w:pStyle w:val="ListParagraph"/>
              <w:numPr>
                <w:ilvl w:val="0"/>
                <w:numId w:val="6"/>
              </w:numPr>
            </w:pPr>
            <w:r>
              <w:t>“</w:t>
            </w:r>
            <w:r w:rsidR="00C40B6A">
              <w:t>Results show cities that were early adopters of officially sanctioned midnight basketball leagues experienced sharper decreases in property crime rates than other American cities during a period in which there was broad support for midnight basketball programs</w:t>
            </w:r>
            <w:r>
              <w:t>” (</w:t>
            </w:r>
            <w:r>
              <w:rPr>
                <w:i/>
              </w:rPr>
              <w:t>p&lt;</w:t>
            </w:r>
            <w:r>
              <w:t>.05) (p. 181).</w:t>
            </w:r>
            <w:r w:rsidR="00C40B6A">
              <w:t xml:space="preserve"> </w:t>
            </w:r>
          </w:p>
          <w:p w:rsidR="0028759A" w:rsidRPr="00C40B6A" w:rsidRDefault="0028759A" w:rsidP="00C40B6A">
            <w:pPr>
              <w:pStyle w:val="ListParagraph"/>
              <w:numPr>
                <w:ilvl w:val="0"/>
                <w:numId w:val="6"/>
              </w:numPr>
            </w:pPr>
          </w:p>
        </w:tc>
      </w:tr>
      <w:tr w:rsidR="0028759A" w:rsidRPr="000B76BA" w:rsidTr="00807CB8">
        <w:tc>
          <w:tcPr>
            <w:tcW w:w="2235" w:type="dxa"/>
          </w:tcPr>
          <w:p w:rsidR="0028759A" w:rsidRPr="000B76BA" w:rsidRDefault="0028759A" w:rsidP="00066435">
            <w:pPr>
              <w:rPr>
                <w:highlight w:val="yellow"/>
              </w:rPr>
            </w:pPr>
            <w:r w:rsidRPr="000B76BA">
              <w:rPr>
                <w:highlight w:val="yellow"/>
              </w:rPr>
              <w:t xml:space="preserve">Hawkins (1998). </w:t>
            </w:r>
            <w:r w:rsidR="001B3612" w:rsidRPr="00515BDD">
              <w:t>Evening basketball leagues: The use of sport to reduce African American youth criminal activity.</w:t>
            </w:r>
          </w:p>
        </w:tc>
        <w:tc>
          <w:tcPr>
            <w:tcW w:w="2409" w:type="dxa"/>
          </w:tcPr>
          <w:p w:rsidR="0028759A" w:rsidRPr="000B76BA" w:rsidRDefault="0028759A" w:rsidP="000E4913">
            <w:pPr>
              <w:rPr>
                <w:highlight w:val="yellow"/>
              </w:rPr>
            </w:pPr>
            <w:r w:rsidRPr="000B76BA">
              <w:rPr>
                <w:highlight w:val="yellow"/>
              </w:rPr>
              <w:t>Can’t find copy</w:t>
            </w:r>
          </w:p>
        </w:tc>
        <w:tc>
          <w:tcPr>
            <w:tcW w:w="3261" w:type="dxa"/>
          </w:tcPr>
          <w:p w:rsidR="0028759A" w:rsidRPr="000B76BA" w:rsidRDefault="0028759A" w:rsidP="00993A4D">
            <w:pPr>
              <w:pStyle w:val="ListParagraph"/>
              <w:numPr>
                <w:ilvl w:val="0"/>
                <w:numId w:val="6"/>
              </w:numPr>
              <w:rPr>
                <w:highlight w:val="yellow"/>
              </w:rPr>
            </w:pPr>
          </w:p>
        </w:tc>
        <w:tc>
          <w:tcPr>
            <w:tcW w:w="6269" w:type="dxa"/>
          </w:tcPr>
          <w:p w:rsidR="0028759A" w:rsidRPr="000B76BA" w:rsidRDefault="0028759A" w:rsidP="00993A4D">
            <w:pPr>
              <w:pStyle w:val="ListParagraph"/>
              <w:numPr>
                <w:ilvl w:val="0"/>
                <w:numId w:val="6"/>
              </w:numPr>
              <w:rPr>
                <w:highlight w:val="yellow"/>
              </w:rPr>
            </w:pPr>
          </w:p>
        </w:tc>
      </w:tr>
      <w:tr w:rsidR="0028759A" w:rsidRPr="000B76BA" w:rsidTr="00807CB8">
        <w:tc>
          <w:tcPr>
            <w:tcW w:w="2235" w:type="dxa"/>
          </w:tcPr>
          <w:p w:rsidR="0028759A" w:rsidRPr="007226E6" w:rsidRDefault="0028759A" w:rsidP="00DC53CE">
            <w:pPr>
              <w:rPr>
                <w:i/>
              </w:rPr>
            </w:pPr>
            <w:r w:rsidRPr="007226E6">
              <w:t xml:space="preserve">Home Office. (2006). </w:t>
            </w:r>
            <w:r w:rsidR="007226E6">
              <w:rPr>
                <w:i/>
              </w:rPr>
              <w:t xml:space="preserve">Positive futures impact report: End of season review. </w:t>
            </w:r>
          </w:p>
        </w:tc>
        <w:tc>
          <w:tcPr>
            <w:tcW w:w="2409" w:type="dxa"/>
          </w:tcPr>
          <w:p w:rsidR="0028759A" w:rsidRPr="007226E6" w:rsidRDefault="007226E6" w:rsidP="0040692D">
            <w:r w:rsidRPr="007226E6">
              <w:t>Non-experimental</w:t>
            </w:r>
          </w:p>
        </w:tc>
        <w:tc>
          <w:tcPr>
            <w:tcW w:w="3261" w:type="dxa"/>
          </w:tcPr>
          <w:p w:rsidR="0028759A" w:rsidRPr="007226E6" w:rsidRDefault="007226E6" w:rsidP="00993A4D">
            <w:pPr>
              <w:pStyle w:val="ListParagraph"/>
              <w:numPr>
                <w:ilvl w:val="0"/>
                <w:numId w:val="6"/>
              </w:numPr>
            </w:pPr>
            <w:r w:rsidRPr="007226E6">
              <w:t>U.K.</w:t>
            </w:r>
          </w:p>
          <w:p w:rsidR="007226E6" w:rsidRDefault="00D24123" w:rsidP="00D24123">
            <w:pPr>
              <w:pStyle w:val="ListParagraph"/>
              <w:numPr>
                <w:ilvl w:val="0"/>
                <w:numId w:val="6"/>
              </w:numPr>
            </w:pPr>
            <w:r>
              <w:t xml:space="preserve">109,546 young people have been involved in the project. </w:t>
            </w:r>
          </w:p>
          <w:p w:rsidR="00D24123" w:rsidRDefault="00D24123" w:rsidP="00D24123">
            <w:pPr>
              <w:pStyle w:val="ListParagraph"/>
              <w:numPr>
                <w:ilvl w:val="0"/>
                <w:numId w:val="6"/>
              </w:numPr>
            </w:pPr>
            <w:r>
              <w:rPr>
                <w:i/>
              </w:rPr>
              <w:t>n=</w:t>
            </w:r>
            <w:r>
              <w:t xml:space="preserve">19,609 males, </w:t>
            </w:r>
            <w:r>
              <w:rPr>
                <w:i/>
              </w:rPr>
              <w:t>n=</w:t>
            </w:r>
            <w:r>
              <w:t>10,277 females</w:t>
            </w:r>
          </w:p>
          <w:p w:rsidR="00D24123" w:rsidRDefault="00D24123" w:rsidP="00D24123">
            <w:pPr>
              <w:pStyle w:val="ListParagraph"/>
              <w:numPr>
                <w:ilvl w:val="0"/>
                <w:numId w:val="6"/>
              </w:numPr>
            </w:pPr>
            <w:r>
              <w:t xml:space="preserve">10-12 year olds </w:t>
            </w:r>
            <w:r>
              <w:rPr>
                <w:i/>
              </w:rPr>
              <w:t>n=</w:t>
            </w:r>
            <w:r>
              <w:t xml:space="preserve">4,947, 13-16 year olds </w:t>
            </w:r>
            <w:r>
              <w:rPr>
                <w:i/>
              </w:rPr>
              <w:t>n=</w:t>
            </w:r>
            <w:r>
              <w:t xml:space="preserve">7,749, 17 years and older </w:t>
            </w:r>
            <w:r>
              <w:rPr>
                <w:i/>
              </w:rPr>
              <w:t>n=</w:t>
            </w:r>
            <w:r>
              <w:t xml:space="preserve"> 2,888</w:t>
            </w:r>
          </w:p>
          <w:p w:rsidR="00D24123" w:rsidRPr="007226E6" w:rsidRDefault="00D24123" w:rsidP="00D24123">
            <w:pPr>
              <w:pStyle w:val="ListParagraph"/>
              <w:numPr>
                <w:ilvl w:val="0"/>
                <w:numId w:val="6"/>
              </w:numPr>
            </w:pPr>
            <w:r>
              <w:t xml:space="preserve">Ethnic groups- white </w:t>
            </w:r>
            <w:r>
              <w:rPr>
                <w:i/>
              </w:rPr>
              <w:t>n=</w:t>
            </w:r>
            <w:r>
              <w:t xml:space="preserve"> 10,562, black </w:t>
            </w:r>
            <w:r>
              <w:rPr>
                <w:i/>
              </w:rPr>
              <w:t>n=</w:t>
            </w:r>
            <w:r>
              <w:t xml:space="preserve">1,782, Asian </w:t>
            </w:r>
            <w:r>
              <w:rPr>
                <w:i/>
              </w:rPr>
              <w:t>n=</w:t>
            </w:r>
            <w:r>
              <w:t xml:space="preserve">1,137, Mixed black </w:t>
            </w:r>
            <w:r>
              <w:rPr>
                <w:i/>
              </w:rPr>
              <w:t>n=</w:t>
            </w:r>
            <w:r>
              <w:t xml:space="preserve">1,025, other </w:t>
            </w:r>
            <w:r>
              <w:rPr>
                <w:i/>
              </w:rPr>
              <w:lastRenderedPageBreak/>
              <w:t>n=</w:t>
            </w:r>
            <w:r>
              <w:t xml:space="preserve">839, Irish </w:t>
            </w:r>
            <w:r>
              <w:rPr>
                <w:i/>
              </w:rPr>
              <w:t>n=</w:t>
            </w:r>
            <w:r w:rsidR="003658BE">
              <w:t xml:space="preserve">173, Mixed Asian </w:t>
            </w:r>
            <w:r w:rsidR="003658BE">
              <w:rPr>
                <w:i/>
              </w:rPr>
              <w:t>n=</w:t>
            </w:r>
            <w:r w:rsidR="003658BE">
              <w:t>88.</w:t>
            </w:r>
          </w:p>
        </w:tc>
        <w:tc>
          <w:tcPr>
            <w:tcW w:w="6269" w:type="dxa"/>
          </w:tcPr>
          <w:p w:rsidR="003658BE" w:rsidRPr="003658BE" w:rsidRDefault="003658BE" w:rsidP="003658BE">
            <w:pPr>
              <w:pStyle w:val="ListParagraph"/>
              <w:numPr>
                <w:ilvl w:val="0"/>
                <w:numId w:val="6"/>
              </w:numPr>
              <w:autoSpaceDE w:val="0"/>
              <w:autoSpaceDN w:val="0"/>
              <w:adjustRightInd w:val="0"/>
            </w:pPr>
            <w:r w:rsidRPr="003658BE">
              <w:lastRenderedPageBreak/>
              <w:t>“Between March and September 2005</w:t>
            </w:r>
            <w:r w:rsidR="00625FFE">
              <w:t xml:space="preserve"> </w:t>
            </w:r>
            <w:r w:rsidRPr="003658BE">
              <w:t>almost 600 participants began looking for a job, with a similar number having actually obtained employment; – 509 young people took on volunteering roles; – over 4,000 participants signed up for, or completed, awards or training through Positive Futures projects; – 736 participants returned to full-time education and 1,756 were doing better in school since they became involved with Positive Futures; and – Positive Futures staff perceive that over 2,000 young people have improved their relations with peers and that 1,237 participants have made progress with their family relations</w:t>
            </w:r>
            <w:r>
              <w:t>” (p. 4)</w:t>
            </w:r>
            <w:r w:rsidRPr="003658BE">
              <w:t>.</w:t>
            </w:r>
          </w:p>
          <w:p w:rsidR="003658BE" w:rsidRPr="007226E6" w:rsidRDefault="003658BE" w:rsidP="003658BE">
            <w:pPr>
              <w:pStyle w:val="ListParagraph"/>
              <w:numPr>
                <w:ilvl w:val="0"/>
                <w:numId w:val="6"/>
              </w:numPr>
              <w:autoSpaceDE w:val="0"/>
              <w:autoSpaceDN w:val="0"/>
              <w:adjustRightInd w:val="0"/>
            </w:pPr>
            <w:r>
              <w:t>“</w:t>
            </w:r>
            <w:r w:rsidRPr="003658BE">
              <w:t xml:space="preserve">In terms of the ultimate key aim of Positive Futures ‘to have a positive influence on participants’ substance </w:t>
            </w:r>
            <w:r w:rsidRPr="003658BE">
              <w:lastRenderedPageBreak/>
              <w:t>misuse, physical activity and offending behaviour’: – 50 per cent of project partners believe that Positive Futures makes a positive difference to drug use; – 90 per cent of project partners believe that Positive Futures makes a positive difference to the availability of sports activities; – 76 per cent of project partners believe that Positive Futures makes a positive difference to anti-social behaviour; and – 68 per cent of project partners believe that Positive Futures makes a positive difference to local crime rates</w:t>
            </w:r>
            <w:r>
              <w:t>” (p. 5)</w:t>
            </w:r>
            <w:r w:rsidRPr="003658BE">
              <w:t>.</w:t>
            </w:r>
          </w:p>
        </w:tc>
      </w:tr>
      <w:tr w:rsidR="0028759A" w:rsidTr="00807CB8">
        <w:tc>
          <w:tcPr>
            <w:tcW w:w="2235" w:type="dxa"/>
          </w:tcPr>
          <w:p w:rsidR="0028759A" w:rsidRPr="006B669C" w:rsidRDefault="0028759A" w:rsidP="00323871">
            <w:pPr>
              <w:rPr>
                <w:highlight w:val="yellow"/>
              </w:rPr>
            </w:pPr>
            <w:r w:rsidRPr="006B669C">
              <w:rPr>
                <w:highlight w:val="yellow"/>
              </w:rPr>
              <w:lastRenderedPageBreak/>
              <w:t>Martin, Lee, &amp; Brown (2003).</w:t>
            </w:r>
            <w:r w:rsidR="008F295B">
              <w:rPr>
                <w:highlight w:val="yellow"/>
              </w:rPr>
              <w:t xml:space="preserve"> </w:t>
            </w:r>
            <w:r w:rsidR="008F295B" w:rsidRPr="00515BDD">
              <w:rPr>
                <w:i/>
              </w:rPr>
              <w:t>Evaluation of positive futures</w:t>
            </w:r>
            <w:r w:rsidR="008F295B" w:rsidRPr="00515BDD">
              <w:t>.</w:t>
            </w:r>
          </w:p>
        </w:tc>
        <w:tc>
          <w:tcPr>
            <w:tcW w:w="2409" w:type="dxa"/>
          </w:tcPr>
          <w:p w:rsidR="0028759A" w:rsidRPr="006B669C" w:rsidRDefault="0028759A" w:rsidP="006B669C">
            <w:pPr>
              <w:rPr>
                <w:highlight w:val="yellow"/>
              </w:rPr>
            </w:pPr>
            <w:r w:rsidRPr="006B669C">
              <w:rPr>
                <w:highlight w:val="yellow"/>
              </w:rPr>
              <w:t>Can’t find copy</w:t>
            </w:r>
          </w:p>
        </w:tc>
        <w:tc>
          <w:tcPr>
            <w:tcW w:w="3261" w:type="dxa"/>
          </w:tcPr>
          <w:p w:rsidR="0028759A" w:rsidRPr="006B669C" w:rsidRDefault="0028759A" w:rsidP="00993A4D">
            <w:pPr>
              <w:pStyle w:val="ListParagraph"/>
              <w:numPr>
                <w:ilvl w:val="0"/>
                <w:numId w:val="6"/>
              </w:numPr>
              <w:rPr>
                <w:highlight w:val="yellow"/>
              </w:rPr>
            </w:pPr>
          </w:p>
        </w:tc>
        <w:tc>
          <w:tcPr>
            <w:tcW w:w="6269" w:type="dxa"/>
          </w:tcPr>
          <w:p w:rsidR="0028759A" w:rsidRPr="006B669C" w:rsidRDefault="0028759A" w:rsidP="00993A4D">
            <w:pPr>
              <w:pStyle w:val="ListParagraph"/>
              <w:numPr>
                <w:ilvl w:val="0"/>
                <w:numId w:val="6"/>
              </w:numPr>
              <w:rPr>
                <w:highlight w:val="yellow"/>
              </w:rPr>
            </w:pPr>
          </w:p>
        </w:tc>
      </w:tr>
      <w:tr w:rsidR="0028759A" w:rsidTr="00807CB8">
        <w:tc>
          <w:tcPr>
            <w:tcW w:w="2235" w:type="dxa"/>
          </w:tcPr>
          <w:p w:rsidR="0028759A" w:rsidRPr="00FE5C9D" w:rsidRDefault="0028759A" w:rsidP="00323871">
            <w:r w:rsidRPr="00515BDD">
              <w:t>Meek</w:t>
            </w:r>
            <w:r>
              <w:t xml:space="preserve"> (2012).</w:t>
            </w:r>
            <w:r w:rsidR="008F295B">
              <w:t xml:space="preserve"> </w:t>
            </w:r>
            <w:r w:rsidR="008F295B" w:rsidRPr="00515BDD">
              <w:rPr>
                <w:i/>
              </w:rPr>
              <w:t>The role of sport in promoting desistance from crime: An evaluation of the 2</w:t>
            </w:r>
            <w:r w:rsidR="008F295B" w:rsidRPr="00515BDD">
              <w:rPr>
                <w:i/>
                <w:vertAlign w:val="superscript"/>
              </w:rPr>
              <w:t>nd</w:t>
            </w:r>
            <w:r w:rsidR="008F295B" w:rsidRPr="00515BDD">
              <w:rPr>
                <w:i/>
              </w:rPr>
              <w:t xml:space="preserve"> chance project rugby and football academies at Portland young offender institutions.</w:t>
            </w:r>
          </w:p>
        </w:tc>
        <w:tc>
          <w:tcPr>
            <w:tcW w:w="2409" w:type="dxa"/>
          </w:tcPr>
          <w:p w:rsidR="00D64447" w:rsidRDefault="00D64447" w:rsidP="00E954BD">
            <w:pPr>
              <w:tabs>
                <w:tab w:val="center" w:pos="1096"/>
              </w:tabs>
            </w:pPr>
            <w:r>
              <w:t>Non-experimental</w:t>
            </w:r>
          </w:p>
          <w:p w:rsidR="0028759A" w:rsidRDefault="00D64447" w:rsidP="00E954BD">
            <w:pPr>
              <w:tabs>
                <w:tab w:val="center" w:pos="1096"/>
              </w:tabs>
            </w:pPr>
            <w:r>
              <w:t xml:space="preserve">Mixed methods </w:t>
            </w:r>
          </w:p>
          <w:p w:rsidR="00D64447" w:rsidRDefault="00D64447" w:rsidP="00E954BD">
            <w:pPr>
              <w:tabs>
                <w:tab w:val="center" w:pos="1096"/>
              </w:tabs>
            </w:pPr>
            <w:r>
              <w:t>One to t</w:t>
            </w:r>
            <w:r w:rsidR="00E954BD">
              <w:t xml:space="preserve">wo </w:t>
            </w:r>
            <w:r>
              <w:t xml:space="preserve">year reconviction data </w:t>
            </w:r>
          </w:p>
          <w:p w:rsidR="00D64447" w:rsidRDefault="00D64447" w:rsidP="00E954BD">
            <w:pPr>
              <w:tabs>
                <w:tab w:val="center" w:pos="1096"/>
              </w:tabs>
            </w:pPr>
            <w:r>
              <w:t xml:space="preserve">Interviews </w:t>
            </w:r>
          </w:p>
        </w:tc>
        <w:tc>
          <w:tcPr>
            <w:tcW w:w="3261" w:type="dxa"/>
          </w:tcPr>
          <w:p w:rsidR="0028759A" w:rsidRDefault="0028759A" w:rsidP="00993A4D">
            <w:pPr>
              <w:pStyle w:val="ListParagraph"/>
              <w:numPr>
                <w:ilvl w:val="0"/>
                <w:numId w:val="6"/>
              </w:numPr>
            </w:pPr>
            <w:r>
              <w:t xml:space="preserve">U.K.  </w:t>
            </w:r>
          </w:p>
          <w:p w:rsidR="0028759A" w:rsidRDefault="004969A2" w:rsidP="004969A2">
            <w:pPr>
              <w:pStyle w:val="ListParagraph"/>
              <w:numPr>
                <w:ilvl w:val="0"/>
                <w:numId w:val="6"/>
              </w:numPr>
            </w:pPr>
            <w:r>
              <w:t>79 male offenders</w:t>
            </w:r>
            <w:r w:rsidR="00734DB1">
              <w:t>.</w:t>
            </w:r>
          </w:p>
          <w:p w:rsidR="0028759A" w:rsidRDefault="0028759A" w:rsidP="00734DB1">
            <w:pPr>
              <w:pStyle w:val="ListParagraph"/>
              <w:numPr>
                <w:ilvl w:val="0"/>
                <w:numId w:val="6"/>
              </w:numPr>
            </w:pPr>
            <w:r>
              <w:t>Age range 18-21 years old (mean of 19 years and 8 months), 46% white, 33% black, 21% mixed race, Asian, or ‘other’</w:t>
            </w:r>
            <w:r w:rsidR="00734DB1">
              <w:t>.</w:t>
            </w:r>
          </w:p>
        </w:tc>
        <w:tc>
          <w:tcPr>
            <w:tcW w:w="6269" w:type="dxa"/>
          </w:tcPr>
          <w:p w:rsidR="0028759A" w:rsidRDefault="00E954BD" w:rsidP="00D64447">
            <w:pPr>
              <w:pStyle w:val="ListParagraph"/>
              <w:numPr>
                <w:ilvl w:val="0"/>
                <w:numId w:val="6"/>
              </w:numPr>
            </w:pPr>
            <w:r>
              <w:t>“</w:t>
            </w:r>
            <w:r w:rsidR="0028759A">
              <w:t>Of</w:t>
            </w:r>
            <w:r>
              <w:t xml:space="preserve"> the</w:t>
            </w:r>
            <w:r w:rsidR="0028759A">
              <w:t xml:space="preserve"> 50 participants who had been released over the past 18 months of study, nine had reoffended or been recalled to prison, 18% reconviction rate (compared to prison average of 48% after one year) (p. 2). </w:t>
            </w:r>
          </w:p>
          <w:p w:rsidR="0028759A" w:rsidRDefault="0028759A" w:rsidP="009908F9">
            <w:pPr>
              <w:pStyle w:val="ListParagraph"/>
              <w:numPr>
                <w:ilvl w:val="0"/>
                <w:numId w:val="6"/>
              </w:numPr>
            </w:pPr>
            <w:r>
              <w:t>Statistically significant improvements were observed in established measures of conflict resolution</w:t>
            </w:r>
            <w:r w:rsidR="006D40B2">
              <w:t xml:space="preserve">, </w:t>
            </w:r>
            <w:r>
              <w:t>aggression</w:t>
            </w:r>
            <w:r w:rsidR="00D64447">
              <w:t xml:space="preserve"> (F (2</w:t>
            </w:r>
            <w:proofErr w:type="gramStart"/>
            <w:r w:rsidR="00D64447">
              <w:t>,98</w:t>
            </w:r>
            <w:proofErr w:type="gramEnd"/>
            <w:r w:rsidR="00D64447">
              <w:t xml:space="preserve">), </w:t>
            </w:r>
            <w:proofErr w:type="spellStart"/>
            <w:r w:rsidR="00D64447" w:rsidRPr="006D40B2">
              <w:rPr>
                <w:i/>
              </w:rPr>
              <w:t>df</w:t>
            </w:r>
            <w:proofErr w:type="spellEnd"/>
            <w:r w:rsidR="00D64447" w:rsidRPr="006D40B2">
              <w:rPr>
                <w:i/>
              </w:rPr>
              <w:t xml:space="preserve"> </w:t>
            </w:r>
            <w:r w:rsidR="00D64447">
              <w:t xml:space="preserve">2.34, </w:t>
            </w:r>
            <w:r w:rsidR="00D64447" w:rsidRPr="00D64447">
              <w:rPr>
                <w:i/>
              </w:rPr>
              <w:t>p</w:t>
            </w:r>
            <w:r w:rsidR="00D64447">
              <w:t>&lt;.05)</w:t>
            </w:r>
            <w:r>
              <w:t>, impulsivity</w:t>
            </w:r>
            <w:r w:rsidR="00D64447">
              <w:t xml:space="preserve"> (F (4,85), </w:t>
            </w:r>
            <w:proofErr w:type="spellStart"/>
            <w:r w:rsidR="00D64447">
              <w:rPr>
                <w:i/>
              </w:rPr>
              <w:t>df</w:t>
            </w:r>
            <w:proofErr w:type="spellEnd"/>
            <w:r w:rsidR="00D64447">
              <w:rPr>
                <w:i/>
              </w:rPr>
              <w:t xml:space="preserve"> </w:t>
            </w:r>
            <w:r w:rsidR="00D64447">
              <w:t xml:space="preserve">2.26, </w:t>
            </w:r>
            <w:r w:rsidR="00D64447">
              <w:rPr>
                <w:i/>
              </w:rPr>
              <w:t>p&lt;</w:t>
            </w:r>
            <w:r w:rsidR="00D64447">
              <w:t>.01)</w:t>
            </w:r>
            <w:r>
              <w:t>, and attitudes towards offending</w:t>
            </w:r>
            <w:r w:rsidR="00D64447">
              <w:t xml:space="preserve"> (F (2,62), </w:t>
            </w:r>
            <w:proofErr w:type="spellStart"/>
            <w:r w:rsidR="00D64447">
              <w:rPr>
                <w:i/>
              </w:rPr>
              <w:t>df</w:t>
            </w:r>
            <w:proofErr w:type="spellEnd"/>
            <w:r w:rsidR="00D64447">
              <w:rPr>
                <w:i/>
              </w:rPr>
              <w:t xml:space="preserve"> </w:t>
            </w:r>
            <w:r w:rsidR="00D64447">
              <w:t xml:space="preserve">2.34, </w:t>
            </w:r>
            <w:r w:rsidR="00D64447">
              <w:rPr>
                <w:i/>
              </w:rPr>
              <w:t>p</w:t>
            </w:r>
            <w:r w:rsidR="00D64447">
              <w:t>&lt;.05)</w:t>
            </w:r>
            <w:r>
              <w:t xml:space="preserve"> following participation (</w:t>
            </w:r>
            <w:r w:rsidR="00D64447">
              <w:t>pp</w:t>
            </w:r>
            <w:r>
              <w:t>. 2</w:t>
            </w:r>
            <w:r w:rsidR="00D64447">
              <w:t xml:space="preserve"> &amp; 18</w:t>
            </w:r>
            <w:r>
              <w:t>).</w:t>
            </w:r>
          </w:p>
          <w:p w:rsidR="0028759A" w:rsidRDefault="00D64447" w:rsidP="009908F9">
            <w:pPr>
              <w:pStyle w:val="ListParagraph"/>
              <w:numPr>
                <w:ilvl w:val="0"/>
                <w:numId w:val="6"/>
              </w:numPr>
            </w:pPr>
            <w:r>
              <w:t>“</w:t>
            </w:r>
            <w:r w:rsidR="0028759A">
              <w:t>Qualitative interviews and testimonies illustrated the positive impact of participation on behaviour within the prison, staff-prisoner relationships and the resettlement opportunities for prisoners in managing the transition from custody to community</w:t>
            </w:r>
            <w:r>
              <w:t>”</w:t>
            </w:r>
            <w:r w:rsidR="0028759A">
              <w:t xml:space="preserve"> (p. 2).</w:t>
            </w:r>
          </w:p>
        </w:tc>
      </w:tr>
      <w:tr w:rsidR="0028759A" w:rsidTr="00807CB8">
        <w:tc>
          <w:tcPr>
            <w:tcW w:w="2235" w:type="dxa"/>
          </w:tcPr>
          <w:p w:rsidR="0028759A" w:rsidRPr="006B669C" w:rsidRDefault="0028759A" w:rsidP="00323871">
            <w:pPr>
              <w:rPr>
                <w:highlight w:val="yellow"/>
              </w:rPr>
            </w:pPr>
            <w:r w:rsidRPr="006B669C">
              <w:rPr>
                <w:highlight w:val="yellow"/>
              </w:rPr>
              <w:t xml:space="preserve">Meek, Champion, &amp; </w:t>
            </w:r>
            <w:proofErr w:type="spellStart"/>
            <w:r w:rsidRPr="006B669C">
              <w:rPr>
                <w:highlight w:val="yellow"/>
              </w:rPr>
              <w:t>Klier</w:t>
            </w:r>
            <w:proofErr w:type="spellEnd"/>
            <w:r w:rsidRPr="006B669C">
              <w:rPr>
                <w:highlight w:val="yellow"/>
              </w:rPr>
              <w:t xml:space="preserve"> (2012).</w:t>
            </w:r>
            <w:r w:rsidR="00BD3476">
              <w:rPr>
                <w:highlight w:val="yellow"/>
              </w:rPr>
              <w:t xml:space="preserve"> </w:t>
            </w:r>
            <w:r w:rsidR="00BD3476" w:rsidRPr="00515BDD">
              <w:rPr>
                <w:i/>
              </w:rPr>
              <w:t xml:space="preserve">Fit for release: How sports-based learning can help prisoners </w:t>
            </w:r>
            <w:r w:rsidR="00BD3476" w:rsidRPr="00515BDD">
              <w:rPr>
                <w:i/>
              </w:rPr>
              <w:lastRenderedPageBreak/>
              <w:t>engage in education, gain employment and desist from crime.</w:t>
            </w:r>
          </w:p>
        </w:tc>
        <w:tc>
          <w:tcPr>
            <w:tcW w:w="2409" w:type="dxa"/>
          </w:tcPr>
          <w:p w:rsidR="0028759A" w:rsidRPr="006B669C" w:rsidRDefault="0028759A" w:rsidP="00377D45">
            <w:pPr>
              <w:rPr>
                <w:highlight w:val="yellow"/>
              </w:rPr>
            </w:pPr>
            <w:r w:rsidRPr="006B669C">
              <w:rPr>
                <w:highlight w:val="yellow"/>
              </w:rPr>
              <w:lastRenderedPageBreak/>
              <w:t>Can’t find copy</w:t>
            </w:r>
          </w:p>
        </w:tc>
        <w:tc>
          <w:tcPr>
            <w:tcW w:w="3261" w:type="dxa"/>
          </w:tcPr>
          <w:p w:rsidR="0028759A" w:rsidRPr="006B669C" w:rsidRDefault="0028759A" w:rsidP="00993A4D">
            <w:pPr>
              <w:pStyle w:val="ListParagraph"/>
              <w:numPr>
                <w:ilvl w:val="0"/>
                <w:numId w:val="6"/>
              </w:numPr>
              <w:rPr>
                <w:highlight w:val="yellow"/>
              </w:rPr>
            </w:pPr>
          </w:p>
        </w:tc>
        <w:tc>
          <w:tcPr>
            <w:tcW w:w="6269" w:type="dxa"/>
          </w:tcPr>
          <w:p w:rsidR="0028759A" w:rsidRPr="006B669C" w:rsidRDefault="0028759A" w:rsidP="00993A4D">
            <w:pPr>
              <w:pStyle w:val="ListParagraph"/>
              <w:numPr>
                <w:ilvl w:val="0"/>
                <w:numId w:val="6"/>
              </w:numPr>
              <w:rPr>
                <w:highlight w:val="yellow"/>
              </w:rPr>
            </w:pPr>
          </w:p>
        </w:tc>
      </w:tr>
      <w:tr w:rsidR="0028759A" w:rsidRPr="006B669C" w:rsidTr="00807CB8">
        <w:tc>
          <w:tcPr>
            <w:tcW w:w="2235" w:type="dxa"/>
          </w:tcPr>
          <w:p w:rsidR="0028759A" w:rsidRPr="006B669C" w:rsidRDefault="0028759A" w:rsidP="00323871">
            <w:pPr>
              <w:rPr>
                <w:highlight w:val="yellow"/>
              </w:rPr>
            </w:pPr>
            <w:r w:rsidRPr="006B669C">
              <w:rPr>
                <w:highlight w:val="yellow"/>
              </w:rPr>
              <w:lastRenderedPageBreak/>
              <w:t>Nichols &amp; Taylor (1996).</w:t>
            </w:r>
            <w:r w:rsidR="00BD3476">
              <w:rPr>
                <w:highlight w:val="yellow"/>
              </w:rPr>
              <w:t xml:space="preserve"> </w:t>
            </w:r>
            <w:r w:rsidR="00BD3476" w:rsidRPr="00515BDD">
              <w:rPr>
                <w:i/>
              </w:rPr>
              <w:t>West Yorkshire probation service sports counselling project final evaluating report.</w:t>
            </w:r>
          </w:p>
        </w:tc>
        <w:tc>
          <w:tcPr>
            <w:tcW w:w="2409" w:type="dxa"/>
          </w:tcPr>
          <w:p w:rsidR="0028759A" w:rsidRPr="006B669C" w:rsidRDefault="0028759A" w:rsidP="0058176E">
            <w:pPr>
              <w:rPr>
                <w:highlight w:val="yellow"/>
              </w:rPr>
            </w:pPr>
            <w:r w:rsidRPr="006B669C">
              <w:rPr>
                <w:highlight w:val="yellow"/>
              </w:rPr>
              <w:t>Can’t find copy</w:t>
            </w:r>
          </w:p>
        </w:tc>
        <w:tc>
          <w:tcPr>
            <w:tcW w:w="3261" w:type="dxa"/>
          </w:tcPr>
          <w:p w:rsidR="0028759A" w:rsidRPr="006B669C" w:rsidRDefault="0028759A" w:rsidP="00993A4D">
            <w:pPr>
              <w:pStyle w:val="ListParagraph"/>
              <w:numPr>
                <w:ilvl w:val="0"/>
                <w:numId w:val="6"/>
              </w:numPr>
              <w:rPr>
                <w:highlight w:val="yellow"/>
              </w:rPr>
            </w:pPr>
          </w:p>
        </w:tc>
        <w:tc>
          <w:tcPr>
            <w:tcW w:w="6269" w:type="dxa"/>
          </w:tcPr>
          <w:p w:rsidR="0028759A" w:rsidRPr="006B669C" w:rsidRDefault="0028759A" w:rsidP="00993A4D">
            <w:pPr>
              <w:pStyle w:val="ListParagraph"/>
              <w:numPr>
                <w:ilvl w:val="0"/>
                <w:numId w:val="6"/>
              </w:numPr>
              <w:rPr>
                <w:highlight w:val="yellow"/>
              </w:rPr>
            </w:pPr>
          </w:p>
        </w:tc>
      </w:tr>
      <w:tr w:rsidR="0028759A" w:rsidRPr="006B669C" w:rsidTr="00807CB8">
        <w:tc>
          <w:tcPr>
            <w:tcW w:w="2235" w:type="dxa"/>
          </w:tcPr>
          <w:p w:rsidR="0028759A" w:rsidRPr="006B669C" w:rsidRDefault="0028759A" w:rsidP="00323871">
            <w:pPr>
              <w:rPr>
                <w:highlight w:val="yellow"/>
              </w:rPr>
            </w:pPr>
            <w:r w:rsidRPr="006B669C">
              <w:rPr>
                <w:highlight w:val="yellow"/>
              </w:rPr>
              <w:t>Robins (1990).</w:t>
            </w:r>
            <w:r w:rsidR="00BD3476">
              <w:rPr>
                <w:highlight w:val="yellow"/>
              </w:rPr>
              <w:t xml:space="preserve"> </w:t>
            </w:r>
            <w:r w:rsidR="00BD3476" w:rsidRPr="00BD3476">
              <w:rPr>
                <w:i/>
              </w:rPr>
              <w:t>Sport as prevention: The role of sport in crime prevention programmes aimed at young people.</w:t>
            </w:r>
          </w:p>
        </w:tc>
        <w:tc>
          <w:tcPr>
            <w:tcW w:w="2409" w:type="dxa"/>
          </w:tcPr>
          <w:p w:rsidR="0028759A" w:rsidRPr="006B669C" w:rsidRDefault="0028759A" w:rsidP="00E833CA">
            <w:pPr>
              <w:rPr>
                <w:highlight w:val="yellow"/>
              </w:rPr>
            </w:pPr>
            <w:r w:rsidRPr="006B669C">
              <w:rPr>
                <w:highlight w:val="yellow"/>
              </w:rPr>
              <w:t>Can’t find copy</w:t>
            </w:r>
          </w:p>
        </w:tc>
        <w:tc>
          <w:tcPr>
            <w:tcW w:w="3261" w:type="dxa"/>
          </w:tcPr>
          <w:p w:rsidR="0028759A" w:rsidRPr="006B669C" w:rsidRDefault="0028759A" w:rsidP="00993A4D">
            <w:pPr>
              <w:pStyle w:val="ListParagraph"/>
              <w:numPr>
                <w:ilvl w:val="0"/>
                <w:numId w:val="6"/>
              </w:numPr>
              <w:rPr>
                <w:highlight w:val="yellow"/>
              </w:rPr>
            </w:pPr>
          </w:p>
        </w:tc>
        <w:tc>
          <w:tcPr>
            <w:tcW w:w="6269" w:type="dxa"/>
          </w:tcPr>
          <w:p w:rsidR="0028759A" w:rsidRPr="006B669C" w:rsidRDefault="0028759A" w:rsidP="00993A4D">
            <w:pPr>
              <w:pStyle w:val="ListParagraph"/>
              <w:numPr>
                <w:ilvl w:val="0"/>
                <w:numId w:val="6"/>
              </w:numPr>
              <w:rPr>
                <w:highlight w:val="yellow"/>
              </w:rPr>
            </w:pPr>
          </w:p>
        </w:tc>
      </w:tr>
    </w:tbl>
    <w:p w:rsidR="0049377E" w:rsidRDefault="0049377E">
      <w:r>
        <w:br w:type="page"/>
      </w:r>
    </w:p>
    <w:tbl>
      <w:tblPr>
        <w:tblStyle w:val="TableGrid"/>
        <w:tblW w:w="0" w:type="auto"/>
        <w:tblLook w:val="04A0"/>
      </w:tblPr>
      <w:tblGrid>
        <w:gridCol w:w="2235"/>
        <w:gridCol w:w="2409"/>
        <w:gridCol w:w="3261"/>
        <w:gridCol w:w="6269"/>
      </w:tblGrid>
      <w:tr w:rsidR="0028759A" w:rsidRPr="00A2102F" w:rsidTr="00993A4D">
        <w:tc>
          <w:tcPr>
            <w:tcW w:w="14174" w:type="dxa"/>
            <w:gridSpan w:val="4"/>
          </w:tcPr>
          <w:p w:rsidR="0028759A" w:rsidRPr="00A2102F" w:rsidRDefault="0028759A" w:rsidP="008B070C">
            <w:pPr>
              <w:rPr>
                <w:b/>
              </w:rPr>
            </w:pPr>
            <w:r w:rsidRPr="00A2102F">
              <w:rPr>
                <w:b/>
              </w:rPr>
              <w:lastRenderedPageBreak/>
              <w:t xml:space="preserve">Interventions designed to change criminal lifestyle through mentoring </w:t>
            </w:r>
          </w:p>
        </w:tc>
      </w:tr>
      <w:tr w:rsidR="0028759A" w:rsidTr="00807CB8">
        <w:tc>
          <w:tcPr>
            <w:tcW w:w="2235" w:type="dxa"/>
          </w:tcPr>
          <w:p w:rsidR="0028759A" w:rsidRPr="006B669C" w:rsidRDefault="0028759A" w:rsidP="00DC53CE">
            <w:pPr>
              <w:rPr>
                <w:highlight w:val="yellow"/>
              </w:rPr>
            </w:pPr>
            <w:r w:rsidRPr="006B669C">
              <w:rPr>
                <w:highlight w:val="yellow"/>
              </w:rPr>
              <w:t>Danish Cri</w:t>
            </w:r>
            <w:r w:rsidR="00BD3476">
              <w:rPr>
                <w:highlight w:val="yellow"/>
              </w:rPr>
              <w:t>me Prevention Council. (2012</w:t>
            </w:r>
            <w:r w:rsidR="00992206" w:rsidRPr="00515BDD">
              <w:t xml:space="preserve">). </w:t>
            </w:r>
            <w:r w:rsidR="00992206" w:rsidRPr="00515BDD">
              <w:rPr>
                <w:i/>
              </w:rPr>
              <w:t>The effectiveness of mentoring and leisure-time activities for youth at risk: A systematic review.</w:t>
            </w:r>
          </w:p>
        </w:tc>
        <w:tc>
          <w:tcPr>
            <w:tcW w:w="2409" w:type="dxa"/>
          </w:tcPr>
          <w:p w:rsidR="0028759A" w:rsidRPr="006B669C" w:rsidRDefault="006F0200" w:rsidP="002D153D">
            <w:pPr>
              <w:rPr>
                <w:highlight w:val="yellow"/>
              </w:rPr>
            </w:pPr>
            <w:r>
              <w:rPr>
                <w:highlight w:val="yellow"/>
              </w:rPr>
              <w:t>RTN</w:t>
            </w:r>
          </w:p>
        </w:tc>
        <w:tc>
          <w:tcPr>
            <w:tcW w:w="3261" w:type="dxa"/>
          </w:tcPr>
          <w:p w:rsidR="0028759A" w:rsidRPr="006B669C" w:rsidRDefault="0028759A" w:rsidP="00993A4D">
            <w:pPr>
              <w:pStyle w:val="ListParagraph"/>
              <w:numPr>
                <w:ilvl w:val="0"/>
                <w:numId w:val="6"/>
              </w:numPr>
              <w:rPr>
                <w:highlight w:val="yellow"/>
              </w:rPr>
            </w:pPr>
          </w:p>
        </w:tc>
        <w:tc>
          <w:tcPr>
            <w:tcW w:w="6269" w:type="dxa"/>
          </w:tcPr>
          <w:p w:rsidR="0028759A" w:rsidRPr="006B669C" w:rsidRDefault="0028759A" w:rsidP="00993A4D">
            <w:pPr>
              <w:pStyle w:val="ListParagraph"/>
              <w:numPr>
                <w:ilvl w:val="0"/>
                <w:numId w:val="6"/>
              </w:numPr>
              <w:rPr>
                <w:highlight w:val="yellow"/>
              </w:rPr>
            </w:pPr>
          </w:p>
        </w:tc>
      </w:tr>
      <w:tr w:rsidR="0028759A" w:rsidTr="00807CB8">
        <w:tc>
          <w:tcPr>
            <w:tcW w:w="2235" w:type="dxa"/>
          </w:tcPr>
          <w:p w:rsidR="0028759A" w:rsidRPr="00515BDD" w:rsidRDefault="0028759A" w:rsidP="00323871">
            <w:r w:rsidRPr="00515BDD">
              <w:t>Johnson</w:t>
            </w:r>
            <w:r>
              <w:t xml:space="preserve"> (2004).</w:t>
            </w:r>
            <w:r w:rsidR="00992206">
              <w:t xml:space="preserve"> </w:t>
            </w:r>
            <w:r w:rsidR="00992206" w:rsidRPr="00515BDD">
              <w:t>Religious programs and recidivism among former inmates in prison fellowship programs: A long-term follow-up study.</w:t>
            </w:r>
          </w:p>
        </w:tc>
        <w:tc>
          <w:tcPr>
            <w:tcW w:w="2409" w:type="dxa"/>
          </w:tcPr>
          <w:p w:rsidR="0028759A" w:rsidRDefault="0028759A" w:rsidP="00992206">
            <w:r>
              <w:t>Quasi-experimental</w:t>
            </w:r>
          </w:p>
          <w:p w:rsidR="00060937" w:rsidRDefault="00060937" w:rsidP="00992206">
            <w:r>
              <w:t>Matched comparison group</w:t>
            </w:r>
            <w:r w:rsidR="006C690F">
              <w:t xml:space="preserve"> </w:t>
            </w:r>
          </w:p>
          <w:p w:rsidR="00060937" w:rsidRDefault="006F0200" w:rsidP="00992206">
            <w:r>
              <w:t xml:space="preserve">Up to eight </w:t>
            </w:r>
            <w:r w:rsidR="00060937">
              <w:t>year follow up</w:t>
            </w:r>
          </w:p>
          <w:p w:rsidR="0028759A" w:rsidRDefault="0028759A" w:rsidP="006B669C"/>
        </w:tc>
        <w:tc>
          <w:tcPr>
            <w:tcW w:w="3261" w:type="dxa"/>
          </w:tcPr>
          <w:p w:rsidR="0028759A" w:rsidRDefault="0028759A" w:rsidP="00B73D00">
            <w:pPr>
              <w:pStyle w:val="ListParagraph"/>
              <w:numPr>
                <w:ilvl w:val="0"/>
                <w:numId w:val="6"/>
              </w:numPr>
            </w:pPr>
            <w:r>
              <w:t>U.S.A.</w:t>
            </w:r>
          </w:p>
          <w:p w:rsidR="000C198D" w:rsidRDefault="0028759A" w:rsidP="00B73D00">
            <w:pPr>
              <w:pStyle w:val="ListParagraph"/>
              <w:numPr>
                <w:ilvl w:val="0"/>
                <w:numId w:val="6"/>
              </w:numPr>
            </w:pPr>
            <w:r>
              <w:t>201 males participated in at least one of three activities</w:t>
            </w:r>
            <w:r w:rsidR="000C198D">
              <w:t>.</w:t>
            </w:r>
          </w:p>
          <w:p w:rsidR="006F0200" w:rsidRDefault="006F0200" w:rsidP="006C690F">
            <w:pPr>
              <w:pStyle w:val="ListParagraph"/>
              <w:numPr>
                <w:ilvl w:val="0"/>
                <w:numId w:val="6"/>
              </w:numPr>
            </w:pPr>
            <w:r>
              <w:t>Mean a</w:t>
            </w:r>
            <w:r w:rsidR="0028759A">
              <w:t>ge 32 years</w:t>
            </w:r>
          </w:p>
          <w:p w:rsidR="006C690F" w:rsidRDefault="006F0200" w:rsidP="006C690F">
            <w:pPr>
              <w:pStyle w:val="ListParagraph"/>
              <w:numPr>
                <w:ilvl w:val="0"/>
                <w:numId w:val="6"/>
              </w:numPr>
            </w:pPr>
            <w:r>
              <w:t>R</w:t>
            </w:r>
            <w:r w:rsidR="0028759A">
              <w:t>ace (47% black, 12% white, 40% Hispanic)</w:t>
            </w:r>
            <w:r w:rsidR="00734DB1">
              <w:t>.</w:t>
            </w:r>
            <w:r w:rsidR="006C690F">
              <w:t xml:space="preserve"> </w:t>
            </w:r>
          </w:p>
          <w:p w:rsidR="006C690F" w:rsidRDefault="006C690F" w:rsidP="006C690F">
            <w:pPr>
              <w:pStyle w:val="ListParagraph"/>
              <w:numPr>
                <w:ilvl w:val="0"/>
                <w:numId w:val="6"/>
              </w:numPr>
            </w:pPr>
            <w:r>
              <w:t>Compared with almost 40,000 inmates.</w:t>
            </w:r>
          </w:p>
          <w:p w:rsidR="0028759A" w:rsidRDefault="0028759A" w:rsidP="00CE290A"/>
        </w:tc>
        <w:tc>
          <w:tcPr>
            <w:tcW w:w="6269" w:type="dxa"/>
          </w:tcPr>
          <w:p w:rsidR="0028759A" w:rsidRPr="00FD0813" w:rsidRDefault="00CE290A" w:rsidP="00993A4D">
            <w:pPr>
              <w:pStyle w:val="ListParagraph"/>
              <w:numPr>
                <w:ilvl w:val="0"/>
                <w:numId w:val="6"/>
              </w:numPr>
            </w:pPr>
            <w:r w:rsidRPr="00FD0813">
              <w:t>“</w:t>
            </w:r>
            <w:r w:rsidR="0028759A" w:rsidRPr="00FD0813">
              <w:t xml:space="preserve">There </w:t>
            </w:r>
            <w:r w:rsidR="00992206" w:rsidRPr="00FD0813">
              <w:t>was</w:t>
            </w:r>
            <w:r w:rsidR="0028759A" w:rsidRPr="00FD0813">
              <w:t xml:space="preserve"> no difference between the </w:t>
            </w:r>
            <w:r w:rsidR="00992206" w:rsidRPr="00FD0813">
              <w:t>Prison Fellowship (</w:t>
            </w:r>
            <w:r w:rsidR="0028759A" w:rsidRPr="00FD0813">
              <w:t>PF</w:t>
            </w:r>
            <w:r w:rsidR="00992206" w:rsidRPr="00FD0813">
              <w:t>)</w:t>
            </w:r>
            <w:r w:rsidR="0028759A" w:rsidRPr="00FD0813">
              <w:t xml:space="preserve"> and non-PF groups on either measure of recidivism – rearrest or </w:t>
            </w:r>
            <w:proofErr w:type="spellStart"/>
            <w:r w:rsidR="0028759A" w:rsidRPr="00FD0813">
              <w:t>reincarceration</w:t>
            </w:r>
            <w:proofErr w:type="spellEnd"/>
            <w:r w:rsidR="0028759A" w:rsidRPr="00FD0813">
              <w:t>, throughout the 8 year follow up period</w:t>
            </w:r>
            <w:r w:rsidRPr="00FD0813">
              <w:t>”</w:t>
            </w:r>
            <w:r w:rsidR="0028759A" w:rsidRPr="00FD0813">
              <w:t xml:space="preserve"> (p. 351).</w:t>
            </w:r>
          </w:p>
          <w:p w:rsidR="00FD0813" w:rsidRPr="00FD0813" w:rsidRDefault="00CE290A" w:rsidP="006F0200">
            <w:pPr>
              <w:pStyle w:val="ListParagraph"/>
              <w:numPr>
                <w:ilvl w:val="0"/>
                <w:numId w:val="6"/>
              </w:numPr>
            </w:pPr>
            <w:r w:rsidRPr="00FD0813">
              <w:t>“D</w:t>
            </w:r>
            <w:r w:rsidR="0028759A" w:rsidRPr="00FD0813">
              <w:t>ividing the sample into groups of high and low levels of participation in Bible studies produced significant differences in survival curves</w:t>
            </w:r>
            <w:r w:rsidR="00FD0813" w:rsidRPr="00FD0813">
              <w:t xml:space="preserve"> using 2- and 3- year endpoints” </w:t>
            </w:r>
            <w:r w:rsidR="0028759A" w:rsidRPr="00FD0813">
              <w:t xml:space="preserve"> </w:t>
            </w:r>
            <w:r w:rsidR="00FD0813" w:rsidRPr="00FD0813">
              <w:t xml:space="preserve">(pp. 351-352).  </w:t>
            </w:r>
          </w:p>
          <w:p w:rsidR="00FD0813" w:rsidRPr="00FD0813" w:rsidRDefault="00FD0813" w:rsidP="006F0200">
            <w:pPr>
              <w:pStyle w:val="ListParagraph"/>
              <w:numPr>
                <w:ilvl w:val="0"/>
                <w:numId w:val="6"/>
              </w:numPr>
            </w:pPr>
            <w:r w:rsidRPr="00FD0813">
              <w:t>“Only 27% of the high participation group were rearrested within 2 years compared to 46% of the low participation group. This difference was smaller after 3 years (41% versus 56%). The survival analyses revealed reliable differences in curves using the 2- and 3-year endpoints (p &lt; .05 in each case)” (p. 343).</w:t>
            </w:r>
          </w:p>
          <w:p w:rsidR="006F0200" w:rsidRDefault="00FD0813" w:rsidP="00FD0813">
            <w:pPr>
              <w:pStyle w:val="ListParagraph"/>
              <w:numPr>
                <w:ilvl w:val="0"/>
                <w:numId w:val="6"/>
              </w:numPr>
            </w:pPr>
            <w:r w:rsidRPr="00FD0813">
              <w:t>“</w:t>
            </w:r>
            <w:r w:rsidR="0028759A" w:rsidRPr="00FD0813">
              <w:t>The median time to rearrest was 17 to 18 months longer among individuals in the high participation group, or 3.8 years versus 2.3 years</w:t>
            </w:r>
            <w:r w:rsidR="00CE290A" w:rsidRPr="00FD0813">
              <w:t>”</w:t>
            </w:r>
            <w:r w:rsidR="0028759A" w:rsidRPr="00FD0813">
              <w:t xml:space="preserve"> </w:t>
            </w:r>
            <w:r w:rsidRPr="00FD0813">
              <w:t>(pp. 351-352).</w:t>
            </w:r>
            <w:r>
              <w:t xml:space="preserve">  </w:t>
            </w:r>
          </w:p>
        </w:tc>
      </w:tr>
      <w:tr w:rsidR="0028759A" w:rsidRPr="006B669C" w:rsidTr="00807CB8">
        <w:tc>
          <w:tcPr>
            <w:tcW w:w="2235" w:type="dxa"/>
          </w:tcPr>
          <w:p w:rsidR="0028759A" w:rsidRPr="00FD0813" w:rsidRDefault="0028759A" w:rsidP="00323871">
            <w:proofErr w:type="spellStart"/>
            <w:r w:rsidRPr="00FD0813">
              <w:rPr>
                <w:rFonts w:eastAsiaTheme="minorEastAsia"/>
                <w:lang w:eastAsia="en-AU"/>
              </w:rPr>
              <w:t>Jolliffe</w:t>
            </w:r>
            <w:proofErr w:type="spellEnd"/>
            <w:r w:rsidRPr="00FD0813">
              <w:rPr>
                <w:rFonts w:eastAsiaTheme="minorEastAsia"/>
                <w:lang w:eastAsia="en-AU"/>
              </w:rPr>
              <w:t xml:space="preserve"> &amp; Farrington (2007).</w:t>
            </w:r>
            <w:r w:rsidR="00992206" w:rsidRPr="00FD0813">
              <w:rPr>
                <w:rFonts w:eastAsiaTheme="minorEastAsia"/>
                <w:lang w:eastAsia="en-AU"/>
              </w:rPr>
              <w:t xml:space="preserve"> </w:t>
            </w:r>
            <w:r w:rsidR="00992206" w:rsidRPr="00FD0813">
              <w:rPr>
                <w:rFonts w:eastAsiaTheme="minorEastAsia"/>
                <w:i/>
                <w:lang w:eastAsia="en-AU"/>
              </w:rPr>
              <w:t>A rapid evidence assessment of the impact of mentoring on re-</w:t>
            </w:r>
            <w:r w:rsidR="00992206" w:rsidRPr="00FD0813">
              <w:rPr>
                <w:rFonts w:eastAsiaTheme="minorEastAsia"/>
                <w:i/>
                <w:lang w:eastAsia="en-AU"/>
              </w:rPr>
              <w:lastRenderedPageBreak/>
              <w:t>offending: A summary</w:t>
            </w:r>
            <w:r w:rsidR="00992206" w:rsidRPr="00FD0813">
              <w:rPr>
                <w:rFonts w:eastAsiaTheme="minorEastAsia"/>
                <w:lang w:eastAsia="en-AU"/>
              </w:rPr>
              <w:t>.</w:t>
            </w:r>
          </w:p>
        </w:tc>
        <w:tc>
          <w:tcPr>
            <w:tcW w:w="2409" w:type="dxa"/>
          </w:tcPr>
          <w:p w:rsidR="0028759A" w:rsidRPr="00FD0813" w:rsidRDefault="00B732F7" w:rsidP="00992206">
            <w:r>
              <w:lastRenderedPageBreak/>
              <w:t>Rapid evidence assessment</w:t>
            </w:r>
          </w:p>
        </w:tc>
        <w:tc>
          <w:tcPr>
            <w:tcW w:w="3261" w:type="dxa"/>
          </w:tcPr>
          <w:p w:rsidR="0028759A" w:rsidRDefault="00FD0813" w:rsidP="00993A4D">
            <w:pPr>
              <w:pStyle w:val="ListParagraph"/>
              <w:numPr>
                <w:ilvl w:val="0"/>
                <w:numId w:val="6"/>
              </w:numPr>
            </w:pPr>
            <w:r>
              <w:t>U.K. (</w:t>
            </w:r>
            <w:r>
              <w:rPr>
                <w:i/>
              </w:rPr>
              <w:t>n=</w:t>
            </w:r>
            <w:r>
              <w:t>2), U.S.A. (</w:t>
            </w:r>
            <w:r>
              <w:rPr>
                <w:i/>
              </w:rPr>
              <w:t>n=</w:t>
            </w:r>
            <w:r>
              <w:t>16).</w:t>
            </w:r>
          </w:p>
          <w:p w:rsidR="00FD0813" w:rsidRPr="00FD0813" w:rsidRDefault="00FD0813" w:rsidP="00993A4D">
            <w:pPr>
              <w:pStyle w:val="ListParagraph"/>
              <w:numPr>
                <w:ilvl w:val="0"/>
                <w:numId w:val="6"/>
              </w:numPr>
            </w:pPr>
            <w:r>
              <w:t xml:space="preserve">No demographic details provided. </w:t>
            </w:r>
          </w:p>
        </w:tc>
        <w:tc>
          <w:tcPr>
            <w:tcW w:w="6269" w:type="dxa"/>
          </w:tcPr>
          <w:p w:rsidR="0028759A" w:rsidRPr="00FD0813" w:rsidRDefault="00FD0813" w:rsidP="00993A4D">
            <w:pPr>
              <w:pStyle w:val="ListParagraph"/>
              <w:numPr>
                <w:ilvl w:val="0"/>
                <w:numId w:val="6"/>
              </w:numPr>
            </w:pPr>
            <w:r w:rsidRPr="00FD0813">
              <w:t>“18 studies, seven showed statistically significant positive impact on re-offending</w:t>
            </w:r>
            <w:r>
              <w:t xml:space="preserve"> (</w:t>
            </w:r>
            <w:r>
              <w:rPr>
                <w:i/>
              </w:rPr>
              <w:t>p</w:t>
            </w:r>
            <w:r>
              <w:t>=&lt;.05)</w:t>
            </w:r>
            <w:r w:rsidRPr="00FD0813">
              <w:t>. Overall, the results suggested that mentoring significantly reduced subsequent offending by 4 to 11 percent, but this result was primarily driven by studies of lower methodological quality</w:t>
            </w:r>
            <w:r>
              <w:t xml:space="preserve">. The </w:t>
            </w:r>
            <w:r>
              <w:lastRenderedPageBreak/>
              <w:t>best studies designed to provide the most accurate assessment of the impact of mentoring, did not suggest the mentoring caused a statistically significant reduction in re-offending</w:t>
            </w:r>
            <w:r w:rsidRPr="00FD0813">
              <w:t>” (p. 3).</w:t>
            </w:r>
          </w:p>
        </w:tc>
      </w:tr>
      <w:tr w:rsidR="0028759A" w:rsidTr="00807CB8">
        <w:tc>
          <w:tcPr>
            <w:tcW w:w="2235" w:type="dxa"/>
          </w:tcPr>
          <w:p w:rsidR="0028759A" w:rsidRPr="00515BDD" w:rsidRDefault="0028759A" w:rsidP="00323871">
            <w:proofErr w:type="spellStart"/>
            <w:r w:rsidRPr="00515BDD">
              <w:lastRenderedPageBreak/>
              <w:t>LaVigne</w:t>
            </w:r>
            <w:proofErr w:type="spellEnd"/>
            <w:r w:rsidRPr="00515BDD">
              <w:t xml:space="preserve">, </w:t>
            </w:r>
            <w:proofErr w:type="spellStart"/>
            <w:r w:rsidRPr="00515BDD">
              <w:t>Brazzell</w:t>
            </w:r>
            <w:proofErr w:type="spellEnd"/>
            <w:r w:rsidRPr="00515BDD">
              <w:t>, &amp; Small</w:t>
            </w:r>
            <w:r>
              <w:t xml:space="preserve"> (2007).</w:t>
            </w:r>
            <w:r w:rsidR="00992206">
              <w:t xml:space="preserve"> </w:t>
            </w:r>
            <w:r w:rsidR="00992206" w:rsidRPr="00515BDD">
              <w:rPr>
                <w:i/>
              </w:rPr>
              <w:t>Evaluation of Florida’s faith- and character-based institutions: Final report.</w:t>
            </w:r>
          </w:p>
        </w:tc>
        <w:tc>
          <w:tcPr>
            <w:tcW w:w="2409" w:type="dxa"/>
          </w:tcPr>
          <w:p w:rsidR="002B0A8C" w:rsidRDefault="002B0A8C" w:rsidP="00992206">
            <w:r>
              <w:t xml:space="preserve">Quasi-experimental </w:t>
            </w:r>
          </w:p>
          <w:p w:rsidR="0028759A" w:rsidRDefault="000A48C4" w:rsidP="00992206">
            <w:r>
              <w:t>Two matched comparison groups</w:t>
            </w:r>
          </w:p>
          <w:p w:rsidR="0028759A" w:rsidRDefault="0028759A" w:rsidP="006B669C"/>
        </w:tc>
        <w:tc>
          <w:tcPr>
            <w:tcW w:w="3261" w:type="dxa"/>
          </w:tcPr>
          <w:p w:rsidR="0028759A" w:rsidRDefault="0028759A" w:rsidP="00993A4D">
            <w:pPr>
              <w:pStyle w:val="ListParagraph"/>
              <w:numPr>
                <w:ilvl w:val="0"/>
                <w:numId w:val="6"/>
              </w:numPr>
            </w:pPr>
            <w:r>
              <w:t>U.S.A.</w:t>
            </w:r>
          </w:p>
          <w:p w:rsidR="0028759A" w:rsidRDefault="0028759A" w:rsidP="00F71600">
            <w:pPr>
              <w:pStyle w:val="ListParagraph"/>
              <w:numPr>
                <w:ilvl w:val="0"/>
                <w:numId w:val="6"/>
              </w:numPr>
            </w:pPr>
            <w:r>
              <w:t>696 males, 261 female -545 male and 150 female entered the program during the study</w:t>
            </w:r>
            <w:r w:rsidR="00734DB1">
              <w:t>.</w:t>
            </w:r>
          </w:p>
          <w:p w:rsidR="0028759A" w:rsidRDefault="0028759A" w:rsidP="00F71600">
            <w:pPr>
              <w:pStyle w:val="ListParagraph"/>
              <w:numPr>
                <w:ilvl w:val="0"/>
                <w:numId w:val="6"/>
              </w:numPr>
            </w:pPr>
            <w:r>
              <w:t>Male</w:t>
            </w:r>
            <w:r w:rsidR="005A1D97">
              <w:t>-</w:t>
            </w:r>
            <w:r>
              <w:t>42% white, 55% African American, 2.6% Hispanic, average 36.5</w:t>
            </w:r>
            <w:r w:rsidR="005A1D97">
              <w:t xml:space="preserve"> </w:t>
            </w:r>
            <w:r>
              <w:t xml:space="preserve">years. </w:t>
            </w:r>
          </w:p>
          <w:p w:rsidR="0028759A" w:rsidRDefault="005A1D97" w:rsidP="00F71600">
            <w:pPr>
              <w:pStyle w:val="ListParagraph"/>
              <w:numPr>
                <w:ilvl w:val="0"/>
                <w:numId w:val="6"/>
              </w:numPr>
            </w:pPr>
            <w:r>
              <w:t>F</w:t>
            </w:r>
            <w:r w:rsidR="0028759A">
              <w:t>emale</w:t>
            </w:r>
            <w:r>
              <w:t>-</w:t>
            </w:r>
            <w:r w:rsidR="0028759A">
              <w:t>59.4</w:t>
            </w:r>
            <w:r>
              <w:t>%</w:t>
            </w:r>
            <w:r w:rsidR="0028759A">
              <w:t xml:space="preserve"> white, 37.9</w:t>
            </w:r>
            <w:r>
              <w:t>%</w:t>
            </w:r>
            <w:r w:rsidR="0028759A">
              <w:t xml:space="preserve"> African American, 2.7</w:t>
            </w:r>
            <w:r>
              <w:t>%</w:t>
            </w:r>
            <w:r w:rsidR="0028759A">
              <w:t xml:space="preserve"> Hispanic</w:t>
            </w:r>
            <w:r>
              <w:t>.</w:t>
            </w:r>
            <w:r w:rsidR="0028759A">
              <w:t xml:space="preserve"> </w:t>
            </w:r>
          </w:p>
          <w:p w:rsidR="0028759A" w:rsidRDefault="000A48C4" w:rsidP="000A48C4">
            <w:pPr>
              <w:pStyle w:val="ListParagraph"/>
              <w:numPr>
                <w:ilvl w:val="0"/>
                <w:numId w:val="6"/>
              </w:numPr>
            </w:pPr>
            <w:r>
              <w:t>Study created two matched comparison groups (</w:t>
            </w:r>
            <w:r w:rsidRPr="000A48C4">
              <w:rPr>
                <w:i/>
              </w:rPr>
              <w:t>n</w:t>
            </w:r>
            <w:r w:rsidR="0028759A">
              <w:t xml:space="preserve">= 189 males, </w:t>
            </w:r>
            <w:r w:rsidRPr="000A48C4">
              <w:rPr>
                <w:i/>
              </w:rPr>
              <w:t>n</w:t>
            </w:r>
            <w:r>
              <w:t xml:space="preserve">= </w:t>
            </w:r>
            <w:r w:rsidR="0028759A">
              <w:t>100 females) that had been released at least 6 mon</w:t>
            </w:r>
            <w:r w:rsidR="00734DB1">
              <w:t>ths prior to the study end date.</w:t>
            </w:r>
          </w:p>
        </w:tc>
        <w:tc>
          <w:tcPr>
            <w:tcW w:w="6269" w:type="dxa"/>
          </w:tcPr>
          <w:p w:rsidR="0028759A" w:rsidRDefault="0028759A" w:rsidP="00993A4D">
            <w:pPr>
              <w:pStyle w:val="ListParagraph"/>
              <w:numPr>
                <w:ilvl w:val="0"/>
                <w:numId w:val="6"/>
              </w:numPr>
            </w:pPr>
            <w:r>
              <w:t xml:space="preserve">Staff, inmates and volunteers find value in the FCBI model and believe that it is achieving its goals of changing inmate behaviours, preparing inmates for successful re-entry and reducing recidivism (p. ix). </w:t>
            </w:r>
          </w:p>
          <w:p w:rsidR="0028759A" w:rsidRDefault="002B0A8C" w:rsidP="002B0A8C">
            <w:pPr>
              <w:pStyle w:val="ListParagraph"/>
              <w:numPr>
                <w:ilvl w:val="0"/>
                <w:numId w:val="6"/>
              </w:numPr>
            </w:pPr>
            <w:r>
              <w:rPr>
                <w:sz w:val="23"/>
                <w:szCs w:val="23"/>
              </w:rPr>
              <w:t xml:space="preserve">“For the male FCBI inmates who were </w:t>
            </w:r>
            <w:proofErr w:type="spellStart"/>
            <w:r>
              <w:rPr>
                <w:sz w:val="23"/>
                <w:szCs w:val="23"/>
              </w:rPr>
              <w:t>reincarcerated</w:t>
            </w:r>
            <w:proofErr w:type="spellEnd"/>
            <w:r>
              <w:rPr>
                <w:sz w:val="23"/>
                <w:szCs w:val="23"/>
              </w:rPr>
              <w:t xml:space="preserve"> during the study, the average time to </w:t>
            </w:r>
            <w:proofErr w:type="spellStart"/>
            <w:r>
              <w:rPr>
                <w:sz w:val="23"/>
                <w:szCs w:val="23"/>
              </w:rPr>
              <w:t>reincarceration</w:t>
            </w:r>
            <w:proofErr w:type="spellEnd"/>
            <w:r>
              <w:rPr>
                <w:sz w:val="23"/>
                <w:szCs w:val="23"/>
              </w:rPr>
              <w:t xml:space="preserve"> was 371 days, while the average for the male comparison group was 262 days. The difference is large (109 days) but not statistically significant. None of the 189 male FCBI inmates included in the outcome analysis were </w:t>
            </w:r>
            <w:proofErr w:type="spellStart"/>
            <w:r>
              <w:rPr>
                <w:sz w:val="23"/>
                <w:szCs w:val="23"/>
              </w:rPr>
              <w:t>reincarcerated</w:t>
            </w:r>
            <w:proofErr w:type="spellEnd"/>
            <w:r>
              <w:rPr>
                <w:sz w:val="23"/>
                <w:szCs w:val="23"/>
              </w:rPr>
              <w:t xml:space="preserve"> within 6 months of their release, while 4 (2.1 percent) of the 189 male inmates in the matched comparison group were </w:t>
            </w:r>
            <w:proofErr w:type="spellStart"/>
            <w:r>
              <w:rPr>
                <w:sz w:val="23"/>
                <w:szCs w:val="23"/>
              </w:rPr>
              <w:t>reincarcerated</w:t>
            </w:r>
            <w:proofErr w:type="spellEnd"/>
            <w:r>
              <w:rPr>
                <w:sz w:val="23"/>
                <w:szCs w:val="23"/>
              </w:rPr>
              <w:t xml:space="preserve"> during that time. This difference was statistically significant at the 0.05 level” (pp. 44-45).</w:t>
            </w:r>
            <w:r w:rsidR="0028759A">
              <w:t xml:space="preserve"> </w:t>
            </w:r>
          </w:p>
          <w:p w:rsidR="000776CE" w:rsidRPr="000776CE" w:rsidRDefault="000776CE" w:rsidP="002B0A8C">
            <w:pPr>
              <w:pStyle w:val="ListParagraph"/>
              <w:numPr>
                <w:ilvl w:val="0"/>
                <w:numId w:val="6"/>
              </w:numPr>
            </w:pPr>
            <w:r>
              <w:rPr>
                <w:sz w:val="23"/>
                <w:szCs w:val="23"/>
              </w:rPr>
              <w:t>“</w:t>
            </w:r>
            <w:proofErr w:type="spellStart"/>
            <w:r>
              <w:rPr>
                <w:sz w:val="23"/>
                <w:szCs w:val="23"/>
              </w:rPr>
              <w:t>Analyzed</w:t>
            </w:r>
            <w:proofErr w:type="spellEnd"/>
            <w:r>
              <w:rPr>
                <w:sz w:val="23"/>
                <w:szCs w:val="23"/>
              </w:rPr>
              <w:t xml:space="preserve"> a subset of inmates from the matched samples who were released at least one year prior to the study end date. Just 1 (1.8 percent) of the 56 FCBI inmates and 2 (2.4 percent) of the 82 comparison group inmates were </w:t>
            </w:r>
            <w:proofErr w:type="spellStart"/>
            <w:r>
              <w:rPr>
                <w:sz w:val="23"/>
                <w:szCs w:val="23"/>
              </w:rPr>
              <w:t>reincarcerated</w:t>
            </w:r>
            <w:proofErr w:type="spellEnd"/>
            <w:r>
              <w:rPr>
                <w:sz w:val="23"/>
                <w:szCs w:val="23"/>
              </w:rPr>
              <w:t xml:space="preserve"> within their first year out. This difference was not statistically significant, likely due to the small number of cases” (p. 45).</w:t>
            </w:r>
          </w:p>
          <w:p w:rsidR="000776CE" w:rsidRDefault="000776CE" w:rsidP="002B0A8C">
            <w:pPr>
              <w:pStyle w:val="ListParagraph"/>
              <w:numPr>
                <w:ilvl w:val="0"/>
                <w:numId w:val="6"/>
              </w:numPr>
            </w:pPr>
            <w:r>
              <w:rPr>
                <w:sz w:val="23"/>
                <w:szCs w:val="23"/>
              </w:rPr>
              <w:t xml:space="preserve">“As with the male inmates, the average time to </w:t>
            </w:r>
            <w:proofErr w:type="spellStart"/>
            <w:r>
              <w:rPr>
                <w:sz w:val="23"/>
                <w:szCs w:val="23"/>
              </w:rPr>
              <w:t>reincarceration</w:t>
            </w:r>
            <w:proofErr w:type="spellEnd"/>
            <w:r>
              <w:rPr>
                <w:sz w:val="23"/>
                <w:szCs w:val="23"/>
              </w:rPr>
              <w:t xml:space="preserve"> for the female FCBI inmates who were </w:t>
            </w:r>
            <w:proofErr w:type="spellStart"/>
            <w:r>
              <w:rPr>
                <w:sz w:val="23"/>
                <w:szCs w:val="23"/>
              </w:rPr>
              <w:t>reincarcerated</w:t>
            </w:r>
            <w:proofErr w:type="spellEnd"/>
            <w:r>
              <w:rPr>
                <w:sz w:val="23"/>
                <w:szCs w:val="23"/>
              </w:rPr>
              <w:t xml:space="preserve"> (385 days) was longer than for the female comparison group (318 days). The difference for the females, 67 days, is less than for the males and was not statistically significant. None of the 100 female FCBI inmates and 1 (1.0 percent) of the 100 female comparison inmates in the outcome analysis were </w:t>
            </w:r>
            <w:proofErr w:type="spellStart"/>
            <w:r>
              <w:rPr>
                <w:sz w:val="23"/>
                <w:szCs w:val="23"/>
              </w:rPr>
              <w:t>reincarcerated</w:t>
            </w:r>
            <w:proofErr w:type="spellEnd"/>
            <w:r>
              <w:rPr>
                <w:sz w:val="23"/>
                <w:szCs w:val="23"/>
              </w:rPr>
              <w:t xml:space="preserve"> within six months of </w:t>
            </w:r>
            <w:r>
              <w:rPr>
                <w:sz w:val="23"/>
                <w:szCs w:val="23"/>
              </w:rPr>
              <w:lastRenderedPageBreak/>
              <w:t xml:space="preserve">release. This difference was not statistically significant, due at least in part to the small number of cases. For those inmates released at least one year prior to the study end date, 1 (1.9 percent) of 54 female FCBI inmates and 4 (6.5 percent) of 62 female comparison inmates were </w:t>
            </w:r>
            <w:proofErr w:type="spellStart"/>
            <w:r>
              <w:rPr>
                <w:sz w:val="23"/>
                <w:szCs w:val="23"/>
              </w:rPr>
              <w:t>reincarcerated</w:t>
            </w:r>
            <w:proofErr w:type="spellEnd"/>
            <w:r>
              <w:rPr>
                <w:sz w:val="23"/>
                <w:szCs w:val="23"/>
              </w:rPr>
              <w:t xml:space="preserve"> in the first year, but again, this difference is not statistically significant” (pp. 45-46).</w:t>
            </w:r>
          </w:p>
        </w:tc>
      </w:tr>
      <w:tr w:rsidR="0028759A" w:rsidTr="00807CB8">
        <w:tc>
          <w:tcPr>
            <w:tcW w:w="2235" w:type="dxa"/>
          </w:tcPr>
          <w:p w:rsidR="0028759A" w:rsidRPr="006B669C" w:rsidRDefault="0028759A" w:rsidP="00323871">
            <w:pPr>
              <w:rPr>
                <w:highlight w:val="yellow"/>
              </w:rPr>
            </w:pPr>
            <w:r w:rsidRPr="006B669C">
              <w:rPr>
                <w:highlight w:val="yellow"/>
              </w:rPr>
              <w:lastRenderedPageBreak/>
              <w:t>Rogers (2011).</w:t>
            </w:r>
            <w:r w:rsidR="00B732F7">
              <w:rPr>
                <w:highlight w:val="yellow"/>
              </w:rPr>
              <w:t xml:space="preserve"> </w:t>
            </w:r>
            <w:r w:rsidR="00B732F7" w:rsidRPr="00515BDD">
              <w:t>Evaluating community-based interventions for young people: measuring the impact of informal mentoring.</w:t>
            </w:r>
          </w:p>
        </w:tc>
        <w:tc>
          <w:tcPr>
            <w:tcW w:w="2409" w:type="dxa"/>
          </w:tcPr>
          <w:p w:rsidR="0028759A" w:rsidRPr="006B669C" w:rsidRDefault="0028759A" w:rsidP="00993A4D">
            <w:pPr>
              <w:pStyle w:val="ListParagraph"/>
              <w:numPr>
                <w:ilvl w:val="0"/>
                <w:numId w:val="7"/>
              </w:numPr>
              <w:rPr>
                <w:highlight w:val="yellow"/>
              </w:rPr>
            </w:pPr>
            <w:r w:rsidRPr="006B669C">
              <w:rPr>
                <w:highlight w:val="yellow"/>
              </w:rPr>
              <w:t>Can’t find copy</w:t>
            </w:r>
          </w:p>
        </w:tc>
        <w:tc>
          <w:tcPr>
            <w:tcW w:w="3261" w:type="dxa"/>
          </w:tcPr>
          <w:p w:rsidR="0028759A" w:rsidRPr="006B669C" w:rsidRDefault="0028759A" w:rsidP="00993A4D">
            <w:pPr>
              <w:pStyle w:val="ListParagraph"/>
              <w:numPr>
                <w:ilvl w:val="0"/>
                <w:numId w:val="6"/>
              </w:numPr>
              <w:rPr>
                <w:highlight w:val="yellow"/>
              </w:rPr>
            </w:pPr>
          </w:p>
        </w:tc>
        <w:tc>
          <w:tcPr>
            <w:tcW w:w="6269" w:type="dxa"/>
          </w:tcPr>
          <w:p w:rsidR="0028759A" w:rsidRPr="006B669C" w:rsidRDefault="0028759A" w:rsidP="00993A4D">
            <w:pPr>
              <w:pStyle w:val="ListParagraph"/>
              <w:numPr>
                <w:ilvl w:val="0"/>
                <w:numId w:val="6"/>
              </w:numPr>
              <w:rPr>
                <w:highlight w:val="yellow"/>
              </w:rPr>
            </w:pPr>
          </w:p>
        </w:tc>
      </w:tr>
      <w:tr w:rsidR="0028759A" w:rsidTr="00807CB8">
        <w:tc>
          <w:tcPr>
            <w:tcW w:w="2235" w:type="dxa"/>
          </w:tcPr>
          <w:p w:rsidR="0028759A" w:rsidRPr="00515BDD" w:rsidRDefault="0028759A" w:rsidP="00323871">
            <w:r w:rsidRPr="00515BDD">
              <w:t>Taxman</w:t>
            </w:r>
            <w:r>
              <w:t xml:space="preserve"> (2009).</w:t>
            </w:r>
            <w:r w:rsidR="000776CE">
              <w:t xml:space="preserve"> </w:t>
            </w:r>
            <w:r w:rsidR="000776CE" w:rsidRPr="00515BDD">
              <w:t>No illusions: Offender and organizational change in Maryland’s proactive community supervision efforts.</w:t>
            </w:r>
          </w:p>
        </w:tc>
        <w:tc>
          <w:tcPr>
            <w:tcW w:w="2409" w:type="dxa"/>
          </w:tcPr>
          <w:p w:rsidR="008160D6" w:rsidRDefault="008160D6" w:rsidP="003C6A47">
            <w:r>
              <w:t>Quasi-experimental</w:t>
            </w:r>
          </w:p>
          <w:p w:rsidR="0028759A" w:rsidRDefault="0028759A" w:rsidP="003C6A47">
            <w:r>
              <w:t xml:space="preserve">Random selection-individual match design </w:t>
            </w:r>
          </w:p>
          <w:p w:rsidR="0028759A" w:rsidRDefault="0028759A" w:rsidP="003C6A47">
            <w:pPr>
              <w:pStyle w:val="ListParagraph"/>
              <w:ind w:left="360"/>
            </w:pPr>
          </w:p>
        </w:tc>
        <w:tc>
          <w:tcPr>
            <w:tcW w:w="3261" w:type="dxa"/>
          </w:tcPr>
          <w:p w:rsidR="0028759A" w:rsidRDefault="0028759A" w:rsidP="00993A4D">
            <w:pPr>
              <w:pStyle w:val="ListParagraph"/>
              <w:numPr>
                <w:ilvl w:val="0"/>
                <w:numId w:val="6"/>
              </w:numPr>
            </w:pPr>
            <w:r>
              <w:t xml:space="preserve">U.S.A. </w:t>
            </w:r>
          </w:p>
          <w:p w:rsidR="0028759A" w:rsidRDefault="0028759A" w:rsidP="00D302D8">
            <w:pPr>
              <w:pStyle w:val="ListParagraph"/>
              <w:numPr>
                <w:ilvl w:val="0"/>
                <w:numId w:val="6"/>
              </w:numPr>
            </w:pPr>
            <w:r>
              <w:t>274 Proactive Community Supervision model (PCS) and 274 non-PCS cases</w:t>
            </w:r>
            <w:r w:rsidR="00734DB1">
              <w:t>.</w:t>
            </w:r>
          </w:p>
          <w:p w:rsidR="0028759A" w:rsidRDefault="0028759A" w:rsidP="00734DB1">
            <w:pPr>
              <w:pStyle w:val="ListParagraph"/>
              <w:numPr>
                <w:ilvl w:val="0"/>
                <w:numId w:val="6"/>
              </w:numPr>
            </w:pPr>
            <w:r>
              <w:t>PCS - 83% male, 85% African American, 53.3% over the age of 30, mean age 33.9</w:t>
            </w:r>
            <w:r w:rsidR="00734DB1">
              <w:t>.</w:t>
            </w:r>
          </w:p>
          <w:p w:rsidR="008160D6" w:rsidRDefault="008160D6" w:rsidP="00734DB1">
            <w:pPr>
              <w:pStyle w:val="ListParagraph"/>
              <w:numPr>
                <w:ilvl w:val="0"/>
                <w:numId w:val="6"/>
              </w:numPr>
            </w:pPr>
            <w:r>
              <w:t>Non-PCS – 83% male, 85% African American, 54% over the age of 30, mean age 33.8.</w:t>
            </w:r>
          </w:p>
        </w:tc>
        <w:tc>
          <w:tcPr>
            <w:tcW w:w="6269" w:type="dxa"/>
          </w:tcPr>
          <w:p w:rsidR="0028759A" w:rsidRDefault="008160D6" w:rsidP="00993A4D">
            <w:pPr>
              <w:pStyle w:val="ListParagraph"/>
              <w:numPr>
                <w:ilvl w:val="0"/>
                <w:numId w:val="6"/>
              </w:numPr>
            </w:pPr>
            <w:r>
              <w:t>“</w:t>
            </w:r>
            <w:r w:rsidR="0028759A">
              <w:t>Offenders</w:t>
            </w:r>
            <w:r>
              <w:t xml:space="preserve"> who were supervised in the new style were</w:t>
            </w:r>
            <w:r w:rsidR="0028759A">
              <w:t xml:space="preserve"> less likely to be rearrested (30% for the PCS and 42% of the non-PCS sample </w:t>
            </w:r>
            <w:r w:rsidR="0028759A">
              <w:rPr>
                <w:i/>
              </w:rPr>
              <w:t xml:space="preserve">p &lt; </w:t>
            </w:r>
            <w:r w:rsidR="0028759A">
              <w:t xml:space="preserve">0.01) and less likely to have a warrant issued for technical violations (34.7% of the PCS group and 40% for the non-PCS group </w:t>
            </w:r>
            <w:r w:rsidR="0028759A">
              <w:rPr>
                <w:i/>
              </w:rPr>
              <w:t>p&lt;</w:t>
            </w:r>
            <w:r w:rsidR="0028759A">
              <w:t xml:space="preserve"> 0.10)</w:t>
            </w:r>
            <w:r>
              <w:t>”</w:t>
            </w:r>
            <w:r w:rsidR="0028759A">
              <w:t xml:space="preserve"> (p. 275).</w:t>
            </w:r>
          </w:p>
        </w:tc>
      </w:tr>
    </w:tbl>
    <w:p w:rsidR="00E92304" w:rsidRDefault="00E92304">
      <w:r>
        <w:br w:type="page"/>
      </w:r>
    </w:p>
    <w:tbl>
      <w:tblPr>
        <w:tblStyle w:val="TableGrid"/>
        <w:tblW w:w="0" w:type="auto"/>
        <w:tblLook w:val="04A0"/>
      </w:tblPr>
      <w:tblGrid>
        <w:gridCol w:w="2235"/>
        <w:gridCol w:w="2409"/>
        <w:gridCol w:w="3261"/>
        <w:gridCol w:w="6269"/>
      </w:tblGrid>
      <w:tr w:rsidR="0028759A" w:rsidTr="00993A4D">
        <w:tc>
          <w:tcPr>
            <w:tcW w:w="14174" w:type="dxa"/>
            <w:gridSpan w:val="4"/>
          </w:tcPr>
          <w:p w:rsidR="0028759A" w:rsidRDefault="0028759A" w:rsidP="008A1B82">
            <w:pPr>
              <w:spacing w:after="200"/>
              <w:rPr>
                <w:b/>
                <w:i/>
              </w:rPr>
            </w:pPr>
            <w:r w:rsidRPr="00FE5C9D">
              <w:rPr>
                <w:b/>
                <w:i/>
              </w:rPr>
              <w:lastRenderedPageBreak/>
              <w:t xml:space="preserve">Interventions </w:t>
            </w:r>
            <w:r>
              <w:rPr>
                <w:b/>
                <w:i/>
              </w:rPr>
              <w:t>d</w:t>
            </w:r>
            <w:r w:rsidRPr="00FE5C9D">
              <w:rPr>
                <w:b/>
                <w:i/>
              </w:rPr>
              <w:t xml:space="preserve">esigned to </w:t>
            </w:r>
            <w:r>
              <w:rPr>
                <w:b/>
                <w:i/>
              </w:rPr>
              <w:t>c</w:t>
            </w:r>
            <w:r w:rsidRPr="00FE5C9D">
              <w:rPr>
                <w:b/>
                <w:i/>
              </w:rPr>
              <w:t xml:space="preserve">hange </w:t>
            </w:r>
            <w:r>
              <w:rPr>
                <w:b/>
                <w:i/>
              </w:rPr>
              <w:t>c</w:t>
            </w:r>
            <w:r w:rsidRPr="00FE5C9D">
              <w:rPr>
                <w:b/>
                <w:i/>
              </w:rPr>
              <w:t xml:space="preserve">riminal </w:t>
            </w:r>
            <w:r>
              <w:rPr>
                <w:b/>
                <w:i/>
              </w:rPr>
              <w:t>l</w:t>
            </w:r>
            <w:r w:rsidRPr="00FE5C9D">
              <w:rPr>
                <w:b/>
                <w:i/>
              </w:rPr>
              <w:t xml:space="preserve">ifestyles </w:t>
            </w:r>
            <w:r>
              <w:rPr>
                <w:b/>
                <w:i/>
              </w:rPr>
              <w:t>t</w:t>
            </w:r>
            <w:r w:rsidRPr="00FE5C9D">
              <w:rPr>
                <w:b/>
                <w:i/>
              </w:rPr>
              <w:t xml:space="preserve">hrough </w:t>
            </w:r>
            <w:r>
              <w:rPr>
                <w:b/>
                <w:i/>
              </w:rPr>
              <w:t>e</w:t>
            </w:r>
            <w:r w:rsidRPr="00FE5C9D">
              <w:rPr>
                <w:b/>
                <w:i/>
              </w:rPr>
              <w:t xml:space="preserve">mployment and </w:t>
            </w:r>
            <w:r>
              <w:rPr>
                <w:b/>
                <w:i/>
              </w:rPr>
              <w:t>education</w:t>
            </w:r>
          </w:p>
          <w:p w:rsidR="0028759A" w:rsidRPr="0066225C" w:rsidRDefault="0028759A" w:rsidP="008A1B82">
            <w:pPr>
              <w:spacing w:after="200"/>
              <w:rPr>
                <w:b/>
                <w:i/>
              </w:rPr>
            </w:pPr>
            <w:r>
              <w:rPr>
                <w:b/>
                <w:i/>
              </w:rPr>
              <w:t>Area 3: Employment, education and lifestyle change</w:t>
            </w:r>
          </w:p>
        </w:tc>
      </w:tr>
      <w:tr w:rsidR="0028759A" w:rsidTr="00807CB8">
        <w:tc>
          <w:tcPr>
            <w:tcW w:w="2235" w:type="dxa"/>
          </w:tcPr>
          <w:p w:rsidR="0028759A" w:rsidRPr="00C039FF" w:rsidRDefault="0028759A" w:rsidP="00323871">
            <w:proofErr w:type="spellStart"/>
            <w:r w:rsidRPr="00FE5C9D">
              <w:t>Bellotti</w:t>
            </w:r>
            <w:proofErr w:type="spellEnd"/>
            <w:r>
              <w:t xml:space="preserve">, </w:t>
            </w:r>
            <w:proofErr w:type="spellStart"/>
            <w:r w:rsidRPr="00FE5C9D">
              <w:t>Derr</w:t>
            </w:r>
            <w:proofErr w:type="spellEnd"/>
            <w:r>
              <w:t>, &amp;</w:t>
            </w:r>
            <w:r w:rsidRPr="00FE5C9D">
              <w:t xml:space="preserve"> </w:t>
            </w:r>
            <w:r>
              <w:t>Paxton</w:t>
            </w:r>
            <w:r w:rsidRPr="00FE5C9D">
              <w:t xml:space="preserve"> </w:t>
            </w:r>
            <w:r>
              <w:t>(</w:t>
            </w:r>
            <w:r w:rsidRPr="00FE5C9D">
              <w:t>2008</w:t>
            </w:r>
            <w:r>
              <w:t>).</w:t>
            </w:r>
            <w:r w:rsidR="00C039FF">
              <w:t xml:space="preserve"> </w:t>
            </w:r>
            <w:r w:rsidR="00C039FF">
              <w:rPr>
                <w:i/>
              </w:rPr>
              <w:t xml:space="preserve">Examining a new model for prisoner re-entry services: The evaluation of beneficiary choice. </w:t>
            </w:r>
          </w:p>
        </w:tc>
        <w:tc>
          <w:tcPr>
            <w:tcW w:w="2409" w:type="dxa"/>
          </w:tcPr>
          <w:p w:rsidR="0004035A" w:rsidRDefault="0004035A" w:rsidP="004E1867">
            <w:r>
              <w:t>Non-experimental</w:t>
            </w:r>
          </w:p>
          <w:p w:rsidR="0028759A" w:rsidRDefault="0004035A" w:rsidP="004E1867">
            <w:r>
              <w:t>Compared to state administrative data</w:t>
            </w:r>
          </w:p>
        </w:tc>
        <w:tc>
          <w:tcPr>
            <w:tcW w:w="3261" w:type="dxa"/>
          </w:tcPr>
          <w:p w:rsidR="0028759A" w:rsidRDefault="0028759A" w:rsidP="00812ACA">
            <w:pPr>
              <w:pStyle w:val="ListParagraph"/>
              <w:numPr>
                <w:ilvl w:val="0"/>
                <w:numId w:val="15"/>
              </w:numPr>
            </w:pPr>
            <w:r>
              <w:t>U.S.A.</w:t>
            </w:r>
          </w:p>
          <w:p w:rsidR="0028759A" w:rsidRDefault="00734DB1" w:rsidP="00812ACA">
            <w:pPr>
              <w:pStyle w:val="ListParagraph"/>
              <w:numPr>
                <w:ilvl w:val="0"/>
                <w:numId w:val="15"/>
              </w:numPr>
            </w:pPr>
            <w:r>
              <w:t xml:space="preserve">2,382 participants </w:t>
            </w:r>
            <w:r w:rsidR="0028759A">
              <w:t xml:space="preserve">aged </w:t>
            </w:r>
            <w:proofErr w:type="gramStart"/>
            <w:r w:rsidR="0028759A">
              <w:t>between 18-29</w:t>
            </w:r>
            <w:proofErr w:type="gramEnd"/>
            <w:r>
              <w:t>.</w:t>
            </w:r>
          </w:p>
          <w:p w:rsidR="0028759A" w:rsidRDefault="0028759A" w:rsidP="00812ACA">
            <w:pPr>
              <w:pStyle w:val="ListParagraph"/>
              <w:numPr>
                <w:ilvl w:val="0"/>
                <w:numId w:val="15"/>
              </w:numPr>
            </w:pPr>
            <w:r>
              <w:t>88.3% male, 11.7% female, Race- 34.7% white, 58.6% black, .04 Asian, 4.2% American Indian or Alaskan Native, 0.9% Hawaiian Native or other Pacific Islander and 1.2% multiracial</w:t>
            </w:r>
            <w:r w:rsidR="00734DB1">
              <w:t>.</w:t>
            </w:r>
          </w:p>
          <w:p w:rsidR="0028759A" w:rsidRDefault="0028759A" w:rsidP="00A44839"/>
        </w:tc>
        <w:tc>
          <w:tcPr>
            <w:tcW w:w="6269" w:type="dxa"/>
          </w:tcPr>
          <w:p w:rsidR="0028759A" w:rsidRDefault="001266EA" w:rsidP="00812ACA">
            <w:pPr>
              <w:pStyle w:val="ListParagraph"/>
              <w:numPr>
                <w:ilvl w:val="0"/>
                <w:numId w:val="15"/>
              </w:numPr>
            </w:pPr>
            <w:r>
              <w:t>“</w:t>
            </w:r>
            <w:r w:rsidR="0028759A">
              <w:t xml:space="preserve">65% of participants received a placement in unsubsidized </w:t>
            </w:r>
            <w:proofErr w:type="gramStart"/>
            <w:r w:rsidR="0028759A">
              <w:t>employment,</w:t>
            </w:r>
            <w:proofErr w:type="gramEnd"/>
            <w:r w:rsidR="0028759A">
              <w:t xml:space="preserve"> placements were made an average of nine weeks after </w:t>
            </w:r>
            <w:r w:rsidR="00F511A0">
              <w:t>enrolment</w:t>
            </w:r>
            <w:r>
              <w:t>”</w:t>
            </w:r>
            <w:r w:rsidR="0028759A">
              <w:t xml:space="preserve"> (p. xvii). </w:t>
            </w:r>
            <w:r>
              <w:t>But</w:t>
            </w:r>
            <w:r w:rsidR="0028759A">
              <w:t xml:space="preserve"> there was quite a variation across the</w:t>
            </w:r>
            <w:r>
              <w:t xml:space="preserve"> five</w:t>
            </w:r>
            <w:r w:rsidR="0028759A">
              <w:t xml:space="preserve"> locations</w:t>
            </w:r>
          </w:p>
          <w:p w:rsidR="0028759A" w:rsidRDefault="001266EA" w:rsidP="00812ACA">
            <w:pPr>
              <w:pStyle w:val="ListParagraph"/>
              <w:numPr>
                <w:ilvl w:val="0"/>
                <w:numId w:val="15"/>
              </w:numPr>
            </w:pPr>
            <w:r>
              <w:t>“</w:t>
            </w:r>
            <w:r w:rsidR="0028759A">
              <w:t>34% of participants were rearrested for a new crime within one year of release (compared to nationwide study of 44%)</w:t>
            </w:r>
            <w:r>
              <w:t>”</w:t>
            </w:r>
            <w:r w:rsidR="0028759A">
              <w:t xml:space="preserve"> (</w:t>
            </w:r>
            <w:proofErr w:type="gramStart"/>
            <w:r w:rsidR="0028759A">
              <w:t>p</w:t>
            </w:r>
            <w:proofErr w:type="gramEnd"/>
            <w:r w:rsidR="0028759A">
              <w:t xml:space="preserve">. xvii). </w:t>
            </w:r>
          </w:p>
          <w:p w:rsidR="0028759A" w:rsidRDefault="001266EA" w:rsidP="001266EA">
            <w:pPr>
              <w:pStyle w:val="ListParagraph"/>
              <w:numPr>
                <w:ilvl w:val="0"/>
                <w:numId w:val="15"/>
              </w:numPr>
            </w:pPr>
            <w:r>
              <w:t>“</w:t>
            </w:r>
            <w:r w:rsidR="0028759A">
              <w:t xml:space="preserve">Study showed a </w:t>
            </w:r>
            <w:r w:rsidR="0028759A" w:rsidRPr="0004035A">
              <w:rPr>
                <w:i/>
                <w:highlight w:val="yellow"/>
              </w:rPr>
              <w:t>strong relationship</w:t>
            </w:r>
            <w:r w:rsidR="0028759A">
              <w:t xml:space="preserve"> between an offender’s age and probability of </w:t>
            </w:r>
            <w:proofErr w:type="spellStart"/>
            <w:r w:rsidR="0028759A">
              <w:t>recidivating</w:t>
            </w:r>
            <w:proofErr w:type="spellEnd"/>
            <w:r w:rsidR="0028759A">
              <w:t xml:space="preserve">, with younger offenders more likely to </w:t>
            </w:r>
            <w:proofErr w:type="spellStart"/>
            <w:r w:rsidR="0028759A">
              <w:t>recidivate</w:t>
            </w:r>
            <w:proofErr w:type="spellEnd"/>
            <w:r w:rsidR="0028759A">
              <w:t xml:space="preserve"> than older offenders</w:t>
            </w:r>
            <w:r>
              <w:t>.</w:t>
            </w:r>
            <w:r w:rsidR="0028759A">
              <w:t xml:space="preserve"> </w:t>
            </w:r>
            <w:r>
              <w:t xml:space="preserve">This suggest that the rearrest rate for Beneficiary Choice participants is lower than the national rate for offenders between 18 and 29 years” </w:t>
            </w:r>
            <w:r w:rsidR="0028759A">
              <w:t>(p. xvii).</w:t>
            </w:r>
          </w:p>
        </w:tc>
      </w:tr>
      <w:tr w:rsidR="0028759A" w:rsidTr="00807CB8">
        <w:tc>
          <w:tcPr>
            <w:tcW w:w="2235" w:type="dxa"/>
          </w:tcPr>
          <w:p w:rsidR="0028759A" w:rsidRPr="00FE5C9D" w:rsidRDefault="0028759A" w:rsidP="00323871">
            <w:proofErr w:type="spellStart"/>
            <w:r w:rsidRPr="00FE5C9D">
              <w:t>Burghardt</w:t>
            </w:r>
            <w:proofErr w:type="spellEnd"/>
            <w:r w:rsidRPr="00FE5C9D">
              <w:t xml:space="preserve">, </w:t>
            </w:r>
            <w:proofErr w:type="spellStart"/>
            <w:r w:rsidRPr="00FE5C9D">
              <w:t>Schocket</w:t>
            </w:r>
            <w:proofErr w:type="spellEnd"/>
            <w:r>
              <w:t xml:space="preserve">, </w:t>
            </w:r>
            <w:r w:rsidRPr="00FE5C9D">
              <w:t>McConnell,</w:t>
            </w:r>
            <w:r>
              <w:t xml:space="preserve"> </w:t>
            </w:r>
            <w:r w:rsidRPr="00FE5C9D">
              <w:t>Johnson,</w:t>
            </w:r>
            <w:r>
              <w:t xml:space="preserve"> </w:t>
            </w:r>
            <w:proofErr w:type="spellStart"/>
            <w:r w:rsidRPr="00FE5C9D">
              <w:t>Gritz</w:t>
            </w:r>
            <w:proofErr w:type="spellEnd"/>
            <w:r>
              <w:t xml:space="preserve">, </w:t>
            </w:r>
            <w:proofErr w:type="spellStart"/>
            <w:r w:rsidRPr="00FE5C9D">
              <w:t>Glazerman</w:t>
            </w:r>
            <w:proofErr w:type="spellEnd"/>
            <w:r>
              <w:t xml:space="preserve">, </w:t>
            </w:r>
            <w:proofErr w:type="spellStart"/>
            <w:r>
              <w:t>Homrighausen</w:t>
            </w:r>
            <w:proofErr w:type="spellEnd"/>
            <w:r>
              <w:t>, &amp; Jackson (</w:t>
            </w:r>
            <w:r w:rsidRPr="00FE5C9D">
              <w:t>2001</w:t>
            </w:r>
            <w:r>
              <w:t>).</w:t>
            </w:r>
            <w:r w:rsidR="00C039FF">
              <w:t xml:space="preserve"> </w:t>
            </w:r>
            <w:r w:rsidR="00C039FF" w:rsidRPr="00FE5C9D">
              <w:rPr>
                <w:i/>
              </w:rPr>
              <w:t xml:space="preserve">Does Job Corps </w:t>
            </w:r>
            <w:r w:rsidR="00C039FF">
              <w:rPr>
                <w:i/>
              </w:rPr>
              <w:t>w</w:t>
            </w:r>
            <w:r w:rsidR="00C039FF" w:rsidRPr="00FE5C9D">
              <w:rPr>
                <w:i/>
              </w:rPr>
              <w:t xml:space="preserve">ork? Summary of the </w:t>
            </w:r>
            <w:r w:rsidR="00C039FF">
              <w:rPr>
                <w:i/>
              </w:rPr>
              <w:t>n</w:t>
            </w:r>
            <w:r w:rsidR="00C039FF" w:rsidRPr="00FE5C9D">
              <w:rPr>
                <w:i/>
              </w:rPr>
              <w:t xml:space="preserve">ational Job Corps </w:t>
            </w:r>
            <w:r w:rsidR="00C039FF">
              <w:rPr>
                <w:i/>
              </w:rPr>
              <w:t>s</w:t>
            </w:r>
            <w:r w:rsidR="00C039FF" w:rsidRPr="00FE5C9D">
              <w:rPr>
                <w:i/>
              </w:rPr>
              <w:t>tudy.</w:t>
            </w:r>
          </w:p>
        </w:tc>
        <w:tc>
          <w:tcPr>
            <w:tcW w:w="2409" w:type="dxa"/>
          </w:tcPr>
          <w:p w:rsidR="0028759A" w:rsidRDefault="00B90CFD" w:rsidP="00DC53CE">
            <w:r>
              <w:t>Experimental</w:t>
            </w:r>
          </w:p>
          <w:p w:rsidR="00B90CFD" w:rsidRDefault="00B90CFD" w:rsidP="00DC53CE">
            <w:r>
              <w:t>Eligible participants randomly assigned to program group or control group</w:t>
            </w:r>
          </w:p>
          <w:p w:rsidR="00B90CFD" w:rsidRDefault="00B90CFD" w:rsidP="00DC53CE">
            <w:r>
              <w:t>Two year follow up</w:t>
            </w:r>
          </w:p>
        </w:tc>
        <w:tc>
          <w:tcPr>
            <w:tcW w:w="3261" w:type="dxa"/>
          </w:tcPr>
          <w:p w:rsidR="00A44839" w:rsidRDefault="0028759A" w:rsidP="00A44839">
            <w:pPr>
              <w:pStyle w:val="ListParagraph"/>
              <w:numPr>
                <w:ilvl w:val="0"/>
                <w:numId w:val="16"/>
              </w:numPr>
            </w:pPr>
            <w:r>
              <w:t>U.S.A.</w:t>
            </w:r>
          </w:p>
          <w:p w:rsidR="0028759A" w:rsidRDefault="0028759A" w:rsidP="00A44839">
            <w:pPr>
              <w:pStyle w:val="ListParagraph"/>
              <w:numPr>
                <w:ilvl w:val="0"/>
                <w:numId w:val="16"/>
              </w:numPr>
            </w:pPr>
            <w:r>
              <w:t>11,313 youths, retained about 80% of group at the 48-month interview</w:t>
            </w:r>
            <w:r w:rsidR="00734DB1">
              <w:t>.</w:t>
            </w:r>
          </w:p>
          <w:p w:rsidR="00B90CFD" w:rsidRDefault="0028759A" w:rsidP="00812ACA">
            <w:pPr>
              <w:pStyle w:val="ListParagraph"/>
              <w:numPr>
                <w:ilvl w:val="0"/>
                <w:numId w:val="16"/>
              </w:numPr>
            </w:pPr>
            <w:r>
              <w:t xml:space="preserve">59% male, 29% females without children, 12% females with children </w:t>
            </w:r>
          </w:p>
          <w:p w:rsidR="00B90CFD" w:rsidRDefault="0028759A" w:rsidP="00812ACA">
            <w:pPr>
              <w:pStyle w:val="ListParagraph"/>
              <w:numPr>
                <w:ilvl w:val="0"/>
                <w:numId w:val="16"/>
              </w:numPr>
            </w:pPr>
            <w:r>
              <w:t xml:space="preserve">46% aged 16-17, </w:t>
            </w:r>
            <w:r w:rsidR="00B90CFD">
              <w:t>32% aged 18-19, 27% aged 20-24</w:t>
            </w:r>
          </w:p>
          <w:p w:rsidR="0028759A" w:rsidRDefault="0028759A" w:rsidP="00812ACA">
            <w:pPr>
              <w:pStyle w:val="ListParagraph"/>
              <w:numPr>
                <w:ilvl w:val="0"/>
                <w:numId w:val="16"/>
              </w:numPr>
            </w:pPr>
            <w:r>
              <w:t>48% black, 27% white, 18% Hispanic, 8% American Indian, Asian/Pacific Islander, other</w:t>
            </w:r>
            <w:r w:rsidR="00734DB1">
              <w:t>.</w:t>
            </w:r>
          </w:p>
          <w:p w:rsidR="0028759A" w:rsidRDefault="0028759A" w:rsidP="00A44839"/>
        </w:tc>
        <w:tc>
          <w:tcPr>
            <w:tcW w:w="6269" w:type="dxa"/>
          </w:tcPr>
          <w:p w:rsidR="0028759A" w:rsidRDefault="00B90CFD" w:rsidP="00812ACA">
            <w:pPr>
              <w:pStyle w:val="ListParagraph"/>
              <w:numPr>
                <w:ilvl w:val="0"/>
                <w:numId w:val="16"/>
              </w:numPr>
            </w:pPr>
            <w:r>
              <w:t>“</w:t>
            </w:r>
            <w:r w:rsidR="0028759A">
              <w:t>93% of program group engaged in some education or training, compared to 72% of the control group. Job Corps increased the education and training that program participants received, despite the activity of the control group</w:t>
            </w:r>
            <w:r>
              <w:t>”</w:t>
            </w:r>
            <w:r w:rsidR="0028759A">
              <w:t xml:space="preserve"> (pp. 12-13).</w:t>
            </w:r>
          </w:p>
          <w:p w:rsidR="0028759A" w:rsidRDefault="00B90CFD" w:rsidP="00812ACA">
            <w:pPr>
              <w:pStyle w:val="ListParagraph"/>
              <w:numPr>
                <w:ilvl w:val="0"/>
                <w:numId w:val="16"/>
              </w:numPr>
            </w:pPr>
            <w:r>
              <w:t>“</w:t>
            </w:r>
            <w:r w:rsidR="0028759A">
              <w:t>Significantly reduced arrest and conviction rates, as well as time spent incarcerated. 33% of control group and 29% of program group members were arrested during the 48 month follow-up period</w:t>
            </w:r>
            <w:r>
              <w:t>” (p&lt;.05)</w:t>
            </w:r>
            <w:r w:rsidR="0028759A">
              <w:t xml:space="preserve"> (p. 16).</w:t>
            </w:r>
          </w:p>
        </w:tc>
      </w:tr>
      <w:tr w:rsidR="0028759A" w:rsidTr="00807CB8">
        <w:tc>
          <w:tcPr>
            <w:tcW w:w="2235" w:type="dxa"/>
          </w:tcPr>
          <w:p w:rsidR="0028759A" w:rsidRPr="00323871" w:rsidRDefault="0028759A" w:rsidP="00323871">
            <w:r w:rsidRPr="00F37019">
              <w:lastRenderedPageBreak/>
              <w:t xml:space="preserve">Lloyd, </w:t>
            </w:r>
            <w:proofErr w:type="spellStart"/>
            <w:r w:rsidRPr="00F37019">
              <w:t>Gowland</w:t>
            </w:r>
            <w:proofErr w:type="spellEnd"/>
            <w:r w:rsidRPr="00F37019">
              <w:t xml:space="preserve">, </w:t>
            </w:r>
            <w:proofErr w:type="spellStart"/>
            <w:r w:rsidRPr="00F37019">
              <w:t>Turczuk</w:t>
            </w:r>
            <w:proofErr w:type="spellEnd"/>
            <w:r w:rsidRPr="00F37019">
              <w:t>, &amp; White (2011)</w:t>
            </w:r>
            <w:r w:rsidRPr="00F37019">
              <w:rPr>
                <w:i/>
              </w:rPr>
              <w:t>.</w:t>
            </w:r>
            <w:r w:rsidR="00323C6D">
              <w:rPr>
                <w:i/>
              </w:rPr>
              <w:t xml:space="preserve"> Monitoring and evaluation of intensive intervention projects for young people. </w:t>
            </w:r>
          </w:p>
        </w:tc>
        <w:tc>
          <w:tcPr>
            <w:tcW w:w="2409" w:type="dxa"/>
          </w:tcPr>
          <w:p w:rsidR="0028759A" w:rsidRDefault="006E6223" w:rsidP="00745646">
            <w:r>
              <w:t>Non-experimental</w:t>
            </w:r>
          </w:p>
          <w:p w:rsidR="006E6223" w:rsidRDefault="006E6223" w:rsidP="00745646">
            <w:r>
              <w:t xml:space="preserve">Self-report questionnaire </w:t>
            </w:r>
          </w:p>
        </w:tc>
        <w:tc>
          <w:tcPr>
            <w:tcW w:w="3261" w:type="dxa"/>
          </w:tcPr>
          <w:p w:rsidR="0028759A" w:rsidRDefault="0028759A" w:rsidP="00812ACA">
            <w:pPr>
              <w:pStyle w:val="ListParagraph"/>
              <w:numPr>
                <w:ilvl w:val="0"/>
                <w:numId w:val="19"/>
              </w:numPr>
            </w:pPr>
            <w:r>
              <w:t>U.K.</w:t>
            </w:r>
          </w:p>
          <w:p w:rsidR="00A758C9" w:rsidRDefault="0028759A" w:rsidP="00812ACA">
            <w:pPr>
              <w:pStyle w:val="ListParagraph"/>
              <w:numPr>
                <w:ilvl w:val="0"/>
                <w:numId w:val="19"/>
              </w:numPr>
            </w:pPr>
            <w:r>
              <w:t xml:space="preserve">20 </w:t>
            </w:r>
            <w:r w:rsidR="00D1553C">
              <w:t>intensive intervention projects</w:t>
            </w:r>
          </w:p>
          <w:p w:rsidR="0028759A" w:rsidRDefault="0028759A" w:rsidP="00812ACA">
            <w:pPr>
              <w:pStyle w:val="ListParagraph"/>
              <w:numPr>
                <w:ilvl w:val="0"/>
                <w:numId w:val="19"/>
              </w:numPr>
            </w:pPr>
            <w:r>
              <w:t>1,836 referred, 61% accepted into programs – 1,117</w:t>
            </w:r>
            <w:r w:rsidR="00734DB1">
              <w:t>.</w:t>
            </w:r>
          </w:p>
          <w:p w:rsidR="0028759A" w:rsidRDefault="0028759A" w:rsidP="00812ACA">
            <w:pPr>
              <w:pStyle w:val="ListParagraph"/>
              <w:numPr>
                <w:ilvl w:val="0"/>
                <w:numId w:val="19"/>
              </w:numPr>
            </w:pPr>
            <w:r>
              <w:t>Results for the 790 who exited an Intensive Intervention Project (IIP) or been working an IIP for at least eight months</w:t>
            </w:r>
            <w:r w:rsidR="00734DB1">
              <w:t>.</w:t>
            </w:r>
          </w:p>
          <w:p w:rsidR="0028759A" w:rsidRDefault="0028759A" w:rsidP="00734DB1">
            <w:pPr>
              <w:pStyle w:val="ListParagraph"/>
              <w:numPr>
                <w:ilvl w:val="0"/>
                <w:numId w:val="19"/>
              </w:numPr>
            </w:pPr>
            <w:r>
              <w:t>74% male, 78% from a white ethnic background, average (median) age 14 years</w:t>
            </w:r>
            <w:r w:rsidR="00734DB1">
              <w:t>.</w:t>
            </w:r>
          </w:p>
        </w:tc>
        <w:tc>
          <w:tcPr>
            <w:tcW w:w="6269" w:type="dxa"/>
          </w:tcPr>
          <w:p w:rsidR="0028759A" w:rsidRDefault="00D1553C" w:rsidP="00812ACA">
            <w:pPr>
              <w:pStyle w:val="ListParagraph"/>
              <w:numPr>
                <w:ilvl w:val="0"/>
                <w:numId w:val="19"/>
              </w:numPr>
            </w:pPr>
            <w:r>
              <w:t>“</w:t>
            </w:r>
            <w:r w:rsidR="0028759A">
              <w:t>49% of young people who left an IIP were recorded as having successfully completed their intervention and achieved a positive outcome</w:t>
            </w:r>
            <w:r>
              <w:t>”</w:t>
            </w:r>
            <w:r w:rsidR="0028759A">
              <w:t xml:space="preserve"> (p. 1).</w:t>
            </w:r>
          </w:p>
          <w:p w:rsidR="0028759A" w:rsidRDefault="00D1553C" w:rsidP="00812ACA">
            <w:pPr>
              <w:pStyle w:val="ListParagraph"/>
              <w:numPr>
                <w:ilvl w:val="0"/>
                <w:numId w:val="19"/>
              </w:numPr>
            </w:pPr>
            <w:r>
              <w:t>“</w:t>
            </w:r>
            <w:r w:rsidR="0028759A">
              <w:t>60% had fewer crimes and ASB issues between starting and leaving the IIP</w:t>
            </w:r>
            <w:r>
              <w:t>”</w:t>
            </w:r>
            <w:r w:rsidR="0028759A">
              <w:t xml:space="preserve"> (p. 1). </w:t>
            </w:r>
          </w:p>
          <w:p w:rsidR="0028759A" w:rsidRDefault="00D1553C" w:rsidP="00812ACA">
            <w:pPr>
              <w:pStyle w:val="ListParagraph"/>
              <w:numPr>
                <w:ilvl w:val="0"/>
                <w:numId w:val="19"/>
              </w:numPr>
            </w:pPr>
            <w:r>
              <w:t>“</w:t>
            </w:r>
            <w:r w:rsidR="0028759A">
              <w:t xml:space="preserve">Young people were least likely to have achieved a successful outcome in relation to school attendance (38%) and for those over 16 years being </w:t>
            </w:r>
            <w:r>
              <w:t>not in education, employment or training (</w:t>
            </w:r>
            <w:r w:rsidR="0028759A">
              <w:t>NEET</w:t>
            </w:r>
            <w:r>
              <w:t>)</w:t>
            </w:r>
            <w:r w:rsidR="0028759A">
              <w:t xml:space="preserve"> or at risk of being NEET</w:t>
            </w:r>
            <w:r>
              <w:t>”</w:t>
            </w:r>
            <w:r w:rsidR="0028759A">
              <w:t xml:space="preserve"> (25%) (p. 33). </w:t>
            </w:r>
          </w:p>
        </w:tc>
      </w:tr>
      <w:tr w:rsidR="0028759A" w:rsidTr="00807CB8">
        <w:tc>
          <w:tcPr>
            <w:tcW w:w="2235" w:type="dxa"/>
          </w:tcPr>
          <w:p w:rsidR="0028759A" w:rsidRPr="0004094B" w:rsidRDefault="0028759A" w:rsidP="00BC4DD4">
            <w:pPr>
              <w:rPr>
                <w:highlight w:val="yellow"/>
              </w:rPr>
            </w:pPr>
            <w:r w:rsidRPr="0004094B">
              <w:rPr>
                <w:highlight w:val="yellow"/>
              </w:rPr>
              <w:t>Martin, Hernandez, Hernandez-</w:t>
            </w:r>
            <w:proofErr w:type="spellStart"/>
            <w:r w:rsidRPr="0004094B">
              <w:rPr>
                <w:highlight w:val="yellow"/>
              </w:rPr>
              <w:t>Fernaud</w:t>
            </w:r>
            <w:proofErr w:type="spellEnd"/>
            <w:r w:rsidRPr="0004094B">
              <w:rPr>
                <w:highlight w:val="yellow"/>
              </w:rPr>
              <w:t xml:space="preserve">, </w:t>
            </w:r>
            <w:proofErr w:type="spellStart"/>
            <w:r w:rsidRPr="0004094B">
              <w:rPr>
                <w:highlight w:val="yellow"/>
              </w:rPr>
              <w:t>Arregui</w:t>
            </w:r>
            <w:proofErr w:type="spellEnd"/>
            <w:r w:rsidRPr="0004094B">
              <w:rPr>
                <w:highlight w:val="yellow"/>
              </w:rPr>
              <w:t>, &amp; Hernandez (2010).</w:t>
            </w:r>
            <w:r w:rsidR="00323C6D" w:rsidRPr="0004094B">
              <w:rPr>
                <w:highlight w:val="yellow"/>
              </w:rPr>
              <w:t xml:space="preserve"> The enhancement effect of social and employment integration on the delay of recidivism of released offenders training with the R&amp;R programme.  </w:t>
            </w:r>
          </w:p>
        </w:tc>
        <w:tc>
          <w:tcPr>
            <w:tcW w:w="2409" w:type="dxa"/>
          </w:tcPr>
          <w:p w:rsidR="00323C6D" w:rsidRDefault="0028759A" w:rsidP="00745646">
            <w:r>
              <w:t>Quasi-experimental</w:t>
            </w:r>
          </w:p>
          <w:p w:rsidR="0028759A" w:rsidRDefault="00323C6D" w:rsidP="00323C6D">
            <w:r>
              <w:t>Comparison group of inmates who received only social-cognitive training with group of inmates who also received social and employment integration and with a comparison group received neither of these interventions.</w:t>
            </w:r>
          </w:p>
          <w:p w:rsidR="00323C6D" w:rsidRDefault="00323C6D" w:rsidP="00323C6D">
            <w:r>
              <w:t>6 year follow up</w:t>
            </w:r>
          </w:p>
        </w:tc>
        <w:tc>
          <w:tcPr>
            <w:tcW w:w="3261" w:type="dxa"/>
          </w:tcPr>
          <w:p w:rsidR="0028759A" w:rsidRDefault="00A758C9" w:rsidP="00812ACA">
            <w:pPr>
              <w:pStyle w:val="ListParagraph"/>
              <w:numPr>
                <w:ilvl w:val="0"/>
                <w:numId w:val="20"/>
              </w:numPr>
            </w:pPr>
            <w:r>
              <w:t>Spain.</w:t>
            </w:r>
          </w:p>
          <w:p w:rsidR="0028759A" w:rsidRDefault="0028759A" w:rsidP="00812ACA">
            <w:pPr>
              <w:pStyle w:val="ListParagraph"/>
              <w:numPr>
                <w:ilvl w:val="0"/>
                <w:numId w:val="20"/>
              </w:numPr>
            </w:pPr>
            <w:r>
              <w:t>117 offenders</w:t>
            </w:r>
            <w:r w:rsidR="00734DB1">
              <w:t>.</w:t>
            </w:r>
          </w:p>
          <w:p w:rsidR="0028759A" w:rsidRDefault="0028759A" w:rsidP="00812ACA">
            <w:pPr>
              <w:pStyle w:val="ListParagraph"/>
              <w:numPr>
                <w:ilvl w:val="0"/>
                <w:numId w:val="20"/>
              </w:numPr>
            </w:pPr>
            <w:r>
              <w:t>87 male and 30 female, ranged in age 19 to 60 years (</w:t>
            </w:r>
            <w:r>
              <w:rPr>
                <w:i/>
              </w:rPr>
              <w:t>M=</w:t>
            </w:r>
            <w:r>
              <w:t xml:space="preserve"> 38)</w:t>
            </w:r>
            <w:r w:rsidR="00734DB1">
              <w:t>.</w:t>
            </w:r>
          </w:p>
          <w:p w:rsidR="0028759A" w:rsidRDefault="0028759A" w:rsidP="003A6FA0">
            <w:pPr>
              <w:pStyle w:val="ListParagraph"/>
              <w:ind w:left="360"/>
            </w:pPr>
          </w:p>
        </w:tc>
        <w:tc>
          <w:tcPr>
            <w:tcW w:w="6269" w:type="dxa"/>
          </w:tcPr>
          <w:p w:rsidR="0028759A" w:rsidRDefault="00323C6D" w:rsidP="00812ACA">
            <w:pPr>
              <w:pStyle w:val="ListParagraph"/>
              <w:numPr>
                <w:ilvl w:val="0"/>
                <w:numId w:val="20"/>
              </w:numPr>
            </w:pPr>
            <w:r>
              <w:t>“</w:t>
            </w:r>
            <w:r w:rsidR="0028759A">
              <w:t>67.5% of the sample had not returned to prison after a 6 year follow up</w:t>
            </w:r>
            <w:r>
              <w:t>”</w:t>
            </w:r>
            <w:r w:rsidR="0028759A">
              <w:t xml:space="preserve"> (p. 406).</w:t>
            </w:r>
          </w:p>
          <w:p w:rsidR="0028759A" w:rsidRDefault="00323C6D" w:rsidP="00812ACA">
            <w:pPr>
              <w:pStyle w:val="ListParagraph"/>
              <w:numPr>
                <w:ilvl w:val="0"/>
                <w:numId w:val="20"/>
              </w:numPr>
            </w:pPr>
            <w:r>
              <w:t>“</w:t>
            </w:r>
            <w:r w:rsidR="0028759A">
              <w:t>The group that received social and employment integration had the highest level of delayed recidivism, but the difference with the group that only received social-cognitive training was not statistically significant</w:t>
            </w:r>
            <w:r>
              <w:t>”</w:t>
            </w:r>
            <w:r w:rsidR="0028759A">
              <w:t xml:space="preserve"> (p. 401).</w:t>
            </w:r>
          </w:p>
        </w:tc>
      </w:tr>
      <w:tr w:rsidR="0028759A" w:rsidTr="00807CB8">
        <w:tc>
          <w:tcPr>
            <w:tcW w:w="2235" w:type="dxa"/>
          </w:tcPr>
          <w:p w:rsidR="0028759A" w:rsidRPr="00625FFE" w:rsidRDefault="0028759A" w:rsidP="00BC4DD4">
            <w:r w:rsidRPr="00625FFE">
              <w:t xml:space="preserve">Paternoster, </w:t>
            </w:r>
            <w:proofErr w:type="spellStart"/>
            <w:r w:rsidRPr="00625FFE">
              <w:t>Bushway</w:t>
            </w:r>
            <w:proofErr w:type="spellEnd"/>
            <w:r w:rsidRPr="00625FFE">
              <w:t xml:space="preserve">, </w:t>
            </w:r>
            <w:proofErr w:type="spellStart"/>
            <w:r w:rsidRPr="00625FFE">
              <w:t>Brame</w:t>
            </w:r>
            <w:proofErr w:type="spellEnd"/>
            <w:r w:rsidRPr="00625FFE">
              <w:t xml:space="preserve">, &amp; </w:t>
            </w:r>
            <w:proofErr w:type="spellStart"/>
            <w:r w:rsidRPr="00625FFE">
              <w:t>Apel</w:t>
            </w:r>
            <w:proofErr w:type="spellEnd"/>
            <w:r w:rsidRPr="00625FFE">
              <w:t xml:space="preserve"> (2003).</w:t>
            </w:r>
            <w:r w:rsidR="00C30521" w:rsidRPr="00625FFE">
              <w:t xml:space="preserve"> </w:t>
            </w:r>
            <w:r w:rsidR="00056073" w:rsidRPr="00625FFE">
              <w:t xml:space="preserve">Effect of teenage </w:t>
            </w:r>
            <w:r w:rsidR="00056073" w:rsidRPr="00625FFE">
              <w:lastRenderedPageBreak/>
              <w:t xml:space="preserve">employment on delinquency and problem </w:t>
            </w:r>
            <w:proofErr w:type="spellStart"/>
            <w:r w:rsidR="00056073" w:rsidRPr="00625FFE">
              <w:t>behaviors</w:t>
            </w:r>
            <w:proofErr w:type="spellEnd"/>
            <w:r w:rsidR="00056073" w:rsidRPr="00625FFE">
              <w:t xml:space="preserve">. </w:t>
            </w:r>
          </w:p>
        </w:tc>
        <w:tc>
          <w:tcPr>
            <w:tcW w:w="2409" w:type="dxa"/>
          </w:tcPr>
          <w:p w:rsidR="0028759A" w:rsidRPr="00625FFE" w:rsidRDefault="003C6A47" w:rsidP="008A1B82">
            <w:r w:rsidRPr="00625FFE">
              <w:lastRenderedPageBreak/>
              <w:t>Quasi-experimental</w:t>
            </w:r>
          </w:p>
          <w:p w:rsidR="00056073" w:rsidRPr="00625FFE" w:rsidRDefault="00056073" w:rsidP="008A1B82">
            <w:r w:rsidRPr="00625FFE">
              <w:t>Longitudinal data</w:t>
            </w:r>
          </w:p>
        </w:tc>
        <w:tc>
          <w:tcPr>
            <w:tcW w:w="3261" w:type="dxa"/>
          </w:tcPr>
          <w:p w:rsidR="0028759A" w:rsidRPr="00625FFE" w:rsidRDefault="0028759A" w:rsidP="00812ACA">
            <w:pPr>
              <w:pStyle w:val="ListParagraph"/>
              <w:numPr>
                <w:ilvl w:val="0"/>
                <w:numId w:val="22"/>
              </w:numPr>
            </w:pPr>
            <w:r w:rsidRPr="00625FFE">
              <w:t>U.S.</w:t>
            </w:r>
            <w:r w:rsidR="00131C05" w:rsidRPr="00625FFE">
              <w:t>A.</w:t>
            </w:r>
          </w:p>
          <w:p w:rsidR="00625FFE" w:rsidRDefault="0014501F" w:rsidP="00812ACA">
            <w:pPr>
              <w:pStyle w:val="ListParagraph"/>
              <w:numPr>
                <w:ilvl w:val="0"/>
                <w:numId w:val="22"/>
              </w:numPr>
            </w:pPr>
            <w:r w:rsidRPr="00625FFE">
              <w:t>National Longitudinal Survey of Youth data</w:t>
            </w:r>
            <w:r>
              <w:t xml:space="preserve"> (NLSY97)6,557 </w:t>
            </w:r>
            <w:r>
              <w:lastRenderedPageBreak/>
              <w:t xml:space="preserve">respondents when studying delinquency, 6,564 when studying substance abuse, 6,666 when studying problem </w:t>
            </w:r>
            <w:proofErr w:type="spellStart"/>
            <w:r>
              <w:t>behavior</w:t>
            </w:r>
            <w:proofErr w:type="spellEnd"/>
          </w:p>
          <w:p w:rsidR="0014501F" w:rsidRDefault="0014501F" w:rsidP="00812ACA">
            <w:pPr>
              <w:pStyle w:val="ListParagraph"/>
              <w:numPr>
                <w:ilvl w:val="0"/>
                <w:numId w:val="22"/>
              </w:numPr>
            </w:pPr>
            <w:r>
              <w:t>1999 – last wave demographics – average age 16.99, male 50.63%</w:t>
            </w:r>
          </w:p>
          <w:p w:rsidR="0028759A" w:rsidRPr="00625FFE" w:rsidRDefault="0014501F" w:rsidP="00812ACA">
            <w:pPr>
              <w:pStyle w:val="ListParagraph"/>
              <w:numPr>
                <w:ilvl w:val="0"/>
                <w:numId w:val="22"/>
              </w:numPr>
            </w:pPr>
            <w:r>
              <w:t>14.81% black, 12.52 Hispanic</w:t>
            </w:r>
          </w:p>
        </w:tc>
        <w:tc>
          <w:tcPr>
            <w:tcW w:w="6269" w:type="dxa"/>
          </w:tcPr>
          <w:p w:rsidR="0014501F" w:rsidRPr="0014501F" w:rsidRDefault="0028759A" w:rsidP="0014501F">
            <w:pPr>
              <w:pStyle w:val="ListParagraph"/>
              <w:numPr>
                <w:ilvl w:val="0"/>
                <w:numId w:val="21"/>
              </w:numPr>
              <w:autoSpaceDE w:val="0"/>
              <w:autoSpaceDN w:val="0"/>
              <w:adjustRightInd w:val="0"/>
              <w:rPr>
                <w:sz w:val="21"/>
                <w:szCs w:val="21"/>
              </w:rPr>
            </w:pPr>
            <w:r w:rsidRPr="00625FFE">
              <w:lastRenderedPageBreak/>
              <w:t>The relationship between intensive school-year work and delinquency/problem behaviours is largely spurious and intensive work is not likely to be detrimental to youths (p. 325).</w:t>
            </w:r>
          </w:p>
          <w:p w:rsidR="0014501F" w:rsidRDefault="0014501F" w:rsidP="0014501F">
            <w:pPr>
              <w:pStyle w:val="ListParagraph"/>
              <w:numPr>
                <w:ilvl w:val="0"/>
                <w:numId w:val="21"/>
              </w:numPr>
              <w:autoSpaceDE w:val="0"/>
              <w:autoSpaceDN w:val="0"/>
              <w:adjustRightInd w:val="0"/>
            </w:pPr>
            <w:r>
              <w:lastRenderedPageBreak/>
              <w:t>“</w:t>
            </w:r>
            <w:r w:rsidRPr="0014501F">
              <w:t>There is a strong and statistically significant positive relationship between working more than 20 hours a week during the school year and the probability o</w:t>
            </w:r>
            <w:r>
              <w:t>f committing a delinquent act (β</w:t>
            </w:r>
            <w:r w:rsidRPr="0014501F">
              <w:t xml:space="preserve">=.157, </w:t>
            </w:r>
            <w:r>
              <w:rPr>
                <w:i/>
                <w:iCs/>
              </w:rPr>
              <w:t>p</w:t>
            </w:r>
            <w:r w:rsidRPr="0014501F">
              <w:t>&lt; .01). Specifically, the coefficient means that there is a 20% increase in the probability of committing a delinquent act if an individual works more than 20 hours per week during the school year</w:t>
            </w:r>
            <w:r>
              <w:t>” (p. 316).</w:t>
            </w:r>
          </w:p>
          <w:p w:rsidR="0014501F" w:rsidRDefault="0014501F" w:rsidP="0014501F">
            <w:pPr>
              <w:pStyle w:val="ListParagraph"/>
              <w:numPr>
                <w:ilvl w:val="0"/>
                <w:numId w:val="21"/>
              </w:numPr>
              <w:autoSpaceDE w:val="0"/>
              <w:autoSpaceDN w:val="0"/>
              <w:adjustRightInd w:val="0"/>
            </w:pPr>
            <w:r>
              <w:t>“S</w:t>
            </w:r>
            <w:r w:rsidRPr="0014501F">
              <w:t>trong positive relationship between intensive school-year work</w:t>
            </w:r>
            <w:r>
              <w:t xml:space="preserve"> </w:t>
            </w:r>
            <w:r w:rsidRPr="0014501F">
              <w:t>and substance use (</w:t>
            </w:r>
            <w:r>
              <w:t>β</w:t>
            </w:r>
            <w:r w:rsidRPr="0014501F">
              <w:t xml:space="preserve"> = .590, </w:t>
            </w:r>
            <w:r w:rsidRPr="0014501F">
              <w:rPr>
                <w:i/>
                <w:iCs/>
              </w:rPr>
              <w:t xml:space="preserve">p </w:t>
            </w:r>
            <w:r>
              <w:t>&lt;.01</w:t>
            </w:r>
            <w:r w:rsidRPr="0014501F">
              <w:t>). This coefficient indicates that on average</w:t>
            </w:r>
            <w:r>
              <w:t xml:space="preserve"> </w:t>
            </w:r>
            <w:r w:rsidRPr="0014501F">
              <w:t>there is a 31% increase in the probability of substance use as a result of working intensively during the school year” (p. 319).</w:t>
            </w:r>
          </w:p>
          <w:p w:rsidR="0014501F" w:rsidRPr="0014501F" w:rsidRDefault="0014501F" w:rsidP="0014501F">
            <w:pPr>
              <w:pStyle w:val="ListParagraph"/>
              <w:numPr>
                <w:ilvl w:val="0"/>
                <w:numId w:val="21"/>
              </w:numPr>
              <w:autoSpaceDE w:val="0"/>
              <w:autoSpaceDN w:val="0"/>
              <w:adjustRightInd w:val="0"/>
              <w:rPr>
                <w:sz w:val="21"/>
                <w:szCs w:val="21"/>
              </w:rPr>
            </w:pPr>
            <w:r>
              <w:t>“</w:t>
            </w:r>
            <w:r w:rsidRPr="0014501F">
              <w:t xml:space="preserve">Work intensity is positive and significant in the </w:t>
            </w:r>
            <w:proofErr w:type="spellStart"/>
            <w:r w:rsidRPr="0014501F">
              <w:t>probit</w:t>
            </w:r>
            <w:proofErr w:type="spellEnd"/>
            <w:r w:rsidRPr="0014501F">
              <w:t xml:space="preserve"> model</w:t>
            </w:r>
            <w:r>
              <w:t xml:space="preserve"> </w:t>
            </w:r>
            <w:r w:rsidRPr="0014501F">
              <w:t xml:space="preserve">with no covariates, </w:t>
            </w:r>
            <w:r w:rsidRPr="0014501F">
              <w:rPr>
                <w:rFonts w:eastAsia="HiddenHorzOCR"/>
              </w:rPr>
              <w:t>(</w:t>
            </w:r>
            <w:r>
              <w:t>β</w:t>
            </w:r>
            <w:r w:rsidRPr="0014501F">
              <w:rPr>
                <w:rFonts w:eastAsia="HiddenHorzOCR"/>
              </w:rPr>
              <w:t xml:space="preserve"> = </w:t>
            </w:r>
            <w:r w:rsidRPr="0014501F">
              <w:rPr>
                <w:i/>
                <w:iCs/>
              </w:rPr>
              <w:t>.110, p</w:t>
            </w:r>
            <w:r w:rsidRPr="0014501F">
              <w:t>&lt; .01). The effect</w:t>
            </w:r>
            <w:r>
              <w:t xml:space="preserve"> </w:t>
            </w:r>
            <w:r w:rsidRPr="0014501F">
              <w:t>is slightly smaller than with delinquency and substance use, with increasing</w:t>
            </w:r>
            <w:r>
              <w:t xml:space="preserve"> </w:t>
            </w:r>
            <w:r w:rsidRPr="0014501F">
              <w:t>school year work intensity only associated with a 17% increase in the</w:t>
            </w:r>
            <w:r>
              <w:t xml:space="preserve"> </w:t>
            </w:r>
            <w:r w:rsidRPr="0014501F">
              <w:t>probability of prob</w:t>
            </w:r>
            <w:r>
              <w:t xml:space="preserve">lem behaviour” (p. 321). </w:t>
            </w:r>
          </w:p>
          <w:p w:rsidR="0014501F" w:rsidRDefault="0014501F" w:rsidP="0014501F">
            <w:pPr>
              <w:pStyle w:val="ListParagraph"/>
              <w:numPr>
                <w:ilvl w:val="0"/>
                <w:numId w:val="21"/>
              </w:numPr>
              <w:autoSpaceDE w:val="0"/>
              <w:autoSpaceDN w:val="0"/>
              <w:adjustRightInd w:val="0"/>
            </w:pPr>
            <w:r w:rsidRPr="0014501F">
              <w:t xml:space="preserve">“Although people who work intensively during the school year over all three waves are more likely to be involved in problem </w:t>
            </w:r>
            <w:proofErr w:type="spellStart"/>
            <w:r w:rsidRPr="0014501F">
              <w:t>behaviors</w:t>
            </w:r>
            <w:proofErr w:type="spellEnd"/>
            <w:r w:rsidRPr="0014501F">
              <w:t xml:space="preserve"> than people who do not, moving from not working to working intensively during the school year results in a 20% reduction in the p</w:t>
            </w:r>
            <w:r>
              <w:t xml:space="preserve">robability of problem </w:t>
            </w:r>
            <w:proofErr w:type="spellStart"/>
            <w:r>
              <w:t>behaviors</w:t>
            </w:r>
            <w:proofErr w:type="spellEnd"/>
            <w:r>
              <w:t>” (p. 322).</w:t>
            </w:r>
          </w:p>
          <w:p w:rsidR="0012393E" w:rsidRPr="0014501F" w:rsidRDefault="0012393E" w:rsidP="0014501F">
            <w:pPr>
              <w:pStyle w:val="ListParagraph"/>
              <w:numPr>
                <w:ilvl w:val="0"/>
                <w:numId w:val="21"/>
              </w:numPr>
              <w:autoSpaceDE w:val="0"/>
              <w:autoSpaceDN w:val="0"/>
              <w:adjustRightInd w:val="0"/>
            </w:pPr>
            <w:r w:rsidRPr="0012393E">
              <w:rPr>
                <w:highlight w:val="yellow"/>
              </w:rPr>
              <w:t>RTN</w:t>
            </w:r>
          </w:p>
        </w:tc>
      </w:tr>
      <w:tr w:rsidR="0028759A" w:rsidRPr="00F37019" w:rsidTr="00807CB8">
        <w:tc>
          <w:tcPr>
            <w:tcW w:w="2235" w:type="dxa"/>
          </w:tcPr>
          <w:p w:rsidR="0028759A" w:rsidRPr="0004094B" w:rsidRDefault="0028759A" w:rsidP="0004094B">
            <w:pPr>
              <w:rPr>
                <w:i/>
              </w:rPr>
            </w:pPr>
            <w:proofErr w:type="spellStart"/>
            <w:r w:rsidRPr="00F37019">
              <w:lastRenderedPageBreak/>
              <w:t>Redcross</w:t>
            </w:r>
            <w:proofErr w:type="spellEnd"/>
            <w:r w:rsidRPr="00F37019">
              <w:t xml:space="preserve">, Bloom, </w:t>
            </w:r>
            <w:proofErr w:type="spellStart"/>
            <w:r w:rsidRPr="00F37019">
              <w:t>Azurdia</w:t>
            </w:r>
            <w:proofErr w:type="spellEnd"/>
            <w:r w:rsidRPr="00F37019">
              <w:t>, Zweig, &amp; Pindus (2009).</w:t>
            </w:r>
            <w:r w:rsidR="0004094B">
              <w:t xml:space="preserve"> </w:t>
            </w:r>
            <w:r w:rsidR="0004094B">
              <w:rPr>
                <w:i/>
              </w:rPr>
              <w:t xml:space="preserve">Transitional jobs for ex-prisoners: Implementation, </w:t>
            </w:r>
            <w:r w:rsidR="0004094B">
              <w:rPr>
                <w:i/>
              </w:rPr>
              <w:lastRenderedPageBreak/>
              <w:t xml:space="preserve">two-year impacts, and costs of the </w:t>
            </w:r>
            <w:proofErr w:type="spellStart"/>
            <w:r w:rsidR="0004094B">
              <w:rPr>
                <w:i/>
              </w:rPr>
              <w:t>center</w:t>
            </w:r>
            <w:proofErr w:type="spellEnd"/>
            <w:r w:rsidR="0004094B">
              <w:rPr>
                <w:i/>
              </w:rPr>
              <w:t xml:space="preserve"> for employment opportunities (CEO) prisoner re-entry program. </w:t>
            </w:r>
          </w:p>
        </w:tc>
        <w:tc>
          <w:tcPr>
            <w:tcW w:w="2409" w:type="dxa"/>
          </w:tcPr>
          <w:p w:rsidR="00131C05" w:rsidRDefault="00131C05" w:rsidP="008A1B82">
            <w:r w:rsidRPr="00131C05">
              <w:rPr>
                <w:highlight w:val="yellow"/>
              </w:rPr>
              <w:lastRenderedPageBreak/>
              <w:t>Experimental</w:t>
            </w:r>
          </w:p>
          <w:p w:rsidR="0028759A" w:rsidRDefault="0028759A" w:rsidP="008A1B82">
            <w:r>
              <w:t xml:space="preserve">Random assignment </w:t>
            </w:r>
          </w:p>
          <w:p w:rsidR="003040C3" w:rsidRDefault="003040C3" w:rsidP="008A1B82">
            <w:r>
              <w:t>Control group</w:t>
            </w:r>
          </w:p>
          <w:p w:rsidR="0004094B" w:rsidRDefault="0004094B" w:rsidP="008A1B82">
            <w:r>
              <w:t>Two year follow up</w:t>
            </w:r>
          </w:p>
          <w:p w:rsidR="0028759A" w:rsidRPr="00F37019" w:rsidRDefault="0028759A" w:rsidP="008A1B82"/>
        </w:tc>
        <w:tc>
          <w:tcPr>
            <w:tcW w:w="3261" w:type="dxa"/>
          </w:tcPr>
          <w:p w:rsidR="0028759A" w:rsidRDefault="0028759A" w:rsidP="00812ACA">
            <w:pPr>
              <w:pStyle w:val="ListParagraph"/>
              <w:numPr>
                <w:ilvl w:val="0"/>
                <w:numId w:val="21"/>
              </w:numPr>
            </w:pPr>
            <w:r>
              <w:t>U.S.A.</w:t>
            </w:r>
          </w:p>
          <w:p w:rsidR="0028759A" w:rsidRDefault="0028759A" w:rsidP="00812ACA">
            <w:pPr>
              <w:pStyle w:val="ListParagraph"/>
              <w:numPr>
                <w:ilvl w:val="0"/>
                <w:numId w:val="21"/>
              </w:numPr>
            </w:pPr>
            <w:r>
              <w:t>977 ex-prisoners</w:t>
            </w:r>
            <w:r w:rsidR="00734DB1">
              <w:t xml:space="preserve"> </w:t>
            </w:r>
            <w:r>
              <w:t>– 568 program group and 409 control group</w:t>
            </w:r>
            <w:r w:rsidR="00734DB1">
              <w:t>.</w:t>
            </w:r>
          </w:p>
          <w:p w:rsidR="003040C3" w:rsidRDefault="00AC7203" w:rsidP="00734DB1">
            <w:pPr>
              <w:pStyle w:val="ListParagraph"/>
              <w:numPr>
                <w:ilvl w:val="0"/>
                <w:numId w:val="21"/>
              </w:numPr>
            </w:pPr>
            <w:r>
              <w:t xml:space="preserve">Full sample - </w:t>
            </w:r>
            <w:r w:rsidR="003040C3">
              <w:t>93%</w:t>
            </w:r>
            <w:r w:rsidR="0028759A">
              <w:t xml:space="preserve"> male,</w:t>
            </w:r>
            <w:r w:rsidR="003040C3">
              <w:t xml:space="preserve"> 1.8% white non-Hispanic, </w:t>
            </w:r>
            <w:r w:rsidR="003040C3">
              <w:lastRenderedPageBreak/>
              <w:t>64.4% black non-Hispanic, 30.6% Hispanic, 3.2% other</w:t>
            </w:r>
            <w:r w:rsidR="0028759A">
              <w:t xml:space="preserve">. </w:t>
            </w:r>
          </w:p>
          <w:p w:rsidR="0028759A" w:rsidRDefault="0028759A" w:rsidP="00734DB1">
            <w:pPr>
              <w:pStyle w:val="ListParagraph"/>
              <w:numPr>
                <w:ilvl w:val="0"/>
                <w:numId w:val="21"/>
              </w:numPr>
            </w:pPr>
            <w:r>
              <w:t>57% over 30 years old</w:t>
            </w:r>
            <w:r w:rsidR="003040C3">
              <w:t xml:space="preserve"> average age 34.</w:t>
            </w:r>
          </w:p>
          <w:p w:rsidR="003040C3" w:rsidRPr="00F37019" w:rsidRDefault="003040C3" w:rsidP="00734DB1">
            <w:pPr>
              <w:pStyle w:val="ListParagraph"/>
              <w:numPr>
                <w:ilvl w:val="0"/>
                <w:numId w:val="21"/>
              </w:numPr>
            </w:pPr>
            <w:r>
              <w:t xml:space="preserve">Participants range 18 years – 41 years or older. </w:t>
            </w:r>
          </w:p>
        </w:tc>
        <w:tc>
          <w:tcPr>
            <w:tcW w:w="6269" w:type="dxa"/>
          </w:tcPr>
          <w:p w:rsidR="0028759A" w:rsidRDefault="0028759A" w:rsidP="00812ACA">
            <w:pPr>
              <w:pStyle w:val="ListParagraph"/>
              <w:numPr>
                <w:ilvl w:val="0"/>
                <w:numId w:val="21"/>
              </w:numPr>
            </w:pPr>
            <w:r>
              <w:lastRenderedPageBreak/>
              <w:t>Large but short-lived increase in employment, the increase was driven by the transitional jobs</w:t>
            </w:r>
            <w:r w:rsidR="00AC7203">
              <w:t xml:space="preserve"> (</w:t>
            </w:r>
            <w:r w:rsidR="00AC7203">
              <w:rPr>
                <w:i/>
              </w:rPr>
              <w:t>p</w:t>
            </w:r>
            <w:r w:rsidR="00AC7203">
              <w:t>&lt;.001)</w:t>
            </w:r>
            <w:r>
              <w:t xml:space="preserve"> (p. iii</w:t>
            </w:r>
            <w:r w:rsidR="00BA1BEB">
              <w:t xml:space="preserve"> &amp; 40</w:t>
            </w:r>
            <w:r>
              <w:t xml:space="preserve">). </w:t>
            </w:r>
          </w:p>
          <w:p w:rsidR="0028759A" w:rsidRPr="00F37019" w:rsidRDefault="0028759A" w:rsidP="0004094B">
            <w:pPr>
              <w:pStyle w:val="ListParagraph"/>
              <w:numPr>
                <w:ilvl w:val="0"/>
                <w:numId w:val="21"/>
              </w:numPr>
            </w:pPr>
            <w:r w:rsidRPr="00204B6E">
              <w:t>Reduced recidivism during</w:t>
            </w:r>
            <w:r>
              <w:t xml:space="preserve"> both the first and the second year of the study period. The program group was significantly less likely than the control group to be convicted of a crime</w:t>
            </w:r>
            <w:r w:rsidR="00204B6E">
              <w:t xml:space="preserve"> (</w:t>
            </w:r>
            <w:r w:rsidR="00204B6E">
              <w:rPr>
                <w:i/>
              </w:rPr>
              <w:t>p&lt;.</w:t>
            </w:r>
            <w:r w:rsidR="00204B6E">
              <w:t>011)</w:t>
            </w:r>
            <w:r>
              <w:t xml:space="preserve">, to be admitted to prison for </w:t>
            </w:r>
            <w:r>
              <w:lastRenderedPageBreak/>
              <w:t>a new conviction</w:t>
            </w:r>
            <w:r w:rsidR="00204B6E">
              <w:t xml:space="preserve"> (</w:t>
            </w:r>
            <w:r w:rsidR="00204B6E">
              <w:rPr>
                <w:i/>
              </w:rPr>
              <w:t>p&lt;.</w:t>
            </w:r>
            <w:r w:rsidR="00204B6E">
              <w:t>0</w:t>
            </w:r>
            <w:r w:rsidR="0004094B">
              <w:t>7</w:t>
            </w:r>
            <w:r w:rsidR="00204B6E">
              <w:t>)</w:t>
            </w:r>
            <w:r>
              <w:t>, or to be incarcerated for any reason in prison or jail during the first two years of the study period</w:t>
            </w:r>
            <w:r w:rsidR="00204B6E">
              <w:t xml:space="preserve"> (</w:t>
            </w:r>
            <w:r w:rsidR="00204B6E">
              <w:rPr>
                <w:i/>
              </w:rPr>
              <w:t>p&lt;</w:t>
            </w:r>
            <w:r w:rsidR="00204B6E">
              <w:t xml:space="preserve">.06) </w:t>
            </w:r>
            <w:r>
              <w:t>(p. iii</w:t>
            </w:r>
            <w:r w:rsidR="0004094B">
              <w:t xml:space="preserve"> &amp; 64</w:t>
            </w:r>
            <w:r>
              <w:t>).</w:t>
            </w:r>
          </w:p>
        </w:tc>
      </w:tr>
      <w:tr w:rsidR="0028759A" w:rsidRPr="00F37019" w:rsidTr="00807CB8">
        <w:tc>
          <w:tcPr>
            <w:tcW w:w="2235" w:type="dxa"/>
          </w:tcPr>
          <w:p w:rsidR="0028759A" w:rsidRPr="0004094B" w:rsidRDefault="0028759A" w:rsidP="0039703D">
            <w:pPr>
              <w:rPr>
                <w:i/>
              </w:rPr>
            </w:pPr>
            <w:proofErr w:type="spellStart"/>
            <w:r w:rsidRPr="00C70193">
              <w:lastRenderedPageBreak/>
              <w:t>Redcross</w:t>
            </w:r>
            <w:proofErr w:type="spellEnd"/>
            <w:r w:rsidRPr="00C70193">
              <w:t xml:space="preserve">, Bloom, Jacobs, </w:t>
            </w:r>
            <w:proofErr w:type="spellStart"/>
            <w:r w:rsidRPr="00C70193">
              <w:t>Manno</w:t>
            </w:r>
            <w:proofErr w:type="spellEnd"/>
            <w:r w:rsidRPr="00C70193">
              <w:t>, Muller-</w:t>
            </w:r>
            <w:proofErr w:type="spellStart"/>
            <w:r w:rsidRPr="00C70193">
              <w:t>Ravettl</w:t>
            </w:r>
            <w:proofErr w:type="spellEnd"/>
            <w:r w:rsidRPr="00C70193">
              <w:t xml:space="preserve">, </w:t>
            </w:r>
            <w:proofErr w:type="spellStart"/>
            <w:r w:rsidRPr="00C70193">
              <w:t>Seefeldt</w:t>
            </w:r>
            <w:proofErr w:type="spellEnd"/>
            <w:r w:rsidRPr="00C70193">
              <w:t>, et al. (20</w:t>
            </w:r>
            <w:r w:rsidR="0004094B">
              <w:t>10</w:t>
            </w:r>
            <w:r w:rsidRPr="00C70193">
              <w:t>).</w:t>
            </w:r>
            <w:r w:rsidR="0004094B">
              <w:t xml:space="preserve"> </w:t>
            </w:r>
            <w:r w:rsidR="0004094B">
              <w:rPr>
                <w:i/>
              </w:rPr>
              <w:t xml:space="preserve">Work after prison: One year-findings from the transitional jobs re-entry demonstration. </w:t>
            </w:r>
          </w:p>
        </w:tc>
        <w:tc>
          <w:tcPr>
            <w:tcW w:w="2409" w:type="dxa"/>
          </w:tcPr>
          <w:p w:rsidR="009F647D" w:rsidRPr="00A86520" w:rsidRDefault="009F647D" w:rsidP="008A1B82">
            <w:pPr>
              <w:rPr>
                <w:i/>
              </w:rPr>
            </w:pPr>
            <w:r w:rsidRPr="00A86520">
              <w:rPr>
                <w:i/>
              </w:rPr>
              <w:t xml:space="preserve">Experimental </w:t>
            </w:r>
          </w:p>
          <w:p w:rsidR="0012393E" w:rsidRPr="00A86520" w:rsidRDefault="00C70193" w:rsidP="008A1B82">
            <w:pPr>
              <w:rPr>
                <w:i/>
              </w:rPr>
            </w:pPr>
            <w:r w:rsidRPr="00A86520">
              <w:rPr>
                <w:i/>
              </w:rPr>
              <w:t>Random assignment</w:t>
            </w:r>
          </w:p>
          <w:p w:rsidR="0099440D" w:rsidRPr="00A86520" w:rsidRDefault="0099440D" w:rsidP="008A1B82">
            <w:pPr>
              <w:rPr>
                <w:i/>
              </w:rPr>
            </w:pPr>
            <w:r w:rsidRPr="00A86520">
              <w:rPr>
                <w:i/>
              </w:rPr>
              <w:t>One year follow up</w:t>
            </w:r>
          </w:p>
          <w:p w:rsidR="0028759A" w:rsidRPr="00A86520" w:rsidRDefault="00C70193" w:rsidP="008A1B82">
            <w:pPr>
              <w:rPr>
                <w:i/>
              </w:rPr>
            </w:pPr>
            <w:r w:rsidRPr="00A86520">
              <w:rPr>
                <w:i/>
              </w:rPr>
              <w:t xml:space="preserve"> </w:t>
            </w:r>
          </w:p>
          <w:p w:rsidR="009F647D" w:rsidRPr="00A86520" w:rsidRDefault="009F647D" w:rsidP="008A1B82">
            <w:pPr>
              <w:rPr>
                <w:i/>
              </w:rPr>
            </w:pPr>
            <w:r w:rsidRPr="00A86520">
              <w:rPr>
                <w:i/>
              </w:rPr>
              <w:t xml:space="preserve">TJRD – Transitional Jobs </w:t>
            </w:r>
            <w:proofErr w:type="spellStart"/>
            <w:r w:rsidRPr="00A86520">
              <w:rPr>
                <w:i/>
              </w:rPr>
              <w:t>Reentry</w:t>
            </w:r>
            <w:proofErr w:type="spellEnd"/>
            <w:r w:rsidRPr="00A86520">
              <w:rPr>
                <w:i/>
              </w:rPr>
              <w:t xml:space="preserve"> </w:t>
            </w:r>
            <w:r w:rsidR="00124961" w:rsidRPr="00A86520">
              <w:rPr>
                <w:i/>
              </w:rPr>
              <w:t>Demonstration</w:t>
            </w:r>
          </w:p>
        </w:tc>
        <w:tc>
          <w:tcPr>
            <w:tcW w:w="3261" w:type="dxa"/>
          </w:tcPr>
          <w:p w:rsidR="00C70193" w:rsidRDefault="00C70193" w:rsidP="00C70193">
            <w:pPr>
              <w:pStyle w:val="ListParagraph"/>
              <w:numPr>
                <w:ilvl w:val="0"/>
                <w:numId w:val="65"/>
              </w:numPr>
            </w:pPr>
            <w:r>
              <w:t>U.S.A.</w:t>
            </w:r>
          </w:p>
          <w:p w:rsidR="0028759A" w:rsidRDefault="00137A2C" w:rsidP="00C70193">
            <w:pPr>
              <w:pStyle w:val="ListParagraph"/>
              <w:numPr>
                <w:ilvl w:val="0"/>
                <w:numId w:val="65"/>
              </w:numPr>
            </w:pPr>
            <w:r>
              <w:t>Sample</w:t>
            </w:r>
            <w:r w:rsidR="009F647D">
              <w:t xml:space="preserve"> 1,8</w:t>
            </w:r>
            <w:r>
              <w:t>13</w:t>
            </w:r>
            <w:r w:rsidR="009F647D">
              <w:t xml:space="preserve"> men</w:t>
            </w:r>
            <w:r w:rsidR="00734DB1">
              <w:t>.</w:t>
            </w:r>
          </w:p>
          <w:p w:rsidR="00137A2C" w:rsidRDefault="00137A2C" w:rsidP="00C70193">
            <w:pPr>
              <w:pStyle w:val="ListParagraph"/>
              <w:numPr>
                <w:ilvl w:val="0"/>
                <w:numId w:val="65"/>
              </w:numPr>
            </w:pPr>
            <w:r>
              <w:t>Average age 35 years</w:t>
            </w:r>
            <w:r w:rsidR="00734DB1">
              <w:t>.</w:t>
            </w:r>
          </w:p>
          <w:p w:rsidR="00137A2C" w:rsidRPr="00F37019" w:rsidRDefault="00137A2C" w:rsidP="00734DB1">
            <w:pPr>
              <w:pStyle w:val="ListParagraph"/>
              <w:numPr>
                <w:ilvl w:val="0"/>
                <w:numId w:val="65"/>
              </w:numPr>
            </w:pPr>
            <w:r>
              <w:t>TJRD sample 81% black/African American</w:t>
            </w:r>
            <w:r w:rsidR="00734DB1">
              <w:t>.</w:t>
            </w:r>
          </w:p>
        </w:tc>
        <w:tc>
          <w:tcPr>
            <w:tcW w:w="6269" w:type="dxa"/>
          </w:tcPr>
          <w:p w:rsidR="0099440D" w:rsidRDefault="008A1F0F" w:rsidP="008A1F0F">
            <w:pPr>
              <w:pStyle w:val="ListParagraph"/>
              <w:numPr>
                <w:ilvl w:val="0"/>
                <w:numId w:val="65"/>
              </w:numPr>
              <w:autoSpaceDE w:val="0"/>
              <w:autoSpaceDN w:val="0"/>
              <w:adjustRightInd w:val="0"/>
            </w:pPr>
            <w:r>
              <w:t>“</w:t>
            </w:r>
            <w:r w:rsidR="0099440D" w:rsidRPr="008A1F0F">
              <w:t>During the year following random assignment, there were no significant impacts on the percentage of the sample that was arrested, convicted, or admitted to prison. 39 percent of the transitional jobs (TJ) group and 35 percent of the job search (JS) group was arrested, a difference that is not statistically significant</w:t>
            </w:r>
            <w:r>
              <w:t>” (p. 93).</w:t>
            </w:r>
          </w:p>
          <w:p w:rsidR="008A1F0F" w:rsidRDefault="008A1F0F" w:rsidP="008A1F0F">
            <w:pPr>
              <w:pStyle w:val="ListParagraph"/>
              <w:numPr>
                <w:ilvl w:val="0"/>
                <w:numId w:val="65"/>
              </w:numPr>
            </w:pPr>
            <w:r>
              <w:t>“</w:t>
            </w:r>
            <w:r w:rsidR="00D678E5">
              <w:t>Overall, the TJ programs had no consistent impacts on recidivism during the first year of follow-up</w:t>
            </w:r>
            <w:r>
              <w:t>”</w:t>
            </w:r>
            <w:r w:rsidR="00D678E5">
              <w:t xml:space="preserve"> (p. iii).</w:t>
            </w:r>
          </w:p>
          <w:p w:rsidR="008A1F0F" w:rsidRPr="008A1F0F" w:rsidRDefault="008A1F0F" w:rsidP="008A1F0F">
            <w:pPr>
              <w:pStyle w:val="ListParagraph"/>
              <w:numPr>
                <w:ilvl w:val="0"/>
                <w:numId w:val="65"/>
              </w:numPr>
            </w:pPr>
            <w:r w:rsidRPr="008A1F0F">
              <w:t xml:space="preserve">“Despite the lack of significant impacts on the percentage admitted to prison, the transitional jobs programs reduced the number of days spent in prison in Year 1 by about seven days” </w:t>
            </w:r>
            <w:r>
              <w:t>(</w:t>
            </w:r>
            <w:r>
              <w:rPr>
                <w:i/>
              </w:rPr>
              <w:t>p&lt;</w:t>
            </w:r>
            <w:r>
              <w:t xml:space="preserve">.04) </w:t>
            </w:r>
            <w:r w:rsidRPr="008A1F0F">
              <w:t>(p. 95).</w:t>
            </w:r>
          </w:p>
        </w:tc>
      </w:tr>
      <w:tr w:rsidR="00A86520" w:rsidTr="00807CB8">
        <w:tc>
          <w:tcPr>
            <w:tcW w:w="2235" w:type="dxa"/>
          </w:tcPr>
          <w:p w:rsidR="00A86520" w:rsidRPr="00A86520" w:rsidRDefault="00A86520" w:rsidP="00A86520">
            <w:pPr>
              <w:rPr>
                <w:i/>
              </w:rPr>
            </w:pPr>
            <w:proofErr w:type="spellStart"/>
            <w:r w:rsidRPr="00F37019">
              <w:t>Schochet</w:t>
            </w:r>
            <w:proofErr w:type="spellEnd"/>
            <w:r w:rsidRPr="00F37019">
              <w:t xml:space="preserve">, </w:t>
            </w:r>
            <w:proofErr w:type="spellStart"/>
            <w:r w:rsidRPr="00F37019">
              <w:t>Burghardt</w:t>
            </w:r>
            <w:proofErr w:type="spellEnd"/>
            <w:r w:rsidRPr="00F37019">
              <w:t>, &amp; McConnell</w:t>
            </w:r>
            <w:r>
              <w:t xml:space="preserve"> (2006). </w:t>
            </w:r>
            <w:r>
              <w:rPr>
                <w:i/>
              </w:rPr>
              <w:t>National job corps study and longer-term follow-up study: Impact and benefit-cost findings using survey and summary earnings records data.</w:t>
            </w:r>
          </w:p>
        </w:tc>
        <w:tc>
          <w:tcPr>
            <w:tcW w:w="2409" w:type="dxa"/>
          </w:tcPr>
          <w:p w:rsidR="00A86520" w:rsidRPr="001851CB" w:rsidRDefault="00A86520" w:rsidP="00D462C8">
            <w:r w:rsidRPr="001851CB">
              <w:t>Experimental</w:t>
            </w:r>
          </w:p>
          <w:p w:rsidR="00A86520" w:rsidRPr="001851CB" w:rsidRDefault="00A86520" w:rsidP="00D462C8">
            <w:r w:rsidRPr="001851CB">
              <w:t>Random assignment</w:t>
            </w:r>
          </w:p>
          <w:p w:rsidR="00A86520" w:rsidRPr="001851CB" w:rsidRDefault="00A86520" w:rsidP="00D462C8">
            <w:r w:rsidRPr="001851CB">
              <w:t>Control group</w:t>
            </w:r>
          </w:p>
          <w:p w:rsidR="00A86520" w:rsidRPr="001851CB" w:rsidRDefault="00A86520" w:rsidP="00D462C8">
            <w:r w:rsidRPr="001851CB">
              <w:t>Two year follow up</w:t>
            </w:r>
          </w:p>
          <w:p w:rsidR="00A86520" w:rsidRPr="00A86520" w:rsidRDefault="00A86520" w:rsidP="00D462C8">
            <w:pPr>
              <w:rPr>
                <w:i/>
              </w:rPr>
            </w:pPr>
          </w:p>
        </w:tc>
        <w:tc>
          <w:tcPr>
            <w:tcW w:w="3261" w:type="dxa"/>
          </w:tcPr>
          <w:p w:rsidR="00A86520" w:rsidRDefault="00A86520" w:rsidP="007A4F2F">
            <w:pPr>
              <w:pStyle w:val="ListParagraph"/>
              <w:numPr>
                <w:ilvl w:val="0"/>
                <w:numId w:val="10"/>
              </w:numPr>
            </w:pPr>
            <w:r>
              <w:t>U.S.A.</w:t>
            </w:r>
          </w:p>
          <w:p w:rsidR="00A86520" w:rsidRDefault="00A86520" w:rsidP="007A4F2F">
            <w:pPr>
              <w:pStyle w:val="ListParagraph"/>
              <w:numPr>
                <w:ilvl w:val="0"/>
                <w:numId w:val="10"/>
              </w:numPr>
            </w:pPr>
            <w:r>
              <w:t xml:space="preserve">For participants aged between 16-24 years old. </w:t>
            </w:r>
          </w:p>
          <w:p w:rsidR="00A86520" w:rsidRDefault="001851CB" w:rsidP="001851CB">
            <w:pPr>
              <w:pStyle w:val="ListParagraph"/>
              <w:numPr>
                <w:ilvl w:val="0"/>
                <w:numId w:val="10"/>
              </w:numPr>
            </w:pPr>
            <w:r w:rsidRPr="00600A58">
              <w:t>11,313 youths (2 year follow up) 6,828 program group, 4,485 control group members.</w:t>
            </w:r>
          </w:p>
          <w:p w:rsidR="00A86520" w:rsidRDefault="00A86520" w:rsidP="00A86520">
            <w:pPr>
              <w:pStyle w:val="ListParagraph"/>
              <w:numPr>
                <w:ilvl w:val="0"/>
                <w:numId w:val="10"/>
              </w:numPr>
            </w:pPr>
            <w:r>
              <w:t xml:space="preserve">59% male, 29% females without children, 12%  females with children </w:t>
            </w:r>
          </w:p>
          <w:p w:rsidR="00A86520" w:rsidRDefault="00A86520" w:rsidP="00A86520">
            <w:pPr>
              <w:pStyle w:val="ListParagraph"/>
              <w:numPr>
                <w:ilvl w:val="0"/>
                <w:numId w:val="10"/>
              </w:numPr>
            </w:pPr>
            <w:r>
              <w:t>27% white, 48% Black, 18% Hispanic, 8% other.</w:t>
            </w:r>
          </w:p>
        </w:tc>
        <w:tc>
          <w:tcPr>
            <w:tcW w:w="6269" w:type="dxa"/>
          </w:tcPr>
          <w:p w:rsidR="00A86520" w:rsidRDefault="001851CB" w:rsidP="007A4F2F">
            <w:pPr>
              <w:pStyle w:val="ListParagraph"/>
              <w:numPr>
                <w:ilvl w:val="0"/>
                <w:numId w:val="10"/>
              </w:numPr>
            </w:pPr>
            <w:r>
              <w:t>“Arrest rate was reduced by 16 percent</w:t>
            </w:r>
            <w:r w:rsidR="00F05DFD">
              <w:t xml:space="preserve"> (</w:t>
            </w:r>
            <w:r w:rsidR="00F05DFD" w:rsidRPr="00F05DFD">
              <w:rPr>
                <w:i/>
              </w:rPr>
              <w:t>p</w:t>
            </w:r>
            <w:r w:rsidR="00F05DFD">
              <w:t>&lt;.01)</w:t>
            </w:r>
            <w:r>
              <w:t>, and similar reductions were found also for conviction and incarceration rates. Reductions in criminal activity were found across all youth subgroups” (p. 3)</w:t>
            </w:r>
          </w:p>
        </w:tc>
      </w:tr>
      <w:tr w:rsidR="00A86520" w:rsidTr="00807CB8">
        <w:tc>
          <w:tcPr>
            <w:tcW w:w="2235" w:type="dxa"/>
          </w:tcPr>
          <w:p w:rsidR="00A86520" w:rsidRPr="00F37019" w:rsidRDefault="00A86520" w:rsidP="00BC4DD4">
            <w:proofErr w:type="spellStart"/>
            <w:r w:rsidRPr="00F37019">
              <w:lastRenderedPageBreak/>
              <w:t>Schochet</w:t>
            </w:r>
            <w:proofErr w:type="spellEnd"/>
            <w:r w:rsidRPr="00F37019">
              <w:t xml:space="preserve">, </w:t>
            </w:r>
            <w:proofErr w:type="spellStart"/>
            <w:r w:rsidRPr="00F37019">
              <w:t>Burghardt</w:t>
            </w:r>
            <w:proofErr w:type="spellEnd"/>
            <w:r w:rsidRPr="00F37019">
              <w:t>, &amp; McConnell</w:t>
            </w:r>
            <w:r>
              <w:t xml:space="preserve"> (2008). Does job corps work? Impact findings from the national job corps study. </w:t>
            </w:r>
          </w:p>
        </w:tc>
        <w:tc>
          <w:tcPr>
            <w:tcW w:w="2409" w:type="dxa"/>
          </w:tcPr>
          <w:p w:rsidR="00A86520" w:rsidRDefault="00A86520" w:rsidP="008A1B82">
            <w:r>
              <w:t>Experimental</w:t>
            </w:r>
          </w:p>
          <w:p w:rsidR="00A86520" w:rsidRDefault="00A86520" w:rsidP="008A1B82">
            <w:r>
              <w:t>Random assignment</w:t>
            </w:r>
          </w:p>
          <w:p w:rsidR="00A86520" w:rsidRDefault="00A86520" w:rsidP="008A1B82">
            <w:r>
              <w:t>Control group</w:t>
            </w:r>
          </w:p>
          <w:p w:rsidR="00A86520" w:rsidRDefault="00A86520" w:rsidP="008A1B82">
            <w:r>
              <w:t>Two year follow up</w:t>
            </w:r>
          </w:p>
          <w:p w:rsidR="00A86520" w:rsidRDefault="00A86520" w:rsidP="00573A9A"/>
        </w:tc>
        <w:tc>
          <w:tcPr>
            <w:tcW w:w="3261" w:type="dxa"/>
          </w:tcPr>
          <w:p w:rsidR="00A86520" w:rsidRDefault="00A86520" w:rsidP="007A4F2F">
            <w:pPr>
              <w:pStyle w:val="ListParagraph"/>
              <w:numPr>
                <w:ilvl w:val="0"/>
                <w:numId w:val="10"/>
              </w:numPr>
            </w:pPr>
            <w:r>
              <w:t xml:space="preserve">U.S.A. </w:t>
            </w:r>
          </w:p>
          <w:p w:rsidR="00A86520" w:rsidRDefault="00A86520" w:rsidP="007A4F2F">
            <w:pPr>
              <w:pStyle w:val="ListParagraph"/>
              <w:numPr>
                <w:ilvl w:val="0"/>
                <w:numId w:val="10"/>
              </w:numPr>
            </w:pPr>
            <w:r>
              <w:t>Nationwide sample of 15,400 treatments and controls.</w:t>
            </w:r>
          </w:p>
          <w:p w:rsidR="00A86520" w:rsidRDefault="00A86520" w:rsidP="007A4F2F">
            <w:pPr>
              <w:pStyle w:val="ListParagraph"/>
              <w:numPr>
                <w:ilvl w:val="0"/>
                <w:numId w:val="10"/>
              </w:numPr>
            </w:pPr>
            <w:r>
              <w:t>For participants aged between 16-24 years old.</w:t>
            </w:r>
          </w:p>
          <w:p w:rsidR="00A86520" w:rsidRDefault="00A86520" w:rsidP="00E952CB">
            <w:pPr>
              <w:pStyle w:val="ListParagraph"/>
              <w:numPr>
                <w:ilvl w:val="0"/>
                <w:numId w:val="10"/>
              </w:numPr>
            </w:pPr>
            <w:r>
              <w:t>11,313 youths (6,828 treatments and 4,485 controls)</w:t>
            </w:r>
          </w:p>
          <w:p w:rsidR="00A86520" w:rsidRDefault="00A86520" w:rsidP="00E952CB">
            <w:pPr>
              <w:pStyle w:val="ListParagraph"/>
              <w:numPr>
                <w:ilvl w:val="0"/>
                <w:numId w:val="10"/>
              </w:numPr>
            </w:pPr>
            <w:r>
              <w:t xml:space="preserve">59% male, 29% females without children, 12%  females with children </w:t>
            </w:r>
          </w:p>
          <w:p w:rsidR="00A86520" w:rsidRDefault="00A86520" w:rsidP="00E952CB">
            <w:pPr>
              <w:pStyle w:val="ListParagraph"/>
              <w:numPr>
                <w:ilvl w:val="0"/>
                <w:numId w:val="10"/>
              </w:numPr>
            </w:pPr>
            <w:r>
              <w:t>27% white, 48% Black, 18% Hispanic, 8% other.</w:t>
            </w:r>
          </w:p>
        </w:tc>
        <w:tc>
          <w:tcPr>
            <w:tcW w:w="6269" w:type="dxa"/>
          </w:tcPr>
          <w:p w:rsidR="00A86520" w:rsidRDefault="00A86520" w:rsidP="007A4F2F">
            <w:pPr>
              <w:pStyle w:val="ListParagraph"/>
              <w:numPr>
                <w:ilvl w:val="0"/>
                <w:numId w:val="10"/>
              </w:numPr>
            </w:pPr>
            <w:r>
              <w:t>“Job Corps significantly reduced arrest and conviction rates, as well as time spent incarcerated. About 33 percent of controls were arrested during the 48-month follow-up period, compared to 29 percent of treatments” (</w:t>
            </w:r>
            <w:r>
              <w:rPr>
                <w:i/>
              </w:rPr>
              <w:t>p&lt;</w:t>
            </w:r>
            <w:r>
              <w:t>.05) (p. 1874).</w:t>
            </w:r>
          </w:p>
          <w:p w:rsidR="00A86520" w:rsidRDefault="00A86520" w:rsidP="007A4F2F">
            <w:pPr>
              <w:pStyle w:val="ListParagraph"/>
              <w:numPr>
                <w:ilvl w:val="0"/>
                <w:numId w:val="10"/>
              </w:numPr>
            </w:pPr>
            <w:r>
              <w:t>“Arrest rate reductions were largest during the first year after random assignment, although Job Corps also led to small arrest reductions afterwards. Although treatments were less likely to have arrest charges for all categories of crimes. Job Corps had a larger impact on reducing arrests for less serious crimes (such as disorderly conduct and trespassing) than for more serious crimes (such as murder and aggravated assault)” (p. 1874).</w:t>
            </w:r>
          </w:p>
          <w:p w:rsidR="00A86520" w:rsidRDefault="00A86520" w:rsidP="007A4F2F">
            <w:pPr>
              <w:pStyle w:val="ListParagraph"/>
              <w:numPr>
                <w:ilvl w:val="0"/>
                <w:numId w:val="10"/>
              </w:numPr>
            </w:pPr>
            <w:r>
              <w:t>“Job Corps also reduced conviction rates by 3 percent points per eligible applicant (from 25 to 22 percent), and incarceration rates for convictions for 2 percentage points (from 18 to 16 percent)” (p. 1874).</w:t>
            </w:r>
          </w:p>
        </w:tc>
      </w:tr>
      <w:tr w:rsidR="00A86520" w:rsidTr="0039703D">
        <w:tc>
          <w:tcPr>
            <w:tcW w:w="2235" w:type="dxa"/>
          </w:tcPr>
          <w:p w:rsidR="00A86520" w:rsidRPr="00F37019" w:rsidRDefault="00A86520" w:rsidP="0039703D">
            <w:proofErr w:type="spellStart"/>
            <w:r w:rsidRPr="00F37019">
              <w:t>Schochet</w:t>
            </w:r>
            <w:proofErr w:type="spellEnd"/>
            <w:r w:rsidRPr="00F37019">
              <w:t xml:space="preserve">, McConnell, &amp; </w:t>
            </w:r>
            <w:proofErr w:type="spellStart"/>
            <w:r w:rsidRPr="00F37019">
              <w:t>Burghardt</w:t>
            </w:r>
            <w:proofErr w:type="spellEnd"/>
            <w:r w:rsidRPr="00F37019">
              <w:t xml:space="preserve"> (2003).</w:t>
            </w:r>
            <w:r>
              <w:t xml:space="preserve"> </w:t>
            </w:r>
            <w:r w:rsidRPr="0039703D">
              <w:rPr>
                <w:i/>
              </w:rPr>
              <w:t>National job corps study: Findings using administrative earnings record data.</w:t>
            </w:r>
          </w:p>
        </w:tc>
        <w:tc>
          <w:tcPr>
            <w:tcW w:w="2409" w:type="dxa"/>
          </w:tcPr>
          <w:p w:rsidR="00A86520" w:rsidRDefault="00A86520" w:rsidP="0039703D">
            <w:r>
              <w:t>Experimental</w:t>
            </w:r>
          </w:p>
          <w:p w:rsidR="00A86520" w:rsidRDefault="00A86520" w:rsidP="0039703D">
            <w:r>
              <w:t>Random assignment</w:t>
            </w:r>
          </w:p>
          <w:p w:rsidR="00A86520" w:rsidRDefault="00A86520" w:rsidP="0039703D">
            <w:r>
              <w:t>Program and control group comparison</w:t>
            </w:r>
          </w:p>
          <w:p w:rsidR="00A86520" w:rsidRPr="00F37019" w:rsidRDefault="00A86520" w:rsidP="0039703D">
            <w:r>
              <w:t>Four year follow up</w:t>
            </w:r>
          </w:p>
        </w:tc>
        <w:tc>
          <w:tcPr>
            <w:tcW w:w="3261" w:type="dxa"/>
          </w:tcPr>
          <w:p w:rsidR="00A86520" w:rsidRDefault="00A86520" w:rsidP="0039703D">
            <w:pPr>
              <w:pStyle w:val="ListParagraph"/>
              <w:numPr>
                <w:ilvl w:val="0"/>
                <w:numId w:val="10"/>
              </w:numPr>
            </w:pPr>
            <w:r>
              <w:t>U.S.A.</w:t>
            </w:r>
          </w:p>
          <w:p w:rsidR="00A86520" w:rsidRPr="00600A58" w:rsidRDefault="00A86520" w:rsidP="0039703D">
            <w:pPr>
              <w:pStyle w:val="ListParagraph"/>
              <w:numPr>
                <w:ilvl w:val="0"/>
                <w:numId w:val="10"/>
              </w:numPr>
            </w:pPr>
            <w:r w:rsidRPr="00600A58">
              <w:t>11,313 youths (2 year follow up) 6,828 program group, 4,485 control group members.</w:t>
            </w:r>
          </w:p>
          <w:p w:rsidR="00A86520" w:rsidRDefault="00A86520" w:rsidP="0039703D">
            <w:pPr>
              <w:pStyle w:val="ListParagraph"/>
              <w:numPr>
                <w:ilvl w:val="0"/>
                <w:numId w:val="10"/>
              </w:numPr>
            </w:pPr>
            <w:r>
              <w:t xml:space="preserve">Age range 16 to 24 at intake. </w:t>
            </w:r>
          </w:p>
          <w:p w:rsidR="00A86520" w:rsidRDefault="00A86520" w:rsidP="0039703D">
            <w:pPr>
              <w:pStyle w:val="ListParagraph"/>
              <w:numPr>
                <w:ilvl w:val="0"/>
                <w:numId w:val="10"/>
              </w:numPr>
            </w:pPr>
            <w:r>
              <w:t xml:space="preserve">59.4% male, 28.9% female without children, and 11.7% female with children, </w:t>
            </w:r>
          </w:p>
          <w:p w:rsidR="00A86520" w:rsidRPr="00F37019" w:rsidRDefault="00A86520" w:rsidP="0039703D">
            <w:pPr>
              <w:pStyle w:val="ListParagraph"/>
              <w:numPr>
                <w:ilvl w:val="0"/>
                <w:numId w:val="10"/>
              </w:numPr>
            </w:pPr>
            <w:r>
              <w:t>White 27.1%, black 47.7%, Hispanic 17.7% and other 7.6%.</w:t>
            </w:r>
          </w:p>
        </w:tc>
        <w:tc>
          <w:tcPr>
            <w:tcW w:w="6269" w:type="dxa"/>
          </w:tcPr>
          <w:p w:rsidR="00A86520" w:rsidRDefault="00A86520" w:rsidP="0039703D">
            <w:pPr>
              <w:pStyle w:val="ListParagraph"/>
              <w:numPr>
                <w:ilvl w:val="0"/>
                <w:numId w:val="10"/>
              </w:numPr>
            </w:pPr>
            <w:r>
              <w:t>Job Corps substantially increases the education and training services that youths receive (</w:t>
            </w:r>
            <w:r>
              <w:rPr>
                <w:i/>
              </w:rPr>
              <w:t>p&lt;</w:t>
            </w:r>
            <w:r>
              <w:t xml:space="preserve">.01) it also improves their educational attainment and literacy (p&lt;.10). </w:t>
            </w:r>
          </w:p>
          <w:p w:rsidR="00A86520" w:rsidRDefault="00A86520" w:rsidP="0039703D">
            <w:pPr>
              <w:pStyle w:val="ListParagraph"/>
              <w:numPr>
                <w:ilvl w:val="0"/>
                <w:numId w:val="10"/>
              </w:numPr>
            </w:pPr>
            <w:r>
              <w:t xml:space="preserve">“There are no long-term impacts on earnings” (p. 3). </w:t>
            </w:r>
          </w:p>
          <w:p w:rsidR="00A86520" w:rsidRPr="00F37019" w:rsidRDefault="00A86520" w:rsidP="0039703D">
            <w:pPr>
              <w:pStyle w:val="ListParagraph"/>
              <w:numPr>
                <w:ilvl w:val="0"/>
                <w:numId w:val="10"/>
              </w:numPr>
            </w:pPr>
            <w:r>
              <w:t>Significantly reduces involvement with crime, arrest rate was reduced by 16 percent (</w:t>
            </w:r>
            <w:r>
              <w:rPr>
                <w:i/>
              </w:rPr>
              <w:t>p&lt;</w:t>
            </w:r>
            <w:r>
              <w:t>.01), similar reductions were found for conviction and incarceration rates (</w:t>
            </w:r>
            <w:r>
              <w:rPr>
                <w:i/>
              </w:rPr>
              <w:t>p&lt;</w:t>
            </w:r>
            <w:r>
              <w:t xml:space="preserve">.01) (p. 3). </w:t>
            </w:r>
          </w:p>
        </w:tc>
      </w:tr>
      <w:tr w:rsidR="00F05DFD" w:rsidTr="00807CB8">
        <w:tc>
          <w:tcPr>
            <w:tcW w:w="2235" w:type="dxa"/>
          </w:tcPr>
          <w:p w:rsidR="00F05DFD" w:rsidRPr="00F05DFD" w:rsidRDefault="00F05DFD" w:rsidP="00BC4DD4">
            <w:r w:rsidRPr="00F05DFD">
              <w:rPr>
                <w:highlight w:val="yellow"/>
              </w:rPr>
              <w:lastRenderedPageBreak/>
              <w:t xml:space="preserve">Secretary of State for Education and Skills. (2005). </w:t>
            </w:r>
            <w:r w:rsidRPr="00F05DFD">
              <w:rPr>
                <w:i/>
                <w:highlight w:val="yellow"/>
              </w:rPr>
              <w:t>Reducing re-offending through skills and employment.</w:t>
            </w:r>
          </w:p>
        </w:tc>
        <w:tc>
          <w:tcPr>
            <w:tcW w:w="2409" w:type="dxa"/>
          </w:tcPr>
          <w:p w:rsidR="00F05DFD" w:rsidRDefault="00F05DFD" w:rsidP="00A25D76"/>
        </w:tc>
        <w:tc>
          <w:tcPr>
            <w:tcW w:w="3261" w:type="dxa"/>
          </w:tcPr>
          <w:p w:rsidR="00F05DFD" w:rsidRDefault="00F05DFD" w:rsidP="00812ACA">
            <w:pPr>
              <w:pStyle w:val="ListParagraph"/>
              <w:numPr>
                <w:ilvl w:val="0"/>
                <w:numId w:val="23"/>
              </w:numPr>
            </w:pPr>
          </w:p>
        </w:tc>
        <w:tc>
          <w:tcPr>
            <w:tcW w:w="6269" w:type="dxa"/>
          </w:tcPr>
          <w:p w:rsidR="00F05DFD" w:rsidRDefault="00F05DFD" w:rsidP="00812ACA">
            <w:pPr>
              <w:pStyle w:val="ListParagraph"/>
              <w:numPr>
                <w:ilvl w:val="0"/>
                <w:numId w:val="23"/>
              </w:numPr>
            </w:pPr>
          </w:p>
        </w:tc>
      </w:tr>
      <w:tr w:rsidR="00A86520" w:rsidTr="00807CB8">
        <w:tc>
          <w:tcPr>
            <w:tcW w:w="2235" w:type="dxa"/>
          </w:tcPr>
          <w:p w:rsidR="00A86520" w:rsidRPr="00F05DFD" w:rsidRDefault="00A86520" w:rsidP="00BC4DD4">
            <w:proofErr w:type="gramStart"/>
            <w:r w:rsidRPr="00F37019">
              <w:t>Sweeten,</w:t>
            </w:r>
            <w:proofErr w:type="gramEnd"/>
            <w:r w:rsidRPr="00F37019">
              <w:t xml:space="preserve"> </w:t>
            </w:r>
            <w:proofErr w:type="spellStart"/>
            <w:r w:rsidRPr="00F37019">
              <w:t>Bushway</w:t>
            </w:r>
            <w:proofErr w:type="spellEnd"/>
            <w:r w:rsidRPr="00F37019">
              <w:t>, &amp; Paternoster (2009).</w:t>
            </w:r>
            <w:r w:rsidR="00F05DFD">
              <w:t xml:space="preserve"> Does dropping out of school mean dropping into delinquency?</w:t>
            </w:r>
          </w:p>
        </w:tc>
        <w:tc>
          <w:tcPr>
            <w:tcW w:w="2409" w:type="dxa"/>
          </w:tcPr>
          <w:p w:rsidR="00A86520" w:rsidRDefault="00A86520" w:rsidP="00A25D76">
            <w:r>
              <w:t>Quasi-experimental</w:t>
            </w:r>
          </w:p>
          <w:p w:rsidR="00250B3A" w:rsidRDefault="00250B3A" w:rsidP="00A25D76">
            <w:r>
              <w:t>Longitudinal data (NLSY97)</w:t>
            </w:r>
          </w:p>
          <w:p w:rsidR="00250B3A" w:rsidRPr="003C6A47" w:rsidRDefault="00250B3A" w:rsidP="00A25D76"/>
        </w:tc>
        <w:tc>
          <w:tcPr>
            <w:tcW w:w="3261" w:type="dxa"/>
          </w:tcPr>
          <w:p w:rsidR="00A86520" w:rsidRPr="00E0045A" w:rsidRDefault="00A86520" w:rsidP="00812ACA">
            <w:pPr>
              <w:pStyle w:val="ListParagraph"/>
              <w:numPr>
                <w:ilvl w:val="0"/>
                <w:numId w:val="23"/>
              </w:numPr>
            </w:pPr>
            <w:r w:rsidRPr="00E0045A">
              <w:t>U.S.A.</w:t>
            </w:r>
          </w:p>
          <w:p w:rsidR="00A86520" w:rsidRPr="00E0045A" w:rsidRDefault="00A86520" w:rsidP="00812ACA">
            <w:pPr>
              <w:pStyle w:val="ListParagraph"/>
              <w:numPr>
                <w:ilvl w:val="0"/>
                <w:numId w:val="23"/>
              </w:numPr>
            </w:pPr>
            <w:r w:rsidRPr="00E0045A">
              <w:t xml:space="preserve">National Longitudinal Survey of Youth 1997 Cohort </w:t>
            </w:r>
          </w:p>
          <w:p w:rsidR="00A86520" w:rsidRPr="00E0045A" w:rsidRDefault="00A86520" w:rsidP="00812ACA">
            <w:pPr>
              <w:pStyle w:val="ListParagraph"/>
              <w:numPr>
                <w:ilvl w:val="0"/>
                <w:numId w:val="23"/>
              </w:numPr>
            </w:pPr>
            <w:r w:rsidRPr="00E0045A">
              <w:t xml:space="preserve">8,112 with 4,129 males and 3,983 females aged 12-17 years old </w:t>
            </w:r>
          </w:p>
        </w:tc>
        <w:tc>
          <w:tcPr>
            <w:tcW w:w="6269" w:type="dxa"/>
          </w:tcPr>
          <w:p w:rsidR="00984302" w:rsidRPr="00E0045A" w:rsidRDefault="00E0045A" w:rsidP="00E0045A">
            <w:pPr>
              <w:pStyle w:val="ListParagraph"/>
              <w:numPr>
                <w:ilvl w:val="0"/>
                <w:numId w:val="23"/>
              </w:numPr>
            </w:pPr>
            <w:r w:rsidRPr="00E0045A">
              <w:t>“</w:t>
            </w:r>
            <w:r w:rsidR="00984302" w:rsidRPr="00E0045A">
              <w:t>Leaving</w:t>
            </w:r>
            <w:r w:rsidRPr="00E0045A">
              <w:t xml:space="preserve"> </w:t>
            </w:r>
            <w:r w:rsidR="00984302" w:rsidRPr="00E0045A">
              <w:t>school early for economic reasons in one time period leads to less delinquency</w:t>
            </w:r>
            <w:r w:rsidRPr="00E0045A">
              <w:t xml:space="preserve"> </w:t>
            </w:r>
            <w:r w:rsidR="00984302" w:rsidRPr="00E0045A">
              <w:t>in subsequent periods for males only (</w:t>
            </w:r>
            <w:r w:rsidR="00984302" w:rsidRPr="00E0045A">
              <w:rPr>
                <w:i/>
                <w:iCs/>
              </w:rPr>
              <w:t xml:space="preserve">b </w:t>
            </w:r>
            <w:r w:rsidR="00984302" w:rsidRPr="00E0045A">
              <w:t xml:space="preserve">= –.767, </w:t>
            </w:r>
            <w:r w:rsidR="00984302" w:rsidRPr="00E0045A">
              <w:rPr>
                <w:i/>
                <w:iCs/>
              </w:rPr>
              <w:t xml:space="preserve">p </w:t>
            </w:r>
            <w:r w:rsidR="00984302" w:rsidRPr="00E0045A">
              <w:t>&lt; .05).</w:t>
            </w:r>
            <w:r w:rsidRPr="00E0045A">
              <w:t xml:space="preserve"> This substantial immediate reduction in the odds of offending after dropout for economic reasons among males decays over time. Coupled with the within-individual years since dropout estimate, it seems that this inhibitory effect of dropout for economic reasons lasts about 2 years. Males who drop out for unclassifiable reasons, however, commit more crime in subsequent periods (</w:t>
            </w:r>
            <w:r w:rsidRPr="00E0045A">
              <w:rPr>
                <w:i/>
                <w:iCs/>
              </w:rPr>
              <w:t xml:space="preserve">b </w:t>
            </w:r>
            <w:r w:rsidRPr="00E0045A">
              <w:t xml:space="preserve">= .278, </w:t>
            </w:r>
            <w:r w:rsidRPr="00E0045A">
              <w:rPr>
                <w:i/>
                <w:iCs/>
              </w:rPr>
              <w:t xml:space="preserve">p </w:t>
            </w:r>
            <w:r w:rsidRPr="00E0045A">
              <w:t>&lt; .05). But this result is transitory, and it decays within 3 years. For females, once again, there is no evidence of a causal effect of any kind of dropout on delinquency” (p. 75).</w:t>
            </w:r>
          </w:p>
        </w:tc>
      </w:tr>
      <w:tr w:rsidR="00A86520" w:rsidTr="00807CB8">
        <w:tc>
          <w:tcPr>
            <w:tcW w:w="2235" w:type="dxa"/>
          </w:tcPr>
          <w:p w:rsidR="00A86520" w:rsidRPr="00F37019" w:rsidRDefault="00A86520" w:rsidP="00BC4DD4">
            <w:proofErr w:type="spellStart"/>
            <w:r w:rsidRPr="00F37019">
              <w:t>Uggen</w:t>
            </w:r>
            <w:proofErr w:type="spellEnd"/>
            <w:r w:rsidRPr="00F37019">
              <w:t xml:space="preserve"> (2000).</w:t>
            </w:r>
            <w:r w:rsidR="0031601D">
              <w:t xml:space="preserve"> Work as a turning point in the life course of criminals: A duration model of age, employment, and recidivism. </w:t>
            </w:r>
          </w:p>
        </w:tc>
        <w:tc>
          <w:tcPr>
            <w:tcW w:w="2409" w:type="dxa"/>
          </w:tcPr>
          <w:p w:rsidR="00A86520" w:rsidRDefault="00A86520" w:rsidP="008A1B82">
            <w:r>
              <w:t>Experimental</w:t>
            </w:r>
          </w:p>
          <w:p w:rsidR="006E69FA" w:rsidRDefault="006E69FA" w:rsidP="008A1B82">
            <w:r>
              <w:t>Control group</w:t>
            </w:r>
          </w:p>
          <w:p w:rsidR="006E69FA" w:rsidRDefault="006E69FA" w:rsidP="008A1B82">
            <w:r>
              <w:t>Randomisation</w:t>
            </w:r>
          </w:p>
          <w:p w:rsidR="006E69FA" w:rsidRDefault="006E69FA" w:rsidP="008A1B82">
            <w:r>
              <w:t>Data used collected in large-scale experimental employment program, the National Supported Work Demonstration Project</w:t>
            </w:r>
          </w:p>
        </w:tc>
        <w:tc>
          <w:tcPr>
            <w:tcW w:w="3261" w:type="dxa"/>
          </w:tcPr>
          <w:p w:rsidR="00A86520" w:rsidRDefault="00A86520" w:rsidP="00812ACA">
            <w:pPr>
              <w:pStyle w:val="ListParagraph"/>
              <w:numPr>
                <w:ilvl w:val="0"/>
                <w:numId w:val="25"/>
              </w:numPr>
            </w:pPr>
            <w:r>
              <w:t>U.S.A.</w:t>
            </w:r>
          </w:p>
          <w:p w:rsidR="006E69FA" w:rsidRDefault="00A86520" w:rsidP="00812ACA">
            <w:pPr>
              <w:pStyle w:val="ListParagraph"/>
              <w:numPr>
                <w:ilvl w:val="0"/>
                <w:numId w:val="25"/>
              </w:numPr>
            </w:pPr>
            <w:r>
              <w:t xml:space="preserve">Age (mean) control 24.6 and treatment 25.2, male control 92%, male treatment 91.6%, </w:t>
            </w:r>
          </w:p>
          <w:p w:rsidR="00A86520" w:rsidRDefault="00A86520" w:rsidP="00812ACA">
            <w:pPr>
              <w:pStyle w:val="ListParagraph"/>
              <w:numPr>
                <w:ilvl w:val="0"/>
                <w:numId w:val="25"/>
              </w:numPr>
            </w:pPr>
            <w:r>
              <w:t>African American control 76.2%, African American treatment 76.9%, White control 11.1%, white treatment 11.7%, Latino control 12.3%, Latino treatment 11%.</w:t>
            </w:r>
          </w:p>
          <w:p w:rsidR="00A86520" w:rsidRDefault="00A86520" w:rsidP="00734DB1">
            <w:pPr>
              <w:pStyle w:val="ListParagraph"/>
              <w:numPr>
                <w:ilvl w:val="0"/>
                <w:numId w:val="25"/>
              </w:numPr>
            </w:pPr>
            <w:r>
              <w:lastRenderedPageBreak/>
              <w:t>Number of cases in control ranged from 1,937 to 2,210 and for treatment group the number cases ranged from 1,821 to 2,052.</w:t>
            </w:r>
          </w:p>
        </w:tc>
        <w:tc>
          <w:tcPr>
            <w:tcW w:w="6269" w:type="dxa"/>
          </w:tcPr>
          <w:p w:rsidR="006E69FA" w:rsidRDefault="006E69FA" w:rsidP="00812ACA">
            <w:pPr>
              <w:pStyle w:val="ListParagraph"/>
              <w:numPr>
                <w:ilvl w:val="0"/>
                <w:numId w:val="24"/>
              </w:numPr>
            </w:pPr>
            <w:r w:rsidRPr="006E69FA">
              <w:rPr>
                <w:highlight w:val="yellow"/>
              </w:rPr>
              <w:lastRenderedPageBreak/>
              <w:t>“</w:t>
            </w:r>
            <w:r w:rsidR="00A86520" w:rsidRPr="006E69FA">
              <w:rPr>
                <w:highlight w:val="yellow"/>
              </w:rPr>
              <w:t>Age is found to interact with employment to affect the rate of self-reported recidivism. Those aged 27 or older are less likely to report crime and arrest when provided with marginal employment opportunities than when such opportunities are not provided. Among young participants, those in their teens and early twenties, the experimental job treatment had little effect on crime. Work thus appears to be a turning point for older, but not younger, offenders</w:t>
            </w:r>
            <w:r w:rsidRPr="006E69FA">
              <w:rPr>
                <w:highlight w:val="yellow"/>
              </w:rPr>
              <w:t>”</w:t>
            </w:r>
            <w:r w:rsidR="00A86520" w:rsidRPr="006E69FA">
              <w:rPr>
                <w:highlight w:val="yellow"/>
              </w:rPr>
              <w:t xml:space="preserve"> (p. 529).</w:t>
            </w:r>
          </w:p>
          <w:p w:rsidR="00A86520" w:rsidRDefault="006E69FA" w:rsidP="00812ACA">
            <w:pPr>
              <w:pStyle w:val="ListParagraph"/>
              <w:numPr>
                <w:ilvl w:val="0"/>
                <w:numId w:val="24"/>
              </w:numPr>
            </w:pPr>
            <w:r>
              <w:t>RTN</w:t>
            </w:r>
            <w:r w:rsidR="00A86520">
              <w:t xml:space="preserve"> </w:t>
            </w:r>
          </w:p>
        </w:tc>
      </w:tr>
      <w:tr w:rsidR="00A86520" w:rsidTr="00807CB8">
        <w:tc>
          <w:tcPr>
            <w:tcW w:w="2235" w:type="dxa"/>
          </w:tcPr>
          <w:p w:rsidR="00A86520" w:rsidRPr="00F37019" w:rsidRDefault="00A86520" w:rsidP="0019316C">
            <w:r w:rsidRPr="00F37019">
              <w:lastRenderedPageBreak/>
              <w:t>Wadsworth</w:t>
            </w:r>
            <w:r w:rsidR="0019316C">
              <w:t xml:space="preserve"> </w:t>
            </w:r>
            <w:r w:rsidRPr="00F37019">
              <w:t>(2006).</w:t>
            </w:r>
            <w:r w:rsidR="0019316C">
              <w:t xml:space="preserve"> The meaning of work: Conceptualizing the deterrent effect of employment on crime among young adults. </w:t>
            </w:r>
          </w:p>
        </w:tc>
        <w:tc>
          <w:tcPr>
            <w:tcW w:w="2409" w:type="dxa"/>
          </w:tcPr>
          <w:p w:rsidR="00A86520" w:rsidRDefault="00A86520" w:rsidP="008A1B82">
            <w:r>
              <w:t>Quasi-experimental</w:t>
            </w:r>
          </w:p>
          <w:p w:rsidR="00806FFC" w:rsidRPr="003C6A47" w:rsidRDefault="00806FFC" w:rsidP="008A1B82">
            <w:r>
              <w:t>Longitudinal data</w:t>
            </w:r>
          </w:p>
        </w:tc>
        <w:tc>
          <w:tcPr>
            <w:tcW w:w="3261" w:type="dxa"/>
          </w:tcPr>
          <w:p w:rsidR="00A86520" w:rsidRDefault="00A86520" w:rsidP="00812ACA">
            <w:pPr>
              <w:pStyle w:val="ListParagraph"/>
              <w:numPr>
                <w:ilvl w:val="0"/>
                <w:numId w:val="26"/>
              </w:numPr>
            </w:pPr>
            <w:r>
              <w:t xml:space="preserve">U.S.A. </w:t>
            </w:r>
          </w:p>
          <w:p w:rsidR="00A86520" w:rsidRDefault="00A86520" w:rsidP="00812ACA">
            <w:pPr>
              <w:pStyle w:val="ListParagraph"/>
              <w:numPr>
                <w:ilvl w:val="0"/>
                <w:numId w:val="26"/>
              </w:numPr>
            </w:pPr>
            <w:r>
              <w:t xml:space="preserve">National Longitudinal Survey of Youth (NYSY) data </w:t>
            </w:r>
          </w:p>
          <w:p w:rsidR="00A86520" w:rsidRDefault="00A86520" w:rsidP="006D734B">
            <w:pPr>
              <w:pStyle w:val="ListParagraph"/>
              <w:numPr>
                <w:ilvl w:val="0"/>
                <w:numId w:val="26"/>
              </w:numPr>
            </w:pPr>
            <w:r>
              <w:t xml:space="preserve">3,136 males and females, </w:t>
            </w:r>
            <w:r w:rsidR="006D734B">
              <w:t>age range</w:t>
            </w:r>
            <w:r>
              <w:t xml:space="preserve"> 18-20 in 1979.</w:t>
            </w:r>
          </w:p>
        </w:tc>
        <w:tc>
          <w:tcPr>
            <w:tcW w:w="6269" w:type="dxa"/>
          </w:tcPr>
          <w:p w:rsidR="00A86520" w:rsidRDefault="00716683" w:rsidP="00812ACA">
            <w:pPr>
              <w:pStyle w:val="ListParagraph"/>
              <w:numPr>
                <w:ilvl w:val="0"/>
                <w:numId w:val="26"/>
              </w:numPr>
            </w:pPr>
            <w:r>
              <w:t>“</w:t>
            </w:r>
            <w:r w:rsidR="00A86520">
              <w:t>Findings suggest that quality of employment has a stronger influence on individuals’ involvement in both economic and noneconomic criminal behaviour than do income, job stability, educational achievement, and a variety of background factors</w:t>
            </w:r>
            <w:r>
              <w:t>”</w:t>
            </w:r>
            <w:r w:rsidR="00A86520">
              <w:t xml:space="preserve"> (p. 343).</w:t>
            </w:r>
          </w:p>
          <w:p w:rsidR="00716683" w:rsidRDefault="00716683" w:rsidP="00812ACA">
            <w:pPr>
              <w:pStyle w:val="ListParagraph"/>
              <w:numPr>
                <w:ilvl w:val="0"/>
                <w:numId w:val="26"/>
              </w:numPr>
            </w:pPr>
            <w:r>
              <w:t>RTN to interpret tables</w:t>
            </w:r>
          </w:p>
        </w:tc>
      </w:tr>
      <w:tr w:rsidR="00A86520" w:rsidTr="00807CB8">
        <w:tc>
          <w:tcPr>
            <w:tcW w:w="2235" w:type="dxa"/>
          </w:tcPr>
          <w:p w:rsidR="00A86520" w:rsidRPr="00F37019" w:rsidRDefault="00A86520" w:rsidP="00BC4DD4">
            <w:proofErr w:type="spellStart"/>
            <w:r w:rsidRPr="00F37019">
              <w:t>Weerman</w:t>
            </w:r>
            <w:proofErr w:type="spellEnd"/>
            <w:r w:rsidRPr="00F37019">
              <w:t xml:space="preserve"> (2010).</w:t>
            </w:r>
            <w:r w:rsidR="00716683">
              <w:t xml:space="preserve"> Delinquency after secondary school: Exploring the consequences of schooling, working, </w:t>
            </w:r>
            <w:proofErr w:type="gramStart"/>
            <w:r w:rsidR="00716683">
              <w:t>dropout</w:t>
            </w:r>
            <w:proofErr w:type="gramEnd"/>
            <w:r w:rsidR="00716683">
              <w:t>.</w:t>
            </w:r>
          </w:p>
        </w:tc>
        <w:tc>
          <w:tcPr>
            <w:tcW w:w="2409" w:type="dxa"/>
          </w:tcPr>
          <w:p w:rsidR="006D734B" w:rsidRDefault="00A86520" w:rsidP="006D734B">
            <w:r>
              <w:t>Q</w:t>
            </w:r>
            <w:r w:rsidR="006D734B">
              <w:t>uasi-experimental</w:t>
            </w:r>
            <w:r>
              <w:t xml:space="preserve"> </w:t>
            </w:r>
            <w:r w:rsidR="006D734B">
              <w:t>P</w:t>
            </w:r>
            <w:r>
              <w:t>re and post-test</w:t>
            </w:r>
          </w:p>
          <w:p w:rsidR="00A86520" w:rsidRDefault="006D734B" w:rsidP="006D734B">
            <w:r>
              <w:t>N</w:t>
            </w:r>
            <w:r w:rsidR="00A86520">
              <w:t>o control</w:t>
            </w:r>
          </w:p>
        </w:tc>
        <w:tc>
          <w:tcPr>
            <w:tcW w:w="3261" w:type="dxa"/>
          </w:tcPr>
          <w:p w:rsidR="00A86520" w:rsidRDefault="00A86520" w:rsidP="00812ACA">
            <w:pPr>
              <w:pStyle w:val="ListParagraph"/>
              <w:numPr>
                <w:ilvl w:val="0"/>
                <w:numId w:val="27"/>
              </w:numPr>
            </w:pPr>
            <w:r>
              <w:t>Netherlands.</w:t>
            </w:r>
          </w:p>
          <w:p w:rsidR="00844FF4" w:rsidRDefault="00A86520" w:rsidP="00812ACA">
            <w:pPr>
              <w:pStyle w:val="ListParagraph"/>
              <w:numPr>
                <w:ilvl w:val="0"/>
                <w:numId w:val="27"/>
              </w:numPr>
            </w:pPr>
            <w:r>
              <w:t>273 youths</w:t>
            </w:r>
            <w:r w:rsidR="006D734B">
              <w:t xml:space="preserve"> </w:t>
            </w:r>
          </w:p>
          <w:p w:rsidR="00A86520" w:rsidRDefault="00844FF4" w:rsidP="00812ACA">
            <w:pPr>
              <w:pStyle w:val="ListParagraph"/>
              <w:numPr>
                <w:ilvl w:val="0"/>
                <w:numId w:val="27"/>
              </w:numPr>
            </w:pPr>
            <w:r>
              <w:t>A</w:t>
            </w:r>
            <w:r w:rsidR="006D734B">
              <w:t>ged between 17 and 19 years old</w:t>
            </w:r>
            <w:r>
              <w:t xml:space="preserve">, mean </w:t>
            </w:r>
            <w:r w:rsidRPr="00844FF4">
              <w:t>age 17.98</w:t>
            </w:r>
            <w:r>
              <w:t>.</w:t>
            </w:r>
          </w:p>
          <w:p w:rsidR="00A86520" w:rsidRDefault="00A86520" w:rsidP="00844FF4">
            <w:pPr>
              <w:pStyle w:val="ListParagraph"/>
              <w:numPr>
                <w:ilvl w:val="0"/>
                <w:numId w:val="27"/>
              </w:numPr>
            </w:pPr>
            <w:r>
              <w:t>56% girls, 44% boys, 50.5</w:t>
            </w:r>
            <w:r w:rsidR="00844FF4">
              <w:t>%</w:t>
            </w:r>
            <w:r>
              <w:t xml:space="preserve"> ethnic minorities.</w:t>
            </w:r>
          </w:p>
        </w:tc>
        <w:tc>
          <w:tcPr>
            <w:tcW w:w="6269" w:type="dxa"/>
          </w:tcPr>
          <w:p w:rsidR="00A86520" w:rsidRDefault="006D734B" w:rsidP="00812ACA">
            <w:pPr>
              <w:pStyle w:val="ListParagraph"/>
              <w:numPr>
                <w:ilvl w:val="0"/>
                <w:numId w:val="27"/>
              </w:numPr>
            </w:pPr>
            <w:r>
              <w:t>“</w:t>
            </w:r>
            <w:r w:rsidR="00A86520">
              <w:t>Educational careers do affect changes in delinquency, independently from other factors. Respondents who had attention or other problems in their further education and, in particular, respondents who combined schooling and work appeared to have increased their level of delinquency most strongly</w:t>
            </w:r>
            <w:r w:rsidR="00844FF4">
              <w:t xml:space="preserve"> (</w:t>
            </w:r>
            <w:r w:rsidR="00844FF4">
              <w:rPr>
                <w:i/>
              </w:rPr>
              <w:t>p</w:t>
            </w:r>
            <w:r w:rsidR="00844FF4">
              <w:t>&lt;.01)</w:t>
            </w:r>
            <w:r w:rsidR="00A86520">
              <w:t>. Respondents who left school for a full-time job were not significantly more involved in delinquency</w:t>
            </w:r>
            <w:r>
              <w:t>”</w:t>
            </w:r>
            <w:r w:rsidR="00A86520">
              <w:t xml:space="preserve"> (p. 330). </w:t>
            </w:r>
          </w:p>
        </w:tc>
      </w:tr>
    </w:tbl>
    <w:p w:rsidR="00E92304" w:rsidRDefault="00E92304">
      <w:r>
        <w:br w:type="page"/>
      </w:r>
    </w:p>
    <w:tbl>
      <w:tblPr>
        <w:tblStyle w:val="TableGrid"/>
        <w:tblW w:w="0" w:type="auto"/>
        <w:tblLook w:val="04A0"/>
      </w:tblPr>
      <w:tblGrid>
        <w:gridCol w:w="2235"/>
        <w:gridCol w:w="2409"/>
        <w:gridCol w:w="3261"/>
        <w:gridCol w:w="6269"/>
      </w:tblGrid>
      <w:tr w:rsidR="0028759A" w:rsidTr="00556AC1">
        <w:tc>
          <w:tcPr>
            <w:tcW w:w="14174" w:type="dxa"/>
            <w:gridSpan w:val="4"/>
          </w:tcPr>
          <w:p w:rsidR="0028759A" w:rsidRPr="00F37019" w:rsidRDefault="0028759A" w:rsidP="00F37019">
            <w:pPr>
              <w:rPr>
                <w:b/>
                <w:i/>
              </w:rPr>
            </w:pPr>
            <w:r w:rsidRPr="00F37019">
              <w:rPr>
                <w:b/>
                <w:i/>
              </w:rPr>
              <w:lastRenderedPageBreak/>
              <w:t>Other factors affecting criminal lifestyles– family, relationships, age, relocation, peers, housing, etc.</w:t>
            </w:r>
          </w:p>
          <w:p w:rsidR="0028759A" w:rsidRPr="00F37019" w:rsidRDefault="0028759A" w:rsidP="00F37019">
            <w:pPr>
              <w:rPr>
                <w:b/>
                <w:i/>
              </w:rPr>
            </w:pPr>
            <w:r w:rsidRPr="00F37019">
              <w:rPr>
                <w:b/>
                <w:i/>
              </w:rPr>
              <w:t>Family/relationships:</w:t>
            </w:r>
          </w:p>
        </w:tc>
      </w:tr>
      <w:tr w:rsidR="0028759A" w:rsidTr="00807CB8">
        <w:tc>
          <w:tcPr>
            <w:tcW w:w="2235" w:type="dxa"/>
          </w:tcPr>
          <w:p w:rsidR="0028759A" w:rsidRPr="0066225C" w:rsidRDefault="0028759A" w:rsidP="00BC4DD4">
            <w:r w:rsidRPr="00515BDD">
              <w:rPr>
                <w:rFonts w:eastAsiaTheme="minorEastAsia"/>
                <w:lang w:eastAsia="en-AU"/>
              </w:rPr>
              <w:t xml:space="preserve">Barnes, Golden, </w:t>
            </w:r>
            <w:proofErr w:type="spellStart"/>
            <w:r w:rsidRPr="00515BDD">
              <w:rPr>
                <w:rFonts w:eastAsiaTheme="minorEastAsia"/>
                <w:lang w:eastAsia="en-AU"/>
              </w:rPr>
              <w:t>Mancin</w:t>
            </w:r>
            <w:proofErr w:type="spellEnd"/>
            <w:r w:rsidRPr="00515BDD">
              <w:rPr>
                <w:rFonts w:eastAsiaTheme="minorEastAsia"/>
                <w:lang w:eastAsia="en-AU"/>
              </w:rPr>
              <w:t xml:space="preserve">, </w:t>
            </w:r>
            <w:proofErr w:type="spellStart"/>
            <w:r w:rsidRPr="00515BDD">
              <w:rPr>
                <w:rFonts w:eastAsiaTheme="minorEastAsia"/>
                <w:lang w:eastAsia="en-AU"/>
              </w:rPr>
              <w:t>Boutwell</w:t>
            </w:r>
            <w:proofErr w:type="spellEnd"/>
            <w:r w:rsidRPr="00515BDD">
              <w:rPr>
                <w:rFonts w:eastAsiaTheme="minorEastAsia"/>
                <w:lang w:eastAsia="en-AU"/>
              </w:rPr>
              <w:t>, Beaver, &amp; Diamond</w:t>
            </w:r>
            <w:r>
              <w:rPr>
                <w:rFonts w:eastAsiaTheme="minorEastAsia"/>
                <w:lang w:eastAsia="en-AU"/>
              </w:rPr>
              <w:t xml:space="preserve"> (2011).</w:t>
            </w:r>
            <w:r w:rsidR="008156BD">
              <w:rPr>
                <w:rFonts w:eastAsiaTheme="minorEastAsia"/>
                <w:lang w:eastAsia="en-AU"/>
              </w:rPr>
              <w:t xml:space="preserve"> Marriage and involvement in crime: A consideration of reciprocal effects in a nationally representative sample.</w:t>
            </w:r>
          </w:p>
        </w:tc>
        <w:tc>
          <w:tcPr>
            <w:tcW w:w="2409" w:type="dxa"/>
          </w:tcPr>
          <w:p w:rsidR="00D77065" w:rsidRDefault="003C6A47" w:rsidP="008A1B82">
            <w:r>
              <w:t xml:space="preserve">Quasi-experimental </w:t>
            </w:r>
            <w:r w:rsidR="00D77065">
              <w:t xml:space="preserve">Random sampling </w:t>
            </w:r>
          </w:p>
          <w:p w:rsidR="005F7E48" w:rsidRDefault="005F7E48" w:rsidP="008A1B82">
            <w:r>
              <w:t>Longitudinal data</w:t>
            </w:r>
          </w:p>
        </w:tc>
        <w:tc>
          <w:tcPr>
            <w:tcW w:w="3261" w:type="dxa"/>
          </w:tcPr>
          <w:p w:rsidR="0028759A" w:rsidRDefault="0028759A" w:rsidP="00812ACA">
            <w:pPr>
              <w:pStyle w:val="ListParagraph"/>
              <w:numPr>
                <w:ilvl w:val="0"/>
                <w:numId w:val="30"/>
              </w:numPr>
            </w:pPr>
            <w:r>
              <w:t>U.S.A.</w:t>
            </w:r>
          </w:p>
          <w:p w:rsidR="00D77065" w:rsidRDefault="0028759A" w:rsidP="00812ACA">
            <w:pPr>
              <w:pStyle w:val="ListParagraph"/>
              <w:numPr>
                <w:ilvl w:val="0"/>
                <w:numId w:val="30"/>
              </w:numPr>
            </w:pPr>
            <w:r>
              <w:t>Wave 4 data – 24-34 years of age, 15,701 respondents</w:t>
            </w:r>
            <w:r w:rsidR="00D77065">
              <w:t xml:space="preserve"> </w:t>
            </w:r>
          </w:p>
          <w:p w:rsidR="0028759A" w:rsidRDefault="00D77065" w:rsidP="00812ACA">
            <w:pPr>
              <w:pStyle w:val="ListParagraph"/>
              <w:numPr>
                <w:ilvl w:val="0"/>
                <w:numId w:val="30"/>
              </w:numPr>
            </w:pPr>
            <w:r>
              <w:t>National Longitudinal Study of Adolescent Health data</w:t>
            </w:r>
            <w:r w:rsidR="0028759A">
              <w:t xml:space="preserve"> </w:t>
            </w:r>
          </w:p>
        </w:tc>
        <w:tc>
          <w:tcPr>
            <w:tcW w:w="6269" w:type="dxa"/>
          </w:tcPr>
          <w:p w:rsidR="0028759A" w:rsidRDefault="00D462C8" w:rsidP="00812ACA">
            <w:pPr>
              <w:pStyle w:val="ListParagraph"/>
              <w:numPr>
                <w:ilvl w:val="0"/>
                <w:numId w:val="29"/>
              </w:numPr>
            </w:pPr>
            <w:r>
              <w:t>“</w:t>
            </w:r>
            <w:r w:rsidR="0028759A">
              <w:t>Findings reveal mixed support for the effect of marriage on crime. The marriage effect is observed in one of the cross-lagged models but not in the reciprocal effectors model</w:t>
            </w:r>
            <w:r>
              <w:t>”</w:t>
            </w:r>
            <w:r w:rsidR="0028759A">
              <w:t xml:space="preserve"> (p. 230). </w:t>
            </w:r>
          </w:p>
        </w:tc>
      </w:tr>
      <w:tr w:rsidR="0028759A" w:rsidTr="00807CB8">
        <w:tc>
          <w:tcPr>
            <w:tcW w:w="2235" w:type="dxa"/>
          </w:tcPr>
          <w:p w:rsidR="0028759A" w:rsidRPr="0066225C" w:rsidRDefault="0028759A" w:rsidP="00BC4DD4">
            <w:proofErr w:type="spellStart"/>
            <w:r w:rsidRPr="00515BDD">
              <w:rPr>
                <w:rFonts w:eastAsiaTheme="minorEastAsia"/>
                <w:lang w:eastAsia="en-AU"/>
              </w:rPr>
              <w:t>Beijers</w:t>
            </w:r>
            <w:proofErr w:type="spellEnd"/>
            <w:r w:rsidRPr="00515BDD">
              <w:rPr>
                <w:rFonts w:eastAsiaTheme="minorEastAsia"/>
                <w:lang w:eastAsia="en-AU"/>
              </w:rPr>
              <w:t xml:space="preserve">, </w:t>
            </w:r>
            <w:proofErr w:type="spellStart"/>
            <w:r w:rsidRPr="00515BDD">
              <w:rPr>
                <w:rFonts w:eastAsiaTheme="minorEastAsia"/>
                <w:lang w:eastAsia="en-AU"/>
              </w:rPr>
              <w:t>Bijleveld</w:t>
            </w:r>
            <w:proofErr w:type="spellEnd"/>
            <w:r w:rsidRPr="00515BDD">
              <w:rPr>
                <w:rFonts w:eastAsiaTheme="minorEastAsia"/>
                <w:lang w:eastAsia="en-AU"/>
              </w:rPr>
              <w:t xml:space="preserve">, &amp; van </w:t>
            </w:r>
            <w:proofErr w:type="spellStart"/>
            <w:r w:rsidRPr="00515BDD">
              <w:rPr>
                <w:rFonts w:eastAsiaTheme="minorEastAsia"/>
                <w:lang w:eastAsia="en-AU"/>
              </w:rPr>
              <w:t>Poppel</w:t>
            </w:r>
            <w:proofErr w:type="spellEnd"/>
            <w:r w:rsidRPr="00515BDD">
              <w:rPr>
                <w:rFonts w:eastAsiaTheme="minorEastAsia"/>
                <w:lang w:eastAsia="en-AU"/>
              </w:rPr>
              <w:t xml:space="preserve"> (2012).</w:t>
            </w:r>
            <w:r w:rsidR="007F1C3B">
              <w:rPr>
                <w:rFonts w:eastAsiaTheme="minorEastAsia"/>
                <w:lang w:eastAsia="en-AU"/>
              </w:rPr>
              <w:t xml:space="preserve"> ‘Man’s best possession’: Period effects in the association between marriage and offending.</w:t>
            </w:r>
          </w:p>
        </w:tc>
        <w:tc>
          <w:tcPr>
            <w:tcW w:w="2409" w:type="dxa"/>
          </w:tcPr>
          <w:p w:rsidR="0028759A" w:rsidRDefault="003C6A47" w:rsidP="008A1B82">
            <w:r>
              <w:t>Quasi-experimental</w:t>
            </w:r>
          </w:p>
          <w:p w:rsidR="007F1C3B" w:rsidRDefault="007F1C3B" w:rsidP="008A1B82">
            <w:r>
              <w:t>Longitudinal study</w:t>
            </w:r>
          </w:p>
        </w:tc>
        <w:tc>
          <w:tcPr>
            <w:tcW w:w="3261" w:type="dxa"/>
          </w:tcPr>
          <w:p w:rsidR="0028759A" w:rsidRPr="007F1C3B" w:rsidRDefault="00F95F6A" w:rsidP="00812ACA">
            <w:pPr>
              <w:pStyle w:val="ListParagraph"/>
              <w:numPr>
                <w:ilvl w:val="0"/>
                <w:numId w:val="29"/>
              </w:numPr>
            </w:pPr>
            <w:r w:rsidRPr="007F1C3B">
              <w:t>Netherlands.</w:t>
            </w:r>
          </w:p>
          <w:p w:rsidR="0028759A" w:rsidRPr="007F1C3B" w:rsidRDefault="007F1C3B" w:rsidP="00812ACA">
            <w:pPr>
              <w:pStyle w:val="ListParagraph"/>
              <w:numPr>
                <w:ilvl w:val="0"/>
                <w:numId w:val="29"/>
              </w:numPr>
            </w:pPr>
            <w:r w:rsidRPr="007F1C3B">
              <w:t>Starting point of sample 198 adolescent males placed in reform school between 1911 and 1914 (classified as high-risk sample). All descendants from this generation were followed up – children, grandchildren and  great-grandchildren to t</w:t>
            </w:r>
            <w:r w:rsidR="00F95F6A" w:rsidRPr="007F1C3B">
              <w:t>wo</w:t>
            </w:r>
            <w:r w:rsidR="0028759A" w:rsidRPr="007F1C3B">
              <w:t xml:space="preserve"> distinct periods 1930-70 and 1971-2006</w:t>
            </w:r>
          </w:p>
          <w:p w:rsidR="0028759A" w:rsidRPr="007F1C3B" w:rsidRDefault="007F1C3B" w:rsidP="00812ACA">
            <w:pPr>
              <w:pStyle w:val="ListParagraph"/>
              <w:numPr>
                <w:ilvl w:val="0"/>
                <w:numId w:val="29"/>
              </w:numPr>
            </w:pPr>
            <w:r w:rsidRPr="007F1C3B">
              <w:t>971 males who had offended once -</w:t>
            </w:r>
            <w:r w:rsidR="00F95F6A" w:rsidRPr="007F1C3B">
              <w:t xml:space="preserve"> </w:t>
            </w:r>
            <w:r w:rsidR="0028759A" w:rsidRPr="007F1C3B">
              <w:t>832 had married at least once and 139 had never married</w:t>
            </w:r>
            <w:r w:rsidR="00734DB1" w:rsidRPr="007F1C3B">
              <w:t>.</w:t>
            </w:r>
            <w:r w:rsidR="0028759A" w:rsidRPr="007F1C3B">
              <w:t xml:space="preserve"> </w:t>
            </w:r>
          </w:p>
          <w:p w:rsidR="0028759A" w:rsidRPr="007F1C3B" w:rsidRDefault="007F1C3B" w:rsidP="00734DB1">
            <w:pPr>
              <w:pStyle w:val="ListParagraph"/>
              <w:numPr>
                <w:ilvl w:val="0"/>
                <w:numId w:val="29"/>
              </w:numPr>
            </w:pPr>
            <w:r w:rsidRPr="007F1C3B">
              <w:t>Age range</w:t>
            </w:r>
            <w:r w:rsidR="0028759A" w:rsidRPr="007F1C3B">
              <w:t xml:space="preserve"> 18-45 years</w:t>
            </w:r>
            <w:r w:rsidR="00734DB1" w:rsidRPr="007F1C3B">
              <w:t>.</w:t>
            </w:r>
          </w:p>
        </w:tc>
        <w:tc>
          <w:tcPr>
            <w:tcW w:w="6269" w:type="dxa"/>
          </w:tcPr>
          <w:p w:rsidR="007F1C3B" w:rsidRPr="007F1C3B" w:rsidRDefault="007F1C3B" w:rsidP="007F1C3B">
            <w:pPr>
              <w:pStyle w:val="ListParagraph"/>
              <w:numPr>
                <w:ilvl w:val="0"/>
                <w:numId w:val="29"/>
              </w:numPr>
              <w:autoSpaceDE w:val="0"/>
              <w:autoSpaceDN w:val="0"/>
              <w:adjustRightInd w:val="0"/>
            </w:pPr>
            <w:r w:rsidRPr="007F1C3B">
              <w:t>“Married and unmarried men in the first marriage cohort did not differ in the prevalence of their offending. This means that the men who got married and stayed married for at least 10 years between 1938 and 1970 were equally likely to offend after marriage as the unmarried sample members of the same age (OR = 0.84, CI</w:t>
            </w:r>
            <w:r w:rsidRPr="00FE539A">
              <w:rPr>
                <w:vertAlign w:val="subscript"/>
              </w:rPr>
              <w:t>95</w:t>
            </w:r>
            <w:r w:rsidRPr="007F1C3B">
              <w:t xml:space="preserve"> = 0.31–2.24)” (p. 433).</w:t>
            </w:r>
          </w:p>
          <w:p w:rsidR="007F1C3B" w:rsidRPr="007F1C3B" w:rsidRDefault="007F1C3B" w:rsidP="007F1C3B">
            <w:pPr>
              <w:pStyle w:val="ListParagraph"/>
              <w:numPr>
                <w:ilvl w:val="0"/>
                <w:numId w:val="29"/>
              </w:numPr>
              <w:autoSpaceDE w:val="0"/>
              <w:autoSpaceDN w:val="0"/>
              <w:adjustRightInd w:val="0"/>
            </w:pPr>
            <w:r w:rsidRPr="007F1C3B">
              <w:t>“Those who married between 1971 and 1998 (1997 taken as a last marriage year because then the last marrying men also had a full 10 years of exposure) were significantly less likely to offend (OR = 0.46, CI</w:t>
            </w:r>
            <w:r w:rsidRPr="00FE539A">
              <w:rPr>
                <w:vertAlign w:val="subscript"/>
              </w:rPr>
              <w:t>95</w:t>
            </w:r>
            <w:r w:rsidRPr="007F1C3B">
              <w:t xml:space="preserve"> = 0.30–0.71) than their unmarried cohort members” (p. 434).</w:t>
            </w:r>
          </w:p>
          <w:p w:rsidR="0028759A" w:rsidRPr="007F1C3B" w:rsidRDefault="007F1C3B" w:rsidP="00812ACA">
            <w:pPr>
              <w:pStyle w:val="ListParagraph"/>
              <w:numPr>
                <w:ilvl w:val="0"/>
                <w:numId w:val="29"/>
              </w:numPr>
            </w:pPr>
            <w:r w:rsidRPr="007F1C3B">
              <w:t>“</w:t>
            </w:r>
            <w:r w:rsidR="0028759A" w:rsidRPr="007F1C3B">
              <w:t>Marriage is associated with a reduced likelihood of offending among high-risk men who married after 1970 in the Netherlands. For men who had married before 1970, no such effect was found</w:t>
            </w:r>
            <w:r w:rsidRPr="007F1C3B">
              <w:t>”</w:t>
            </w:r>
            <w:r w:rsidR="0028759A" w:rsidRPr="007F1C3B">
              <w:t xml:space="preserve"> (p. 438). </w:t>
            </w:r>
          </w:p>
        </w:tc>
      </w:tr>
      <w:tr w:rsidR="0028759A" w:rsidTr="00807CB8">
        <w:tc>
          <w:tcPr>
            <w:tcW w:w="2235" w:type="dxa"/>
          </w:tcPr>
          <w:p w:rsidR="0028759A" w:rsidRPr="0066225C" w:rsidRDefault="0028759A" w:rsidP="00BC4DD4">
            <w:proofErr w:type="spellStart"/>
            <w:r>
              <w:rPr>
                <w:rFonts w:eastAsiaTheme="minorEastAsia"/>
                <w:lang w:eastAsia="en-AU"/>
              </w:rPr>
              <w:t>Bersami</w:t>
            </w:r>
            <w:proofErr w:type="spellEnd"/>
            <w:r>
              <w:rPr>
                <w:rFonts w:eastAsiaTheme="minorEastAsia"/>
                <w:lang w:eastAsia="en-AU"/>
              </w:rPr>
              <w:t xml:space="preserve">, </w:t>
            </w:r>
            <w:proofErr w:type="spellStart"/>
            <w:r w:rsidRPr="00515BDD">
              <w:rPr>
                <w:rFonts w:eastAsiaTheme="minorEastAsia"/>
                <w:lang w:eastAsia="en-AU"/>
              </w:rPr>
              <w:t>Laub</w:t>
            </w:r>
            <w:proofErr w:type="spellEnd"/>
            <w:r w:rsidRPr="00515BDD">
              <w:rPr>
                <w:rFonts w:eastAsiaTheme="minorEastAsia"/>
                <w:lang w:eastAsia="en-AU"/>
              </w:rPr>
              <w:t xml:space="preserve">, &amp; </w:t>
            </w:r>
            <w:proofErr w:type="spellStart"/>
            <w:r w:rsidRPr="00515BDD">
              <w:rPr>
                <w:rFonts w:eastAsiaTheme="minorEastAsia"/>
                <w:lang w:eastAsia="en-AU"/>
              </w:rPr>
              <w:lastRenderedPageBreak/>
              <w:t>Nieuwbeerta</w:t>
            </w:r>
            <w:proofErr w:type="spellEnd"/>
            <w:r w:rsidRPr="00515BDD">
              <w:rPr>
                <w:rFonts w:eastAsiaTheme="minorEastAsia"/>
                <w:lang w:eastAsia="en-AU"/>
              </w:rPr>
              <w:t xml:space="preserve"> (2009).</w:t>
            </w:r>
          </w:p>
        </w:tc>
        <w:tc>
          <w:tcPr>
            <w:tcW w:w="2409" w:type="dxa"/>
          </w:tcPr>
          <w:p w:rsidR="0028759A" w:rsidRDefault="00D77065" w:rsidP="00D77065">
            <w:r>
              <w:lastRenderedPageBreak/>
              <w:t>Quasi-experimental</w:t>
            </w:r>
          </w:p>
          <w:p w:rsidR="00FE539A" w:rsidRDefault="00FE539A" w:rsidP="00D77065">
            <w:r>
              <w:lastRenderedPageBreak/>
              <w:t>Data Criminal Career and Life-Course Study (CCLS) – Longitudinal Study</w:t>
            </w:r>
          </w:p>
        </w:tc>
        <w:tc>
          <w:tcPr>
            <w:tcW w:w="3261" w:type="dxa"/>
          </w:tcPr>
          <w:p w:rsidR="0028759A" w:rsidRDefault="0028759A" w:rsidP="00812ACA">
            <w:pPr>
              <w:pStyle w:val="ListParagraph"/>
              <w:numPr>
                <w:ilvl w:val="0"/>
                <w:numId w:val="31"/>
              </w:numPr>
            </w:pPr>
            <w:r>
              <w:lastRenderedPageBreak/>
              <w:t>Netherlands</w:t>
            </w:r>
            <w:r w:rsidR="00F95F6A">
              <w:t>.</w:t>
            </w:r>
          </w:p>
          <w:p w:rsidR="0028759A" w:rsidRDefault="0028759A" w:rsidP="00812ACA">
            <w:pPr>
              <w:pStyle w:val="ListParagraph"/>
              <w:numPr>
                <w:ilvl w:val="0"/>
                <w:numId w:val="31"/>
              </w:numPr>
            </w:pPr>
            <w:r>
              <w:lastRenderedPageBreak/>
              <w:t xml:space="preserve">Nearly 4,615 males and females convicted </w:t>
            </w:r>
            <w:r w:rsidR="00734DB1">
              <w:t xml:space="preserve">in 1977. </w:t>
            </w:r>
            <w:r>
              <w:t>4,187 males and 428 females</w:t>
            </w:r>
          </w:p>
          <w:p w:rsidR="00D77065" w:rsidRDefault="00FE539A" w:rsidP="00812ACA">
            <w:pPr>
              <w:pStyle w:val="ListParagraph"/>
              <w:numPr>
                <w:ilvl w:val="0"/>
                <w:numId w:val="31"/>
              </w:numPr>
            </w:pPr>
            <w:r>
              <w:t>Age range 12-55</w:t>
            </w:r>
          </w:p>
        </w:tc>
        <w:tc>
          <w:tcPr>
            <w:tcW w:w="6269" w:type="dxa"/>
          </w:tcPr>
          <w:p w:rsidR="00FE539A" w:rsidRDefault="00FE539A" w:rsidP="00FE539A">
            <w:pPr>
              <w:pStyle w:val="ListParagraph"/>
              <w:numPr>
                <w:ilvl w:val="0"/>
                <w:numId w:val="31"/>
              </w:numPr>
              <w:autoSpaceDE w:val="0"/>
              <w:autoSpaceDN w:val="0"/>
              <w:adjustRightInd w:val="0"/>
            </w:pPr>
            <w:r w:rsidRPr="00FE539A">
              <w:lastRenderedPageBreak/>
              <w:t xml:space="preserve">“Find that the effect of marriage on offending is </w:t>
            </w:r>
            <w:r w:rsidRPr="00FE539A">
              <w:lastRenderedPageBreak/>
              <w:t xml:space="preserve">significantly different for men and women. Being in the state of marriage is associated with a 36% (1 - </w:t>
            </w:r>
            <w:proofErr w:type="gramStart"/>
            <w:r w:rsidRPr="00FE539A">
              <w:t>exp</w:t>
            </w:r>
            <w:r w:rsidRPr="00FE539A">
              <w:rPr>
                <w:vertAlign w:val="superscript"/>
              </w:rPr>
              <w:t>(</w:t>
            </w:r>
            <w:proofErr w:type="gramEnd"/>
            <w:r w:rsidRPr="00FE539A">
              <w:rPr>
                <w:vertAlign w:val="superscript"/>
              </w:rPr>
              <w:t>-0.443)</w:t>
            </w:r>
            <w:r w:rsidRPr="00FE539A">
              <w:t>) decrease in the odds of a conviction for men and a 21% (1 - exp</w:t>
            </w:r>
            <w:r w:rsidRPr="00FE539A">
              <w:rPr>
                <w:vertAlign w:val="superscript"/>
              </w:rPr>
              <w:t>(-0.443 + 0.212)</w:t>
            </w:r>
            <w:r w:rsidRPr="00FE539A">
              <w:t>) decrease in the odds of a conviction for women. That is, the effect of marriage for women is significantly lower than that for men; however, for both men and women, being in the state of marriage is associated with a decrease in the odds of a conviction” (pp. 14-15).</w:t>
            </w:r>
          </w:p>
          <w:p w:rsidR="00FE539A" w:rsidRPr="00FE539A" w:rsidRDefault="00FE539A" w:rsidP="00FE539A">
            <w:pPr>
              <w:pStyle w:val="ListParagraph"/>
              <w:numPr>
                <w:ilvl w:val="0"/>
                <w:numId w:val="31"/>
              </w:numPr>
              <w:autoSpaceDE w:val="0"/>
              <w:autoSpaceDN w:val="0"/>
              <w:adjustRightInd w:val="0"/>
            </w:pPr>
            <w:r>
              <w:t>“</w:t>
            </w:r>
            <w:r w:rsidRPr="00FE539A">
              <w:t>Compared to group 1 (the oldest group), the effect of marriage significantly differs for group 3 (the youngest group). Being in the state of marriage is associated with a 28% (1 -</w:t>
            </w:r>
            <w:proofErr w:type="gramStart"/>
            <w:r w:rsidRPr="00FE539A">
              <w:t>exp</w:t>
            </w:r>
            <w:r w:rsidRPr="00FE539A">
              <w:rPr>
                <w:vertAlign w:val="superscript"/>
              </w:rPr>
              <w:t>(</w:t>
            </w:r>
            <w:proofErr w:type="gramEnd"/>
            <w:r w:rsidRPr="00FE539A">
              <w:rPr>
                <w:vertAlign w:val="superscript"/>
              </w:rPr>
              <w:t>-0.325)</w:t>
            </w:r>
            <w:r w:rsidRPr="00FE539A">
              <w:t>) decrease in the odds of a conviction for individuals in group 1, it is associated with a 33% (1 - exp</w:t>
            </w:r>
            <w:r w:rsidRPr="00FE539A">
              <w:rPr>
                <w:vertAlign w:val="superscript"/>
              </w:rPr>
              <w:t>(-0.325 + -0.073)</w:t>
            </w:r>
            <w:r w:rsidRPr="00FE539A">
              <w:t>) decrease for group 2, whereas being in the state of marriage is associated with a 45% (1 - exp</w:t>
            </w:r>
            <w:r w:rsidRPr="00FE539A">
              <w:rPr>
                <w:vertAlign w:val="superscript"/>
              </w:rPr>
              <w:t>(-0.325 + -0.275)</w:t>
            </w:r>
            <w:r w:rsidRPr="00FE539A">
              <w:t xml:space="preserve">) decrease in the odds of a conviction for group 3. Stated simply, the good marriage effect is strongest in the most </w:t>
            </w:r>
            <w:r>
              <w:t>contemporary context” (p. 15).</w:t>
            </w:r>
          </w:p>
        </w:tc>
      </w:tr>
      <w:tr w:rsidR="0028759A" w:rsidTr="00807CB8">
        <w:tc>
          <w:tcPr>
            <w:tcW w:w="2235" w:type="dxa"/>
          </w:tcPr>
          <w:p w:rsidR="0028759A" w:rsidRPr="0066225C" w:rsidRDefault="0028759A" w:rsidP="00BC4DD4">
            <w:proofErr w:type="spellStart"/>
            <w:r>
              <w:rPr>
                <w:rFonts w:eastAsiaTheme="minorEastAsia"/>
                <w:lang w:eastAsia="en-AU"/>
              </w:rPr>
              <w:lastRenderedPageBreak/>
              <w:t>Blokland</w:t>
            </w:r>
            <w:proofErr w:type="spellEnd"/>
            <w:r>
              <w:rPr>
                <w:rFonts w:eastAsiaTheme="minorEastAsia"/>
                <w:lang w:eastAsia="en-AU"/>
              </w:rPr>
              <w:t xml:space="preserve"> &amp; </w:t>
            </w:r>
            <w:proofErr w:type="spellStart"/>
            <w:r>
              <w:rPr>
                <w:rFonts w:eastAsiaTheme="minorEastAsia"/>
                <w:lang w:eastAsia="en-AU"/>
              </w:rPr>
              <w:t>Nieuwbeerta</w:t>
            </w:r>
            <w:proofErr w:type="spellEnd"/>
            <w:r>
              <w:rPr>
                <w:rFonts w:eastAsiaTheme="minorEastAsia"/>
                <w:lang w:eastAsia="en-AU"/>
              </w:rPr>
              <w:t xml:space="preserve"> </w:t>
            </w:r>
            <w:r w:rsidRPr="00515BDD">
              <w:rPr>
                <w:rFonts w:eastAsiaTheme="minorEastAsia"/>
                <w:lang w:eastAsia="en-AU"/>
              </w:rPr>
              <w:t>(2005).</w:t>
            </w:r>
          </w:p>
        </w:tc>
        <w:tc>
          <w:tcPr>
            <w:tcW w:w="2409" w:type="dxa"/>
          </w:tcPr>
          <w:p w:rsidR="00FE4548" w:rsidRDefault="003C6A47" w:rsidP="00FE4548">
            <w:r>
              <w:t>Quasi-experimental</w:t>
            </w:r>
          </w:p>
          <w:p w:rsidR="00FE4548" w:rsidRDefault="00FE4548" w:rsidP="00FE4548">
            <w:r>
              <w:t>Self-report and conviction history data</w:t>
            </w:r>
          </w:p>
          <w:p w:rsidR="00FE4548" w:rsidRDefault="00FE4548" w:rsidP="00FE4548">
            <w:r>
              <w:t>Dutch national crime survey</w:t>
            </w:r>
          </w:p>
          <w:p w:rsidR="00FE4548" w:rsidRDefault="00FE4548" w:rsidP="00FE4548">
            <w:r>
              <w:t xml:space="preserve">60 year follow up </w:t>
            </w:r>
          </w:p>
          <w:p w:rsidR="0028759A" w:rsidRDefault="00FE4548" w:rsidP="00FE4548">
            <w:r>
              <w:t>Longitudinal study Criminal Career and Life Course Study data</w:t>
            </w:r>
          </w:p>
        </w:tc>
        <w:tc>
          <w:tcPr>
            <w:tcW w:w="3261" w:type="dxa"/>
          </w:tcPr>
          <w:p w:rsidR="00F95F6A" w:rsidRDefault="0028759A" w:rsidP="00F95F6A">
            <w:pPr>
              <w:pStyle w:val="ListParagraph"/>
              <w:numPr>
                <w:ilvl w:val="0"/>
                <w:numId w:val="32"/>
              </w:numPr>
            </w:pPr>
            <w:r>
              <w:t>Netherlands</w:t>
            </w:r>
            <w:r w:rsidR="00F95F6A">
              <w:t>.</w:t>
            </w:r>
          </w:p>
          <w:p w:rsidR="0028759A" w:rsidRDefault="00FE4548" w:rsidP="00F95F6A">
            <w:pPr>
              <w:pStyle w:val="ListParagraph"/>
              <w:numPr>
                <w:ilvl w:val="0"/>
                <w:numId w:val="32"/>
              </w:numPr>
            </w:pPr>
            <w:r>
              <w:rPr>
                <w:i/>
              </w:rPr>
              <w:t>n=</w:t>
            </w:r>
            <w:r w:rsidR="0028759A">
              <w:t>4,615 of individuals whose criminal case was tried in 1977</w:t>
            </w:r>
            <w:r w:rsidR="00F95F6A">
              <w:t>.</w:t>
            </w:r>
          </w:p>
          <w:p w:rsidR="00D77065" w:rsidRDefault="00FE4548" w:rsidP="00FE4548">
            <w:pPr>
              <w:pStyle w:val="ListParagraph"/>
              <w:numPr>
                <w:ilvl w:val="0"/>
                <w:numId w:val="32"/>
              </w:numPr>
            </w:pPr>
            <w:r>
              <w:t xml:space="preserve">1996 – </w:t>
            </w:r>
            <w:r>
              <w:rPr>
                <w:i/>
              </w:rPr>
              <w:t>n</w:t>
            </w:r>
            <w:r>
              <w:t>=2,244 aged 15 years or older</w:t>
            </w:r>
          </w:p>
        </w:tc>
        <w:tc>
          <w:tcPr>
            <w:tcW w:w="6269" w:type="dxa"/>
          </w:tcPr>
          <w:p w:rsidR="000304FF" w:rsidRDefault="00EA5359" w:rsidP="000304FF">
            <w:pPr>
              <w:pStyle w:val="ListParagraph"/>
              <w:numPr>
                <w:ilvl w:val="0"/>
                <w:numId w:val="32"/>
              </w:numPr>
            </w:pPr>
            <w:r>
              <w:t>“</w:t>
            </w:r>
            <w:r w:rsidR="0028759A">
              <w:t>Results indicate that life circumstances substantially influence the chances of criminal behaviour, and that the effects of these circumstances on offending differ across offender groups. Age-graded changes in life circumstances, however, explain the aggregate age-crime relationship only to a modest extent</w:t>
            </w:r>
            <w:r>
              <w:t>”</w:t>
            </w:r>
            <w:r w:rsidR="0028759A">
              <w:t xml:space="preserve"> (p. 1203).</w:t>
            </w:r>
          </w:p>
          <w:p w:rsidR="000304FF" w:rsidRPr="000304FF" w:rsidRDefault="000304FF" w:rsidP="000304FF">
            <w:pPr>
              <w:pStyle w:val="ListParagraph"/>
              <w:numPr>
                <w:ilvl w:val="0"/>
                <w:numId w:val="32"/>
              </w:numPr>
              <w:autoSpaceDE w:val="0"/>
              <w:autoSpaceDN w:val="0"/>
              <w:adjustRightInd w:val="0"/>
              <w:rPr>
                <w:rFonts w:ascii="TimesTen-Roman" w:hAnsi="TimesTen-Roman" w:cs="TimesTen-Roman"/>
                <w:sz w:val="20"/>
                <w:szCs w:val="20"/>
              </w:rPr>
            </w:pPr>
            <w:r>
              <w:t>“</w:t>
            </w:r>
            <w:r w:rsidR="007F55B3" w:rsidRPr="007F55B3">
              <w:t>The results first show that, even after controlling for trajectory group</w:t>
            </w:r>
            <w:r w:rsidR="007F55B3">
              <w:t xml:space="preserve"> </w:t>
            </w:r>
            <w:r w:rsidR="007F55B3" w:rsidRPr="007F55B3">
              <w:t>membership and between-individual differences, the development of</w:t>
            </w:r>
            <w:r w:rsidR="007F55B3">
              <w:t xml:space="preserve"> </w:t>
            </w:r>
            <w:r w:rsidR="007F55B3" w:rsidRPr="007F55B3">
              <w:t>offending is still significantly affected by within-individual differences in</w:t>
            </w:r>
            <w:r w:rsidR="007F55B3">
              <w:t xml:space="preserve"> </w:t>
            </w:r>
            <w:r w:rsidR="007F55B3" w:rsidRPr="007F55B3">
              <w:t>life circumstances over time. For example, for those in the CCLS low-rate</w:t>
            </w:r>
            <w:r w:rsidR="007F55B3">
              <w:t xml:space="preserve"> </w:t>
            </w:r>
            <w:r w:rsidR="007F55B3" w:rsidRPr="007F55B3">
              <w:t>trajectory group, marriage is associated with a 27 percent (</w:t>
            </w:r>
            <w:proofErr w:type="gramStart"/>
            <w:r w:rsidR="007F55B3" w:rsidRPr="007F55B3">
              <w:t>exp(</w:t>
            </w:r>
            <w:proofErr w:type="gramEnd"/>
            <w:r w:rsidR="007F55B3" w:rsidRPr="007F55B3">
              <w:t>-0.321)=</w:t>
            </w:r>
            <w:r w:rsidR="007F55B3">
              <w:t xml:space="preserve"> </w:t>
            </w:r>
            <w:r w:rsidR="007F55B3" w:rsidRPr="007F55B3">
              <w:t xml:space="preserve">0.73) drop in conviction </w:t>
            </w:r>
            <w:r w:rsidR="007F55B3" w:rsidRPr="007F55B3">
              <w:lastRenderedPageBreak/>
              <w:t>rates. Thus, the same individual while</w:t>
            </w:r>
            <w:r w:rsidR="007F55B3">
              <w:t xml:space="preserve"> m</w:t>
            </w:r>
            <w:r w:rsidR="007F55B3" w:rsidRPr="007F55B3">
              <w:t>arried is</w:t>
            </w:r>
            <w:r w:rsidR="007F55B3">
              <w:t xml:space="preserve"> </w:t>
            </w:r>
            <w:r w:rsidR="007F55B3" w:rsidRPr="007F55B3">
              <w:t>less likely to be convicted than when he is not married. Separation again</w:t>
            </w:r>
            <w:r w:rsidR="007F55B3">
              <w:t xml:space="preserve"> </w:t>
            </w:r>
            <w:r w:rsidR="007F55B3" w:rsidRPr="007F55B3">
              <w:t>increases the rate of convictions, leaving individuals when separated 44</w:t>
            </w:r>
            <w:r w:rsidR="007F55B3">
              <w:t xml:space="preserve"> </w:t>
            </w:r>
            <w:r>
              <w:t xml:space="preserve">percent </w:t>
            </w:r>
            <w:r w:rsidR="007F55B3" w:rsidRPr="007F55B3">
              <w:t>(</w:t>
            </w:r>
            <w:proofErr w:type="gramStart"/>
            <w:r w:rsidR="007F55B3" w:rsidRPr="007F55B3">
              <w:t>exp(</w:t>
            </w:r>
            <w:proofErr w:type="gramEnd"/>
            <w:r w:rsidR="007F55B3" w:rsidRPr="007F55B3">
              <w:t>0.362)=1.44) more likely to be convicted than when they</w:t>
            </w:r>
            <w:r>
              <w:t xml:space="preserve"> </w:t>
            </w:r>
            <w:r w:rsidR="007F55B3" w:rsidRPr="007F55B3">
              <w:t xml:space="preserve">were married, and 4 percent (exp(-0.321+0.362)=1.04) more likely than when they were single. The same is true </w:t>
            </w:r>
            <w:r w:rsidRPr="007F55B3">
              <w:t xml:space="preserve">for </w:t>
            </w:r>
            <w:r>
              <w:t>offenders</w:t>
            </w:r>
            <w:r w:rsidR="007F55B3" w:rsidRPr="007F55B3">
              <w:t xml:space="preserve"> in the moderate rate</w:t>
            </w:r>
            <w:r>
              <w:t xml:space="preserve"> </w:t>
            </w:r>
            <w:r w:rsidR="007F55B3" w:rsidRPr="007F55B3">
              <w:t xml:space="preserve">trajectory group. Parenthood does not seem to influence the development of offending. Based on these results, the static hypothesis regarding the effects of life circumstances must be rejected in </w:t>
            </w:r>
            <w:proofErr w:type="spellStart"/>
            <w:r w:rsidR="007F55B3" w:rsidRPr="007F55B3">
              <w:t>favor</w:t>
            </w:r>
            <w:proofErr w:type="spellEnd"/>
            <w:r w:rsidR="007F55B3" w:rsidRPr="007F55B3">
              <w:t xml:space="preserve"> of dynamic ones</w:t>
            </w:r>
            <w:r>
              <w:t>” (p. 1224)</w:t>
            </w:r>
            <w:r w:rsidR="007F55B3" w:rsidRPr="007F55B3">
              <w:t>.</w:t>
            </w:r>
            <w:r>
              <w:t xml:space="preserve"> </w:t>
            </w:r>
          </w:p>
          <w:p w:rsidR="000304FF" w:rsidRPr="000304FF" w:rsidRDefault="000304FF" w:rsidP="000304FF">
            <w:pPr>
              <w:pStyle w:val="ListParagraph"/>
              <w:numPr>
                <w:ilvl w:val="0"/>
                <w:numId w:val="32"/>
              </w:numPr>
              <w:autoSpaceDE w:val="0"/>
              <w:autoSpaceDN w:val="0"/>
              <w:adjustRightInd w:val="0"/>
            </w:pPr>
            <w:r w:rsidRPr="000304FF">
              <w:t>“High-rate offenders however are not entirely immune to changes in  life circumstances: being divorced, compared to being single, acted as a catalyst and boosts the offense rate by 13 percent (exp(-0.207 +0.325)=1.13)” (p. 1225)</w:t>
            </w:r>
          </w:p>
        </w:tc>
      </w:tr>
      <w:tr w:rsidR="0028759A" w:rsidTr="00807CB8">
        <w:tc>
          <w:tcPr>
            <w:tcW w:w="2235" w:type="dxa"/>
          </w:tcPr>
          <w:p w:rsidR="0028759A" w:rsidRPr="0066225C" w:rsidRDefault="0028759A" w:rsidP="00BC4DD4">
            <w:r>
              <w:rPr>
                <w:rFonts w:eastAsiaTheme="minorEastAsia"/>
                <w:lang w:eastAsia="en-AU"/>
              </w:rPr>
              <w:lastRenderedPageBreak/>
              <w:t xml:space="preserve">Craig </w:t>
            </w:r>
            <w:r w:rsidRPr="00515BDD">
              <w:rPr>
                <w:rFonts w:eastAsiaTheme="minorEastAsia"/>
                <w:lang w:eastAsia="en-AU"/>
              </w:rPr>
              <w:t>&amp; Foster (2013).</w:t>
            </w:r>
            <w:r w:rsidR="000304FF">
              <w:rPr>
                <w:rFonts w:eastAsiaTheme="minorEastAsia"/>
                <w:lang w:eastAsia="en-AU"/>
              </w:rPr>
              <w:t xml:space="preserve"> Desistance in the transition to adulthood: The roles of marriage, military, and gender.</w:t>
            </w:r>
          </w:p>
        </w:tc>
        <w:tc>
          <w:tcPr>
            <w:tcW w:w="2409" w:type="dxa"/>
          </w:tcPr>
          <w:p w:rsidR="0028759A" w:rsidRDefault="00D77065" w:rsidP="008A1B82">
            <w:r>
              <w:t>Quasi-experimental</w:t>
            </w:r>
          </w:p>
          <w:p w:rsidR="000304FF" w:rsidRDefault="000304FF" w:rsidP="008A1B82">
            <w:r>
              <w:t>Longitudinal study</w:t>
            </w:r>
          </w:p>
          <w:p w:rsidR="00FE4548" w:rsidRDefault="00FE4548" w:rsidP="008A1B82"/>
        </w:tc>
        <w:tc>
          <w:tcPr>
            <w:tcW w:w="3261" w:type="dxa"/>
          </w:tcPr>
          <w:p w:rsidR="0028759A" w:rsidRDefault="0028759A" w:rsidP="00812ACA">
            <w:pPr>
              <w:pStyle w:val="ListParagraph"/>
              <w:numPr>
                <w:ilvl w:val="0"/>
                <w:numId w:val="34"/>
              </w:numPr>
            </w:pPr>
            <w:r>
              <w:t>U.S.A.</w:t>
            </w:r>
          </w:p>
          <w:p w:rsidR="0028759A" w:rsidRDefault="0028759A" w:rsidP="00812ACA">
            <w:pPr>
              <w:pStyle w:val="ListParagraph"/>
              <w:numPr>
                <w:ilvl w:val="0"/>
                <w:numId w:val="34"/>
              </w:numPr>
            </w:pPr>
            <w:r>
              <w:t>National Longitudinal Study of Adolescent Health data, wa</w:t>
            </w:r>
            <w:r w:rsidR="00F95F6A">
              <w:t>v</w:t>
            </w:r>
            <w:r>
              <w:t>e I public use data includes 6,504 and wave III 3,355 respondents</w:t>
            </w:r>
            <w:r w:rsidR="00734DB1">
              <w:t>.</w:t>
            </w:r>
          </w:p>
          <w:p w:rsidR="000304FF" w:rsidRDefault="0028759A" w:rsidP="00734DB1">
            <w:pPr>
              <w:pStyle w:val="ListParagraph"/>
              <w:numPr>
                <w:ilvl w:val="0"/>
                <w:numId w:val="34"/>
              </w:numPr>
            </w:pPr>
            <w:r>
              <w:t>49% females, a</w:t>
            </w:r>
            <w:r w:rsidR="000304FF">
              <w:t>verage age (2001) 21 years old</w:t>
            </w:r>
          </w:p>
          <w:p w:rsidR="0028759A" w:rsidRDefault="0028759A" w:rsidP="00734DB1">
            <w:pPr>
              <w:pStyle w:val="ListParagraph"/>
              <w:numPr>
                <w:ilvl w:val="0"/>
                <w:numId w:val="34"/>
              </w:numPr>
            </w:pPr>
            <w:r>
              <w:t>66% white, 16% African American, 12% Hispanic, 6% other</w:t>
            </w:r>
            <w:r w:rsidR="00734DB1">
              <w:t>.</w:t>
            </w:r>
          </w:p>
        </w:tc>
        <w:tc>
          <w:tcPr>
            <w:tcW w:w="6269" w:type="dxa"/>
          </w:tcPr>
          <w:p w:rsidR="001608C4" w:rsidRDefault="00DA57C3" w:rsidP="001608C4">
            <w:pPr>
              <w:pStyle w:val="ListParagraph"/>
              <w:numPr>
                <w:ilvl w:val="0"/>
                <w:numId w:val="33"/>
              </w:numPr>
            </w:pPr>
            <w:r>
              <w:t>“</w:t>
            </w:r>
            <w:r w:rsidR="0028759A">
              <w:t>Marriage</w:t>
            </w:r>
            <w:r w:rsidR="00CB234C">
              <w:t xml:space="preserve"> (</w:t>
            </w:r>
            <w:r w:rsidR="00CB234C">
              <w:rPr>
                <w:i/>
              </w:rPr>
              <w:t>p&lt;</w:t>
            </w:r>
            <w:r w:rsidR="00CB234C">
              <w:t>.001)</w:t>
            </w:r>
            <w:r w:rsidR="0028759A">
              <w:t xml:space="preserve"> but not military</w:t>
            </w:r>
            <w:r w:rsidR="00CB234C">
              <w:t xml:space="preserve"> (</w:t>
            </w:r>
            <w:r w:rsidR="00CB234C">
              <w:rPr>
                <w:i/>
              </w:rPr>
              <w:t>p=</w:t>
            </w:r>
            <w:r w:rsidR="00CB234C">
              <w:t>.25)</w:t>
            </w:r>
            <w:r w:rsidR="0028759A">
              <w:t xml:space="preserve"> </w:t>
            </w:r>
            <w:r w:rsidR="00CB234C">
              <w:t>involvement</w:t>
            </w:r>
            <w:r w:rsidR="0028759A">
              <w:t xml:space="preserve"> led to desistance. However, gender sub-sample analyses further showed military enlistment led females, but n</w:t>
            </w:r>
            <w:r>
              <w:t>ot males, to desist from crime” (p. 208).</w:t>
            </w:r>
          </w:p>
          <w:p w:rsidR="001608C4" w:rsidRDefault="001608C4" w:rsidP="001608C4">
            <w:pPr>
              <w:pStyle w:val="ListParagraph"/>
              <w:numPr>
                <w:ilvl w:val="0"/>
                <w:numId w:val="33"/>
              </w:numPr>
            </w:pPr>
            <w:r w:rsidRPr="001608C4">
              <w:t xml:space="preserve">“For the female sub-sample includes both ever being in the military and currently being married. The results show that ever being in the military decreases delinquent behaviour among females (b= -.29, </w:t>
            </w:r>
            <w:r w:rsidRPr="001608C4">
              <w:rPr>
                <w:i/>
              </w:rPr>
              <w:t>p</w:t>
            </w:r>
            <w:r w:rsidRPr="001608C4">
              <w:t xml:space="preserve">&lt;.01). Also for this group, currently being married is protective of delinquency (b= -.21, </w:t>
            </w:r>
            <w:r w:rsidRPr="001608C4">
              <w:rPr>
                <w:i/>
              </w:rPr>
              <w:t>p</w:t>
            </w:r>
            <w:r w:rsidRPr="001608C4">
              <w:t>&lt;.05)” (p. 217).</w:t>
            </w:r>
          </w:p>
          <w:p w:rsidR="001608C4" w:rsidRPr="001608C4" w:rsidRDefault="001608C4" w:rsidP="001608C4">
            <w:pPr>
              <w:pStyle w:val="ListParagraph"/>
              <w:numPr>
                <w:ilvl w:val="0"/>
                <w:numId w:val="33"/>
              </w:numPr>
              <w:autoSpaceDE w:val="0"/>
              <w:autoSpaceDN w:val="0"/>
              <w:adjustRightInd w:val="0"/>
            </w:pPr>
            <w:r w:rsidRPr="001608C4">
              <w:t>“Among males, currently being married is associated with a decrease in delinquency at Wave III (b= -.70, p&lt;.001)” (p. 218).</w:t>
            </w:r>
          </w:p>
          <w:p w:rsidR="001608C4" w:rsidRPr="001608C4" w:rsidRDefault="001608C4" w:rsidP="008B7FEE">
            <w:pPr>
              <w:pStyle w:val="ListParagraph"/>
              <w:numPr>
                <w:ilvl w:val="0"/>
                <w:numId w:val="33"/>
              </w:numPr>
              <w:autoSpaceDE w:val="0"/>
              <w:autoSpaceDN w:val="0"/>
              <w:adjustRightInd w:val="0"/>
            </w:pPr>
            <w:r w:rsidRPr="001608C4">
              <w:t>“Both current military involvement (b= -.45, p&lt;.001) and serving in the reserves (b= -.28, p&lt;.01) showed protective influences among females” (p. 218).</w:t>
            </w:r>
          </w:p>
        </w:tc>
      </w:tr>
      <w:tr w:rsidR="0028759A" w:rsidTr="00807CB8">
        <w:tc>
          <w:tcPr>
            <w:tcW w:w="2235" w:type="dxa"/>
          </w:tcPr>
          <w:p w:rsidR="0028759A" w:rsidRPr="0066225C" w:rsidRDefault="0028759A" w:rsidP="00BC4DD4">
            <w:r w:rsidRPr="00515BDD">
              <w:rPr>
                <w:rFonts w:eastAsiaTheme="minorEastAsia"/>
                <w:lang w:eastAsia="en-AU"/>
              </w:rPr>
              <w:lastRenderedPageBreak/>
              <w:t>Doherty</w:t>
            </w:r>
            <w:r>
              <w:rPr>
                <w:rFonts w:eastAsiaTheme="minorEastAsia"/>
                <w:lang w:eastAsia="en-AU"/>
              </w:rPr>
              <w:t xml:space="preserve"> &amp; </w:t>
            </w:r>
            <w:proofErr w:type="spellStart"/>
            <w:r>
              <w:rPr>
                <w:rFonts w:eastAsiaTheme="minorEastAsia"/>
                <w:lang w:eastAsia="en-AU"/>
              </w:rPr>
              <w:t>Ensminger</w:t>
            </w:r>
            <w:proofErr w:type="spellEnd"/>
            <w:r>
              <w:rPr>
                <w:rFonts w:eastAsiaTheme="minorEastAsia"/>
                <w:lang w:eastAsia="en-AU"/>
              </w:rPr>
              <w:t xml:space="preserve"> </w:t>
            </w:r>
            <w:r w:rsidRPr="00515BDD">
              <w:rPr>
                <w:rFonts w:eastAsiaTheme="minorEastAsia"/>
                <w:lang w:eastAsia="en-AU"/>
              </w:rPr>
              <w:t>(2013).</w:t>
            </w:r>
            <w:r w:rsidR="00055C96">
              <w:rPr>
                <w:rFonts w:eastAsiaTheme="minorEastAsia"/>
                <w:lang w:eastAsia="en-AU"/>
              </w:rPr>
              <w:t xml:space="preserve"> Marriage and offending among a cohort of disadvantaged African Americans. </w:t>
            </w:r>
          </w:p>
        </w:tc>
        <w:tc>
          <w:tcPr>
            <w:tcW w:w="2409" w:type="dxa"/>
          </w:tcPr>
          <w:p w:rsidR="00792DE8" w:rsidRDefault="003C6A47" w:rsidP="008A1B82">
            <w:r>
              <w:t>Quasi-experimental</w:t>
            </w:r>
          </w:p>
          <w:p w:rsidR="00F0408F" w:rsidRDefault="00F0408F" w:rsidP="008A1B82">
            <w:r>
              <w:t>Longitudinal study followed up at three time points (ages 16, 32, and 42)</w:t>
            </w:r>
          </w:p>
        </w:tc>
        <w:tc>
          <w:tcPr>
            <w:tcW w:w="3261" w:type="dxa"/>
          </w:tcPr>
          <w:p w:rsidR="0028759A" w:rsidRDefault="0028759A" w:rsidP="00812ACA">
            <w:pPr>
              <w:pStyle w:val="ListParagraph"/>
              <w:numPr>
                <w:ilvl w:val="0"/>
                <w:numId w:val="33"/>
              </w:numPr>
            </w:pPr>
            <w:r>
              <w:t>U.S.A.</w:t>
            </w:r>
          </w:p>
          <w:p w:rsidR="00F0408F" w:rsidRDefault="0028759A" w:rsidP="00734DB1">
            <w:pPr>
              <w:pStyle w:val="ListParagraph"/>
              <w:numPr>
                <w:ilvl w:val="0"/>
                <w:numId w:val="33"/>
              </w:numPr>
            </w:pPr>
            <w:r>
              <w:t xml:space="preserve">African American male and female first graders first assessed in 1966 </w:t>
            </w:r>
          </w:p>
          <w:p w:rsidR="00734DB1" w:rsidRDefault="003C6A47" w:rsidP="00734DB1">
            <w:pPr>
              <w:pStyle w:val="ListParagraph"/>
              <w:numPr>
                <w:ilvl w:val="0"/>
                <w:numId w:val="33"/>
              </w:numPr>
            </w:pPr>
            <w:r>
              <w:t>Included those that had been arrested b</w:t>
            </w:r>
            <w:r w:rsidR="00734DB1">
              <w:t>etween the ages of 17-32.</w:t>
            </w:r>
          </w:p>
          <w:p w:rsidR="0028759A" w:rsidRDefault="0028759A" w:rsidP="00734DB1">
            <w:pPr>
              <w:pStyle w:val="ListParagraph"/>
              <w:numPr>
                <w:ilvl w:val="0"/>
                <w:numId w:val="33"/>
              </w:numPr>
            </w:pPr>
            <w:r>
              <w:t>965 respondents – 461 males</w:t>
            </w:r>
            <w:r w:rsidR="00F0408F">
              <w:t xml:space="preserve"> (49%)</w:t>
            </w:r>
            <w:r>
              <w:t xml:space="preserve"> and 504 females</w:t>
            </w:r>
            <w:r w:rsidR="00F0408F">
              <w:t xml:space="preserve"> (51%)</w:t>
            </w:r>
            <w:r w:rsidR="00734DB1">
              <w:t>.</w:t>
            </w:r>
          </w:p>
        </w:tc>
        <w:tc>
          <w:tcPr>
            <w:tcW w:w="6269" w:type="dxa"/>
          </w:tcPr>
          <w:p w:rsidR="0028759A" w:rsidRDefault="00F0408F" w:rsidP="00812ACA">
            <w:pPr>
              <w:pStyle w:val="ListParagraph"/>
              <w:numPr>
                <w:ilvl w:val="0"/>
                <w:numId w:val="33"/>
              </w:numPr>
            </w:pPr>
            <w:r>
              <w:t>“</w:t>
            </w:r>
            <w:r w:rsidR="0028759A">
              <w:t>Found strong evidence of a marriage effect for the males across crime type, with a reduction in offending between 21% and 36% when in a state of marriage. The findings for females were less consistent across crime type, a 10% reduction in the odds of a property arrest and a 9% increase in the odds of a drug arrest when in a state of marriage</w:t>
            </w:r>
            <w:r>
              <w:t>”</w:t>
            </w:r>
            <w:r w:rsidR="0028759A">
              <w:t xml:space="preserve"> (pp. 1-2). </w:t>
            </w:r>
          </w:p>
        </w:tc>
      </w:tr>
      <w:tr w:rsidR="0028759A" w:rsidTr="00807CB8">
        <w:tc>
          <w:tcPr>
            <w:tcW w:w="2235" w:type="dxa"/>
          </w:tcPr>
          <w:p w:rsidR="0028759A" w:rsidRPr="0066225C" w:rsidRDefault="0028759A" w:rsidP="00BC4DD4">
            <w:r w:rsidRPr="00515BDD">
              <w:rPr>
                <w:rFonts w:eastAsiaTheme="minorEastAsia"/>
                <w:lang w:eastAsia="en-AU"/>
              </w:rPr>
              <w:t xml:space="preserve">Giordano, </w:t>
            </w:r>
            <w:proofErr w:type="spellStart"/>
            <w:r w:rsidRPr="00515BDD">
              <w:rPr>
                <w:rFonts w:eastAsiaTheme="minorEastAsia"/>
                <w:lang w:eastAsia="en-AU"/>
              </w:rPr>
              <w:t>Seffrin</w:t>
            </w:r>
            <w:proofErr w:type="spellEnd"/>
            <w:r w:rsidRPr="00515BDD">
              <w:rPr>
                <w:rFonts w:eastAsiaTheme="minorEastAsia"/>
                <w:lang w:eastAsia="en-AU"/>
              </w:rPr>
              <w:t xml:space="preserve">, Manning, </w:t>
            </w:r>
            <w:r>
              <w:rPr>
                <w:rFonts w:eastAsiaTheme="minorEastAsia"/>
                <w:lang w:eastAsia="en-AU"/>
              </w:rPr>
              <w:t xml:space="preserve">&amp; </w:t>
            </w:r>
            <w:proofErr w:type="spellStart"/>
            <w:r>
              <w:rPr>
                <w:rFonts w:eastAsiaTheme="minorEastAsia"/>
                <w:lang w:eastAsia="en-AU"/>
              </w:rPr>
              <w:t>Longmore</w:t>
            </w:r>
            <w:proofErr w:type="spellEnd"/>
            <w:r>
              <w:rPr>
                <w:rFonts w:eastAsiaTheme="minorEastAsia"/>
                <w:lang w:eastAsia="en-AU"/>
              </w:rPr>
              <w:t xml:space="preserve"> </w:t>
            </w:r>
            <w:r w:rsidRPr="00515BDD">
              <w:rPr>
                <w:rFonts w:eastAsiaTheme="minorEastAsia"/>
                <w:lang w:eastAsia="en-AU"/>
              </w:rPr>
              <w:t>(2011).</w:t>
            </w:r>
            <w:r w:rsidR="00E93EC6">
              <w:rPr>
                <w:rFonts w:eastAsiaTheme="minorEastAsia"/>
                <w:lang w:eastAsia="en-AU"/>
              </w:rPr>
              <w:t xml:space="preserve"> Parenthood and crime: The role of </w:t>
            </w:r>
            <w:proofErr w:type="spellStart"/>
            <w:r w:rsidR="00E93EC6">
              <w:rPr>
                <w:rFonts w:eastAsiaTheme="minorEastAsia"/>
                <w:lang w:eastAsia="en-AU"/>
              </w:rPr>
              <w:t>wantedness</w:t>
            </w:r>
            <w:proofErr w:type="spellEnd"/>
            <w:r w:rsidR="00E93EC6">
              <w:rPr>
                <w:rFonts w:eastAsiaTheme="minorEastAsia"/>
                <w:lang w:eastAsia="en-AU"/>
              </w:rPr>
              <w:t xml:space="preserve">, relationships with partners, and </w:t>
            </w:r>
            <w:proofErr w:type="spellStart"/>
            <w:r w:rsidR="00E93EC6">
              <w:rPr>
                <w:rFonts w:eastAsiaTheme="minorEastAsia"/>
                <w:lang w:eastAsia="en-AU"/>
              </w:rPr>
              <w:t>ses</w:t>
            </w:r>
            <w:proofErr w:type="spellEnd"/>
            <w:r w:rsidR="00E93EC6">
              <w:rPr>
                <w:rFonts w:eastAsiaTheme="minorEastAsia"/>
                <w:lang w:eastAsia="en-AU"/>
              </w:rPr>
              <w:t xml:space="preserve">. </w:t>
            </w:r>
          </w:p>
        </w:tc>
        <w:tc>
          <w:tcPr>
            <w:tcW w:w="2409" w:type="dxa"/>
          </w:tcPr>
          <w:p w:rsidR="0028759A" w:rsidRDefault="003C6A47" w:rsidP="008A1B82">
            <w:r>
              <w:t xml:space="preserve">Quasi-experimental </w:t>
            </w:r>
            <w:r w:rsidR="00D6680C">
              <w:t>Toledo Adolescent Relationship (TARS) Longitudinal Study data</w:t>
            </w:r>
          </w:p>
          <w:p w:rsidR="00D6680C" w:rsidRDefault="00D6680C" w:rsidP="008A1B82">
            <w:r>
              <w:t>Random sample</w:t>
            </w:r>
          </w:p>
          <w:p w:rsidR="00D6680C" w:rsidRDefault="00D6680C" w:rsidP="008A1B82">
            <w:r>
              <w:t>Study ranged up to 75 months</w:t>
            </w:r>
          </w:p>
        </w:tc>
        <w:tc>
          <w:tcPr>
            <w:tcW w:w="3261" w:type="dxa"/>
          </w:tcPr>
          <w:p w:rsidR="0028759A" w:rsidRDefault="0028759A" w:rsidP="00812ACA">
            <w:pPr>
              <w:pStyle w:val="ListParagraph"/>
              <w:numPr>
                <w:ilvl w:val="0"/>
                <w:numId w:val="36"/>
              </w:numPr>
            </w:pPr>
            <w:r>
              <w:t>U.S.A.</w:t>
            </w:r>
          </w:p>
          <w:p w:rsidR="00734DB1" w:rsidRDefault="0028759A" w:rsidP="00812ACA">
            <w:pPr>
              <w:pStyle w:val="ListParagraph"/>
              <w:numPr>
                <w:ilvl w:val="0"/>
                <w:numId w:val="36"/>
              </w:numPr>
            </w:pPr>
            <w:r>
              <w:t>1,066 (566 females and 500 males)</w:t>
            </w:r>
            <w:r w:rsidR="00734DB1">
              <w:t>.</w:t>
            </w:r>
            <w:r>
              <w:t xml:space="preserve"> </w:t>
            </w:r>
          </w:p>
          <w:p w:rsidR="0028759A" w:rsidRDefault="0028759A" w:rsidP="00812ACA">
            <w:pPr>
              <w:pStyle w:val="ListParagraph"/>
              <w:numPr>
                <w:ilvl w:val="0"/>
                <w:numId w:val="36"/>
              </w:numPr>
            </w:pPr>
            <w:r>
              <w:t>Approximately 65% white, 24% Black and 11% Hispanic</w:t>
            </w:r>
            <w:r w:rsidR="00F95F6A">
              <w:t>.</w:t>
            </w:r>
          </w:p>
          <w:p w:rsidR="003C6A47" w:rsidRDefault="003C6A47" w:rsidP="00D6680C"/>
        </w:tc>
        <w:tc>
          <w:tcPr>
            <w:tcW w:w="6269" w:type="dxa"/>
          </w:tcPr>
          <w:p w:rsidR="0028759A" w:rsidRDefault="00D6680C" w:rsidP="00D6680C">
            <w:pPr>
              <w:pStyle w:val="ListParagraph"/>
              <w:numPr>
                <w:ilvl w:val="0"/>
                <w:numId w:val="36"/>
              </w:numPr>
            </w:pPr>
            <w:r>
              <w:t>“</w:t>
            </w:r>
            <w:r w:rsidR="0028759A">
              <w:t>Status of the relationship (married or cohabiting and single) was in general not a strong predictor</w:t>
            </w:r>
            <w:r>
              <w:t xml:space="preserve"> (of criminal involvement)</w:t>
            </w:r>
            <w:r w:rsidR="0028759A">
              <w:t>. Highly disadvantaged young men and women are not as likely as more advantaged young adults to evidence lower levels of criminal behaviour after becoming parents, however, wanted pregnancies may reduce female involvement in crime regardless of socioeconomic status</w:t>
            </w:r>
            <w:r>
              <w:t>” (</w:t>
            </w:r>
            <w:r>
              <w:rPr>
                <w:i/>
              </w:rPr>
              <w:t>p&lt;</w:t>
            </w:r>
            <w:r>
              <w:t>.05)</w:t>
            </w:r>
            <w:r w:rsidR="0028759A">
              <w:t xml:space="preserve"> (p. 405). </w:t>
            </w:r>
          </w:p>
        </w:tc>
      </w:tr>
      <w:tr w:rsidR="0028759A" w:rsidTr="00807CB8">
        <w:tc>
          <w:tcPr>
            <w:tcW w:w="2235" w:type="dxa"/>
          </w:tcPr>
          <w:p w:rsidR="0028759A" w:rsidRPr="0066225C" w:rsidRDefault="0028759A" w:rsidP="00BC4DD4">
            <w:r w:rsidRPr="00515BDD">
              <w:t xml:space="preserve">Kerr, </w:t>
            </w:r>
            <w:proofErr w:type="spellStart"/>
            <w:r w:rsidRPr="00515BDD">
              <w:t>Capaldi</w:t>
            </w:r>
            <w:proofErr w:type="spellEnd"/>
            <w:r w:rsidRPr="00515BDD">
              <w:t xml:space="preserve">, Owen, </w:t>
            </w:r>
            <w:proofErr w:type="spellStart"/>
            <w:r w:rsidRPr="00515BDD">
              <w:t>Wiesner</w:t>
            </w:r>
            <w:proofErr w:type="spellEnd"/>
            <w:r w:rsidRPr="00515BDD">
              <w:t>, &amp; Pears (2011).</w:t>
            </w:r>
            <w:r w:rsidR="00E93EC6">
              <w:t xml:space="preserve"> Changes in at-risk American men’s crime and substance use trajectories following fatherhood.</w:t>
            </w:r>
          </w:p>
        </w:tc>
        <w:tc>
          <w:tcPr>
            <w:tcW w:w="2409" w:type="dxa"/>
          </w:tcPr>
          <w:p w:rsidR="0028759A" w:rsidRDefault="00CD781C" w:rsidP="008A1B82">
            <w:r>
              <w:t>Quasi-experimental?</w:t>
            </w:r>
          </w:p>
          <w:p w:rsidR="00CD781C" w:rsidRDefault="00CD781C" w:rsidP="008A1B82">
            <w:r>
              <w:t>Longitudinal study 20 years</w:t>
            </w:r>
          </w:p>
          <w:p w:rsidR="007646C2" w:rsidRDefault="007646C2" w:rsidP="008A1B82">
            <w:r>
              <w:t>Self report data</w:t>
            </w:r>
          </w:p>
        </w:tc>
        <w:tc>
          <w:tcPr>
            <w:tcW w:w="3261" w:type="dxa"/>
          </w:tcPr>
          <w:p w:rsidR="0028759A" w:rsidRDefault="0028759A" w:rsidP="00812ACA">
            <w:pPr>
              <w:pStyle w:val="ListParagraph"/>
              <w:numPr>
                <w:ilvl w:val="0"/>
                <w:numId w:val="37"/>
              </w:numPr>
            </w:pPr>
            <w:r>
              <w:t>U.S.A.</w:t>
            </w:r>
          </w:p>
          <w:p w:rsidR="00734DB1" w:rsidRDefault="007646C2" w:rsidP="00734DB1">
            <w:pPr>
              <w:pStyle w:val="ListParagraph"/>
              <w:numPr>
                <w:ilvl w:val="0"/>
                <w:numId w:val="37"/>
              </w:numPr>
            </w:pPr>
            <w:r>
              <w:t>191</w:t>
            </w:r>
            <w:r w:rsidR="0028759A">
              <w:t xml:space="preserve"> men recruited in 1983-1985, 90% white </w:t>
            </w:r>
          </w:p>
          <w:p w:rsidR="0028759A" w:rsidRDefault="00734DB1" w:rsidP="007646C2">
            <w:pPr>
              <w:pStyle w:val="ListParagraph"/>
              <w:numPr>
                <w:ilvl w:val="0"/>
                <w:numId w:val="37"/>
              </w:numPr>
            </w:pPr>
            <w:r>
              <w:t xml:space="preserve">191 men </w:t>
            </w:r>
            <w:r w:rsidR="007646C2">
              <w:t>retained, me</w:t>
            </w:r>
            <w:r w:rsidR="006C22C7">
              <w:t>a</w:t>
            </w:r>
            <w:r w:rsidR="007646C2">
              <w:t>n age 32 years</w:t>
            </w:r>
            <w:r>
              <w:t>.</w:t>
            </w:r>
          </w:p>
        </w:tc>
        <w:tc>
          <w:tcPr>
            <w:tcW w:w="6269" w:type="dxa"/>
          </w:tcPr>
          <w:p w:rsidR="00CD781C" w:rsidRPr="006C22C7" w:rsidRDefault="00CD781C" w:rsidP="006C22C7">
            <w:pPr>
              <w:pStyle w:val="ListParagraph"/>
              <w:numPr>
                <w:ilvl w:val="0"/>
                <w:numId w:val="70"/>
              </w:numPr>
              <w:autoSpaceDE w:val="0"/>
              <w:autoSpaceDN w:val="0"/>
              <w:adjustRightInd w:val="0"/>
            </w:pPr>
            <w:r w:rsidRPr="006C22C7">
              <w:t>“</w:t>
            </w:r>
            <w:r w:rsidR="0028759A" w:rsidRPr="006C22C7">
              <w:t>Marriage was associated with lower levels of crime and less frequent substance use. Following the birth of the first biological child, men’s crime trajectories showed slope decreases</w:t>
            </w:r>
            <w:r w:rsidR="007646C2" w:rsidRPr="006C22C7">
              <w:t xml:space="preserve"> (</w:t>
            </w:r>
            <w:r w:rsidR="007646C2" w:rsidRPr="006C22C7">
              <w:rPr>
                <w:i/>
                <w:iCs/>
              </w:rPr>
              <w:t xml:space="preserve">est. </w:t>
            </w:r>
            <w:r w:rsidR="007646C2" w:rsidRPr="006C22C7">
              <w:rPr>
                <w:rFonts w:eastAsia="MTSY"/>
              </w:rPr>
              <w:t>= −</w:t>
            </w:r>
            <w:r w:rsidR="007646C2" w:rsidRPr="006C22C7">
              <w:rPr>
                <w:i/>
                <w:iCs/>
              </w:rPr>
              <w:t>.</w:t>
            </w:r>
            <w:r w:rsidR="007646C2" w:rsidRPr="006C22C7">
              <w:t xml:space="preserve">030, </w:t>
            </w:r>
            <w:r w:rsidR="007646C2" w:rsidRPr="006C22C7">
              <w:rPr>
                <w:i/>
                <w:iCs/>
              </w:rPr>
              <w:t>p &lt; .</w:t>
            </w:r>
            <w:r w:rsidR="007646C2" w:rsidRPr="006C22C7">
              <w:t>01)</w:t>
            </w:r>
            <w:r w:rsidR="0028759A" w:rsidRPr="006C22C7">
              <w:t>, and tobacco</w:t>
            </w:r>
            <w:r w:rsidR="006C22C7" w:rsidRPr="006C22C7">
              <w:t xml:space="preserve"> (</w:t>
            </w:r>
            <w:r w:rsidR="006C22C7">
              <w:rPr>
                <w:i/>
                <w:iCs/>
              </w:rPr>
              <w:t>est</w:t>
            </w:r>
            <w:r w:rsidR="006C22C7" w:rsidRPr="006C22C7">
              <w:rPr>
                <w:i/>
                <w:iCs/>
              </w:rPr>
              <w:t xml:space="preserve">. </w:t>
            </w:r>
            <w:r w:rsidR="006C22C7" w:rsidRPr="006C22C7">
              <w:rPr>
                <w:rFonts w:eastAsia="MTSY"/>
              </w:rPr>
              <w:t>= −</w:t>
            </w:r>
            <w:r w:rsidR="006C22C7" w:rsidRPr="006C22C7">
              <w:rPr>
                <w:i/>
                <w:iCs/>
              </w:rPr>
              <w:t>.</w:t>
            </w:r>
            <w:r w:rsidR="006C22C7" w:rsidRPr="006C22C7">
              <w:t xml:space="preserve">156, </w:t>
            </w:r>
            <w:r w:rsidR="006C22C7" w:rsidRPr="006C22C7">
              <w:rPr>
                <w:i/>
                <w:iCs/>
              </w:rPr>
              <w:t>p &lt; .</w:t>
            </w:r>
            <w:r w:rsidR="006C22C7" w:rsidRPr="006C22C7">
              <w:t>01)</w:t>
            </w:r>
            <w:r w:rsidR="0028759A" w:rsidRPr="006C22C7">
              <w:t xml:space="preserve"> and alcohol</w:t>
            </w:r>
            <w:r w:rsidR="006C22C7" w:rsidRPr="006C22C7">
              <w:t xml:space="preserve"> (</w:t>
            </w:r>
            <w:r w:rsidR="006C22C7" w:rsidRPr="006C22C7">
              <w:rPr>
                <w:i/>
                <w:iCs/>
              </w:rPr>
              <w:t xml:space="preserve">est. </w:t>
            </w:r>
            <w:r w:rsidR="006C22C7" w:rsidRPr="006C22C7">
              <w:rPr>
                <w:rFonts w:eastAsia="MTSY"/>
              </w:rPr>
              <w:t>= −</w:t>
            </w:r>
            <w:r w:rsidR="006C22C7" w:rsidRPr="006C22C7">
              <w:rPr>
                <w:i/>
                <w:iCs/>
              </w:rPr>
              <w:t>.</w:t>
            </w:r>
            <w:r w:rsidR="006C22C7" w:rsidRPr="006C22C7">
              <w:t>148 and</w:t>
            </w:r>
            <w:r w:rsidR="006C22C7" w:rsidRPr="006C22C7">
              <w:rPr>
                <w:rFonts w:eastAsia="MTSY"/>
              </w:rPr>
              <w:t>−</w:t>
            </w:r>
            <w:r w:rsidR="006C22C7" w:rsidRPr="006C22C7">
              <w:rPr>
                <w:i/>
                <w:iCs/>
              </w:rPr>
              <w:t>.</w:t>
            </w:r>
            <w:r w:rsidR="006C22C7" w:rsidRPr="006C22C7">
              <w:t xml:space="preserve">031, </w:t>
            </w:r>
            <w:r w:rsidR="006C22C7" w:rsidRPr="006C22C7">
              <w:rPr>
                <w:i/>
                <w:iCs/>
              </w:rPr>
              <w:t>p &lt; .</w:t>
            </w:r>
            <w:r w:rsidR="006C22C7" w:rsidRPr="006C22C7">
              <w:t>05)</w:t>
            </w:r>
            <w:r w:rsidR="0028759A" w:rsidRPr="006C22C7">
              <w:t xml:space="preserve"> use traj</w:t>
            </w:r>
            <w:r w:rsidRPr="006C22C7">
              <w:t>ectories showed level decreases” (p. 1101).</w:t>
            </w:r>
            <w:r w:rsidR="0028759A" w:rsidRPr="006C22C7">
              <w:t xml:space="preserve"> </w:t>
            </w:r>
          </w:p>
          <w:p w:rsidR="0028759A" w:rsidRDefault="00CD781C" w:rsidP="007646C2">
            <w:pPr>
              <w:pStyle w:val="ListParagraph"/>
              <w:numPr>
                <w:ilvl w:val="0"/>
                <w:numId w:val="37"/>
              </w:numPr>
            </w:pPr>
            <w:r w:rsidRPr="007646C2">
              <w:t>“</w:t>
            </w:r>
            <w:r w:rsidR="0028759A" w:rsidRPr="007646C2">
              <w:t>The older men were when they became fathers, the greater the level decreases were in crime</w:t>
            </w:r>
            <w:r w:rsidR="007646C2" w:rsidRPr="007646C2">
              <w:t xml:space="preserve"> (</w:t>
            </w:r>
            <w:r w:rsidR="007646C2" w:rsidRPr="007646C2">
              <w:rPr>
                <w:i/>
                <w:iCs/>
              </w:rPr>
              <w:t xml:space="preserve">est. </w:t>
            </w:r>
            <w:r w:rsidR="007646C2" w:rsidRPr="007646C2">
              <w:rPr>
                <w:rFonts w:eastAsia="MTSY"/>
              </w:rPr>
              <w:t>= −</w:t>
            </w:r>
            <w:r w:rsidR="007646C2" w:rsidRPr="007646C2">
              <w:rPr>
                <w:i/>
                <w:iCs/>
              </w:rPr>
              <w:t>.</w:t>
            </w:r>
            <w:r w:rsidR="007646C2" w:rsidRPr="007646C2">
              <w:t xml:space="preserve">032, </w:t>
            </w:r>
            <w:r w:rsidR="007646C2" w:rsidRPr="007646C2">
              <w:rPr>
                <w:i/>
                <w:iCs/>
              </w:rPr>
              <w:t>p &lt; .</w:t>
            </w:r>
            <w:r w:rsidR="007646C2" w:rsidRPr="007646C2">
              <w:t>05)</w:t>
            </w:r>
            <w:r w:rsidR="0028759A" w:rsidRPr="007646C2">
              <w:t xml:space="preserve"> and</w:t>
            </w:r>
            <w:r w:rsidR="0028759A">
              <w:t xml:space="preserve"> alcohol use and the less the slope decreases were in tobacco and marijuana use (p. 1101).</w:t>
            </w:r>
          </w:p>
        </w:tc>
      </w:tr>
      <w:tr w:rsidR="0028759A" w:rsidTr="00807CB8">
        <w:tc>
          <w:tcPr>
            <w:tcW w:w="2235" w:type="dxa"/>
          </w:tcPr>
          <w:p w:rsidR="0028759A" w:rsidRPr="0066225C" w:rsidRDefault="0028759A" w:rsidP="00BC4DD4">
            <w:r w:rsidRPr="00515BDD">
              <w:rPr>
                <w:rFonts w:eastAsiaTheme="minorEastAsia"/>
                <w:lang w:eastAsia="en-AU"/>
              </w:rPr>
              <w:t xml:space="preserve">King, </w:t>
            </w:r>
            <w:proofErr w:type="spellStart"/>
            <w:r w:rsidRPr="00515BDD">
              <w:rPr>
                <w:rFonts w:eastAsiaTheme="minorEastAsia"/>
                <w:lang w:eastAsia="en-AU"/>
              </w:rPr>
              <w:t>Massoglia</w:t>
            </w:r>
            <w:proofErr w:type="spellEnd"/>
            <w:r w:rsidRPr="00515BDD">
              <w:rPr>
                <w:rFonts w:eastAsiaTheme="minorEastAsia"/>
                <w:lang w:eastAsia="en-AU"/>
              </w:rPr>
              <w:t xml:space="preserve">, </w:t>
            </w:r>
            <w:r>
              <w:rPr>
                <w:rFonts w:eastAsiaTheme="minorEastAsia"/>
                <w:lang w:eastAsia="en-AU"/>
              </w:rPr>
              <w:t xml:space="preserve">&amp; </w:t>
            </w:r>
            <w:r w:rsidRPr="00515BDD">
              <w:rPr>
                <w:rFonts w:eastAsiaTheme="minorEastAsia"/>
                <w:lang w:eastAsia="en-AU"/>
              </w:rPr>
              <w:t>MacMillan (2007).</w:t>
            </w:r>
            <w:r w:rsidR="00E93EC6">
              <w:rPr>
                <w:rFonts w:eastAsiaTheme="minorEastAsia"/>
                <w:lang w:eastAsia="en-AU"/>
              </w:rPr>
              <w:t xml:space="preserve"> The context of marriage and crime: </w:t>
            </w:r>
            <w:r w:rsidR="00E93EC6">
              <w:rPr>
                <w:rFonts w:eastAsiaTheme="minorEastAsia"/>
                <w:lang w:eastAsia="en-AU"/>
              </w:rPr>
              <w:lastRenderedPageBreak/>
              <w:t>Gender, the propensity to marry, and offending in early adulthood.</w:t>
            </w:r>
          </w:p>
        </w:tc>
        <w:tc>
          <w:tcPr>
            <w:tcW w:w="2409" w:type="dxa"/>
          </w:tcPr>
          <w:p w:rsidR="0028759A" w:rsidRDefault="00D77065" w:rsidP="008A1B82">
            <w:r>
              <w:lastRenderedPageBreak/>
              <w:t>Quasi-experimental</w:t>
            </w:r>
            <w:r w:rsidR="00E93EC6">
              <w:t xml:space="preserve"> NYS longitudinal data</w:t>
            </w:r>
          </w:p>
        </w:tc>
        <w:tc>
          <w:tcPr>
            <w:tcW w:w="3261" w:type="dxa"/>
          </w:tcPr>
          <w:p w:rsidR="0081062F" w:rsidRDefault="0028759A" w:rsidP="0081062F">
            <w:pPr>
              <w:pStyle w:val="ListParagraph"/>
              <w:numPr>
                <w:ilvl w:val="0"/>
                <w:numId w:val="38"/>
              </w:numPr>
            </w:pPr>
            <w:r>
              <w:t>U.S.A.</w:t>
            </w:r>
          </w:p>
          <w:p w:rsidR="00E93EC6" w:rsidRDefault="00E93EC6" w:rsidP="00E93EC6">
            <w:pPr>
              <w:pStyle w:val="ListParagraph"/>
              <w:numPr>
                <w:ilvl w:val="0"/>
                <w:numId w:val="38"/>
              </w:numPr>
            </w:pPr>
            <w:r>
              <w:t>W</w:t>
            </w:r>
            <w:r w:rsidR="0028759A">
              <w:t>ave 7 respondents age</w:t>
            </w:r>
            <w:r>
              <w:t xml:space="preserve"> range</w:t>
            </w:r>
            <w:r w:rsidR="0028759A">
              <w:t xml:space="preserve"> 21-27 years </w:t>
            </w:r>
          </w:p>
          <w:p w:rsidR="0028759A" w:rsidRDefault="00E93EC6" w:rsidP="00E93EC6">
            <w:pPr>
              <w:pStyle w:val="ListParagraph"/>
              <w:numPr>
                <w:ilvl w:val="0"/>
                <w:numId w:val="38"/>
              </w:numPr>
            </w:pPr>
            <w:r>
              <w:lastRenderedPageBreak/>
              <w:t>O</w:t>
            </w:r>
            <w:r w:rsidR="0028759A">
              <w:t>riginal sample 1,725 respondents, 80% of</w:t>
            </w:r>
            <w:r>
              <w:t xml:space="preserve"> sample retained.</w:t>
            </w:r>
          </w:p>
        </w:tc>
        <w:tc>
          <w:tcPr>
            <w:tcW w:w="6269" w:type="dxa"/>
          </w:tcPr>
          <w:p w:rsidR="00B93F0E" w:rsidRPr="008658F0" w:rsidRDefault="00E93EC6" w:rsidP="00812ACA">
            <w:pPr>
              <w:pStyle w:val="ListParagraph"/>
              <w:numPr>
                <w:ilvl w:val="0"/>
                <w:numId w:val="38"/>
              </w:numPr>
            </w:pPr>
            <w:r w:rsidRPr="008658F0">
              <w:lastRenderedPageBreak/>
              <w:t>“</w:t>
            </w:r>
            <w:r w:rsidR="0028759A" w:rsidRPr="008658F0">
              <w:t>Marriage suppresses offending for males, even when accounting for their likelihood to marry. Males who are least likely to marry seem to benefit most from this institution</w:t>
            </w:r>
            <w:r w:rsidR="00B93F0E" w:rsidRPr="008658F0">
              <w:t>” (</w:t>
            </w:r>
            <w:r w:rsidR="00B93F0E" w:rsidRPr="008658F0">
              <w:rPr>
                <w:i/>
              </w:rPr>
              <w:t>p</w:t>
            </w:r>
            <w:r w:rsidR="00B93F0E" w:rsidRPr="008658F0">
              <w:t>&lt;.05) (p. 34)</w:t>
            </w:r>
            <w:r w:rsidR="0028759A" w:rsidRPr="008658F0">
              <w:t xml:space="preserve">. </w:t>
            </w:r>
          </w:p>
          <w:p w:rsidR="0028759A" w:rsidRPr="008658F0" w:rsidRDefault="00B93F0E" w:rsidP="00812ACA">
            <w:pPr>
              <w:pStyle w:val="ListParagraph"/>
              <w:numPr>
                <w:ilvl w:val="0"/>
                <w:numId w:val="38"/>
              </w:numPr>
            </w:pPr>
            <w:r w:rsidRPr="008658F0">
              <w:lastRenderedPageBreak/>
              <w:t>“</w:t>
            </w:r>
            <w:r w:rsidR="0028759A" w:rsidRPr="008658F0">
              <w:t>The influence of marriage on crime is less robust for females, where marriage reduces crime only for those with moderate propensities to marry</w:t>
            </w:r>
            <w:r w:rsidR="00E93EC6" w:rsidRPr="008658F0">
              <w:t>”</w:t>
            </w:r>
            <w:r w:rsidR="0028759A" w:rsidRPr="008658F0">
              <w:t xml:space="preserve"> (p. 34).</w:t>
            </w:r>
          </w:p>
        </w:tc>
      </w:tr>
      <w:tr w:rsidR="0028759A" w:rsidTr="00807CB8">
        <w:tc>
          <w:tcPr>
            <w:tcW w:w="2235" w:type="dxa"/>
          </w:tcPr>
          <w:p w:rsidR="0028759A" w:rsidRPr="0066225C" w:rsidRDefault="0028759A" w:rsidP="00BC4DD4">
            <w:proofErr w:type="spellStart"/>
            <w:r w:rsidRPr="00515BDD">
              <w:rPr>
                <w:rFonts w:eastAsiaTheme="minorEastAsia"/>
                <w:lang w:eastAsia="en-AU"/>
              </w:rPr>
              <w:lastRenderedPageBreak/>
              <w:t>Kraeger</w:t>
            </w:r>
            <w:proofErr w:type="spellEnd"/>
            <w:r w:rsidRPr="00515BDD">
              <w:rPr>
                <w:rFonts w:eastAsiaTheme="minorEastAsia"/>
                <w:lang w:eastAsia="en-AU"/>
              </w:rPr>
              <w:t xml:space="preserve">, </w:t>
            </w:r>
            <w:proofErr w:type="spellStart"/>
            <w:r w:rsidRPr="00515BDD">
              <w:rPr>
                <w:rFonts w:eastAsiaTheme="minorEastAsia"/>
                <w:lang w:eastAsia="en-AU"/>
              </w:rPr>
              <w:t>Matsueda</w:t>
            </w:r>
            <w:proofErr w:type="spellEnd"/>
            <w:r w:rsidRPr="00515BDD">
              <w:rPr>
                <w:rFonts w:eastAsiaTheme="minorEastAsia"/>
                <w:lang w:eastAsia="en-AU"/>
              </w:rPr>
              <w:t xml:space="preserve">, &amp; </w:t>
            </w:r>
            <w:proofErr w:type="spellStart"/>
            <w:r w:rsidRPr="00515BDD">
              <w:rPr>
                <w:rFonts w:eastAsiaTheme="minorEastAsia"/>
                <w:lang w:eastAsia="en-AU"/>
              </w:rPr>
              <w:t>Erosheva</w:t>
            </w:r>
            <w:proofErr w:type="spellEnd"/>
            <w:r>
              <w:rPr>
                <w:rFonts w:eastAsiaTheme="minorEastAsia"/>
                <w:lang w:eastAsia="en-AU"/>
              </w:rPr>
              <w:t xml:space="preserve"> (2010).</w:t>
            </w:r>
            <w:r w:rsidR="00B93F0E">
              <w:rPr>
                <w:rFonts w:eastAsiaTheme="minorEastAsia"/>
                <w:lang w:eastAsia="en-AU"/>
              </w:rPr>
              <w:t xml:space="preserve"> Motherhood and criminal desistance in disadvantaged </w:t>
            </w:r>
            <w:proofErr w:type="spellStart"/>
            <w:r w:rsidR="00B93F0E">
              <w:rPr>
                <w:rFonts w:eastAsiaTheme="minorEastAsia"/>
                <w:lang w:eastAsia="en-AU"/>
              </w:rPr>
              <w:t>neighborhoods</w:t>
            </w:r>
            <w:proofErr w:type="spellEnd"/>
            <w:r w:rsidR="00B93F0E">
              <w:rPr>
                <w:rFonts w:eastAsiaTheme="minorEastAsia"/>
                <w:lang w:eastAsia="en-AU"/>
              </w:rPr>
              <w:t>.</w:t>
            </w:r>
          </w:p>
        </w:tc>
        <w:tc>
          <w:tcPr>
            <w:tcW w:w="2409" w:type="dxa"/>
          </w:tcPr>
          <w:p w:rsidR="00822EF1" w:rsidRDefault="00D77065" w:rsidP="008A1B82">
            <w:r>
              <w:t>Quasi-experimental</w:t>
            </w:r>
          </w:p>
          <w:p w:rsidR="0028759A" w:rsidRDefault="00822EF1" w:rsidP="008A1B82">
            <w:r>
              <w:t xml:space="preserve">10 year longitudinal study </w:t>
            </w:r>
          </w:p>
          <w:p w:rsidR="00822EF1" w:rsidRDefault="00822EF1" w:rsidP="008A1B82">
            <w:r>
              <w:t xml:space="preserve">Denver youth survey data </w:t>
            </w:r>
          </w:p>
        </w:tc>
        <w:tc>
          <w:tcPr>
            <w:tcW w:w="3261" w:type="dxa"/>
          </w:tcPr>
          <w:p w:rsidR="0028759A" w:rsidRDefault="0028759A" w:rsidP="00812ACA">
            <w:pPr>
              <w:pStyle w:val="ListParagraph"/>
              <w:numPr>
                <w:ilvl w:val="0"/>
                <w:numId w:val="38"/>
              </w:numPr>
            </w:pPr>
            <w:r>
              <w:t>U.S.A.</w:t>
            </w:r>
          </w:p>
          <w:p w:rsidR="00822EF1" w:rsidRDefault="0028759A" w:rsidP="00822EF1">
            <w:pPr>
              <w:pStyle w:val="ListParagraph"/>
              <w:numPr>
                <w:ilvl w:val="0"/>
                <w:numId w:val="38"/>
              </w:numPr>
            </w:pPr>
            <w:r>
              <w:t>567 women</w:t>
            </w:r>
          </w:p>
          <w:p w:rsidR="0028759A" w:rsidRDefault="0028759A" w:rsidP="00822EF1">
            <w:pPr>
              <w:pStyle w:val="ListParagraph"/>
              <w:numPr>
                <w:ilvl w:val="0"/>
                <w:numId w:val="38"/>
              </w:numPr>
            </w:pPr>
            <w:r>
              <w:t>10% white, 45% Latinos, 33% blacks, 12% other</w:t>
            </w:r>
            <w:r w:rsidR="00734DB1">
              <w:t>.</w:t>
            </w:r>
          </w:p>
        </w:tc>
        <w:tc>
          <w:tcPr>
            <w:tcW w:w="6269" w:type="dxa"/>
          </w:tcPr>
          <w:p w:rsidR="00987EF5" w:rsidRPr="002E1A1D" w:rsidRDefault="0028759A" w:rsidP="008658F0">
            <w:pPr>
              <w:pStyle w:val="ListParagraph"/>
              <w:numPr>
                <w:ilvl w:val="0"/>
                <w:numId w:val="38"/>
              </w:numPr>
              <w:autoSpaceDE w:val="0"/>
              <w:autoSpaceDN w:val="0"/>
              <w:adjustRightInd w:val="0"/>
            </w:pPr>
            <w:r w:rsidRPr="002E1A1D">
              <w:t>The transition to motherhood is associated significantly with reductions in delinquency</w:t>
            </w:r>
            <w:r w:rsidR="008658F0" w:rsidRPr="002E1A1D">
              <w:t xml:space="preserve"> (decline between ages 18 and 26: ([.211 × 26] + [−.0056 ×26^2]) − ([.211 × 18] + [−.0056 × 18^2]) = –.28)</w:t>
            </w:r>
            <w:r w:rsidRPr="002E1A1D">
              <w:t>, marijuana, and alcohol behaviours</w:t>
            </w:r>
            <w:r w:rsidR="00987EF5" w:rsidRPr="002E1A1D">
              <w:t xml:space="preserve"> (</w:t>
            </w:r>
            <w:r w:rsidR="00987EF5" w:rsidRPr="002E1A1D">
              <w:rPr>
                <w:i/>
                <w:iCs/>
              </w:rPr>
              <w:t xml:space="preserve">t </w:t>
            </w:r>
            <w:r w:rsidR="00987EF5" w:rsidRPr="002E1A1D">
              <w:t xml:space="preserve">statistic = 3.43, </w:t>
            </w:r>
            <w:r w:rsidR="00987EF5" w:rsidRPr="002E1A1D">
              <w:rPr>
                <w:i/>
                <w:iCs/>
              </w:rPr>
              <w:t xml:space="preserve">p </w:t>
            </w:r>
            <w:r w:rsidR="00987EF5" w:rsidRPr="002E1A1D">
              <w:t>&lt; .001)</w:t>
            </w:r>
            <w:r w:rsidRPr="002E1A1D">
              <w:t xml:space="preserve">. </w:t>
            </w:r>
          </w:p>
          <w:p w:rsidR="0028759A" w:rsidRPr="008658F0" w:rsidRDefault="00987EF5" w:rsidP="008658F0">
            <w:pPr>
              <w:pStyle w:val="ListParagraph"/>
              <w:numPr>
                <w:ilvl w:val="0"/>
                <w:numId w:val="38"/>
              </w:numPr>
              <w:autoSpaceDE w:val="0"/>
              <w:autoSpaceDN w:val="0"/>
              <w:adjustRightInd w:val="0"/>
            </w:pPr>
            <w:r w:rsidRPr="002E1A1D">
              <w:t>“</w:t>
            </w:r>
            <w:r w:rsidR="0028759A" w:rsidRPr="002E1A1D">
              <w:t xml:space="preserve">Moreover, we find that the effect </w:t>
            </w:r>
            <w:r w:rsidR="0028759A" w:rsidRPr="008658F0">
              <w:t>of motherhood is larger than that of marriage for all outcomes. These results support the qualitative findings and suggest that the transition to motherhood – and not marriage – is the primary turning point for disadvantaged women to exit delinquent and drug-using trajectories</w:t>
            </w:r>
            <w:r w:rsidR="00822EF1" w:rsidRPr="008658F0">
              <w:t>”</w:t>
            </w:r>
            <w:r w:rsidR="0028759A" w:rsidRPr="008658F0">
              <w:t xml:space="preserve"> (p. 222). </w:t>
            </w:r>
          </w:p>
        </w:tc>
      </w:tr>
      <w:tr w:rsidR="0028759A" w:rsidTr="00807CB8">
        <w:tc>
          <w:tcPr>
            <w:tcW w:w="2235" w:type="dxa"/>
          </w:tcPr>
          <w:p w:rsidR="0028759A" w:rsidRPr="0066225C" w:rsidRDefault="0028759A" w:rsidP="00BC4DD4">
            <w:proofErr w:type="spellStart"/>
            <w:r>
              <w:rPr>
                <w:rFonts w:eastAsiaTheme="minorEastAsia"/>
                <w:lang w:eastAsia="en-AU"/>
              </w:rPr>
              <w:t>Lyngstad</w:t>
            </w:r>
            <w:proofErr w:type="spellEnd"/>
            <w:r>
              <w:rPr>
                <w:rFonts w:eastAsiaTheme="minorEastAsia"/>
                <w:lang w:eastAsia="en-AU"/>
              </w:rPr>
              <w:t xml:space="preserve"> &amp; </w:t>
            </w:r>
            <w:proofErr w:type="spellStart"/>
            <w:r>
              <w:rPr>
                <w:rFonts w:eastAsiaTheme="minorEastAsia"/>
                <w:bCs/>
                <w:lang w:eastAsia="en-AU"/>
              </w:rPr>
              <w:t>Skarðhamar</w:t>
            </w:r>
            <w:proofErr w:type="spellEnd"/>
            <w:r>
              <w:rPr>
                <w:rFonts w:eastAsiaTheme="minorEastAsia"/>
                <w:bCs/>
                <w:lang w:eastAsia="en-AU"/>
              </w:rPr>
              <w:t xml:space="preserve"> </w:t>
            </w:r>
            <w:r w:rsidRPr="00515BDD">
              <w:rPr>
                <w:rFonts w:eastAsiaTheme="minorEastAsia"/>
                <w:bCs/>
                <w:lang w:eastAsia="en-AU"/>
              </w:rPr>
              <w:t>(2011).</w:t>
            </w:r>
            <w:r w:rsidR="002E1A1D">
              <w:rPr>
                <w:rFonts w:eastAsiaTheme="minorEastAsia"/>
                <w:bCs/>
                <w:lang w:eastAsia="en-AU"/>
              </w:rPr>
              <w:t xml:space="preserve"> Understanding the marriage effect: Changes in criminal offending around the time of marriage. </w:t>
            </w:r>
          </w:p>
        </w:tc>
        <w:tc>
          <w:tcPr>
            <w:tcW w:w="2409" w:type="dxa"/>
          </w:tcPr>
          <w:p w:rsidR="002E1A1D" w:rsidRDefault="002E1A1D" w:rsidP="008A1B82">
            <w:r>
              <w:t>Quasi-experimental</w:t>
            </w:r>
          </w:p>
          <w:p w:rsidR="002E1A1D" w:rsidRPr="002E1A1D" w:rsidRDefault="00E35129" w:rsidP="008A1B82">
            <w:r>
              <w:t>Norwegian register data</w:t>
            </w:r>
          </w:p>
        </w:tc>
        <w:tc>
          <w:tcPr>
            <w:tcW w:w="3261" w:type="dxa"/>
          </w:tcPr>
          <w:p w:rsidR="0028759A" w:rsidRDefault="0028759A" w:rsidP="00812ACA">
            <w:pPr>
              <w:pStyle w:val="ListParagraph"/>
              <w:numPr>
                <w:ilvl w:val="0"/>
                <w:numId w:val="39"/>
              </w:numPr>
            </w:pPr>
            <w:r>
              <w:t>Norway</w:t>
            </w:r>
            <w:r w:rsidR="0081062F">
              <w:t>.</w:t>
            </w:r>
          </w:p>
          <w:p w:rsidR="0028759A" w:rsidRDefault="0028759A" w:rsidP="00812ACA">
            <w:pPr>
              <w:pStyle w:val="ListParagraph"/>
              <w:numPr>
                <w:ilvl w:val="0"/>
                <w:numId w:val="39"/>
              </w:numPr>
            </w:pPr>
            <w:r>
              <w:t xml:space="preserve">Men who entered martial unions in the years 1995-2001, </w:t>
            </w:r>
            <w:r>
              <w:rPr>
                <w:i/>
              </w:rPr>
              <w:t>n=</w:t>
            </w:r>
            <w:r>
              <w:t>120,821 participants</w:t>
            </w:r>
            <w:r w:rsidR="00734DB1">
              <w:t>.</w:t>
            </w:r>
          </w:p>
          <w:p w:rsidR="0028759A" w:rsidRDefault="0028759A" w:rsidP="002E1A1D">
            <w:pPr>
              <w:pStyle w:val="ListParagraph"/>
              <w:numPr>
                <w:ilvl w:val="0"/>
                <w:numId w:val="39"/>
              </w:numPr>
            </w:pPr>
            <w:r>
              <w:t>Age</w:t>
            </w:r>
            <w:r w:rsidR="002E1A1D">
              <w:t xml:space="preserve"> range</w:t>
            </w:r>
            <w:r>
              <w:t xml:space="preserve"> 20-49</w:t>
            </w:r>
            <w:r w:rsidR="00734DB1">
              <w:t>.</w:t>
            </w:r>
          </w:p>
        </w:tc>
        <w:tc>
          <w:tcPr>
            <w:tcW w:w="6269" w:type="dxa"/>
          </w:tcPr>
          <w:p w:rsidR="0028759A" w:rsidRDefault="002E1A1D" w:rsidP="00812ACA">
            <w:pPr>
              <w:pStyle w:val="ListParagraph"/>
              <w:numPr>
                <w:ilvl w:val="0"/>
                <w:numId w:val="39"/>
              </w:numPr>
            </w:pPr>
            <w:r w:rsidRPr="00E35129">
              <w:rPr>
                <w:highlight w:val="yellow"/>
              </w:rPr>
              <w:t>“</w:t>
            </w:r>
            <w:r w:rsidR="0028759A" w:rsidRPr="00E35129">
              <w:rPr>
                <w:highlight w:val="yellow"/>
              </w:rPr>
              <w:t>Show a gradual and substantial decrease in offending levels during the five years prior to marriage, followed by a small but a non-trivial increase after the formalization of the relationship. Overall the decade around the martial event is characterized by major strides towards criminal desistance. However, the effect of martial event is negligible relative to the amount of desistance that takes place prior to marriage</w:t>
            </w:r>
            <w:r w:rsidRPr="00E35129">
              <w:rPr>
                <w:highlight w:val="yellow"/>
              </w:rPr>
              <w:t>”</w:t>
            </w:r>
            <w:r w:rsidR="0028759A" w:rsidRPr="00E35129">
              <w:rPr>
                <w:highlight w:val="yellow"/>
              </w:rPr>
              <w:t xml:space="preserve"> (p. 3).</w:t>
            </w:r>
            <w:r w:rsidR="0028759A">
              <w:t xml:space="preserve"> </w:t>
            </w:r>
          </w:p>
          <w:p w:rsidR="00E35129" w:rsidRDefault="00E35129" w:rsidP="00812ACA">
            <w:pPr>
              <w:pStyle w:val="ListParagraph"/>
              <w:numPr>
                <w:ilvl w:val="0"/>
                <w:numId w:val="39"/>
              </w:numPr>
            </w:pPr>
            <w:r>
              <w:t>RTN for tables</w:t>
            </w:r>
          </w:p>
        </w:tc>
      </w:tr>
      <w:tr w:rsidR="0028759A" w:rsidTr="00807CB8">
        <w:tc>
          <w:tcPr>
            <w:tcW w:w="2235" w:type="dxa"/>
          </w:tcPr>
          <w:p w:rsidR="0028759A" w:rsidRPr="00175867" w:rsidRDefault="0028759A" w:rsidP="00BC4DD4">
            <w:proofErr w:type="spellStart"/>
            <w:r w:rsidRPr="00175867">
              <w:rPr>
                <w:rFonts w:eastAsiaTheme="minorEastAsia"/>
                <w:lang w:eastAsia="en-AU"/>
              </w:rPr>
              <w:t>Massoglia</w:t>
            </w:r>
            <w:proofErr w:type="spellEnd"/>
            <w:r w:rsidRPr="00175867">
              <w:rPr>
                <w:rFonts w:eastAsiaTheme="minorEastAsia"/>
                <w:lang w:eastAsia="en-AU"/>
              </w:rPr>
              <w:t xml:space="preserve"> &amp; </w:t>
            </w:r>
            <w:proofErr w:type="spellStart"/>
            <w:r w:rsidRPr="00175867">
              <w:rPr>
                <w:rFonts w:eastAsiaTheme="minorEastAsia"/>
                <w:lang w:eastAsia="en-AU"/>
              </w:rPr>
              <w:t>Uggen</w:t>
            </w:r>
            <w:proofErr w:type="spellEnd"/>
            <w:r w:rsidRPr="00175867">
              <w:rPr>
                <w:rFonts w:eastAsiaTheme="minorEastAsia"/>
                <w:lang w:eastAsia="en-AU"/>
              </w:rPr>
              <w:t xml:space="preserve"> (2007).</w:t>
            </w:r>
            <w:r w:rsidR="00E35129" w:rsidRPr="00175867">
              <w:rPr>
                <w:rFonts w:eastAsiaTheme="minorEastAsia"/>
                <w:lang w:eastAsia="en-AU"/>
              </w:rPr>
              <w:t xml:space="preserve"> Subjective desistance and the transition to adulthood.</w:t>
            </w:r>
          </w:p>
        </w:tc>
        <w:tc>
          <w:tcPr>
            <w:tcW w:w="2409" w:type="dxa"/>
          </w:tcPr>
          <w:p w:rsidR="00E35129" w:rsidRPr="00175867" w:rsidRDefault="00D77065" w:rsidP="00E35129">
            <w:r w:rsidRPr="00175867">
              <w:t>Quasi-experimental</w:t>
            </w:r>
            <w:r w:rsidR="00E35129" w:rsidRPr="00175867">
              <w:t xml:space="preserve"> </w:t>
            </w:r>
          </w:p>
          <w:p w:rsidR="00E35129" w:rsidRPr="00175867" w:rsidRDefault="00E35129" w:rsidP="00E35129">
            <w:r w:rsidRPr="00175867">
              <w:t xml:space="preserve">Youth Development Study- longitudinal survey </w:t>
            </w:r>
          </w:p>
          <w:p w:rsidR="0028759A" w:rsidRPr="00175867" w:rsidRDefault="0028759A" w:rsidP="008A1B82"/>
        </w:tc>
        <w:tc>
          <w:tcPr>
            <w:tcW w:w="3261" w:type="dxa"/>
          </w:tcPr>
          <w:p w:rsidR="0028759A" w:rsidRPr="00175867" w:rsidRDefault="0028759A" w:rsidP="00812ACA">
            <w:pPr>
              <w:pStyle w:val="ListParagraph"/>
              <w:numPr>
                <w:ilvl w:val="0"/>
                <w:numId w:val="41"/>
              </w:numPr>
            </w:pPr>
            <w:r w:rsidRPr="00175867">
              <w:t>U.S.A.</w:t>
            </w:r>
          </w:p>
          <w:p w:rsidR="00E35129" w:rsidRPr="00175867" w:rsidRDefault="00E35129" w:rsidP="00812ACA">
            <w:pPr>
              <w:pStyle w:val="ListParagraph"/>
              <w:numPr>
                <w:ilvl w:val="0"/>
                <w:numId w:val="41"/>
              </w:numPr>
            </w:pPr>
            <w:r w:rsidRPr="00175867">
              <w:t>1,000 students.</w:t>
            </w:r>
          </w:p>
          <w:p w:rsidR="0028759A" w:rsidRPr="00175867" w:rsidRDefault="00734DB1" w:rsidP="00812ACA">
            <w:pPr>
              <w:pStyle w:val="ListParagraph"/>
              <w:numPr>
                <w:ilvl w:val="0"/>
                <w:numId w:val="41"/>
              </w:numPr>
            </w:pPr>
            <w:r w:rsidRPr="00175867">
              <w:t>75% white and 43% male.</w:t>
            </w:r>
          </w:p>
          <w:p w:rsidR="0028759A" w:rsidRPr="00175867" w:rsidRDefault="0028759A" w:rsidP="00734DB1">
            <w:pPr>
              <w:pStyle w:val="ListParagraph"/>
              <w:numPr>
                <w:ilvl w:val="0"/>
                <w:numId w:val="41"/>
              </w:numPr>
            </w:pPr>
            <w:r w:rsidRPr="00175867">
              <w:t>In 2002 most respondents were 29-30 years of age</w:t>
            </w:r>
            <w:r w:rsidR="00734DB1" w:rsidRPr="00175867">
              <w:t>.</w:t>
            </w:r>
          </w:p>
        </w:tc>
        <w:tc>
          <w:tcPr>
            <w:tcW w:w="6269" w:type="dxa"/>
          </w:tcPr>
          <w:p w:rsidR="00175867" w:rsidRPr="00175867" w:rsidRDefault="00175867" w:rsidP="00175867">
            <w:pPr>
              <w:pStyle w:val="ListParagraph"/>
              <w:numPr>
                <w:ilvl w:val="0"/>
                <w:numId w:val="41"/>
              </w:numPr>
              <w:autoSpaceDE w:val="0"/>
              <w:autoSpaceDN w:val="0"/>
              <w:adjustRightInd w:val="0"/>
            </w:pPr>
            <w:r w:rsidRPr="00175867">
              <w:rPr>
                <w:lang w:val="en-US"/>
              </w:rPr>
              <w:t xml:space="preserve">“By age 29 to 30, most individuals have moved away from crime, and this was true for all measures of desistance. When desistance is measured by arrest, the great majority (85%) of individuals have desisted. Among the four indicators, the conceptualization and measurement of desistance through official arrest yield the highest level of desistance. The self-reported behavioral outcome, in contrast, indicates significantly less desistance than the </w:t>
            </w:r>
            <w:r w:rsidRPr="00175867">
              <w:rPr>
                <w:lang w:val="en-US"/>
              </w:rPr>
              <w:lastRenderedPageBreak/>
              <w:t>arrest-based measure. This difference between official desistance (85%) and behavioral desistance (65%) is likely to be a result of undetected crime, official biases, and low-level behavioral deviance that fails to attract the attention of law enforcement authorities. The prevalence rates of subjective desistance (72%) and reference group desistance (60%) suggest that these conceptualizations capture movement away from crime at levels roughly similar to more traditional measures of desistance” (p. 95).</w:t>
            </w:r>
          </w:p>
          <w:p w:rsidR="0028759A" w:rsidRDefault="00175867" w:rsidP="00175867">
            <w:pPr>
              <w:pStyle w:val="ListParagraph"/>
              <w:numPr>
                <w:ilvl w:val="0"/>
                <w:numId w:val="41"/>
              </w:numPr>
              <w:autoSpaceDE w:val="0"/>
              <w:autoSpaceDN w:val="0"/>
              <w:adjustRightInd w:val="0"/>
            </w:pPr>
            <w:r>
              <w:rPr>
                <w:lang w:val="en-US"/>
              </w:rPr>
              <w:t>“A</w:t>
            </w:r>
            <w:r w:rsidRPr="00175867">
              <w:rPr>
                <w:lang w:val="en-US"/>
              </w:rPr>
              <w:t xml:space="preserve"> quality relationship increases the odds of subjective desistance by 72% (</w:t>
            </w:r>
            <w:proofErr w:type="spellStart"/>
            <w:r w:rsidRPr="00175867">
              <w:rPr>
                <w:lang w:val="en-US"/>
              </w:rPr>
              <w:t>logit</w:t>
            </w:r>
            <w:proofErr w:type="spellEnd"/>
            <w:r w:rsidRPr="00175867">
              <w:rPr>
                <w:lang w:val="en-US"/>
              </w:rPr>
              <w:t xml:space="preserve"> = 0.543), reference group desistance by 89% (</w:t>
            </w:r>
            <w:proofErr w:type="spellStart"/>
            <w:r w:rsidRPr="00175867">
              <w:rPr>
                <w:lang w:val="en-US"/>
              </w:rPr>
              <w:t>logit</w:t>
            </w:r>
            <w:proofErr w:type="spellEnd"/>
            <w:r w:rsidRPr="00175867">
              <w:rPr>
                <w:lang w:val="en-US"/>
              </w:rPr>
              <w:t xml:space="preserve"> = 0.638), behavioral desistance by 102% (</w:t>
            </w:r>
            <w:proofErr w:type="spellStart"/>
            <w:r w:rsidRPr="00175867">
              <w:rPr>
                <w:lang w:val="en-US"/>
              </w:rPr>
              <w:t>logit</w:t>
            </w:r>
            <w:proofErr w:type="spellEnd"/>
            <w:r w:rsidRPr="00175867">
              <w:rPr>
                <w:lang w:val="en-US"/>
              </w:rPr>
              <w:t xml:space="preserve"> = 0.704), and official desistance by more than 250% (</w:t>
            </w:r>
            <w:proofErr w:type="spellStart"/>
            <w:r w:rsidRPr="00175867">
              <w:rPr>
                <w:lang w:val="en-US"/>
              </w:rPr>
              <w:t>logit</w:t>
            </w:r>
            <w:proofErr w:type="spellEnd"/>
            <w:r w:rsidRPr="00175867">
              <w:rPr>
                <w:lang w:val="en-US"/>
              </w:rPr>
              <w:t xml:space="preserve"> = 1.313).3 The estimate for relationship quality</w:t>
            </w:r>
            <w:r>
              <w:rPr>
                <w:lang w:val="en-US"/>
              </w:rPr>
              <w:t xml:space="preserve"> </w:t>
            </w:r>
            <w:r w:rsidRPr="00175867">
              <w:rPr>
                <w:lang w:val="en-US"/>
              </w:rPr>
              <w:t>is thus the strongest in magnitude and the most consistent predictor across the measures of desist</w:t>
            </w:r>
            <w:r>
              <w:rPr>
                <w:lang w:val="en-US"/>
              </w:rPr>
              <w:t>ance considered in our analysis” (p. 98).</w:t>
            </w:r>
          </w:p>
        </w:tc>
      </w:tr>
      <w:tr w:rsidR="0028759A" w:rsidTr="00807CB8">
        <w:tc>
          <w:tcPr>
            <w:tcW w:w="2235" w:type="dxa"/>
          </w:tcPr>
          <w:p w:rsidR="0028759A" w:rsidRPr="00BD2238" w:rsidRDefault="0028759A" w:rsidP="00BC4DD4">
            <w:proofErr w:type="spellStart"/>
            <w:r w:rsidRPr="00BD2238">
              <w:rPr>
                <w:rFonts w:eastAsiaTheme="minorEastAsia"/>
                <w:lang w:eastAsia="en-AU"/>
              </w:rPr>
              <w:lastRenderedPageBreak/>
              <w:t>Moloney</w:t>
            </w:r>
            <w:proofErr w:type="spellEnd"/>
            <w:r w:rsidRPr="00BD2238">
              <w:rPr>
                <w:rFonts w:eastAsiaTheme="minorEastAsia"/>
                <w:lang w:eastAsia="en-AU"/>
              </w:rPr>
              <w:t xml:space="preserve">, </w:t>
            </w:r>
            <w:proofErr w:type="spellStart"/>
            <w:r w:rsidRPr="00BD2238">
              <w:rPr>
                <w:rFonts w:eastAsiaTheme="minorEastAsia"/>
                <w:lang w:eastAsia="en-AU"/>
              </w:rPr>
              <w:t>MacKenzie</w:t>
            </w:r>
            <w:proofErr w:type="spellEnd"/>
            <w:r w:rsidRPr="00BD2238">
              <w:rPr>
                <w:rFonts w:eastAsiaTheme="minorEastAsia"/>
                <w:lang w:eastAsia="en-AU"/>
              </w:rPr>
              <w:t>, Hunt, &amp; Joe-</w:t>
            </w:r>
            <w:proofErr w:type="spellStart"/>
            <w:r w:rsidRPr="00BD2238">
              <w:rPr>
                <w:rFonts w:eastAsiaTheme="minorEastAsia"/>
                <w:lang w:eastAsia="en-AU"/>
              </w:rPr>
              <w:t>Laidler</w:t>
            </w:r>
            <w:proofErr w:type="spellEnd"/>
            <w:r w:rsidRPr="00BD2238">
              <w:rPr>
                <w:rFonts w:eastAsiaTheme="minorEastAsia"/>
                <w:lang w:eastAsia="en-AU"/>
              </w:rPr>
              <w:t xml:space="preserve"> (2009).</w:t>
            </w:r>
            <w:r w:rsidR="00BD2238" w:rsidRPr="00BD2238">
              <w:rPr>
                <w:rFonts w:eastAsiaTheme="minorEastAsia"/>
                <w:lang w:eastAsia="en-AU"/>
              </w:rPr>
              <w:t xml:space="preserve"> The path and promise of fatherhood for gang members. </w:t>
            </w:r>
          </w:p>
        </w:tc>
        <w:tc>
          <w:tcPr>
            <w:tcW w:w="2409" w:type="dxa"/>
          </w:tcPr>
          <w:p w:rsidR="00BD2238" w:rsidRPr="00BD2238" w:rsidRDefault="00BD2238" w:rsidP="008A1B82">
            <w:r w:rsidRPr="00BD2238">
              <w:t>Non-experimental</w:t>
            </w:r>
          </w:p>
          <w:p w:rsidR="0028759A" w:rsidRPr="00BD2238" w:rsidRDefault="00BD2238" w:rsidP="008A1B82">
            <w:r w:rsidRPr="00BD2238">
              <w:t>Face-to-face interviews which consisted of quantitative and qualitative interview methods</w:t>
            </w:r>
          </w:p>
        </w:tc>
        <w:tc>
          <w:tcPr>
            <w:tcW w:w="3261" w:type="dxa"/>
          </w:tcPr>
          <w:p w:rsidR="0028759A" w:rsidRPr="00BD2238" w:rsidRDefault="0028759A" w:rsidP="00812ACA">
            <w:pPr>
              <w:pStyle w:val="ListParagraph"/>
              <w:numPr>
                <w:ilvl w:val="0"/>
                <w:numId w:val="40"/>
              </w:numPr>
            </w:pPr>
            <w:r w:rsidRPr="00BD2238">
              <w:t>U.S.A.</w:t>
            </w:r>
          </w:p>
          <w:p w:rsidR="0028759A" w:rsidRPr="00BD2238" w:rsidRDefault="0028759A" w:rsidP="00812ACA">
            <w:pPr>
              <w:pStyle w:val="ListParagraph"/>
              <w:numPr>
                <w:ilvl w:val="0"/>
                <w:numId w:val="40"/>
              </w:numPr>
            </w:pPr>
            <w:r w:rsidRPr="00BD2238">
              <w:t>91 gang members</w:t>
            </w:r>
          </w:p>
          <w:p w:rsidR="0028759A" w:rsidRPr="00BD2238" w:rsidRDefault="0028759A" w:rsidP="00812ACA">
            <w:pPr>
              <w:pStyle w:val="ListParagraph"/>
              <w:numPr>
                <w:ilvl w:val="0"/>
                <w:numId w:val="40"/>
              </w:numPr>
            </w:pPr>
            <w:r w:rsidRPr="00BD2238">
              <w:t>Latinos/Hispanics 31%, African Americans 30%, and Filipino-Americans 27%, others 13%</w:t>
            </w:r>
            <w:r w:rsidR="00734DB1" w:rsidRPr="00BD2238">
              <w:t>.</w:t>
            </w:r>
          </w:p>
          <w:p w:rsidR="0028759A" w:rsidRPr="00BD2238" w:rsidRDefault="0081062F" w:rsidP="00734DB1">
            <w:pPr>
              <w:pStyle w:val="ListParagraph"/>
              <w:numPr>
                <w:ilvl w:val="0"/>
                <w:numId w:val="40"/>
              </w:numPr>
            </w:pPr>
            <w:r w:rsidRPr="00BD2238">
              <w:t>M</w:t>
            </w:r>
            <w:r w:rsidR="0028759A" w:rsidRPr="00BD2238">
              <w:t>edian 23 years</w:t>
            </w:r>
            <w:r w:rsidR="00BD2238">
              <w:t xml:space="preserve">, age range 16 to 44 years. </w:t>
            </w:r>
          </w:p>
        </w:tc>
        <w:tc>
          <w:tcPr>
            <w:tcW w:w="6269" w:type="dxa"/>
          </w:tcPr>
          <w:p w:rsidR="0028759A" w:rsidRPr="00BD2238" w:rsidRDefault="00BD2238" w:rsidP="00812ACA">
            <w:pPr>
              <w:pStyle w:val="ListParagraph"/>
              <w:numPr>
                <w:ilvl w:val="0"/>
                <w:numId w:val="40"/>
              </w:numPr>
            </w:pPr>
            <w:r>
              <w:t>“</w:t>
            </w:r>
            <w:r w:rsidR="0028759A" w:rsidRPr="00BD2238">
              <w:t>Fatherhood initiated important subjective and affective transformations that led to changes in outlook, priorities and future orientation. However, these subjective changes were not sufficient unless accompanied by two additional features: first, changes in the amount of time spent on the streets and, second, an ability to support oneself or one’s family with legal income. Though fatherhood is no panacea, becoming a father did act as an important turning point toward desistance and motivator for change for some</w:t>
            </w:r>
            <w:r>
              <w:t>”</w:t>
            </w:r>
            <w:r w:rsidR="0028759A" w:rsidRPr="00BD2238">
              <w:t xml:space="preserve"> (p. 305). </w:t>
            </w:r>
          </w:p>
        </w:tc>
      </w:tr>
      <w:tr w:rsidR="0028759A" w:rsidTr="00807CB8">
        <w:tc>
          <w:tcPr>
            <w:tcW w:w="2235" w:type="dxa"/>
          </w:tcPr>
          <w:p w:rsidR="0028759A" w:rsidRPr="0066225C" w:rsidRDefault="0028759A" w:rsidP="008A1B82">
            <w:r w:rsidRPr="00515BDD">
              <w:t>Nati</w:t>
            </w:r>
            <w:r>
              <w:t>onal Centre for Social Research</w:t>
            </w:r>
            <w:r w:rsidRPr="00515BDD">
              <w:t xml:space="preserve"> (2010).</w:t>
            </w:r>
            <w:r w:rsidR="00BD2238">
              <w:t xml:space="preserve"> ASB family intervention projects: Monitoring </w:t>
            </w:r>
            <w:r w:rsidR="00BD2238">
              <w:lastRenderedPageBreak/>
              <w:t xml:space="preserve">and evaluation. </w:t>
            </w:r>
          </w:p>
        </w:tc>
        <w:tc>
          <w:tcPr>
            <w:tcW w:w="2409" w:type="dxa"/>
          </w:tcPr>
          <w:p w:rsidR="006B04AE" w:rsidRDefault="00BD2238" w:rsidP="008A1B82">
            <w:r>
              <w:lastRenderedPageBreak/>
              <w:t xml:space="preserve">Non-experimental </w:t>
            </w:r>
          </w:p>
          <w:p w:rsidR="0028759A" w:rsidRDefault="0028759A" w:rsidP="008A1B82">
            <w:r>
              <w:t>FIP – Family Intervention Project</w:t>
            </w:r>
          </w:p>
        </w:tc>
        <w:tc>
          <w:tcPr>
            <w:tcW w:w="3261" w:type="dxa"/>
          </w:tcPr>
          <w:p w:rsidR="0028759A" w:rsidRDefault="0028759A" w:rsidP="00812ACA">
            <w:pPr>
              <w:pStyle w:val="ListParagraph"/>
              <w:numPr>
                <w:ilvl w:val="0"/>
                <w:numId w:val="42"/>
              </w:numPr>
            </w:pPr>
            <w:r>
              <w:t>U.K.</w:t>
            </w:r>
          </w:p>
          <w:p w:rsidR="0028759A" w:rsidRDefault="0028759A" w:rsidP="00812ACA">
            <w:pPr>
              <w:pStyle w:val="ListParagraph"/>
              <w:numPr>
                <w:ilvl w:val="0"/>
                <w:numId w:val="42"/>
              </w:numPr>
            </w:pPr>
            <w:r>
              <w:t xml:space="preserve">2655 families accepted an ASB FIP intervention – 1030 completed the intervention with a formal, </w:t>
            </w:r>
            <w:r>
              <w:lastRenderedPageBreak/>
              <w:t>planned exit (17 were return families)</w:t>
            </w:r>
          </w:p>
          <w:p w:rsidR="0028759A" w:rsidRDefault="0028759A" w:rsidP="00734DB1">
            <w:pPr>
              <w:pStyle w:val="ListParagraph"/>
              <w:numPr>
                <w:ilvl w:val="0"/>
                <w:numId w:val="42"/>
              </w:numPr>
            </w:pPr>
            <w:r>
              <w:t>89% white</w:t>
            </w:r>
            <w:r w:rsidR="00734DB1">
              <w:t>.</w:t>
            </w:r>
          </w:p>
        </w:tc>
        <w:tc>
          <w:tcPr>
            <w:tcW w:w="6269" w:type="dxa"/>
          </w:tcPr>
          <w:p w:rsidR="0028759A" w:rsidRDefault="00BD2238" w:rsidP="00812ACA">
            <w:pPr>
              <w:pStyle w:val="ListParagraph"/>
              <w:numPr>
                <w:ilvl w:val="0"/>
                <w:numId w:val="42"/>
              </w:numPr>
            </w:pPr>
            <w:r>
              <w:lastRenderedPageBreak/>
              <w:t>“</w:t>
            </w:r>
            <w:r w:rsidR="0028759A">
              <w:t>Based on 1013 families that formall</w:t>
            </w:r>
            <w:r>
              <w:t xml:space="preserve">y completed intervention – anti-social behaviour (ASB) </w:t>
            </w:r>
            <w:r w:rsidR="0028759A">
              <w:t xml:space="preserve">had decreased from 89% to 32%, - with four or more ASB problems declined from 45% to 5%, -multiple other reductions in housing enforcement, truancy, exclusion, and bad </w:t>
            </w:r>
            <w:r w:rsidR="0028759A">
              <w:lastRenderedPageBreak/>
              <w:t>behaviour, child protection concerns, mental health problems, domestic violence concerns, drug or substance misuse decline, and drinking problems/alcoholism decline</w:t>
            </w:r>
            <w:r>
              <w:t>”</w:t>
            </w:r>
            <w:r w:rsidR="0028759A">
              <w:t xml:space="preserve"> (pp. 5-6).</w:t>
            </w:r>
          </w:p>
          <w:p w:rsidR="0028759A" w:rsidRDefault="00BD2238" w:rsidP="00812ACA">
            <w:pPr>
              <w:pStyle w:val="ListParagraph"/>
              <w:numPr>
                <w:ilvl w:val="0"/>
                <w:numId w:val="42"/>
              </w:numPr>
            </w:pPr>
            <w:r>
              <w:t>“</w:t>
            </w:r>
            <w:r w:rsidR="0028759A">
              <w:t>Early indications suggest that those outcomes are sustained for the 108 families who have been followed up 9 to 14 months after they exited from a FIP intervention</w:t>
            </w:r>
            <w:r>
              <w:t>”</w:t>
            </w:r>
            <w:r w:rsidR="0028759A">
              <w:t xml:space="preserve"> (p. 6). </w:t>
            </w:r>
          </w:p>
        </w:tc>
      </w:tr>
      <w:tr w:rsidR="0028759A" w:rsidTr="00807CB8">
        <w:tc>
          <w:tcPr>
            <w:tcW w:w="2235" w:type="dxa"/>
          </w:tcPr>
          <w:p w:rsidR="0028759A" w:rsidRPr="0066225C" w:rsidRDefault="0028759A" w:rsidP="00BC4DD4">
            <w:proofErr w:type="spellStart"/>
            <w:r w:rsidRPr="00BD2238">
              <w:rPr>
                <w:highlight w:val="yellow"/>
              </w:rPr>
              <w:lastRenderedPageBreak/>
              <w:t>Negura</w:t>
            </w:r>
            <w:proofErr w:type="spellEnd"/>
            <w:r w:rsidRPr="00BD2238">
              <w:rPr>
                <w:highlight w:val="yellow"/>
              </w:rPr>
              <w:t xml:space="preserve"> &amp; </w:t>
            </w:r>
            <w:proofErr w:type="spellStart"/>
            <w:r w:rsidRPr="00BD2238">
              <w:rPr>
                <w:highlight w:val="yellow"/>
              </w:rPr>
              <w:t>Deslauriers</w:t>
            </w:r>
            <w:proofErr w:type="spellEnd"/>
            <w:r w:rsidRPr="00BD2238">
              <w:rPr>
                <w:highlight w:val="yellow"/>
              </w:rPr>
              <w:t xml:space="preserve"> (2010).</w:t>
            </w:r>
            <w:r w:rsidR="00BD2238" w:rsidRPr="00BD2238">
              <w:rPr>
                <w:highlight w:val="yellow"/>
              </w:rPr>
              <w:t xml:space="preserve"> Work and lifestyle: Social representations among young fathers.</w:t>
            </w:r>
            <w:r w:rsidR="00BD2238">
              <w:t xml:space="preserve"> </w:t>
            </w:r>
          </w:p>
        </w:tc>
        <w:tc>
          <w:tcPr>
            <w:tcW w:w="2409" w:type="dxa"/>
          </w:tcPr>
          <w:p w:rsidR="0028759A" w:rsidRDefault="006B04AE" w:rsidP="008A1B82">
            <w:r>
              <w:t xml:space="preserve">Quantitative and qualitative longitudinal study </w:t>
            </w:r>
            <w:r w:rsidR="00511C00">
              <w:t xml:space="preserve">– interviews and socio-demographic questionnaire </w:t>
            </w:r>
            <w:r w:rsidR="00BD2238">
              <w:t>(interviewed twice during pregnancy and twice during child’s first year).</w:t>
            </w:r>
          </w:p>
        </w:tc>
        <w:tc>
          <w:tcPr>
            <w:tcW w:w="3261" w:type="dxa"/>
          </w:tcPr>
          <w:p w:rsidR="0028759A" w:rsidRDefault="0081062F" w:rsidP="00812ACA">
            <w:pPr>
              <w:pStyle w:val="ListParagraph"/>
              <w:numPr>
                <w:ilvl w:val="0"/>
                <w:numId w:val="43"/>
              </w:numPr>
            </w:pPr>
            <w:r>
              <w:t>Canada.</w:t>
            </w:r>
          </w:p>
          <w:p w:rsidR="00BD2238" w:rsidRDefault="0028759A" w:rsidP="00BD2238">
            <w:pPr>
              <w:pStyle w:val="ListParagraph"/>
              <w:numPr>
                <w:ilvl w:val="0"/>
                <w:numId w:val="43"/>
              </w:numPr>
            </w:pPr>
            <w:r>
              <w:t xml:space="preserve">30 young fathers </w:t>
            </w:r>
          </w:p>
          <w:p w:rsidR="00BD2238" w:rsidRDefault="0028759A" w:rsidP="00BD2238">
            <w:pPr>
              <w:pStyle w:val="ListParagraph"/>
              <w:numPr>
                <w:ilvl w:val="0"/>
                <w:numId w:val="43"/>
              </w:numPr>
            </w:pPr>
            <w:r>
              <w:t>All Caucasians</w:t>
            </w:r>
          </w:p>
          <w:p w:rsidR="0028759A" w:rsidRDefault="00BD2238" w:rsidP="00BD2238">
            <w:pPr>
              <w:pStyle w:val="ListParagraph"/>
              <w:numPr>
                <w:ilvl w:val="0"/>
                <w:numId w:val="43"/>
              </w:numPr>
            </w:pPr>
            <w:r>
              <w:t>M</w:t>
            </w:r>
            <w:r w:rsidR="0028759A">
              <w:t>ean age 193 when pregnancy was announced</w:t>
            </w:r>
            <w:r w:rsidR="00734DB1">
              <w:t>.</w:t>
            </w:r>
          </w:p>
        </w:tc>
        <w:tc>
          <w:tcPr>
            <w:tcW w:w="6269" w:type="dxa"/>
          </w:tcPr>
          <w:p w:rsidR="0028759A" w:rsidRDefault="00BD2238" w:rsidP="00812ACA">
            <w:pPr>
              <w:pStyle w:val="ListParagraph"/>
              <w:numPr>
                <w:ilvl w:val="0"/>
                <w:numId w:val="43"/>
              </w:numPr>
            </w:pPr>
            <w:r>
              <w:t>“</w:t>
            </w:r>
            <w:r w:rsidR="0028759A">
              <w:t>Social representations of work and lifestyle contributed to the creation of a new identity as a father and that those psycho-social dynamics had an impact on the social integration of the young fathers. Study highlights two developments in the discourse of these adolescents and young adults who, through their desire to enter the labour market and their intention to adopt pro-social behaviour and improve lifestyle, indicated their engagement – at times shaky, at times firm – in a dynamic of social integration</w:t>
            </w:r>
            <w:r>
              <w:t>”</w:t>
            </w:r>
            <w:r w:rsidR="0028759A">
              <w:t xml:space="preserve"> (p. 2652).</w:t>
            </w:r>
          </w:p>
        </w:tc>
      </w:tr>
      <w:tr w:rsidR="00BD2238" w:rsidTr="00807CB8">
        <w:tc>
          <w:tcPr>
            <w:tcW w:w="2235" w:type="dxa"/>
          </w:tcPr>
          <w:p w:rsidR="00BD2238" w:rsidRPr="00551A02" w:rsidRDefault="00551A02" w:rsidP="00BC4DD4">
            <w:proofErr w:type="spellStart"/>
            <w:r w:rsidRPr="00551A02">
              <w:rPr>
                <w:highlight w:val="yellow"/>
              </w:rPr>
              <w:t>Pawson</w:t>
            </w:r>
            <w:proofErr w:type="spellEnd"/>
            <w:r w:rsidRPr="00551A02">
              <w:rPr>
                <w:highlight w:val="yellow"/>
              </w:rPr>
              <w:t xml:space="preserve">, Davidson, </w:t>
            </w:r>
            <w:proofErr w:type="spellStart"/>
            <w:r w:rsidRPr="00551A02">
              <w:rPr>
                <w:highlight w:val="yellow"/>
              </w:rPr>
              <w:t>Sosenko</w:t>
            </w:r>
            <w:proofErr w:type="spellEnd"/>
            <w:r w:rsidRPr="00551A02">
              <w:rPr>
                <w:highlight w:val="yellow"/>
              </w:rPr>
              <w:t xml:space="preserve">, Flint, Nixon, Casey &amp; Sanderson (2009). </w:t>
            </w:r>
            <w:r w:rsidRPr="00551A02">
              <w:rPr>
                <w:i/>
                <w:highlight w:val="yellow"/>
              </w:rPr>
              <w:t>Evaluation of intensive family support projects in Scotland.</w:t>
            </w:r>
          </w:p>
        </w:tc>
        <w:tc>
          <w:tcPr>
            <w:tcW w:w="2409" w:type="dxa"/>
          </w:tcPr>
          <w:p w:rsidR="00BD2238" w:rsidRDefault="00551A02" w:rsidP="008A1B82">
            <w:r>
              <w:t>Non-experimental</w:t>
            </w:r>
          </w:p>
          <w:p w:rsidR="00551A02" w:rsidRDefault="00551A02" w:rsidP="008A1B82">
            <w:r>
              <w:t>Interviews with staff, referral agencies, key stakeholders and families</w:t>
            </w:r>
          </w:p>
          <w:p w:rsidR="00551A02" w:rsidRDefault="00551A02" w:rsidP="008A1B82">
            <w:r>
              <w:t>SES and housing data</w:t>
            </w:r>
          </w:p>
        </w:tc>
        <w:tc>
          <w:tcPr>
            <w:tcW w:w="3261" w:type="dxa"/>
          </w:tcPr>
          <w:p w:rsidR="00BD2238" w:rsidRDefault="00551A02" w:rsidP="00812ACA">
            <w:pPr>
              <w:pStyle w:val="ListParagraph"/>
              <w:numPr>
                <w:ilvl w:val="0"/>
                <w:numId w:val="46"/>
              </w:numPr>
            </w:pPr>
            <w:r>
              <w:t xml:space="preserve">U.K. </w:t>
            </w:r>
          </w:p>
          <w:p w:rsidR="00551A02" w:rsidRDefault="00551A02" w:rsidP="00812ACA">
            <w:pPr>
              <w:pStyle w:val="ListParagraph"/>
              <w:numPr>
                <w:ilvl w:val="0"/>
                <w:numId w:val="46"/>
              </w:numPr>
            </w:pPr>
            <w:r>
              <w:t xml:space="preserve">78 in-depth interviews undertaken with members from 51 families. </w:t>
            </w:r>
          </w:p>
        </w:tc>
        <w:tc>
          <w:tcPr>
            <w:tcW w:w="6269" w:type="dxa"/>
          </w:tcPr>
          <w:p w:rsidR="00BD2238" w:rsidRDefault="00551A02" w:rsidP="00812ACA">
            <w:pPr>
              <w:pStyle w:val="ListParagraph"/>
              <w:numPr>
                <w:ilvl w:val="0"/>
                <w:numId w:val="46"/>
              </w:numPr>
            </w:pPr>
            <w:r>
              <w:t>“Across all five projects 70% of families whose cases were closed during the evaluation period successfully completed their agreed support programme” (p. 5).</w:t>
            </w:r>
          </w:p>
          <w:p w:rsidR="00551A02" w:rsidRDefault="00551A02" w:rsidP="00812ACA">
            <w:pPr>
              <w:pStyle w:val="ListParagraph"/>
              <w:numPr>
                <w:ilvl w:val="0"/>
                <w:numId w:val="46"/>
              </w:numPr>
            </w:pPr>
            <w:r>
              <w:t>“Project staff assessed 81% of families as being at reduced risk of homelessness/eviction by the time their cases were closed… it would appear that complaints of antisocial behaviour had reduced in 94% of cases” (p. 5).</w:t>
            </w:r>
          </w:p>
        </w:tc>
      </w:tr>
      <w:tr w:rsidR="0028759A" w:rsidTr="00807CB8">
        <w:tc>
          <w:tcPr>
            <w:tcW w:w="2235" w:type="dxa"/>
          </w:tcPr>
          <w:p w:rsidR="0028759A" w:rsidRPr="0066225C" w:rsidRDefault="0028759A" w:rsidP="00BC4DD4">
            <w:proofErr w:type="spellStart"/>
            <w:r w:rsidRPr="00515BDD">
              <w:t>Rocque</w:t>
            </w:r>
            <w:proofErr w:type="spellEnd"/>
            <w:r w:rsidRPr="00515BDD">
              <w:t xml:space="preserve">, </w:t>
            </w:r>
            <w:proofErr w:type="spellStart"/>
            <w:r w:rsidRPr="00515BDD">
              <w:t>Bierie</w:t>
            </w:r>
            <w:proofErr w:type="spellEnd"/>
            <w:r w:rsidRPr="00515BDD">
              <w:t xml:space="preserve">, </w:t>
            </w:r>
            <w:proofErr w:type="spellStart"/>
            <w:r w:rsidRPr="00515BDD">
              <w:t>Posik</w:t>
            </w:r>
            <w:proofErr w:type="spellEnd"/>
            <w:r w:rsidRPr="00515BDD">
              <w:t xml:space="preserve">, &amp; </w:t>
            </w:r>
            <w:proofErr w:type="spellStart"/>
            <w:r w:rsidRPr="00515BDD">
              <w:t>MacKenzie</w:t>
            </w:r>
            <w:proofErr w:type="spellEnd"/>
            <w:r w:rsidRPr="00515BDD">
              <w:t xml:space="preserve"> (2013).</w:t>
            </w:r>
          </w:p>
        </w:tc>
        <w:tc>
          <w:tcPr>
            <w:tcW w:w="2409" w:type="dxa"/>
          </w:tcPr>
          <w:p w:rsidR="00447BA2" w:rsidRDefault="00447BA2" w:rsidP="008A1B82">
            <w:r>
              <w:t>Experimental</w:t>
            </w:r>
          </w:p>
          <w:p w:rsidR="005D200C" w:rsidRDefault="005D200C" w:rsidP="008A1B82">
            <w:r>
              <w:t>Survey data from inmates at start and end of six month prison term</w:t>
            </w:r>
          </w:p>
          <w:p w:rsidR="005D200C" w:rsidRDefault="005D200C" w:rsidP="008A1B82">
            <w:r>
              <w:t xml:space="preserve">Data from the </w:t>
            </w:r>
            <w:r>
              <w:lastRenderedPageBreak/>
              <w:t>Maryland Correctional Boot Camp Evaluation</w:t>
            </w:r>
          </w:p>
          <w:p w:rsidR="005D200C" w:rsidRDefault="005D200C" w:rsidP="008A1B82">
            <w:r>
              <w:t>Random assignment to prison or boot camp</w:t>
            </w:r>
          </w:p>
        </w:tc>
        <w:tc>
          <w:tcPr>
            <w:tcW w:w="3261" w:type="dxa"/>
          </w:tcPr>
          <w:p w:rsidR="0028759A" w:rsidRDefault="0028759A" w:rsidP="00812ACA">
            <w:pPr>
              <w:pStyle w:val="ListParagraph"/>
              <w:numPr>
                <w:ilvl w:val="0"/>
                <w:numId w:val="46"/>
              </w:numPr>
            </w:pPr>
            <w:r>
              <w:lastRenderedPageBreak/>
              <w:t>U.S.A.</w:t>
            </w:r>
          </w:p>
          <w:p w:rsidR="005D200C" w:rsidRDefault="00734DB1" w:rsidP="005D200C">
            <w:pPr>
              <w:pStyle w:val="ListParagraph"/>
              <w:numPr>
                <w:ilvl w:val="0"/>
                <w:numId w:val="46"/>
              </w:numPr>
            </w:pPr>
            <w:r>
              <w:t>199 male participants</w:t>
            </w:r>
          </w:p>
          <w:p w:rsidR="005D200C" w:rsidRDefault="005D200C" w:rsidP="005D200C">
            <w:pPr>
              <w:pStyle w:val="ListParagraph"/>
              <w:numPr>
                <w:ilvl w:val="0"/>
                <w:numId w:val="46"/>
              </w:numPr>
            </w:pPr>
            <w:r>
              <w:t>M</w:t>
            </w:r>
            <w:r w:rsidR="0028759A">
              <w:t>ean age 23.27</w:t>
            </w:r>
            <w:r>
              <w:t>, age range 17-35.</w:t>
            </w:r>
          </w:p>
          <w:p w:rsidR="005D200C" w:rsidRDefault="005D200C" w:rsidP="005D200C">
            <w:pPr>
              <w:pStyle w:val="ListParagraph"/>
              <w:numPr>
                <w:ilvl w:val="0"/>
                <w:numId w:val="46"/>
              </w:numPr>
            </w:pPr>
            <w:r>
              <w:t>85% African American</w:t>
            </w:r>
          </w:p>
        </w:tc>
        <w:tc>
          <w:tcPr>
            <w:tcW w:w="6269" w:type="dxa"/>
          </w:tcPr>
          <w:p w:rsidR="0028759A" w:rsidRDefault="0036543A" w:rsidP="00812ACA">
            <w:pPr>
              <w:pStyle w:val="ListParagraph"/>
              <w:numPr>
                <w:ilvl w:val="0"/>
                <w:numId w:val="46"/>
              </w:numPr>
            </w:pPr>
            <w:r>
              <w:t>“</w:t>
            </w:r>
            <w:r w:rsidR="0028759A" w:rsidRPr="005D200C">
              <w:t xml:space="preserve">Changes in social relationships </w:t>
            </w:r>
            <w:r w:rsidR="005D200C" w:rsidRPr="005D200C">
              <w:rPr>
                <w:color w:val="231F20"/>
                <w:lang w:val="en-US"/>
              </w:rPr>
              <w:t>(</w:t>
            </w:r>
            <w:r w:rsidR="005D200C" w:rsidRPr="005D200C">
              <w:rPr>
                <w:i/>
                <w:iCs/>
                <w:color w:val="231F20"/>
                <w:lang w:val="en-US"/>
              </w:rPr>
              <w:t xml:space="preserve">p </w:t>
            </w:r>
            <w:r w:rsidR="005D200C" w:rsidRPr="005D200C">
              <w:rPr>
                <w:rFonts w:eastAsia="MTSYN"/>
                <w:color w:val="231F20"/>
                <w:lang w:val="en-US"/>
              </w:rPr>
              <w:t xml:space="preserve">= </w:t>
            </w:r>
            <w:r w:rsidR="005D200C" w:rsidRPr="005D200C">
              <w:rPr>
                <w:color w:val="231F20"/>
                <w:lang w:val="en-US"/>
              </w:rPr>
              <w:t xml:space="preserve">.045) </w:t>
            </w:r>
            <w:r w:rsidR="0028759A" w:rsidRPr="005D200C">
              <w:t xml:space="preserve">predict recidivism, whereas improvements in </w:t>
            </w:r>
            <w:proofErr w:type="spellStart"/>
            <w:r w:rsidR="0028759A" w:rsidRPr="005D200C">
              <w:t>prosocial</w:t>
            </w:r>
            <w:proofErr w:type="spellEnd"/>
            <w:r w:rsidR="0028759A" w:rsidRPr="005D200C">
              <w:t xml:space="preserve"> beliefs do </w:t>
            </w:r>
            <w:r w:rsidR="0028759A" w:rsidRPr="000F3B7C">
              <w:t xml:space="preserve">not. The data also suggest that the level of </w:t>
            </w:r>
            <w:proofErr w:type="spellStart"/>
            <w:r w:rsidR="0028759A" w:rsidRPr="000F3B7C">
              <w:t>prosocial</w:t>
            </w:r>
            <w:proofErr w:type="spellEnd"/>
            <w:r w:rsidR="0028759A" w:rsidRPr="000F3B7C">
              <w:t xml:space="preserve"> belief</w:t>
            </w:r>
            <w:r w:rsidR="000F3B7C" w:rsidRPr="000F3B7C">
              <w:t xml:space="preserve"> </w:t>
            </w:r>
            <w:r w:rsidR="000F3B7C" w:rsidRPr="000F3B7C">
              <w:rPr>
                <w:color w:val="231F20"/>
                <w:lang w:val="en-US"/>
              </w:rPr>
              <w:t>(</w:t>
            </w:r>
            <w:r w:rsidR="000F3B7C" w:rsidRPr="000F3B7C">
              <w:rPr>
                <w:i/>
                <w:iCs/>
                <w:color w:val="231F20"/>
                <w:lang w:val="en-US"/>
              </w:rPr>
              <w:t xml:space="preserve">p &lt; </w:t>
            </w:r>
            <w:r w:rsidR="000F3B7C" w:rsidRPr="000F3B7C">
              <w:rPr>
                <w:color w:val="231F20"/>
                <w:lang w:val="en-US"/>
              </w:rPr>
              <w:t>.05)</w:t>
            </w:r>
            <w:r w:rsidR="0028759A" w:rsidRPr="000F3B7C">
              <w:t xml:space="preserve"> at</w:t>
            </w:r>
            <w:r w:rsidR="0028759A">
              <w:t xml:space="preserve"> release is significantly related to recidivism, whereas the level of attachment is not</w:t>
            </w:r>
            <w:r>
              <w:t>”</w:t>
            </w:r>
            <w:r w:rsidR="0028759A">
              <w:t xml:space="preserve"> (p. 210).</w:t>
            </w:r>
          </w:p>
        </w:tc>
      </w:tr>
      <w:tr w:rsidR="0028759A" w:rsidTr="00807CB8">
        <w:tc>
          <w:tcPr>
            <w:tcW w:w="2235" w:type="dxa"/>
          </w:tcPr>
          <w:p w:rsidR="0028759A" w:rsidRPr="0066225C" w:rsidRDefault="0028759A" w:rsidP="00BC4DD4">
            <w:proofErr w:type="spellStart"/>
            <w:r w:rsidRPr="00515BDD">
              <w:lastRenderedPageBreak/>
              <w:t>R</w:t>
            </w:r>
            <w:r>
              <w:t>ö</w:t>
            </w:r>
            <w:r w:rsidRPr="00515BDD">
              <w:t>nk</w:t>
            </w:r>
            <w:r>
              <w:t>ä</w:t>
            </w:r>
            <w:proofErr w:type="spellEnd"/>
            <w:r w:rsidRPr="00515BDD">
              <w:t xml:space="preserve">, </w:t>
            </w:r>
            <w:proofErr w:type="spellStart"/>
            <w:r w:rsidRPr="00515BDD">
              <w:t>Oravala</w:t>
            </w:r>
            <w:proofErr w:type="spellEnd"/>
            <w:r w:rsidRPr="00515BDD">
              <w:t xml:space="preserve">, &amp; </w:t>
            </w:r>
            <w:proofErr w:type="spellStart"/>
            <w:r w:rsidRPr="00515BDD">
              <w:t>Pulkkene</w:t>
            </w:r>
            <w:proofErr w:type="spellEnd"/>
            <w:r w:rsidRPr="00515BDD">
              <w:t xml:space="preserve"> (2002)</w:t>
            </w:r>
            <w:r>
              <w:t>.</w:t>
            </w:r>
            <w:r w:rsidR="000F3B7C">
              <w:t xml:space="preserve"> I met this wife of mine and things got onto a better track: Turning points in risk development. </w:t>
            </w:r>
          </w:p>
        </w:tc>
        <w:tc>
          <w:tcPr>
            <w:tcW w:w="2409" w:type="dxa"/>
          </w:tcPr>
          <w:p w:rsidR="0028759A" w:rsidRDefault="003C6A47" w:rsidP="008A1B82">
            <w:r w:rsidRPr="007E7B92">
              <w:rPr>
                <w:highlight w:val="yellow"/>
              </w:rPr>
              <w:t>Quasi-experimental</w:t>
            </w:r>
            <w:r w:rsidR="007E7B92" w:rsidRPr="007E7B92">
              <w:rPr>
                <w:highlight w:val="yellow"/>
              </w:rPr>
              <w:t>?</w:t>
            </w:r>
          </w:p>
          <w:p w:rsidR="000F3B7C" w:rsidRDefault="000F3B7C" w:rsidP="008A1B82">
            <w:proofErr w:type="spellStart"/>
            <w:r>
              <w:t>Jyvä</w:t>
            </w:r>
            <w:r w:rsidRPr="00FD7E59">
              <w:t>skyl</w:t>
            </w:r>
            <w:r>
              <w:t>ä</w:t>
            </w:r>
            <w:proofErr w:type="spellEnd"/>
            <w:r>
              <w:t xml:space="preserve"> </w:t>
            </w:r>
            <w:r w:rsidRPr="00FD7E59">
              <w:t>Longitudinal Study of Personality and Social Development</w:t>
            </w:r>
            <w:r>
              <w:t xml:space="preserve"> data </w:t>
            </w:r>
          </w:p>
          <w:p w:rsidR="007E7B92" w:rsidRDefault="007E7B92" w:rsidP="008A1B82">
            <w:r>
              <w:t>Random selection</w:t>
            </w:r>
          </w:p>
          <w:p w:rsidR="000F3B7C" w:rsidRDefault="000F3B7C" w:rsidP="008A1B82">
            <w:r>
              <w:t>Survey</w:t>
            </w:r>
          </w:p>
          <w:p w:rsidR="000F3B7C" w:rsidRDefault="000F3B7C" w:rsidP="008A1B82">
            <w:r>
              <w:t>Semi-structured interviews</w:t>
            </w:r>
          </w:p>
        </w:tc>
        <w:tc>
          <w:tcPr>
            <w:tcW w:w="3261" w:type="dxa"/>
          </w:tcPr>
          <w:p w:rsidR="0028759A" w:rsidRDefault="0028759A" w:rsidP="00812ACA">
            <w:pPr>
              <w:pStyle w:val="ListParagraph"/>
              <w:numPr>
                <w:ilvl w:val="0"/>
                <w:numId w:val="47"/>
              </w:numPr>
            </w:pPr>
            <w:r>
              <w:t xml:space="preserve">Finland </w:t>
            </w:r>
          </w:p>
          <w:p w:rsidR="0028759A" w:rsidRDefault="0028759A" w:rsidP="00812ACA">
            <w:pPr>
              <w:pStyle w:val="ListParagraph"/>
              <w:numPr>
                <w:ilvl w:val="0"/>
                <w:numId w:val="47"/>
              </w:numPr>
            </w:pPr>
            <w:r>
              <w:t>1</w:t>
            </w:r>
            <w:r w:rsidR="0081062F">
              <w:t>96</w:t>
            </w:r>
            <w:r>
              <w:t xml:space="preserve"> boys and 173 girls followed from age 8 to age 36 </w:t>
            </w:r>
          </w:p>
          <w:p w:rsidR="0028759A" w:rsidRDefault="0028759A" w:rsidP="007E7B92">
            <w:pPr>
              <w:pStyle w:val="ListParagraph"/>
              <w:numPr>
                <w:ilvl w:val="0"/>
                <w:numId w:val="47"/>
              </w:numPr>
            </w:pPr>
            <w:r>
              <w:t>Sample at age</w:t>
            </w:r>
            <w:r w:rsidR="007E7B92">
              <w:t>d 35-</w:t>
            </w:r>
            <w:r>
              <w:t>36 – 143 ma</w:t>
            </w:r>
            <w:r w:rsidR="0081062F">
              <w:t>l</w:t>
            </w:r>
            <w:r>
              <w:t>e, and 135 women</w:t>
            </w:r>
          </w:p>
        </w:tc>
        <w:tc>
          <w:tcPr>
            <w:tcW w:w="6269" w:type="dxa"/>
          </w:tcPr>
          <w:p w:rsidR="007E7B92" w:rsidRDefault="000F3B7C" w:rsidP="00812ACA">
            <w:pPr>
              <w:pStyle w:val="ListParagraph"/>
              <w:numPr>
                <w:ilvl w:val="0"/>
                <w:numId w:val="47"/>
              </w:numPr>
            </w:pPr>
            <w:r>
              <w:t>“</w:t>
            </w:r>
            <w:r w:rsidR="0028759A">
              <w:t>Individuals with an unsuccessful childhood constructed their life courses less often in terms of education, work and social transitions compared to others. Those who were managing well in their lives at age 36, despite several risk factors in childhood (</w:t>
            </w:r>
            <w:proofErr w:type="spellStart"/>
            <w:r w:rsidR="0028759A">
              <w:t>resilients</w:t>
            </w:r>
            <w:proofErr w:type="spellEnd"/>
            <w:r w:rsidR="0028759A">
              <w:t>) reported positive experiences and plenty of choice in relation to their turning points</w:t>
            </w:r>
            <w:r w:rsidR="007E7B92">
              <w:t>” (p. 47)</w:t>
            </w:r>
            <w:r w:rsidR="0028759A">
              <w:t xml:space="preserve">. </w:t>
            </w:r>
          </w:p>
          <w:p w:rsidR="0028759A" w:rsidRDefault="007E7B92" w:rsidP="007E7B92">
            <w:pPr>
              <w:pStyle w:val="ListParagraph"/>
              <w:numPr>
                <w:ilvl w:val="0"/>
                <w:numId w:val="47"/>
              </w:numPr>
            </w:pPr>
            <w:r>
              <w:t>“</w:t>
            </w:r>
            <w:r w:rsidR="0028759A">
              <w:t>Participants in the vulnerable subgroup, for their part, perceived turning points more negatively, and reported few opportunities for personal choice. Results indicate that childhood experiences influence the content of turning points in adult life by shaping the direction of actual life paths. The quality of current life, however, has a greater bear</w:t>
            </w:r>
            <w:r>
              <w:t>ing</w:t>
            </w:r>
            <w:r w:rsidR="0028759A">
              <w:t xml:space="preserve"> on the way turning points are evaluated</w:t>
            </w:r>
            <w:r w:rsidR="000F3B7C">
              <w:t>”</w:t>
            </w:r>
            <w:r w:rsidR="0028759A">
              <w:t xml:space="preserve"> (p. 47).</w:t>
            </w:r>
          </w:p>
          <w:p w:rsidR="007E7B92" w:rsidRDefault="007E7B92" w:rsidP="007E7B92">
            <w:pPr>
              <w:pStyle w:val="ListParagraph"/>
              <w:numPr>
                <w:ilvl w:val="0"/>
                <w:numId w:val="47"/>
              </w:numPr>
            </w:pPr>
            <w:r w:rsidRPr="007E7B92">
              <w:rPr>
                <w:highlight w:val="yellow"/>
              </w:rPr>
              <w:t>RTN to results</w:t>
            </w:r>
          </w:p>
        </w:tc>
      </w:tr>
      <w:tr w:rsidR="0028759A" w:rsidTr="00807CB8">
        <w:tc>
          <w:tcPr>
            <w:tcW w:w="2235" w:type="dxa"/>
          </w:tcPr>
          <w:p w:rsidR="0028759A" w:rsidRPr="0066225C" w:rsidRDefault="0028759A" w:rsidP="00BC4DD4">
            <w:r w:rsidRPr="00515BDD">
              <w:rPr>
                <w:rFonts w:eastAsiaTheme="minorEastAsia"/>
                <w:lang w:eastAsia="en-AU"/>
              </w:rPr>
              <w:t xml:space="preserve">Sampson, </w:t>
            </w:r>
            <w:proofErr w:type="spellStart"/>
            <w:r w:rsidRPr="00515BDD">
              <w:rPr>
                <w:rFonts w:eastAsiaTheme="minorEastAsia"/>
                <w:lang w:eastAsia="en-AU"/>
              </w:rPr>
              <w:t>Laub</w:t>
            </w:r>
            <w:proofErr w:type="spellEnd"/>
            <w:r w:rsidRPr="00515BDD">
              <w:rPr>
                <w:rFonts w:eastAsiaTheme="minorEastAsia"/>
                <w:lang w:eastAsia="en-AU"/>
              </w:rPr>
              <w:t xml:space="preserve">, &amp; </w:t>
            </w:r>
            <w:proofErr w:type="spellStart"/>
            <w:r w:rsidRPr="00515BDD">
              <w:rPr>
                <w:rFonts w:eastAsiaTheme="minorEastAsia"/>
                <w:lang w:eastAsia="en-AU"/>
              </w:rPr>
              <w:t>Wimer</w:t>
            </w:r>
            <w:proofErr w:type="spellEnd"/>
            <w:r w:rsidRPr="00515BDD">
              <w:rPr>
                <w:rFonts w:eastAsiaTheme="minorEastAsia"/>
                <w:lang w:eastAsia="en-AU"/>
              </w:rPr>
              <w:t xml:space="preserve"> (2006).</w:t>
            </w:r>
            <w:r w:rsidR="007E7B92">
              <w:rPr>
                <w:rFonts w:eastAsiaTheme="minorEastAsia"/>
                <w:lang w:eastAsia="en-AU"/>
              </w:rPr>
              <w:t xml:space="preserve"> Does marriage reduce crime? A counterfactual approach to within-individual casual effects.</w:t>
            </w:r>
          </w:p>
        </w:tc>
        <w:tc>
          <w:tcPr>
            <w:tcW w:w="2409" w:type="dxa"/>
          </w:tcPr>
          <w:p w:rsidR="0028759A" w:rsidRDefault="008039DC" w:rsidP="008A1B82">
            <w:r>
              <w:t>Quasi-experimental</w:t>
            </w:r>
          </w:p>
          <w:p w:rsidR="007E7B92" w:rsidRDefault="007E7B92" w:rsidP="008A1B82">
            <w:r>
              <w:t>Longitudinal study</w:t>
            </w:r>
          </w:p>
        </w:tc>
        <w:tc>
          <w:tcPr>
            <w:tcW w:w="3261" w:type="dxa"/>
          </w:tcPr>
          <w:p w:rsidR="0028759A" w:rsidRDefault="0028759A" w:rsidP="00812ACA">
            <w:pPr>
              <w:pStyle w:val="ListParagraph"/>
              <w:numPr>
                <w:ilvl w:val="0"/>
                <w:numId w:val="48"/>
              </w:numPr>
            </w:pPr>
            <w:r>
              <w:t>U.S.A.</w:t>
            </w:r>
          </w:p>
          <w:p w:rsidR="007E7B92" w:rsidRDefault="0028759A" w:rsidP="00812ACA">
            <w:pPr>
              <w:pStyle w:val="ListParagraph"/>
              <w:numPr>
                <w:ilvl w:val="0"/>
                <w:numId w:val="48"/>
              </w:numPr>
            </w:pPr>
            <w:r>
              <w:t xml:space="preserve">Original sample - 500 boys </w:t>
            </w:r>
            <w:r w:rsidR="007E7B92">
              <w:t>aged 10 to</w:t>
            </w:r>
            <w:r>
              <w:t xml:space="preserve"> 32, </w:t>
            </w:r>
          </w:p>
          <w:p w:rsidR="0028759A" w:rsidRDefault="007E7B92" w:rsidP="00812ACA">
            <w:pPr>
              <w:pStyle w:val="ListParagraph"/>
              <w:numPr>
                <w:ilvl w:val="0"/>
                <w:numId w:val="48"/>
              </w:numPr>
            </w:pPr>
            <w:r>
              <w:t>S</w:t>
            </w:r>
            <w:r w:rsidR="0028759A">
              <w:t>ubsample 52 followed to age 70 interviewed</w:t>
            </w:r>
            <w:r w:rsidR="00734DB1">
              <w:t>.</w:t>
            </w:r>
          </w:p>
          <w:p w:rsidR="008039DC" w:rsidRDefault="008039DC" w:rsidP="007E7B92"/>
        </w:tc>
        <w:tc>
          <w:tcPr>
            <w:tcW w:w="6269" w:type="dxa"/>
          </w:tcPr>
          <w:p w:rsidR="007E7B92" w:rsidRDefault="0028759A" w:rsidP="007E7B92">
            <w:pPr>
              <w:pStyle w:val="ListParagraph"/>
              <w:numPr>
                <w:ilvl w:val="0"/>
                <w:numId w:val="48"/>
              </w:numPr>
            </w:pPr>
            <w:r>
              <w:t xml:space="preserve">States of marriage casually inhibit crime over the life course (p. 465). </w:t>
            </w:r>
          </w:p>
          <w:p w:rsidR="007E7B92" w:rsidRDefault="006C7BBA" w:rsidP="007E7B92">
            <w:pPr>
              <w:pStyle w:val="ListParagraph"/>
              <w:numPr>
                <w:ilvl w:val="0"/>
                <w:numId w:val="48"/>
              </w:numPr>
              <w:autoSpaceDE w:val="0"/>
              <w:autoSpaceDN w:val="0"/>
              <w:adjustRightInd w:val="0"/>
            </w:pPr>
            <w:r>
              <w:rPr>
                <w:lang w:val="en-US"/>
              </w:rPr>
              <w:t>“</w:t>
            </w:r>
            <w:r w:rsidR="007E7B92" w:rsidRPr="007E7B92">
              <w:rPr>
                <w:lang w:val="en-US"/>
              </w:rPr>
              <w:t>Both models produce a highly significant lagged effect of marriage at ages 17 to 32. Without controls for contemporaneous marital change, model 1 yields a significant (</w:t>
            </w:r>
            <w:r w:rsidR="007E7B92" w:rsidRPr="007E7B92">
              <w:rPr>
                <w:i/>
                <w:iCs/>
                <w:lang w:val="en-US"/>
              </w:rPr>
              <w:t xml:space="preserve">p </w:t>
            </w:r>
            <w:r w:rsidR="007E7B92" w:rsidRPr="007E7B92">
              <w:rPr>
                <w:lang w:val="en-US"/>
              </w:rPr>
              <w:t xml:space="preserve">&lt; .001) marriage effect, with an event rate ratio of .74, meaning that being married at a particular age is linked to roughly a 25 percent reduction in crime at the next age. Model 2, however, suggests that contemporaneous change—or moving into marriage—is highly significantly related to lower crime as well. Once we adjust for contemporaneous change, the lagged causal </w:t>
            </w:r>
            <w:r w:rsidR="007E7B92" w:rsidRPr="007E7B92">
              <w:rPr>
                <w:lang w:val="en-US"/>
              </w:rPr>
              <w:lastRenderedPageBreak/>
              <w:t xml:space="preserve">effect of marriage is now even stronger (event rate ratio = .61, CI = .54, .70). Consideration of the underlying event rate ratio for lagged marriage reveals that being married is associated with 39 percent reduction in crime in the next age period, controlling for changes in that period. Lagged marriage and current change are correlated (.33, </w:t>
            </w:r>
            <w:r w:rsidR="007E7B92" w:rsidRPr="007E7B92">
              <w:rPr>
                <w:i/>
                <w:iCs/>
                <w:lang w:val="en-US"/>
              </w:rPr>
              <w:t xml:space="preserve">p </w:t>
            </w:r>
            <w:r w:rsidR="007E7B92" w:rsidRPr="007E7B92">
              <w:rPr>
                <w:lang w:val="en-US"/>
              </w:rPr>
              <w:t xml:space="preserve">&lt; .001), such that failure to </w:t>
            </w:r>
            <w:r w:rsidR="007E7B92" w:rsidRPr="006C7BBA">
              <w:rPr>
                <w:lang w:val="en-US"/>
              </w:rPr>
              <w:t>adjust current change (model 1) appears to underestimate the lagged marriage effect</w:t>
            </w:r>
            <w:r w:rsidRPr="006C7BBA">
              <w:rPr>
                <w:lang w:val="en-US"/>
              </w:rPr>
              <w:t>” (p. 493).</w:t>
            </w:r>
          </w:p>
        </w:tc>
      </w:tr>
      <w:tr w:rsidR="0028759A" w:rsidTr="00807CB8">
        <w:tc>
          <w:tcPr>
            <w:tcW w:w="2235" w:type="dxa"/>
          </w:tcPr>
          <w:p w:rsidR="0028759A" w:rsidRPr="0066225C" w:rsidRDefault="0028759A" w:rsidP="00BC4DD4">
            <w:proofErr w:type="spellStart"/>
            <w:r w:rsidRPr="00515BDD">
              <w:rPr>
                <w:rFonts w:eastAsiaTheme="minorEastAsia"/>
                <w:lang w:eastAsia="en-AU"/>
              </w:rPr>
              <w:lastRenderedPageBreak/>
              <w:t>Savolainen</w:t>
            </w:r>
            <w:proofErr w:type="spellEnd"/>
            <w:r w:rsidRPr="00515BDD">
              <w:rPr>
                <w:rFonts w:eastAsiaTheme="minorEastAsia"/>
                <w:lang w:eastAsia="en-AU"/>
              </w:rPr>
              <w:t xml:space="preserve"> (2009).</w:t>
            </w:r>
            <w:r w:rsidR="0075152E">
              <w:rPr>
                <w:rFonts w:eastAsiaTheme="minorEastAsia"/>
                <w:lang w:eastAsia="en-AU"/>
              </w:rPr>
              <w:t xml:space="preserve"> Work, family and criminal desistance: Adult social bonds in a Nordic welfare state.</w:t>
            </w:r>
          </w:p>
        </w:tc>
        <w:tc>
          <w:tcPr>
            <w:tcW w:w="2409" w:type="dxa"/>
          </w:tcPr>
          <w:p w:rsidR="0028759A" w:rsidRDefault="00AD11F2" w:rsidP="008A1B82">
            <w:r>
              <w:t>National sample of felony offenders convicted in 1996</w:t>
            </w:r>
          </w:p>
        </w:tc>
        <w:tc>
          <w:tcPr>
            <w:tcW w:w="3261" w:type="dxa"/>
          </w:tcPr>
          <w:p w:rsidR="0028759A" w:rsidRDefault="0081062F" w:rsidP="00812ACA">
            <w:pPr>
              <w:pStyle w:val="ListParagraph"/>
              <w:numPr>
                <w:ilvl w:val="0"/>
                <w:numId w:val="49"/>
              </w:numPr>
            </w:pPr>
            <w:r>
              <w:t>Finland.</w:t>
            </w:r>
          </w:p>
          <w:p w:rsidR="006F7F13" w:rsidRDefault="0028759A" w:rsidP="00734DB1">
            <w:pPr>
              <w:pStyle w:val="ListParagraph"/>
              <w:numPr>
                <w:ilvl w:val="0"/>
                <w:numId w:val="49"/>
              </w:numPr>
            </w:pPr>
            <w:r>
              <w:rPr>
                <w:i/>
              </w:rPr>
              <w:t>n=</w:t>
            </w:r>
            <w:r>
              <w:t xml:space="preserve"> 1</w:t>
            </w:r>
            <w:r w:rsidR="00734DB1">
              <w:t xml:space="preserve">,325 males </w:t>
            </w:r>
          </w:p>
          <w:p w:rsidR="0028759A" w:rsidRDefault="006F7F13" w:rsidP="006F7F13">
            <w:pPr>
              <w:pStyle w:val="ListParagraph"/>
              <w:numPr>
                <w:ilvl w:val="0"/>
                <w:numId w:val="49"/>
              </w:numPr>
            </w:pPr>
            <w:r>
              <w:t>A</w:t>
            </w:r>
            <w:r w:rsidR="00734DB1">
              <w:t>ge</w:t>
            </w:r>
            <w:r>
              <w:t>d</w:t>
            </w:r>
            <w:r w:rsidR="00734DB1">
              <w:t xml:space="preserve"> 18-49 years old.</w:t>
            </w:r>
          </w:p>
        </w:tc>
        <w:tc>
          <w:tcPr>
            <w:tcW w:w="6269" w:type="dxa"/>
          </w:tcPr>
          <w:p w:rsidR="0028759A" w:rsidRDefault="0075152E" w:rsidP="00812ACA">
            <w:pPr>
              <w:pStyle w:val="ListParagraph"/>
              <w:numPr>
                <w:ilvl w:val="0"/>
                <w:numId w:val="49"/>
              </w:numPr>
            </w:pPr>
            <w:r>
              <w:t>“</w:t>
            </w:r>
            <w:r w:rsidR="0028759A">
              <w:t xml:space="preserve">Finds support for the basic assumption of Sampson and </w:t>
            </w:r>
            <w:proofErr w:type="spellStart"/>
            <w:r w:rsidR="0028759A">
              <w:t>Laub’s</w:t>
            </w:r>
            <w:proofErr w:type="spellEnd"/>
            <w:r w:rsidR="0028759A">
              <w:t xml:space="preserve"> theory of age-graded informal social control, as well as the general contention that the restraining capacity of adult life course transitions is sensitive to the culture context in which they are embedded</w:t>
            </w:r>
            <w:r>
              <w:t>”</w:t>
            </w:r>
            <w:r w:rsidR="0028759A">
              <w:t xml:space="preserve"> (p. 285).</w:t>
            </w:r>
          </w:p>
          <w:p w:rsidR="006F7F13" w:rsidRDefault="006F7F13" w:rsidP="00812ACA">
            <w:pPr>
              <w:pStyle w:val="ListParagraph"/>
              <w:numPr>
                <w:ilvl w:val="0"/>
                <w:numId w:val="49"/>
              </w:numPr>
            </w:pPr>
            <w:r w:rsidRPr="006F7F13">
              <w:rPr>
                <w:highlight w:val="yellow"/>
              </w:rPr>
              <w:t>RTN to results</w:t>
            </w:r>
          </w:p>
        </w:tc>
      </w:tr>
      <w:tr w:rsidR="0028759A" w:rsidTr="00807CB8">
        <w:tc>
          <w:tcPr>
            <w:tcW w:w="2235" w:type="dxa"/>
          </w:tcPr>
          <w:p w:rsidR="0028759A" w:rsidRPr="00CA50D8" w:rsidRDefault="0028759A" w:rsidP="00BC4DD4">
            <w:pPr>
              <w:rPr>
                <w:i/>
              </w:rPr>
            </w:pPr>
            <w:proofErr w:type="spellStart"/>
            <w:r>
              <w:rPr>
                <w:rFonts w:eastAsiaTheme="minorEastAsia"/>
                <w:bCs/>
                <w:lang w:eastAsia="en-AU"/>
              </w:rPr>
              <w:t>Skarðhamar</w:t>
            </w:r>
            <w:proofErr w:type="spellEnd"/>
            <w:r>
              <w:rPr>
                <w:rFonts w:eastAsiaTheme="minorEastAsia"/>
                <w:bCs/>
                <w:lang w:eastAsia="en-AU"/>
              </w:rPr>
              <w:t xml:space="preserve"> &amp; </w:t>
            </w:r>
            <w:proofErr w:type="spellStart"/>
            <w:r>
              <w:rPr>
                <w:rFonts w:eastAsiaTheme="minorEastAsia"/>
                <w:bCs/>
                <w:lang w:eastAsia="en-AU"/>
              </w:rPr>
              <w:t>Lyngstad</w:t>
            </w:r>
            <w:proofErr w:type="spellEnd"/>
            <w:r w:rsidRPr="00515BDD">
              <w:rPr>
                <w:rFonts w:eastAsiaTheme="minorEastAsia"/>
                <w:bCs/>
                <w:lang w:eastAsia="en-AU"/>
              </w:rPr>
              <w:t xml:space="preserve"> (2009).</w:t>
            </w:r>
            <w:r w:rsidR="00CA50D8">
              <w:rPr>
                <w:rFonts w:eastAsiaTheme="minorEastAsia"/>
                <w:bCs/>
                <w:lang w:eastAsia="en-AU"/>
              </w:rPr>
              <w:t xml:space="preserve"> </w:t>
            </w:r>
            <w:r w:rsidR="00CA50D8">
              <w:rPr>
                <w:rFonts w:eastAsiaTheme="minorEastAsia"/>
                <w:bCs/>
                <w:i/>
                <w:lang w:eastAsia="en-AU"/>
              </w:rPr>
              <w:t>Family formation, fatherhood and crime: An invitation to a broader perspective on crime and family transitions.</w:t>
            </w:r>
          </w:p>
        </w:tc>
        <w:tc>
          <w:tcPr>
            <w:tcW w:w="2409" w:type="dxa"/>
          </w:tcPr>
          <w:p w:rsidR="0028759A" w:rsidRDefault="00654318" w:rsidP="008A1B82">
            <w:r>
              <w:t>Administrative register data</w:t>
            </w:r>
          </w:p>
        </w:tc>
        <w:tc>
          <w:tcPr>
            <w:tcW w:w="3261" w:type="dxa"/>
          </w:tcPr>
          <w:p w:rsidR="0028759A" w:rsidRDefault="0081062F" w:rsidP="00812ACA">
            <w:pPr>
              <w:pStyle w:val="ListParagraph"/>
              <w:numPr>
                <w:ilvl w:val="0"/>
                <w:numId w:val="50"/>
              </w:numPr>
            </w:pPr>
            <w:r>
              <w:t>Norway.</w:t>
            </w:r>
          </w:p>
          <w:p w:rsidR="0028759A" w:rsidRDefault="0028759A" w:rsidP="00812ACA">
            <w:pPr>
              <w:pStyle w:val="ListParagraph"/>
              <w:numPr>
                <w:ilvl w:val="0"/>
                <w:numId w:val="50"/>
              </w:numPr>
            </w:pPr>
            <w:r>
              <w:t>FD-</w:t>
            </w:r>
            <w:proofErr w:type="spellStart"/>
            <w:r>
              <w:t>Trygd</w:t>
            </w:r>
            <w:proofErr w:type="spellEnd"/>
            <w:r>
              <w:t xml:space="preserve"> database and the crim</w:t>
            </w:r>
            <w:r w:rsidR="00734DB1">
              <w:t>inal statistics register system.</w:t>
            </w:r>
          </w:p>
          <w:p w:rsidR="0028759A" w:rsidRDefault="0028759A" w:rsidP="00812ACA">
            <w:pPr>
              <w:pStyle w:val="ListParagraph"/>
              <w:numPr>
                <w:ilvl w:val="0"/>
                <w:numId w:val="50"/>
              </w:numPr>
            </w:pPr>
            <w:r>
              <w:t>Male participants (</w:t>
            </w:r>
            <w:r w:rsidRPr="00617C8A">
              <w:rPr>
                <w:highlight w:val="yellow"/>
              </w:rPr>
              <w:t>sample sizes p. 10</w:t>
            </w:r>
            <w:r>
              <w:t>).</w:t>
            </w:r>
          </w:p>
        </w:tc>
        <w:tc>
          <w:tcPr>
            <w:tcW w:w="6269" w:type="dxa"/>
          </w:tcPr>
          <w:p w:rsidR="0028759A" w:rsidRDefault="006F7F13" w:rsidP="00812ACA">
            <w:pPr>
              <w:pStyle w:val="ListParagraph"/>
              <w:numPr>
                <w:ilvl w:val="0"/>
                <w:numId w:val="50"/>
              </w:numPr>
            </w:pPr>
            <w:r>
              <w:t>“</w:t>
            </w:r>
            <w:r w:rsidR="0028759A">
              <w:t>Marriage, cohabitation, and fatherhood all are important aspects of the family formation process. Find some support for the hypothesis that family formation inhibit</w:t>
            </w:r>
            <w:r>
              <w:t>s</w:t>
            </w:r>
            <w:r w:rsidR="0028759A">
              <w:t xml:space="preserve"> criminal behaviours, but results are less clear-cut than those reported by previous research. Most importantly, the declines in offending in the years prior to experiencing family transitions do not seem to be of a permanent nature</w:t>
            </w:r>
            <w:r>
              <w:t>”</w:t>
            </w:r>
            <w:r w:rsidR="0028759A">
              <w:t xml:space="preserve"> (p. 1). </w:t>
            </w:r>
          </w:p>
          <w:p w:rsidR="006F7F13" w:rsidRDefault="006F7F13" w:rsidP="00812ACA">
            <w:pPr>
              <w:pStyle w:val="ListParagraph"/>
              <w:numPr>
                <w:ilvl w:val="0"/>
                <w:numId w:val="50"/>
              </w:numPr>
            </w:pPr>
            <w:r w:rsidRPr="006F7F13">
              <w:rPr>
                <w:highlight w:val="yellow"/>
              </w:rPr>
              <w:t>RTN to results</w:t>
            </w:r>
          </w:p>
        </w:tc>
      </w:tr>
      <w:tr w:rsidR="0028759A" w:rsidTr="00807CB8">
        <w:tc>
          <w:tcPr>
            <w:tcW w:w="2235" w:type="dxa"/>
          </w:tcPr>
          <w:p w:rsidR="0028759A" w:rsidRPr="0066225C" w:rsidRDefault="0028759A" w:rsidP="00BC4DD4">
            <w:proofErr w:type="spellStart"/>
            <w:r w:rsidRPr="00515BDD">
              <w:rPr>
                <w:rFonts w:eastAsiaTheme="minorEastAsia"/>
                <w:bCs/>
                <w:lang w:eastAsia="en-AU"/>
              </w:rPr>
              <w:t>Stouthamer-Loeber</w:t>
            </w:r>
            <w:proofErr w:type="spellEnd"/>
            <w:r w:rsidRPr="00515BDD">
              <w:rPr>
                <w:rFonts w:eastAsiaTheme="minorEastAsia"/>
                <w:bCs/>
                <w:lang w:eastAsia="en-AU"/>
              </w:rPr>
              <w:t xml:space="preserve">, Wei, </w:t>
            </w:r>
            <w:proofErr w:type="spellStart"/>
            <w:r w:rsidRPr="00515BDD">
              <w:rPr>
                <w:rFonts w:eastAsiaTheme="minorEastAsia"/>
                <w:bCs/>
                <w:lang w:eastAsia="en-AU"/>
              </w:rPr>
              <w:t>Loeber</w:t>
            </w:r>
            <w:proofErr w:type="spellEnd"/>
            <w:r w:rsidRPr="00515BDD">
              <w:rPr>
                <w:rFonts w:eastAsiaTheme="minorEastAsia"/>
                <w:bCs/>
                <w:lang w:eastAsia="en-AU"/>
              </w:rPr>
              <w:t xml:space="preserve">, &amp; </w:t>
            </w:r>
            <w:proofErr w:type="spellStart"/>
            <w:r w:rsidRPr="00515BDD">
              <w:rPr>
                <w:rFonts w:eastAsiaTheme="minorEastAsia"/>
                <w:bCs/>
                <w:lang w:eastAsia="en-AU"/>
              </w:rPr>
              <w:t>Masten</w:t>
            </w:r>
            <w:proofErr w:type="spellEnd"/>
            <w:r w:rsidRPr="00515BDD">
              <w:rPr>
                <w:rFonts w:eastAsiaTheme="minorEastAsia"/>
                <w:bCs/>
                <w:lang w:eastAsia="en-AU"/>
              </w:rPr>
              <w:t xml:space="preserve"> (2004).</w:t>
            </w:r>
            <w:r w:rsidR="006F7F13">
              <w:rPr>
                <w:rFonts w:eastAsiaTheme="minorEastAsia"/>
                <w:bCs/>
                <w:lang w:eastAsia="en-AU"/>
              </w:rPr>
              <w:t xml:space="preserve"> Desistance from persistent serious delinquency in the transition to adulthood.</w:t>
            </w:r>
          </w:p>
        </w:tc>
        <w:tc>
          <w:tcPr>
            <w:tcW w:w="2409" w:type="dxa"/>
          </w:tcPr>
          <w:p w:rsidR="00091A8C" w:rsidRDefault="003C6A47" w:rsidP="00091A8C">
            <w:r>
              <w:t>Quasi-experimental</w:t>
            </w:r>
            <w:r w:rsidR="00091A8C">
              <w:t xml:space="preserve"> </w:t>
            </w:r>
          </w:p>
          <w:p w:rsidR="00091A8C" w:rsidRDefault="00091A8C" w:rsidP="00091A8C">
            <w:r>
              <w:t>Longitudinal study</w:t>
            </w:r>
          </w:p>
          <w:p w:rsidR="00091A8C" w:rsidRDefault="00091A8C" w:rsidP="00091A8C">
            <w:r>
              <w:t xml:space="preserve">Pittsburgh Youth Study </w:t>
            </w:r>
          </w:p>
          <w:p w:rsidR="0028759A" w:rsidRDefault="0028759A" w:rsidP="008A1B82"/>
        </w:tc>
        <w:tc>
          <w:tcPr>
            <w:tcW w:w="3261" w:type="dxa"/>
          </w:tcPr>
          <w:p w:rsidR="0028759A" w:rsidRDefault="0028759A" w:rsidP="00812ACA">
            <w:pPr>
              <w:pStyle w:val="ListParagraph"/>
              <w:numPr>
                <w:ilvl w:val="0"/>
                <w:numId w:val="51"/>
              </w:numPr>
            </w:pPr>
            <w:r>
              <w:t xml:space="preserve">U.S.A. </w:t>
            </w:r>
          </w:p>
          <w:p w:rsidR="0028759A" w:rsidRDefault="0028759A" w:rsidP="00734DB1">
            <w:pPr>
              <w:pStyle w:val="ListParagraph"/>
              <w:numPr>
                <w:ilvl w:val="0"/>
                <w:numId w:val="51"/>
              </w:numPr>
            </w:pPr>
            <w:r>
              <w:rPr>
                <w:i/>
              </w:rPr>
              <w:t>n=</w:t>
            </w:r>
            <w:r>
              <w:t xml:space="preserve"> 506 boys, about half were African American, half Caucasian</w:t>
            </w:r>
            <w:r w:rsidR="00734DB1">
              <w:t>.</w:t>
            </w:r>
          </w:p>
          <w:p w:rsidR="00091A8C" w:rsidRDefault="00091A8C" w:rsidP="00734DB1">
            <w:pPr>
              <w:pStyle w:val="ListParagraph"/>
              <w:numPr>
                <w:ilvl w:val="0"/>
                <w:numId w:val="51"/>
              </w:numPr>
            </w:pPr>
            <w:r>
              <w:t>Followed from ages 13-25.</w:t>
            </w:r>
          </w:p>
        </w:tc>
        <w:tc>
          <w:tcPr>
            <w:tcW w:w="6269" w:type="dxa"/>
          </w:tcPr>
          <w:p w:rsidR="00091A8C" w:rsidRDefault="00091A8C" w:rsidP="00812ACA">
            <w:pPr>
              <w:pStyle w:val="ListParagraph"/>
              <w:numPr>
                <w:ilvl w:val="0"/>
                <w:numId w:val="51"/>
              </w:numPr>
            </w:pPr>
            <w:r>
              <w:t>“About one-</w:t>
            </w:r>
            <w:proofErr w:type="spellStart"/>
            <w:r>
              <w:t>thid</w:t>
            </w:r>
            <w:proofErr w:type="spellEnd"/>
            <w:r>
              <w:t xml:space="preserve"> became persistent serious delinquents between ages 13 and 19. Out of that group, almost 40% desisted in serious offending between ages 120 and 25” (p. 897).</w:t>
            </w:r>
          </w:p>
          <w:p w:rsidR="00091A8C" w:rsidRDefault="00091A8C" w:rsidP="00091A8C">
            <w:pPr>
              <w:pStyle w:val="ListParagraph"/>
              <w:numPr>
                <w:ilvl w:val="0"/>
                <w:numId w:val="51"/>
              </w:numPr>
            </w:pPr>
            <w:r>
              <w:t>“F</w:t>
            </w:r>
            <w:r w:rsidR="0028759A">
              <w:t xml:space="preserve">ollowing </w:t>
            </w:r>
            <w:proofErr w:type="spellStart"/>
            <w:r w:rsidR="0028759A">
              <w:t>promotive</w:t>
            </w:r>
            <w:proofErr w:type="spellEnd"/>
            <w:r w:rsidR="0028759A">
              <w:t xml:space="preserve"> factors were associated with desistance: low physical punishment by parents in early adolescence and being employed </w:t>
            </w:r>
            <w:r>
              <w:t>or in school in early adulthood” (p. 897)</w:t>
            </w:r>
            <w:r w:rsidR="0028759A">
              <w:t xml:space="preserve"> </w:t>
            </w:r>
          </w:p>
          <w:p w:rsidR="0028759A" w:rsidRDefault="00091A8C" w:rsidP="00091A8C">
            <w:pPr>
              <w:pStyle w:val="ListParagraph"/>
              <w:numPr>
                <w:ilvl w:val="0"/>
                <w:numId w:val="51"/>
              </w:numPr>
            </w:pPr>
            <w:r>
              <w:lastRenderedPageBreak/>
              <w:t>“</w:t>
            </w:r>
            <w:r w:rsidR="0028759A">
              <w:t xml:space="preserve">The following risk factors were inversely associated with desistance during early adulthood: serious delinquency during late adolescence, hard drug use, gang membership, and positive perceptions of problem behaviour in early adulthood (p. 897). </w:t>
            </w:r>
          </w:p>
          <w:p w:rsidR="00091A8C" w:rsidRDefault="00091A8C" w:rsidP="00091A8C">
            <w:pPr>
              <w:pStyle w:val="ListParagraph"/>
              <w:numPr>
                <w:ilvl w:val="0"/>
                <w:numId w:val="51"/>
              </w:numPr>
            </w:pPr>
            <w:r w:rsidRPr="006F7F13">
              <w:rPr>
                <w:highlight w:val="yellow"/>
              </w:rPr>
              <w:t>RTN to results</w:t>
            </w:r>
          </w:p>
        </w:tc>
      </w:tr>
      <w:tr w:rsidR="0028759A" w:rsidTr="00807CB8">
        <w:tc>
          <w:tcPr>
            <w:tcW w:w="2235" w:type="dxa"/>
          </w:tcPr>
          <w:p w:rsidR="0028759A" w:rsidRPr="0066225C" w:rsidRDefault="0028759A" w:rsidP="00BC4DD4">
            <w:r>
              <w:rPr>
                <w:rFonts w:eastAsiaTheme="minorEastAsia"/>
                <w:lang w:eastAsia="en-AU"/>
              </w:rPr>
              <w:lastRenderedPageBreak/>
              <w:t xml:space="preserve">Theobald &amp; Farrington </w:t>
            </w:r>
            <w:r w:rsidRPr="00515BDD">
              <w:rPr>
                <w:rFonts w:eastAsiaTheme="minorEastAsia"/>
                <w:lang w:eastAsia="en-AU"/>
              </w:rPr>
              <w:t>(2009).</w:t>
            </w:r>
            <w:r w:rsidR="00091A8C">
              <w:rPr>
                <w:rFonts w:eastAsiaTheme="minorEastAsia"/>
                <w:lang w:eastAsia="en-AU"/>
              </w:rPr>
              <w:t xml:space="preserve"> Effects of getting married on offending: Results from a prospective longitudinal survey of males. </w:t>
            </w:r>
          </w:p>
        </w:tc>
        <w:tc>
          <w:tcPr>
            <w:tcW w:w="2409" w:type="dxa"/>
          </w:tcPr>
          <w:p w:rsidR="0028759A" w:rsidRDefault="00654318" w:rsidP="008A1B82">
            <w:r>
              <w:t>Quasi-experimental</w:t>
            </w:r>
            <w:r w:rsidR="00091A8C">
              <w:t xml:space="preserve"> Cambridge study in Delinquent Development – longitudinal survey.</w:t>
            </w:r>
          </w:p>
        </w:tc>
        <w:tc>
          <w:tcPr>
            <w:tcW w:w="3261" w:type="dxa"/>
          </w:tcPr>
          <w:p w:rsidR="0028759A" w:rsidRDefault="0028759A" w:rsidP="00812ACA">
            <w:pPr>
              <w:pStyle w:val="ListParagraph"/>
              <w:numPr>
                <w:ilvl w:val="0"/>
                <w:numId w:val="52"/>
              </w:numPr>
            </w:pPr>
            <w:r>
              <w:t>U.K.</w:t>
            </w:r>
          </w:p>
          <w:p w:rsidR="00091A8C" w:rsidRDefault="0028759A" w:rsidP="00812ACA">
            <w:pPr>
              <w:pStyle w:val="ListParagraph"/>
              <w:numPr>
                <w:ilvl w:val="0"/>
                <w:numId w:val="52"/>
              </w:numPr>
            </w:pPr>
            <w:r>
              <w:t>411 males followed up from age 8 to age 48</w:t>
            </w:r>
          </w:p>
          <w:p w:rsidR="0028759A" w:rsidRDefault="00091A8C" w:rsidP="00812ACA">
            <w:pPr>
              <w:pStyle w:val="ListParagraph"/>
              <w:numPr>
                <w:ilvl w:val="0"/>
                <w:numId w:val="52"/>
              </w:numPr>
            </w:pPr>
            <w:r>
              <w:t>S</w:t>
            </w:r>
            <w:r w:rsidR="0028759A">
              <w:t>ample 162 convicted males</w:t>
            </w:r>
            <w:r w:rsidR="00734DB1">
              <w:t>.</w:t>
            </w:r>
          </w:p>
          <w:p w:rsidR="00654318" w:rsidRDefault="00654318" w:rsidP="00091A8C">
            <w:pPr>
              <w:pStyle w:val="ListParagraph"/>
              <w:ind w:left="360"/>
            </w:pPr>
          </w:p>
        </w:tc>
        <w:tc>
          <w:tcPr>
            <w:tcW w:w="6269" w:type="dxa"/>
          </w:tcPr>
          <w:p w:rsidR="0064386B" w:rsidRPr="0064386B" w:rsidRDefault="00091A8C" w:rsidP="0064386B">
            <w:pPr>
              <w:pStyle w:val="ListParagraph"/>
              <w:numPr>
                <w:ilvl w:val="0"/>
                <w:numId w:val="52"/>
              </w:numPr>
            </w:pPr>
            <w:r>
              <w:t>“</w:t>
            </w:r>
            <w:r w:rsidR="0028759A">
              <w:t xml:space="preserve">Results showed that getting married was followed by a </w:t>
            </w:r>
            <w:r w:rsidR="0028759A" w:rsidRPr="0064386B">
              <w:t>reduction in offending but only for early (age 18-21) and mid-range (age 22-24) marriages</w:t>
            </w:r>
            <w:r w:rsidRPr="0064386B">
              <w:t>”</w:t>
            </w:r>
            <w:r w:rsidR="0028759A" w:rsidRPr="0064386B">
              <w:t xml:space="preserve"> (p. 496).</w:t>
            </w:r>
          </w:p>
          <w:p w:rsidR="0064386B" w:rsidRDefault="0064386B" w:rsidP="0064386B">
            <w:pPr>
              <w:pStyle w:val="ListParagraph"/>
              <w:numPr>
                <w:ilvl w:val="0"/>
                <w:numId w:val="52"/>
              </w:numPr>
            </w:pPr>
            <w:r w:rsidRPr="0064386B">
              <w:t>“1.70 convictions (on average) during the five years before marriage, compared with 0.53 during the five years  after marriage; their controls incurred 1.51 convictions during the five years before marriage, compared with 1.00 during the five years after marriage” (p. 502).</w:t>
            </w:r>
          </w:p>
          <w:p w:rsidR="0064386B" w:rsidRDefault="0064386B" w:rsidP="0064386B">
            <w:pPr>
              <w:pStyle w:val="ListParagraph"/>
              <w:numPr>
                <w:ilvl w:val="0"/>
                <w:numId w:val="52"/>
              </w:numPr>
            </w:pPr>
            <w:r>
              <w:t>“</w:t>
            </w:r>
            <w:r w:rsidRPr="0064386B">
              <w:t xml:space="preserve">Comparing five years before with five years after marriage, the </w:t>
            </w:r>
            <w:proofErr w:type="gramStart"/>
            <w:r w:rsidRPr="0064386B">
              <w:t>decrease in convictions after marriage of cases was double</w:t>
            </w:r>
            <w:proofErr w:type="gramEnd"/>
            <w:r w:rsidRPr="0064386B">
              <w:t xml:space="preserve"> that of controls for early marriages, and there was a very similar pattern for mid-range marriages (73 percent for cases versus 35 percent for controls). Similar results were obtained in an analysis comparing prior convictions from age 10 to the age of marriage with subsequent convictions in the ten years after marriage (an 80% decrease for cases vs a 60% decrease for controls; t-test not significant)</w:t>
            </w:r>
            <w:r>
              <w:t>” (p. 503)</w:t>
            </w:r>
            <w:r w:rsidRPr="0064386B">
              <w:t>.</w:t>
            </w:r>
          </w:p>
          <w:p w:rsidR="0064386B" w:rsidRPr="0064386B" w:rsidRDefault="0064386B" w:rsidP="0064386B">
            <w:pPr>
              <w:pStyle w:val="ListParagraph"/>
              <w:numPr>
                <w:ilvl w:val="0"/>
                <w:numId w:val="52"/>
              </w:numPr>
            </w:pPr>
            <w:r w:rsidRPr="0064386B">
              <w:rPr>
                <w:highlight w:val="yellow"/>
              </w:rPr>
              <w:t>RTN to results</w:t>
            </w:r>
          </w:p>
        </w:tc>
      </w:tr>
      <w:tr w:rsidR="0028759A" w:rsidTr="00807CB8">
        <w:tc>
          <w:tcPr>
            <w:tcW w:w="2235" w:type="dxa"/>
          </w:tcPr>
          <w:p w:rsidR="0028759A" w:rsidRPr="00DC678E" w:rsidRDefault="0028759A" w:rsidP="00BC4DD4">
            <w:r w:rsidRPr="00DC678E">
              <w:rPr>
                <w:rFonts w:eastAsiaTheme="minorEastAsia"/>
                <w:lang w:eastAsia="en-AU"/>
              </w:rPr>
              <w:t>Theobald &amp; Farrington (2011).</w:t>
            </w:r>
            <w:r w:rsidR="00AD6456" w:rsidRPr="00DC678E">
              <w:rPr>
                <w:rFonts w:eastAsiaTheme="minorEastAsia"/>
                <w:lang w:eastAsia="en-AU"/>
              </w:rPr>
              <w:t xml:space="preserve"> Why do the crime-reduction effects of marriage vary with age?</w:t>
            </w:r>
          </w:p>
        </w:tc>
        <w:tc>
          <w:tcPr>
            <w:tcW w:w="2409" w:type="dxa"/>
          </w:tcPr>
          <w:p w:rsidR="0028759A" w:rsidRPr="00DC678E" w:rsidRDefault="00551BD3" w:rsidP="008A1B82">
            <w:r w:rsidRPr="00DC678E">
              <w:t>Quasi-experimental</w:t>
            </w:r>
            <w:r w:rsidR="0064386B" w:rsidRPr="00DC678E">
              <w:t xml:space="preserve"> Cambridge study in Delinquent Development – longitudinal survey.</w:t>
            </w:r>
          </w:p>
        </w:tc>
        <w:tc>
          <w:tcPr>
            <w:tcW w:w="3261" w:type="dxa"/>
          </w:tcPr>
          <w:p w:rsidR="0028759A" w:rsidRPr="00DC678E" w:rsidRDefault="0028759A" w:rsidP="00812ACA">
            <w:pPr>
              <w:pStyle w:val="ListParagraph"/>
              <w:numPr>
                <w:ilvl w:val="0"/>
                <w:numId w:val="53"/>
              </w:numPr>
            </w:pPr>
            <w:r w:rsidRPr="00DC678E">
              <w:t xml:space="preserve">U.K. </w:t>
            </w:r>
          </w:p>
          <w:p w:rsidR="0028759A" w:rsidRPr="00DC678E" w:rsidRDefault="0028759A" w:rsidP="0081062F">
            <w:pPr>
              <w:pStyle w:val="ListParagraph"/>
              <w:numPr>
                <w:ilvl w:val="0"/>
                <w:numId w:val="53"/>
              </w:numPr>
            </w:pPr>
            <w:r w:rsidRPr="00DC678E">
              <w:rPr>
                <w:i/>
              </w:rPr>
              <w:t>n=</w:t>
            </w:r>
            <w:r w:rsidR="00734DB1" w:rsidRPr="00DC678E">
              <w:t xml:space="preserve"> 411 males, 111 in study.</w:t>
            </w:r>
            <w:r w:rsidRPr="00DC678E">
              <w:t xml:space="preserve"> </w:t>
            </w:r>
          </w:p>
          <w:p w:rsidR="00551BD3" w:rsidRPr="00DC678E" w:rsidRDefault="0064386B" w:rsidP="00734DB1">
            <w:pPr>
              <w:pStyle w:val="ListParagraph"/>
              <w:numPr>
                <w:ilvl w:val="0"/>
                <w:numId w:val="53"/>
              </w:numPr>
            </w:pPr>
            <w:r w:rsidRPr="00DC678E">
              <w:t>Aged 18 and older</w:t>
            </w:r>
          </w:p>
        </w:tc>
        <w:tc>
          <w:tcPr>
            <w:tcW w:w="6269" w:type="dxa"/>
          </w:tcPr>
          <w:p w:rsidR="0064386B" w:rsidRPr="007A1158" w:rsidRDefault="0064386B" w:rsidP="00812ACA">
            <w:pPr>
              <w:pStyle w:val="ListParagraph"/>
              <w:numPr>
                <w:ilvl w:val="0"/>
                <w:numId w:val="53"/>
              </w:numPr>
              <w:rPr>
                <w:highlight w:val="yellow"/>
              </w:rPr>
            </w:pPr>
            <w:r w:rsidRPr="007A1158">
              <w:rPr>
                <w:highlight w:val="yellow"/>
              </w:rPr>
              <w:t>“</w:t>
            </w:r>
            <w:r w:rsidR="0028759A" w:rsidRPr="007A1158">
              <w:rPr>
                <w:highlight w:val="yellow"/>
              </w:rPr>
              <w:t>It was previously found that men who marry relatively early reduce their offending behaviour after marriage, unlike those who marry relatively later. Further analyses confirmed that the original findings were not ca</w:t>
            </w:r>
            <w:r w:rsidRPr="007A1158">
              <w:rPr>
                <w:highlight w:val="yellow"/>
              </w:rPr>
              <w:t>used by regression to the mean” (p. 136).</w:t>
            </w:r>
          </w:p>
          <w:p w:rsidR="0064386B" w:rsidRPr="007A1158" w:rsidRDefault="0064386B" w:rsidP="0064386B">
            <w:pPr>
              <w:pStyle w:val="ListParagraph"/>
              <w:numPr>
                <w:ilvl w:val="0"/>
                <w:numId w:val="53"/>
              </w:numPr>
              <w:rPr>
                <w:highlight w:val="yellow"/>
              </w:rPr>
            </w:pPr>
            <w:r w:rsidRPr="007A1158">
              <w:rPr>
                <w:highlight w:val="yellow"/>
              </w:rPr>
              <w:t>“</w:t>
            </w:r>
            <w:r w:rsidR="0028759A" w:rsidRPr="007A1158">
              <w:rPr>
                <w:highlight w:val="yellow"/>
              </w:rPr>
              <w:t xml:space="preserve">Comparisons between those who married at age 25 or older and those who married at 18-24 on risk factors at age </w:t>
            </w:r>
            <w:r w:rsidR="0028759A" w:rsidRPr="007A1158">
              <w:rPr>
                <w:highlight w:val="yellow"/>
              </w:rPr>
              <w:lastRenderedPageBreak/>
              <w:t>8-32 suggest that the later-married men tended to be more nervous, more likely to have experienced a broken home, to be drug users and binge-drinkers, to maintain aggressive attitudes from age 18 to 21, and to continue to go out with their male friends after marriage</w:t>
            </w:r>
            <w:r w:rsidRPr="007A1158">
              <w:rPr>
                <w:highlight w:val="yellow"/>
              </w:rPr>
              <w:t>” (p. 136).</w:t>
            </w:r>
            <w:r w:rsidR="0028759A" w:rsidRPr="007A1158">
              <w:rPr>
                <w:highlight w:val="yellow"/>
              </w:rPr>
              <w:t xml:space="preserve"> </w:t>
            </w:r>
          </w:p>
          <w:p w:rsidR="0028759A" w:rsidRPr="007A1158" w:rsidRDefault="0064386B" w:rsidP="0064386B">
            <w:pPr>
              <w:pStyle w:val="ListParagraph"/>
              <w:numPr>
                <w:ilvl w:val="0"/>
                <w:numId w:val="53"/>
              </w:numPr>
              <w:rPr>
                <w:highlight w:val="yellow"/>
              </w:rPr>
            </w:pPr>
            <w:r w:rsidRPr="007A1158">
              <w:rPr>
                <w:highlight w:val="yellow"/>
              </w:rPr>
              <w:t>“</w:t>
            </w:r>
            <w:r w:rsidR="0028759A" w:rsidRPr="007A1158">
              <w:rPr>
                <w:highlight w:val="yellow"/>
              </w:rPr>
              <w:t>The later-married men tended to marry older women who had less influence than younger women on their offending behaviour. They were more likely to be long-term low-rate offenders than those who married early</w:t>
            </w:r>
            <w:r w:rsidRPr="007A1158">
              <w:rPr>
                <w:highlight w:val="yellow"/>
              </w:rPr>
              <w:t>”</w:t>
            </w:r>
            <w:r w:rsidR="0028759A" w:rsidRPr="007A1158">
              <w:rPr>
                <w:highlight w:val="yellow"/>
              </w:rPr>
              <w:t xml:space="preserve"> (p. 136).</w:t>
            </w:r>
          </w:p>
        </w:tc>
      </w:tr>
      <w:tr w:rsidR="0028759A" w:rsidTr="00807CB8">
        <w:tc>
          <w:tcPr>
            <w:tcW w:w="2235" w:type="dxa"/>
          </w:tcPr>
          <w:p w:rsidR="0028759A" w:rsidRPr="0066225C" w:rsidRDefault="0028759A" w:rsidP="00FA44F3">
            <w:r w:rsidRPr="00515BDD">
              <w:lastRenderedPageBreak/>
              <w:t xml:space="preserve">Woodward, Fergusson, &amp; </w:t>
            </w:r>
            <w:proofErr w:type="spellStart"/>
            <w:r w:rsidRPr="00515BDD">
              <w:t>Horwood</w:t>
            </w:r>
            <w:proofErr w:type="spellEnd"/>
            <w:r w:rsidRPr="00515BDD">
              <w:t xml:space="preserve"> (2002).</w:t>
            </w:r>
            <w:r w:rsidR="007A1158">
              <w:t xml:space="preserve"> Romantic relationships of young people with childhood and adolescent onset antisocial behaviour problems.</w:t>
            </w:r>
          </w:p>
        </w:tc>
        <w:tc>
          <w:tcPr>
            <w:tcW w:w="2409" w:type="dxa"/>
          </w:tcPr>
          <w:p w:rsidR="0028759A" w:rsidRDefault="003C6A47" w:rsidP="008A1B82">
            <w:r>
              <w:t>Quasi-experimental</w:t>
            </w:r>
            <w:r w:rsidR="007A1158">
              <w:t xml:space="preserve"> Christchurch Health and Development Study (CHDS)</w:t>
            </w:r>
          </w:p>
          <w:p w:rsidR="007A1158" w:rsidRDefault="007A1158" w:rsidP="008A1B82">
            <w:r>
              <w:t>Longitudinal study</w:t>
            </w:r>
          </w:p>
        </w:tc>
        <w:tc>
          <w:tcPr>
            <w:tcW w:w="3261" w:type="dxa"/>
          </w:tcPr>
          <w:p w:rsidR="0028759A" w:rsidRDefault="0028759A" w:rsidP="00812ACA">
            <w:pPr>
              <w:pStyle w:val="ListParagraph"/>
              <w:numPr>
                <w:ilvl w:val="0"/>
                <w:numId w:val="54"/>
              </w:numPr>
            </w:pPr>
            <w:r>
              <w:t>New Zealand</w:t>
            </w:r>
            <w:r w:rsidR="007F7C84">
              <w:t>.</w:t>
            </w:r>
          </w:p>
          <w:p w:rsidR="001663A9" w:rsidRDefault="00DC678E" w:rsidP="00812ACA">
            <w:pPr>
              <w:pStyle w:val="ListParagraph"/>
              <w:numPr>
                <w:ilvl w:val="0"/>
                <w:numId w:val="54"/>
              </w:numPr>
            </w:pPr>
            <w:r>
              <w:t xml:space="preserve">Original sample </w:t>
            </w:r>
            <w:r w:rsidR="0028759A">
              <w:t xml:space="preserve">– 1,265 children – 635 males and 630 females born in 1977. </w:t>
            </w:r>
          </w:p>
          <w:p w:rsidR="0028759A" w:rsidRDefault="0028759A" w:rsidP="00812ACA">
            <w:pPr>
              <w:pStyle w:val="ListParagraph"/>
              <w:numPr>
                <w:ilvl w:val="0"/>
                <w:numId w:val="54"/>
              </w:numPr>
            </w:pPr>
            <w:r>
              <w:t>Used sample of 495 (201 males, 294 females)</w:t>
            </w:r>
          </w:p>
        </w:tc>
        <w:tc>
          <w:tcPr>
            <w:tcW w:w="6269" w:type="dxa"/>
          </w:tcPr>
          <w:p w:rsidR="0028759A" w:rsidRDefault="007A1158" w:rsidP="00812ACA">
            <w:pPr>
              <w:pStyle w:val="ListParagraph"/>
              <w:numPr>
                <w:ilvl w:val="0"/>
                <w:numId w:val="54"/>
              </w:numPr>
            </w:pPr>
            <w:r>
              <w:t>“</w:t>
            </w:r>
            <w:r w:rsidR="0028759A" w:rsidRPr="001663A9">
              <w:rPr>
                <w:highlight w:val="yellow"/>
              </w:rPr>
              <w:t xml:space="preserve">Results revealed the presence of clear linear associations between the developmental timing of antisocial behaviour and alter partnership risks, with these risks including partner violence perpetrated and victimization, </w:t>
            </w:r>
            <w:proofErr w:type="spellStart"/>
            <w:r w:rsidR="0028759A" w:rsidRPr="001663A9">
              <w:rPr>
                <w:highlight w:val="yellow"/>
              </w:rPr>
              <w:t>interpartner</w:t>
            </w:r>
            <w:proofErr w:type="spellEnd"/>
            <w:r w:rsidR="0028759A" w:rsidRPr="001663A9">
              <w:rPr>
                <w:highlight w:val="yellow"/>
              </w:rPr>
              <w:t xml:space="preserve"> conflict, and increased ambivalence about the relationship</w:t>
            </w:r>
            <w:r w:rsidRPr="001663A9">
              <w:rPr>
                <w:highlight w:val="yellow"/>
              </w:rPr>
              <w:t>”</w:t>
            </w:r>
            <w:r w:rsidR="0028759A" w:rsidRPr="001663A9">
              <w:rPr>
                <w:highlight w:val="yellow"/>
              </w:rPr>
              <w:t xml:space="preserve"> (p. 231).</w:t>
            </w:r>
          </w:p>
        </w:tc>
      </w:tr>
      <w:tr w:rsidR="0028759A" w:rsidTr="00807CB8">
        <w:tc>
          <w:tcPr>
            <w:tcW w:w="2235" w:type="dxa"/>
          </w:tcPr>
          <w:p w:rsidR="0028759A" w:rsidRPr="0066225C" w:rsidRDefault="0028759A" w:rsidP="00FA44F3">
            <w:proofErr w:type="spellStart"/>
            <w:r w:rsidRPr="00515BDD">
              <w:rPr>
                <w:rFonts w:eastAsiaTheme="minorEastAsia"/>
                <w:lang w:eastAsia="en-AU"/>
              </w:rPr>
              <w:t>Zoutewelle-Terovan</w:t>
            </w:r>
            <w:proofErr w:type="spellEnd"/>
            <w:r w:rsidRPr="00515BDD">
              <w:rPr>
                <w:rFonts w:eastAsiaTheme="minorEastAsia"/>
                <w:lang w:eastAsia="en-AU"/>
              </w:rPr>
              <w:t xml:space="preserve">, Geest, </w:t>
            </w:r>
            <w:proofErr w:type="spellStart"/>
            <w:r w:rsidRPr="00515BDD">
              <w:rPr>
                <w:rFonts w:eastAsiaTheme="minorEastAsia"/>
                <w:lang w:eastAsia="en-AU"/>
              </w:rPr>
              <w:t>Liefbroer</w:t>
            </w:r>
            <w:proofErr w:type="spellEnd"/>
            <w:r w:rsidRPr="00515BDD">
              <w:rPr>
                <w:rFonts w:eastAsiaTheme="minorEastAsia"/>
                <w:lang w:eastAsia="en-AU"/>
              </w:rPr>
              <w:t xml:space="preserve">, </w:t>
            </w:r>
            <w:r>
              <w:rPr>
                <w:rFonts w:eastAsiaTheme="minorEastAsia"/>
                <w:lang w:eastAsia="en-AU"/>
              </w:rPr>
              <w:t xml:space="preserve">&amp; </w:t>
            </w:r>
            <w:proofErr w:type="spellStart"/>
            <w:r w:rsidRPr="00515BDD">
              <w:rPr>
                <w:rFonts w:eastAsiaTheme="minorEastAsia"/>
                <w:lang w:eastAsia="en-AU"/>
              </w:rPr>
              <w:t>Bijleveld</w:t>
            </w:r>
            <w:proofErr w:type="spellEnd"/>
            <w:r w:rsidRPr="00515BDD">
              <w:rPr>
                <w:rFonts w:eastAsiaTheme="minorEastAsia"/>
                <w:lang w:eastAsia="en-AU"/>
              </w:rPr>
              <w:t xml:space="preserve"> (2012).</w:t>
            </w:r>
            <w:r w:rsidR="001663A9">
              <w:rPr>
                <w:rFonts w:eastAsiaTheme="minorEastAsia"/>
                <w:lang w:eastAsia="en-AU"/>
              </w:rPr>
              <w:t xml:space="preserve"> Criminality and family formation: Effects of marriage and parenthood on criminal </w:t>
            </w:r>
            <w:proofErr w:type="spellStart"/>
            <w:r w:rsidR="001663A9">
              <w:rPr>
                <w:rFonts w:eastAsiaTheme="minorEastAsia"/>
                <w:lang w:eastAsia="en-AU"/>
              </w:rPr>
              <w:t>behavior</w:t>
            </w:r>
            <w:proofErr w:type="spellEnd"/>
            <w:r w:rsidR="001663A9">
              <w:rPr>
                <w:rFonts w:eastAsiaTheme="minorEastAsia"/>
                <w:lang w:eastAsia="en-AU"/>
              </w:rPr>
              <w:t xml:space="preserve"> for men and women.</w:t>
            </w:r>
          </w:p>
        </w:tc>
        <w:tc>
          <w:tcPr>
            <w:tcW w:w="2409" w:type="dxa"/>
          </w:tcPr>
          <w:p w:rsidR="0028759A" w:rsidRDefault="00551BD3" w:rsidP="008A1B82">
            <w:r>
              <w:t xml:space="preserve">Quasi-experimental  </w:t>
            </w:r>
            <w:r w:rsidR="001663A9">
              <w:t>Longitudinal data</w:t>
            </w:r>
          </w:p>
          <w:p w:rsidR="001663A9" w:rsidRDefault="001663A9" w:rsidP="008A1B82">
            <w:r>
              <w:t>21 year follow up</w:t>
            </w:r>
          </w:p>
        </w:tc>
        <w:tc>
          <w:tcPr>
            <w:tcW w:w="3261" w:type="dxa"/>
          </w:tcPr>
          <w:p w:rsidR="0028759A" w:rsidRDefault="0028759A" w:rsidP="00812ACA">
            <w:pPr>
              <w:pStyle w:val="ListParagraph"/>
              <w:numPr>
                <w:ilvl w:val="0"/>
                <w:numId w:val="55"/>
              </w:numPr>
            </w:pPr>
            <w:r>
              <w:t>Netherlands</w:t>
            </w:r>
            <w:r w:rsidR="007F7C84">
              <w:t>.</w:t>
            </w:r>
          </w:p>
          <w:p w:rsidR="0028759A" w:rsidRDefault="0028759A" w:rsidP="00812ACA">
            <w:pPr>
              <w:pStyle w:val="ListParagraph"/>
              <w:numPr>
                <w:ilvl w:val="0"/>
                <w:numId w:val="55"/>
              </w:numPr>
            </w:pPr>
            <w:r>
              <w:t xml:space="preserve">540 </w:t>
            </w:r>
            <w:r w:rsidR="00551BD3">
              <w:t xml:space="preserve">– 270 </w:t>
            </w:r>
            <w:r>
              <w:t xml:space="preserve">men and </w:t>
            </w:r>
            <w:r w:rsidR="00551BD3">
              <w:t xml:space="preserve">270 </w:t>
            </w:r>
            <w:r>
              <w:t>w</w:t>
            </w:r>
            <w:r w:rsidR="003A22E1">
              <w:t>omen born between 1969 and 1977.</w:t>
            </w:r>
          </w:p>
          <w:p w:rsidR="00551BD3" w:rsidRDefault="00551BD3" w:rsidP="001663A9"/>
        </w:tc>
        <w:tc>
          <w:tcPr>
            <w:tcW w:w="6269" w:type="dxa"/>
          </w:tcPr>
          <w:p w:rsidR="001663A9" w:rsidRDefault="001663A9" w:rsidP="00812ACA">
            <w:pPr>
              <w:pStyle w:val="ListParagraph"/>
              <w:numPr>
                <w:ilvl w:val="0"/>
                <w:numId w:val="55"/>
              </w:numPr>
            </w:pPr>
            <w:r>
              <w:t>“</w:t>
            </w:r>
            <w:r w:rsidR="0028759A" w:rsidRPr="001663A9">
              <w:t>Findings for men support the hypothesis that marriage promotes desistance from serious offending</w:t>
            </w:r>
            <w:r>
              <w:t xml:space="preserve"> (37% reduction (</w:t>
            </w:r>
            <w:r>
              <w:rPr>
                <w:i/>
              </w:rPr>
              <w:t>p&lt;.</w:t>
            </w:r>
            <w:r>
              <w:t>01))</w:t>
            </w:r>
            <w:r w:rsidR="0028759A" w:rsidRPr="001663A9">
              <w:t>. Males additionally benefit from parenthood</w:t>
            </w:r>
            <w:r w:rsidR="00F71884">
              <w:t xml:space="preserve"> (33% reduction (</w:t>
            </w:r>
            <w:r w:rsidR="00F71884">
              <w:rPr>
                <w:i/>
              </w:rPr>
              <w:t>p</w:t>
            </w:r>
            <w:r w:rsidR="00F71884">
              <w:t>&lt;.001)</w:t>
            </w:r>
            <w:r w:rsidR="0028759A" w:rsidRPr="001663A9">
              <w:t xml:space="preserve">, and from having a first child </w:t>
            </w:r>
            <w:r w:rsidR="00F71884">
              <w:t xml:space="preserve">(36% reduction) </w:t>
            </w:r>
            <w:r w:rsidR="0028759A" w:rsidRPr="001663A9">
              <w:t>in particular. Furthermore, although parenthood reduces offending more strongly than marriage, the ‘full family pa</w:t>
            </w:r>
            <w:r>
              <w:t>ckage’ brings the most benefit” (p. 1).</w:t>
            </w:r>
          </w:p>
          <w:p w:rsidR="0028759A" w:rsidRPr="001663A9" w:rsidRDefault="001663A9" w:rsidP="00812ACA">
            <w:pPr>
              <w:pStyle w:val="ListParagraph"/>
              <w:numPr>
                <w:ilvl w:val="0"/>
                <w:numId w:val="55"/>
              </w:numPr>
            </w:pPr>
            <w:r>
              <w:t>“</w:t>
            </w:r>
            <w:r w:rsidR="0028759A" w:rsidRPr="001663A9">
              <w:t>Female offending patterns were not significantly influenced by marital status or motherhood</w:t>
            </w:r>
            <w:r>
              <w:t>”</w:t>
            </w:r>
            <w:r w:rsidR="0028759A" w:rsidRPr="001663A9">
              <w:t xml:space="preserve"> (p. 1).</w:t>
            </w:r>
          </w:p>
        </w:tc>
      </w:tr>
    </w:tbl>
    <w:p w:rsidR="00E92304" w:rsidRDefault="00E92304">
      <w:r>
        <w:br w:type="page"/>
      </w:r>
    </w:p>
    <w:tbl>
      <w:tblPr>
        <w:tblStyle w:val="TableGrid"/>
        <w:tblW w:w="0" w:type="auto"/>
        <w:tblLook w:val="04A0"/>
      </w:tblPr>
      <w:tblGrid>
        <w:gridCol w:w="2235"/>
        <w:gridCol w:w="2409"/>
        <w:gridCol w:w="3261"/>
        <w:gridCol w:w="6269"/>
      </w:tblGrid>
      <w:tr w:rsidR="0028759A" w:rsidTr="00556AC1">
        <w:tc>
          <w:tcPr>
            <w:tcW w:w="14174" w:type="dxa"/>
            <w:gridSpan w:val="4"/>
          </w:tcPr>
          <w:p w:rsidR="0028759A" w:rsidRDefault="0028759A" w:rsidP="00446B7F">
            <w:pPr>
              <w:spacing w:line="360" w:lineRule="auto"/>
            </w:pPr>
            <w:r w:rsidRPr="001158A0">
              <w:rPr>
                <w:b/>
                <w:i/>
                <w:highlight w:val="yellow"/>
              </w:rPr>
              <w:lastRenderedPageBreak/>
              <w:t>Peers/other factors</w:t>
            </w:r>
          </w:p>
        </w:tc>
      </w:tr>
      <w:tr w:rsidR="008B7FEE" w:rsidTr="00807CB8">
        <w:tc>
          <w:tcPr>
            <w:tcW w:w="2235" w:type="dxa"/>
          </w:tcPr>
          <w:p w:rsidR="008B7FEE" w:rsidRPr="00515BDD" w:rsidRDefault="008B7FEE" w:rsidP="00FA44F3"/>
        </w:tc>
        <w:tc>
          <w:tcPr>
            <w:tcW w:w="2409" w:type="dxa"/>
          </w:tcPr>
          <w:p w:rsidR="008B7FEE" w:rsidRDefault="008B7FEE" w:rsidP="008A1B82"/>
        </w:tc>
        <w:tc>
          <w:tcPr>
            <w:tcW w:w="3261" w:type="dxa"/>
          </w:tcPr>
          <w:p w:rsidR="008B7FEE" w:rsidRDefault="008B7FEE" w:rsidP="00812ACA">
            <w:pPr>
              <w:pStyle w:val="ListParagraph"/>
              <w:numPr>
                <w:ilvl w:val="0"/>
                <w:numId w:val="58"/>
              </w:numPr>
            </w:pPr>
          </w:p>
        </w:tc>
        <w:tc>
          <w:tcPr>
            <w:tcW w:w="6269" w:type="dxa"/>
          </w:tcPr>
          <w:p w:rsidR="008B7FEE" w:rsidRDefault="008B7FEE" w:rsidP="00812ACA">
            <w:pPr>
              <w:pStyle w:val="ListParagraph"/>
              <w:numPr>
                <w:ilvl w:val="0"/>
                <w:numId w:val="58"/>
              </w:numPr>
            </w:pPr>
          </w:p>
        </w:tc>
      </w:tr>
      <w:tr w:rsidR="0028759A" w:rsidTr="00807CB8">
        <w:tc>
          <w:tcPr>
            <w:tcW w:w="2235" w:type="dxa"/>
          </w:tcPr>
          <w:p w:rsidR="0028759A" w:rsidRPr="0066225C" w:rsidRDefault="0028759A" w:rsidP="00FA44F3">
            <w:proofErr w:type="spellStart"/>
            <w:r w:rsidRPr="00515BDD">
              <w:t>Massoglia</w:t>
            </w:r>
            <w:proofErr w:type="spellEnd"/>
            <w:r>
              <w:t xml:space="preserve"> </w:t>
            </w:r>
            <w:r w:rsidRPr="00515BDD">
              <w:t xml:space="preserve">&amp; </w:t>
            </w:r>
            <w:proofErr w:type="spellStart"/>
            <w:r w:rsidRPr="00515BDD">
              <w:t>Uggen</w:t>
            </w:r>
            <w:proofErr w:type="spellEnd"/>
            <w:r w:rsidRPr="00515BDD">
              <w:t xml:space="preserve"> (2010).</w:t>
            </w:r>
            <w:r w:rsidR="00480F95">
              <w:t xml:space="preserve"> Settling down and aging out: Toward an interactionist theory of desistance and the transition to adulthood.</w:t>
            </w:r>
          </w:p>
        </w:tc>
        <w:tc>
          <w:tcPr>
            <w:tcW w:w="2409" w:type="dxa"/>
          </w:tcPr>
          <w:p w:rsidR="00310BE7" w:rsidRDefault="003C6A47" w:rsidP="00310BE7">
            <w:r>
              <w:t>Quasi-experimental</w:t>
            </w:r>
            <w:r w:rsidR="00310BE7">
              <w:t xml:space="preserve"> Longitudinal Youth Development Study survey data and interview data</w:t>
            </w:r>
          </w:p>
          <w:p w:rsidR="0028759A" w:rsidRDefault="0028759A" w:rsidP="008A1B82"/>
        </w:tc>
        <w:tc>
          <w:tcPr>
            <w:tcW w:w="3261" w:type="dxa"/>
          </w:tcPr>
          <w:p w:rsidR="0028759A" w:rsidRDefault="0028759A" w:rsidP="00812ACA">
            <w:pPr>
              <w:pStyle w:val="ListParagraph"/>
              <w:numPr>
                <w:ilvl w:val="0"/>
                <w:numId w:val="58"/>
              </w:numPr>
            </w:pPr>
            <w:r>
              <w:t xml:space="preserve">U.S.A. </w:t>
            </w:r>
          </w:p>
          <w:p w:rsidR="0028759A" w:rsidRDefault="0028759A" w:rsidP="003A22E1">
            <w:pPr>
              <w:pStyle w:val="ListParagraph"/>
              <w:numPr>
                <w:ilvl w:val="0"/>
                <w:numId w:val="58"/>
              </w:numPr>
            </w:pPr>
            <w:r>
              <w:rPr>
                <w:i/>
              </w:rPr>
              <w:t>n=</w:t>
            </w:r>
            <w:r>
              <w:t xml:space="preserve"> 708, approx. 75% white, and 43% male</w:t>
            </w:r>
            <w:r w:rsidR="003A22E1">
              <w:t>.</w:t>
            </w:r>
          </w:p>
        </w:tc>
        <w:tc>
          <w:tcPr>
            <w:tcW w:w="6269" w:type="dxa"/>
          </w:tcPr>
          <w:p w:rsidR="0028759A" w:rsidRDefault="00480F95" w:rsidP="00812ACA">
            <w:pPr>
              <w:pStyle w:val="ListParagraph"/>
              <w:numPr>
                <w:ilvl w:val="0"/>
                <w:numId w:val="58"/>
              </w:numPr>
            </w:pPr>
            <w:r>
              <w:t>“</w:t>
            </w:r>
            <w:r w:rsidR="0028759A">
              <w:t>People who persist in delinquency will be less likely to view themselves as adults, less likely to achieve behaviour markers of adulthood, and less likely to make timely adult transitions than others their age. Settling down or desisting from delinquency is an important part of the package of role behaviours that define adulthood</w:t>
            </w:r>
            <w:r>
              <w:t>”</w:t>
            </w:r>
            <w:r w:rsidR="0028759A">
              <w:t xml:space="preserve"> (p. 543).</w:t>
            </w:r>
          </w:p>
          <w:p w:rsidR="00480F95" w:rsidRDefault="00480F95" w:rsidP="00812ACA">
            <w:pPr>
              <w:pStyle w:val="ListParagraph"/>
              <w:numPr>
                <w:ilvl w:val="0"/>
                <w:numId w:val="58"/>
              </w:numPr>
            </w:pPr>
            <w:r w:rsidRPr="00480F95">
              <w:rPr>
                <w:highlight w:val="yellow"/>
              </w:rPr>
              <w:t>Return to results</w:t>
            </w:r>
          </w:p>
        </w:tc>
      </w:tr>
      <w:tr w:rsidR="0028759A" w:rsidTr="00807CB8">
        <w:tc>
          <w:tcPr>
            <w:tcW w:w="2235" w:type="dxa"/>
          </w:tcPr>
          <w:p w:rsidR="0028759A" w:rsidRPr="0066225C" w:rsidRDefault="0028759A" w:rsidP="00FA44F3">
            <w:proofErr w:type="spellStart"/>
            <w:r w:rsidRPr="00515BDD">
              <w:t>Maume</w:t>
            </w:r>
            <w:proofErr w:type="spellEnd"/>
            <w:r w:rsidRPr="00515BDD">
              <w:t xml:space="preserve">, </w:t>
            </w:r>
            <w:proofErr w:type="spellStart"/>
            <w:r w:rsidRPr="00515BDD">
              <w:t>Ousey</w:t>
            </w:r>
            <w:proofErr w:type="spellEnd"/>
            <w:r w:rsidRPr="00515BDD">
              <w:t xml:space="preserve">, </w:t>
            </w:r>
            <w:r>
              <w:t xml:space="preserve">&amp; Beaver </w:t>
            </w:r>
            <w:r w:rsidRPr="00515BDD">
              <w:t>(2005).</w:t>
            </w:r>
            <w:r w:rsidR="00480F95">
              <w:t xml:space="preserve"> Cutting the grass: A re-examination of the link between martial attachment, delinquent peers and desistance from marijuana</w:t>
            </w:r>
            <w:bookmarkStart w:id="0" w:name="_GoBack"/>
            <w:bookmarkEnd w:id="0"/>
            <w:r w:rsidR="00480F95">
              <w:t xml:space="preserve"> use. </w:t>
            </w:r>
          </w:p>
        </w:tc>
        <w:tc>
          <w:tcPr>
            <w:tcW w:w="2409" w:type="dxa"/>
          </w:tcPr>
          <w:p w:rsidR="00310BE7" w:rsidRDefault="003C6A47" w:rsidP="00310BE7">
            <w:r>
              <w:t>Quasi-experimental</w:t>
            </w:r>
            <w:r w:rsidR="00310BE7">
              <w:t xml:space="preserve"> National Youth Survey waves 5 and 6 </w:t>
            </w:r>
          </w:p>
          <w:p w:rsidR="0028759A" w:rsidRDefault="0028759A" w:rsidP="008A1B82"/>
        </w:tc>
        <w:tc>
          <w:tcPr>
            <w:tcW w:w="3261" w:type="dxa"/>
          </w:tcPr>
          <w:p w:rsidR="0028759A" w:rsidRDefault="0028759A" w:rsidP="00812ACA">
            <w:pPr>
              <w:pStyle w:val="ListParagraph"/>
              <w:numPr>
                <w:ilvl w:val="0"/>
                <w:numId w:val="59"/>
              </w:numPr>
            </w:pPr>
            <w:r>
              <w:t>U.S.A.</w:t>
            </w:r>
          </w:p>
          <w:p w:rsidR="0028759A" w:rsidRDefault="0028759A" w:rsidP="003A22E1">
            <w:pPr>
              <w:pStyle w:val="ListParagraph"/>
              <w:numPr>
                <w:ilvl w:val="0"/>
                <w:numId w:val="59"/>
              </w:numPr>
            </w:pPr>
            <w:r>
              <w:t xml:space="preserve">Aged 11-17 in 1977 </w:t>
            </w:r>
            <w:r>
              <w:rPr>
                <w:i/>
              </w:rPr>
              <w:t xml:space="preserve">n= </w:t>
            </w:r>
            <w:r>
              <w:t>593</w:t>
            </w:r>
            <w:r w:rsidR="003A22E1">
              <w:t>,</w:t>
            </w:r>
            <w:r>
              <w:t xml:space="preserve"> male 56.5%, non-white 19%</w:t>
            </w:r>
            <w:r w:rsidR="003A22E1">
              <w:t>.</w:t>
            </w:r>
          </w:p>
        </w:tc>
        <w:tc>
          <w:tcPr>
            <w:tcW w:w="6269" w:type="dxa"/>
          </w:tcPr>
          <w:p w:rsidR="0028759A" w:rsidRDefault="0028759A" w:rsidP="00812ACA">
            <w:pPr>
              <w:pStyle w:val="ListParagraph"/>
              <w:numPr>
                <w:ilvl w:val="0"/>
                <w:numId w:val="59"/>
              </w:numPr>
            </w:pPr>
            <w:r>
              <w:t xml:space="preserve">Although change in delinquent peer association is a powerful predictor of marijuana desistance, findings are also consistent with the control theory interpretation of the marriage effect (p. 27). </w:t>
            </w:r>
          </w:p>
        </w:tc>
      </w:tr>
      <w:tr w:rsidR="0028759A" w:rsidTr="00807CB8">
        <w:tc>
          <w:tcPr>
            <w:tcW w:w="2235" w:type="dxa"/>
          </w:tcPr>
          <w:p w:rsidR="0028759A" w:rsidRPr="0066225C" w:rsidRDefault="0028759A" w:rsidP="00FA44F3">
            <w:r w:rsidRPr="00515BDD">
              <w:rPr>
                <w:lang w:val="de-DE"/>
              </w:rPr>
              <w:t>Monahan, Steinberg</w:t>
            </w:r>
            <w:r>
              <w:rPr>
                <w:lang w:val="de-DE"/>
              </w:rPr>
              <w:t xml:space="preserve">, </w:t>
            </w:r>
            <w:r w:rsidRPr="00515BDD">
              <w:rPr>
                <w:lang w:val="de-DE"/>
              </w:rPr>
              <w:t>&amp; Cauffman (</w:t>
            </w:r>
            <w:r w:rsidRPr="00515BDD">
              <w:t>2009).</w:t>
            </w:r>
          </w:p>
        </w:tc>
        <w:tc>
          <w:tcPr>
            <w:tcW w:w="2409" w:type="dxa"/>
          </w:tcPr>
          <w:p w:rsidR="0028759A" w:rsidRDefault="003C6A47" w:rsidP="008A1B82">
            <w:r>
              <w:t>Quasi-experimental</w:t>
            </w:r>
            <w:r w:rsidR="00310BE7">
              <w:t xml:space="preserve"> Longitudinal study</w:t>
            </w:r>
          </w:p>
        </w:tc>
        <w:tc>
          <w:tcPr>
            <w:tcW w:w="3261" w:type="dxa"/>
          </w:tcPr>
          <w:p w:rsidR="0028759A" w:rsidRDefault="0028759A" w:rsidP="00812ACA">
            <w:pPr>
              <w:pStyle w:val="ListParagraph"/>
              <w:numPr>
                <w:ilvl w:val="0"/>
                <w:numId w:val="61"/>
              </w:numPr>
            </w:pPr>
            <w:r>
              <w:t xml:space="preserve">U.S.A. </w:t>
            </w:r>
          </w:p>
          <w:p w:rsidR="0028759A" w:rsidRDefault="0028759A" w:rsidP="00812ACA">
            <w:pPr>
              <w:pStyle w:val="ListParagraph"/>
              <w:numPr>
                <w:ilvl w:val="0"/>
                <w:numId w:val="61"/>
              </w:numPr>
            </w:pPr>
            <w:r>
              <w:t>1,354 youth, 1,170 male, 184 female</w:t>
            </w:r>
            <w:r w:rsidR="003A22E1">
              <w:t>.</w:t>
            </w:r>
          </w:p>
          <w:p w:rsidR="0028759A" w:rsidRDefault="0028759A" w:rsidP="00812ACA">
            <w:pPr>
              <w:pStyle w:val="ListParagraph"/>
              <w:numPr>
                <w:ilvl w:val="0"/>
                <w:numId w:val="61"/>
              </w:numPr>
            </w:pPr>
            <w:r w:rsidRPr="00A46B3C">
              <w:rPr>
                <w:highlight w:val="yellow"/>
              </w:rPr>
              <w:t>Aged 14-17</w:t>
            </w:r>
            <w:r>
              <w:t xml:space="preserve"> at time of participation</w:t>
            </w:r>
            <w:r w:rsidR="003A22E1">
              <w:t>.</w:t>
            </w:r>
          </w:p>
          <w:p w:rsidR="0028759A" w:rsidRDefault="0028759A" w:rsidP="003A22E1">
            <w:pPr>
              <w:pStyle w:val="ListParagraph"/>
              <w:numPr>
                <w:ilvl w:val="0"/>
                <w:numId w:val="61"/>
              </w:numPr>
            </w:pPr>
            <w:r>
              <w:t>41.5% African American, 33.5% Hispanic American, 20.2% non-Hispanic Caucasian and 4.8% other ethnicities</w:t>
            </w:r>
            <w:r w:rsidR="003A22E1">
              <w:t>.</w:t>
            </w:r>
          </w:p>
        </w:tc>
        <w:tc>
          <w:tcPr>
            <w:tcW w:w="6269" w:type="dxa"/>
          </w:tcPr>
          <w:p w:rsidR="0028759A" w:rsidRDefault="0028759A" w:rsidP="00812ACA">
            <w:pPr>
              <w:pStyle w:val="ListParagraph"/>
              <w:numPr>
                <w:ilvl w:val="0"/>
                <w:numId w:val="61"/>
              </w:numPr>
            </w:pPr>
            <w:r>
              <w:t xml:space="preserve">Find evidence that antisocial individuals choose to affiliate with deviant peers, and that affiliating with deviant peers is associated with individual’s own delinquency, these complementary processes of selection and socialisation operate in different developmental periods. In middle adolescence, both selection and socialisation serve to make peers similar in antisocial behaviour but from ages 16-20, only socialisation appears to be important. After age 20, the impact of peers on antisocial behaviour disappears as individuals become increasingly resistant to </w:t>
            </w:r>
            <w:proofErr w:type="gramStart"/>
            <w:r>
              <w:t>peer</w:t>
            </w:r>
            <w:proofErr w:type="gramEnd"/>
            <w:r>
              <w:t xml:space="preserve"> influence, suggesting that the process of desistance from antisocial behaviour may be tied to normative changes in </w:t>
            </w:r>
            <w:r>
              <w:lastRenderedPageBreak/>
              <w:t>peer relations that occur as individuals mature socially and emotionally (p. 1520).</w:t>
            </w:r>
          </w:p>
        </w:tc>
      </w:tr>
      <w:tr w:rsidR="0028759A" w:rsidTr="00807CB8">
        <w:tc>
          <w:tcPr>
            <w:tcW w:w="2235" w:type="dxa"/>
          </w:tcPr>
          <w:p w:rsidR="0028759A" w:rsidRPr="0066225C" w:rsidRDefault="0028759A" w:rsidP="00FA44F3">
            <w:proofErr w:type="spellStart"/>
            <w:r>
              <w:lastRenderedPageBreak/>
              <w:t>Morizot</w:t>
            </w:r>
            <w:proofErr w:type="spellEnd"/>
            <w:r>
              <w:t xml:space="preserve"> </w:t>
            </w:r>
            <w:r w:rsidRPr="00515BDD">
              <w:t>&amp; Le Blanc</w:t>
            </w:r>
            <w:r>
              <w:t xml:space="preserve"> </w:t>
            </w:r>
            <w:r w:rsidRPr="00515BDD">
              <w:t>(2007).</w:t>
            </w:r>
          </w:p>
        </w:tc>
        <w:tc>
          <w:tcPr>
            <w:tcW w:w="2409" w:type="dxa"/>
          </w:tcPr>
          <w:p w:rsidR="0028759A" w:rsidRDefault="003C6A47" w:rsidP="008A1B82">
            <w:r>
              <w:t>Quasi-experimental</w:t>
            </w:r>
          </w:p>
        </w:tc>
        <w:tc>
          <w:tcPr>
            <w:tcW w:w="3261" w:type="dxa"/>
          </w:tcPr>
          <w:p w:rsidR="0028759A" w:rsidRDefault="0028759A" w:rsidP="00812ACA">
            <w:pPr>
              <w:pStyle w:val="ListParagraph"/>
              <w:numPr>
                <w:ilvl w:val="0"/>
                <w:numId w:val="62"/>
              </w:numPr>
            </w:pPr>
            <w:r>
              <w:t>Canada</w:t>
            </w:r>
            <w:r w:rsidR="007F7C84">
              <w:t>.</w:t>
            </w:r>
            <w:r>
              <w:t xml:space="preserve"> </w:t>
            </w:r>
          </w:p>
          <w:p w:rsidR="0028759A" w:rsidRDefault="0028759A" w:rsidP="00812ACA">
            <w:pPr>
              <w:pStyle w:val="ListParagraph"/>
              <w:numPr>
                <w:ilvl w:val="0"/>
                <w:numId w:val="62"/>
              </w:numPr>
            </w:pPr>
            <w:r>
              <w:t>Data from MTSLS used, men recruited in middle of 1970s</w:t>
            </w:r>
            <w:r w:rsidR="003A22E1">
              <w:t>.</w:t>
            </w:r>
          </w:p>
          <w:p w:rsidR="0028759A" w:rsidRDefault="0028759A" w:rsidP="003A22E1">
            <w:pPr>
              <w:pStyle w:val="ListParagraph"/>
              <w:numPr>
                <w:ilvl w:val="0"/>
                <w:numId w:val="62"/>
              </w:numPr>
            </w:pPr>
            <w:r>
              <w:t>Beginning sample 470 boys aged 13-17 (1974-1975) followed up four more times until mean age of 41.</w:t>
            </w:r>
          </w:p>
        </w:tc>
        <w:tc>
          <w:tcPr>
            <w:tcW w:w="6269" w:type="dxa"/>
          </w:tcPr>
          <w:p w:rsidR="0028759A" w:rsidRDefault="0028759A" w:rsidP="00812ACA">
            <w:pPr>
              <w:pStyle w:val="ListParagraph"/>
              <w:numPr>
                <w:ilvl w:val="0"/>
                <w:numId w:val="62"/>
              </w:numPr>
            </w:pPr>
            <w:r>
              <w:t>The launch effect model suggests that very few self- or social control variables can predict trajectories of desistance from crime throughout a 25 year period. The contemporaneous effect model reveals that some measures of self- and social control accelerate (or restrain) the desistance process, but only at specific developmental periods (p. 50).</w:t>
            </w:r>
          </w:p>
        </w:tc>
      </w:tr>
      <w:tr w:rsidR="0028759A" w:rsidTr="00807CB8">
        <w:tc>
          <w:tcPr>
            <w:tcW w:w="2235" w:type="dxa"/>
          </w:tcPr>
          <w:p w:rsidR="0028759A" w:rsidRPr="0066225C" w:rsidRDefault="0028759A" w:rsidP="00FA44F3">
            <w:proofErr w:type="spellStart"/>
            <w:r w:rsidRPr="00515BDD">
              <w:t>Poulton</w:t>
            </w:r>
            <w:proofErr w:type="spellEnd"/>
            <w:r w:rsidRPr="00515BDD">
              <w:t xml:space="preserve">, </w:t>
            </w:r>
            <w:proofErr w:type="spellStart"/>
            <w:r w:rsidRPr="00515BDD">
              <w:t>Caspi</w:t>
            </w:r>
            <w:proofErr w:type="spellEnd"/>
            <w:r w:rsidRPr="00515BDD">
              <w:t>, Milne, Thompson, Taylor, Sears, &amp; Moffitt (2002).</w:t>
            </w:r>
          </w:p>
        </w:tc>
        <w:tc>
          <w:tcPr>
            <w:tcW w:w="2409" w:type="dxa"/>
          </w:tcPr>
          <w:p w:rsidR="0028759A" w:rsidRDefault="003C6A47" w:rsidP="008A1B82">
            <w:r>
              <w:t>Quasi-experimental</w:t>
            </w:r>
          </w:p>
        </w:tc>
        <w:tc>
          <w:tcPr>
            <w:tcW w:w="3261" w:type="dxa"/>
          </w:tcPr>
          <w:p w:rsidR="0028759A" w:rsidRDefault="0028759A" w:rsidP="00812ACA">
            <w:pPr>
              <w:pStyle w:val="ListParagraph"/>
              <w:numPr>
                <w:ilvl w:val="0"/>
                <w:numId w:val="63"/>
              </w:numPr>
            </w:pPr>
            <w:r>
              <w:t>New Zealand</w:t>
            </w:r>
            <w:r w:rsidR="007F7C84">
              <w:t>.</w:t>
            </w:r>
          </w:p>
          <w:p w:rsidR="0028759A" w:rsidRDefault="0028759A" w:rsidP="003A22E1">
            <w:pPr>
              <w:pStyle w:val="ListParagraph"/>
              <w:numPr>
                <w:ilvl w:val="0"/>
                <w:numId w:val="63"/>
              </w:numPr>
            </w:pPr>
            <w:r>
              <w:t>1,000 children born during 1972-1973 assessed at birth, ages 3, 5, 7, 9, 11 and 15 and followed up at 26 years (</w:t>
            </w:r>
            <w:r>
              <w:rPr>
                <w:i/>
              </w:rPr>
              <w:t>n=</w:t>
            </w:r>
            <w:r>
              <w:t>980)</w:t>
            </w:r>
            <w:r w:rsidR="003A22E1">
              <w:t>.</w:t>
            </w:r>
            <w:r>
              <w:t xml:space="preserve"> </w:t>
            </w:r>
          </w:p>
        </w:tc>
        <w:tc>
          <w:tcPr>
            <w:tcW w:w="6269" w:type="dxa"/>
          </w:tcPr>
          <w:p w:rsidR="0028759A" w:rsidRDefault="0028759A" w:rsidP="00812ACA">
            <w:pPr>
              <w:pStyle w:val="ListParagraph"/>
              <w:numPr>
                <w:ilvl w:val="0"/>
                <w:numId w:val="63"/>
              </w:numPr>
            </w:pPr>
            <w:r>
              <w:t>Compared with those from high socioeconomic status backgrounds, children who grew up in low socioeconomic status families had poorer cardiovascular health. Significant differences were also found on all dental health measures, substance abuse resulting in clinical dependence was related in a similar way to childhood economic status. The longitudinal associations could not be attributed to life-course continuity of low socioeconomic status, and upward mobility did not mitigate or reverse the adverse effects of low childhood socioeconomic status on adult health (p. 1640).</w:t>
            </w:r>
          </w:p>
        </w:tc>
      </w:tr>
      <w:tr w:rsidR="0028759A" w:rsidTr="00807CB8">
        <w:tc>
          <w:tcPr>
            <w:tcW w:w="2235" w:type="dxa"/>
          </w:tcPr>
          <w:p w:rsidR="0028759A" w:rsidRPr="0066225C" w:rsidRDefault="0028759A" w:rsidP="00FA44F3">
            <w:r w:rsidRPr="00515BDD">
              <w:t>Wright &amp; Cullen (2004).</w:t>
            </w:r>
          </w:p>
        </w:tc>
        <w:tc>
          <w:tcPr>
            <w:tcW w:w="2409" w:type="dxa"/>
          </w:tcPr>
          <w:p w:rsidR="0028759A" w:rsidRDefault="003C6A47" w:rsidP="008A1B82">
            <w:r>
              <w:t>Quasi-experimental</w:t>
            </w:r>
            <w:r w:rsidR="00310BE7">
              <w:t xml:space="preserve"> National Youth Survey data</w:t>
            </w:r>
          </w:p>
        </w:tc>
        <w:tc>
          <w:tcPr>
            <w:tcW w:w="3261" w:type="dxa"/>
          </w:tcPr>
          <w:p w:rsidR="0028759A" w:rsidRDefault="0028759A" w:rsidP="00812ACA">
            <w:pPr>
              <w:pStyle w:val="ListParagraph"/>
              <w:numPr>
                <w:ilvl w:val="0"/>
                <w:numId w:val="64"/>
              </w:numPr>
            </w:pPr>
            <w:r>
              <w:t xml:space="preserve">U.S.A. </w:t>
            </w:r>
          </w:p>
          <w:p w:rsidR="0028759A" w:rsidRDefault="0028759A" w:rsidP="003A22E1">
            <w:pPr>
              <w:pStyle w:val="ListParagraph"/>
              <w:numPr>
                <w:ilvl w:val="0"/>
                <w:numId w:val="64"/>
              </w:numPr>
            </w:pPr>
            <w:r>
              <w:t xml:space="preserve">1,725 aged 11-17 in 1976 - used waves 5 and 6. </w:t>
            </w:r>
          </w:p>
        </w:tc>
        <w:tc>
          <w:tcPr>
            <w:tcW w:w="6269" w:type="dxa"/>
          </w:tcPr>
          <w:p w:rsidR="0028759A" w:rsidRDefault="0028759A" w:rsidP="00812ACA">
            <w:pPr>
              <w:pStyle w:val="ListParagraph"/>
              <w:numPr>
                <w:ilvl w:val="0"/>
                <w:numId w:val="64"/>
              </w:numPr>
            </w:pPr>
            <w:r>
              <w:t xml:space="preserve">Results demonstrate that </w:t>
            </w:r>
            <w:proofErr w:type="spellStart"/>
            <w:r>
              <w:t>prosocial</w:t>
            </w:r>
            <w:proofErr w:type="spellEnd"/>
            <w:r>
              <w:t xml:space="preserve"> </w:t>
            </w:r>
            <w:proofErr w:type="spellStart"/>
            <w:r>
              <w:t>coworkers</w:t>
            </w:r>
            <w:proofErr w:type="spellEnd"/>
            <w:r>
              <w:t xml:space="preserve"> disrupt previously established delinquent peer networks and are associated with reductions in adult criminal behaviour (p. 183).</w:t>
            </w:r>
          </w:p>
        </w:tc>
      </w:tr>
      <w:tr w:rsidR="00BE4AFC" w:rsidTr="00807CB8">
        <w:tc>
          <w:tcPr>
            <w:tcW w:w="2235" w:type="dxa"/>
          </w:tcPr>
          <w:p w:rsidR="00BE4AFC" w:rsidRPr="0066225C" w:rsidRDefault="00BE4AFC" w:rsidP="008A1B82"/>
        </w:tc>
        <w:tc>
          <w:tcPr>
            <w:tcW w:w="2409" w:type="dxa"/>
          </w:tcPr>
          <w:p w:rsidR="00BE4AFC" w:rsidRDefault="00BE4AFC" w:rsidP="008A1B82"/>
        </w:tc>
        <w:tc>
          <w:tcPr>
            <w:tcW w:w="3261" w:type="dxa"/>
          </w:tcPr>
          <w:p w:rsidR="00BE4AFC" w:rsidRDefault="00BE4AFC" w:rsidP="003A7C0A">
            <w:pPr>
              <w:pStyle w:val="ListParagraph"/>
              <w:numPr>
                <w:ilvl w:val="0"/>
                <w:numId w:val="66"/>
              </w:numPr>
            </w:pPr>
          </w:p>
        </w:tc>
        <w:tc>
          <w:tcPr>
            <w:tcW w:w="6269" w:type="dxa"/>
          </w:tcPr>
          <w:p w:rsidR="00BE4AFC" w:rsidRDefault="00BE4AFC" w:rsidP="003E1905">
            <w:pPr>
              <w:pStyle w:val="ListParagraph"/>
              <w:numPr>
                <w:ilvl w:val="0"/>
                <w:numId w:val="66"/>
              </w:numPr>
            </w:pPr>
          </w:p>
        </w:tc>
      </w:tr>
      <w:tr w:rsidR="0028759A" w:rsidTr="00807CB8">
        <w:tc>
          <w:tcPr>
            <w:tcW w:w="2235" w:type="dxa"/>
          </w:tcPr>
          <w:p w:rsidR="0028759A" w:rsidRPr="0066225C" w:rsidRDefault="0028759A" w:rsidP="008A1B82">
            <w:proofErr w:type="spellStart"/>
            <w:r w:rsidRPr="0066225C">
              <w:t>Morenoff</w:t>
            </w:r>
            <w:proofErr w:type="spellEnd"/>
            <w:r w:rsidRPr="0066225C">
              <w:t xml:space="preserve"> &amp; Harding</w:t>
            </w:r>
            <w:r>
              <w:t xml:space="preserve"> </w:t>
            </w:r>
            <w:r w:rsidRPr="0066225C">
              <w:t>(2011).</w:t>
            </w:r>
            <w:r w:rsidRPr="0066225C">
              <w:rPr>
                <w:i/>
              </w:rPr>
              <w:t xml:space="preserve"> </w:t>
            </w:r>
          </w:p>
        </w:tc>
        <w:tc>
          <w:tcPr>
            <w:tcW w:w="2409" w:type="dxa"/>
          </w:tcPr>
          <w:p w:rsidR="0028759A" w:rsidRDefault="003A7C0A" w:rsidP="008A1B82">
            <w:r>
              <w:t>Quasi-experimental</w:t>
            </w:r>
          </w:p>
        </w:tc>
        <w:tc>
          <w:tcPr>
            <w:tcW w:w="3261" w:type="dxa"/>
          </w:tcPr>
          <w:p w:rsidR="0028759A" w:rsidRDefault="003A7C0A" w:rsidP="003A7C0A">
            <w:pPr>
              <w:pStyle w:val="ListParagraph"/>
              <w:numPr>
                <w:ilvl w:val="0"/>
                <w:numId w:val="66"/>
              </w:numPr>
            </w:pPr>
            <w:r>
              <w:t xml:space="preserve">U.S.A. </w:t>
            </w:r>
          </w:p>
          <w:p w:rsidR="003A7C0A" w:rsidRDefault="003A7C0A" w:rsidP="003A7C0A">
            <w:pPr>
              <w:pStyle w:val="ListParagraph"/>
              <w:numPr>
                <w:ilvl w:val="0"/>
                <w:numId w:val="66"/>
              </w:numPr>
            </w:pPr>
            <w:r>
              <w:t>1,848</w:t>
            </w:r>
          </w:p>
          <w:p w:rsidR="003A7C0A" w:rsidRDefault="003A7C0A" w:rsidP="008A1B82"/>
        </w:tc>
        <w:tc>
          <w:tcPr>
            <w:tcW w:w="6269" w:type="dxa"/>
          </w:tcPr>
          <w:p w:rsidR="0028759A" w:rsidRDefault="003E1905" w:rsidP="003E1905">
            <w:pPr>
              <w:pStyle w:val="ListParagraph"/>
              <w:numPr>
                <w:ilvl w:val="0"/>
                <w:numId w:val="66"/>
              </w:numPr>
            </w:pPr>
            <w:r>
              <w:t xml:space="preserve">Cumulative exposure to disadvantaged neighbourhoods was associated with lower employment and wages but not related to recidivism. Returning to a more affluent baseline neighbourhood was associated with a lower risk of being arrested, absconding, and returning to prison on a technical violation, and more positive labour market outcomes, </w:t>
            </w:r>
            <w:r>
              <w:lastRenderedPageBreak/>
              <w:t>including greater employment and wages. However, cumulative exposure to affluent neighbourhoods was not statistically significantly related to any of the recidivism or labour ….</w:t>
            </w:r>
          </w:p>
        </w:tc>
      </w:tr>
      <w:tr w:rsidR="0028759A" w:rsidTr="00807CB8">
        <w:tc>
          <w:tcPr>
            <w:tcW w:w="2235" w:type="dxa"/>
          </w:tcPr>
          <w:p w:rsidR="0028759A" w:rsidRPr="0066225C" w:rsidRDefault="0028759A" w:rsidP="00FA44F3">
            <w:proofErr w:type="spellStart"/>
            <w:r w:rsidRPr="0066225C">
              <w:lastRenderedPageBreak/>
              <w:t>Redcross</w:t>
            </w:r>
            <w:proofErr w:type="spellEnd"/>
            <w:r w:rsidRPr="0066225C">
              <w:t xml:space="preserve">, </w:t>
            </w:r>
            <w:proofErr w:type="spellStart"/>
            <w:r w:rsidRPr="0066225C">
              <w:t>Millenky</w:t>
            </w:r>
            <w:proofErr w:type="spellEnd"/>
            <w:r w:rsidRPr="0066225C">
              <w:t xml:space="preserve">, Rudd, &amp; </w:t>
            </w:r>
            <w:proofErr w:type="spellStart"/>
            <w:r w:rsidRPr="0066225C">
              <w:t>Leveshin</w:t>
            </w:r>
            <w:proofErr w:type="spellEnd"/>
            <w:r w:rsidRPr="0066225C">
              <w:t xml:space="preserve"> (2012). </w:t>
            </w:r>
          </w:p>
        </w:tc>
        <w:tc>
          <w:tcPr>
            <w:tcW w:w="2409" w:type="dxa"/>
          </w:tcPr>
          <w:p w:rsidR="0028759A" w:rsidRDefault="0028759A" w:rsidP="00556AC1">
            <w:r>
              <w:t>Experimental</w:t>
            </w:r>
          </w:p>
        </w:tc>
        <w:tc>
          <w:tcPr>
            <w:tcW w:w="3261" w:type="dxa"/>
          </w:tcPr>
          <w:p w:rsidR="0028759A" w:rsidRDefault="0028759A" w:rsidP="00556AC1"/>
        </w:tc>
        <w:tc>
          <w:tcPr>
            <w:tcW w:w="6269" w:type="dxa"/>
          </w:tcPr>
          <w:p w:rsidR="0028759A" w:rsidRDefault="003E1905" w:rsidP="003E1905">
            <w:pPr>
              <w:pStyle w:val="ListParagraph"/>
              <w:numPr>
                <w:ilvl w:val="0"/>
                <w:numId w:val="67"/>
              </w:numPr>
            </w:pPr>
            <w:r>
              <w:t>CEO substantially increased employment early in the follow-up period, but those effects faded over time (p. ES-1).</w:t>
            </w:r>
          </w:p>
          <w:p w:rsidR="003E1905" w:rsidRDefault="003E1905" w:rsidP="003E1905">
            <w:pPr>
              <w:pStyle w:val="ListParagraph"/>
              <w:numPr>
                <w:ilvl w:val="0"/>
                <w:numId w:val="67"/>
              </w:numPr>
            </w:pPr>
            <w:r>
              <w:t xml:space="preserve">CEO significantly reduced recidivism, with the largest reductions occurring among a subgroup of former prisoners who enrolled shortly after release from prison (p. ES-1). </w:t>
            </w:r>
          </w:p>
          <w:p w:rsidR="003E1905" w:rsidRDefault="003E1905" w:rsidP="003E1905">
            <w:pPr>
              <w:pStyle w:val="ListParagraph"/>
              <w:numPr>
                <w:ilvl w:val="0"/>
                <w:numId w:val="67"/>
              </w:numPr>
            </w:pPr>
            <w:r>
              <w:t>CEO’s benefits to society outweighed its costs under a wide range of assumptions (p. ES-2).</w:t>
            </w:r>
          </w:p>
        </w:tc>
      </w:tr>
    </w:tbl>
    <w:p w:rsidR="00C87E0F" w:rsidRDefault="00C87E0F" w:rsidP="008A1B82">
      <w:pPr>
        <w:spacing w:line="240" w:lineRule="auto"/>
      </w:pPr>
    </w:p>
    <w:sectPr w:rsidR="00C87E0F" w:rsidSect="00BF3480">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010" w:rsidRDefault="00910010" w:rsidP="0049377E">
      <w:pPr>
        <w:spacing w:after="0" w:line="240" w:lineRule="auto"/>
      </w:pPr>
      <w:r>
        <w:separator/>
      </w:r>
    </w:p>
  </w:endnote>
  <w:endnote w:type="continuationSeparator" w:id="0">
    <w:p w:rsidR="00910010" w:rsidRDefault="00910010" w:rsidP="00493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panose1 w:val="00000000000000000000"/>
    <w:charset w:val="00"/>
    <w:family w:val="roman"/>
    <w:notTrueType/>
    <w:pitch w:val="default"/>
    <w:sig w:usb0="00000003" w:usb1="00000000" w:usb2="00000000" w:usb3="00000000" w:csb0="00000001" w:csb1="00000000"/>
  </w:font>
  <w:font w:name="Goudy-Italic">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AdvpalSR">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TimesTen-Roman">
    <w:panose1 w:val="00000000000000000000"/>
    <w:charset w:val="00"/>
    <w:family w:val="roman"/>
    <w:notTrueType/>
    <w:pitch w:val="default"/>
    <w:sig w:usb0="00000003" w:usb1="00000000" w:usb2="00000000" w:usb3="00000000" w:csb0="00000001" w:csb1="00000000"/>
  </w:font>
  <w:font w:name="MTSY">
    <w:altName w:val="Arial Unicode MS"/>
    <w:panose1 w:val="00000000000000000000"/>
    <w:charset w:val="81"/>
    <w:family w:val="auto"/>
    <w:notTrueType/>
    <w:pitch w:val="default"/>
    <w:sig w:usb0="00000001" w:usb1="09060000" w:usb2="00000010" w:usb3="00000000" w:csb0="00080000" w:csb1="00000000"/>
  </w:font>
  <w:font w:name="MTSYN">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010" w:rsidRDefault="00910010" w:rsidP="0049377E">
      <w:pPr>
        <w:spacing w:after="0" w:line="240" w:lineRule="auto"/>
      </w:pPr>
      <w:r>
        <w:separator/>
      </w:r>
    </w:p>
  </w:footnote>
  <w:footnote w:type="continuationSeparator" w:id="0">
    <w:p w:rsidR="00910010" w:rsidRDefault="00910010" w:rsidP="004937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204622"/>
      <w:docPartObj>
        <w:docPartGallery w:val="Page Numbers (Top of Page)"/>
        <w:docPartUnique/>
      </w:docPartObj>
    </w:sdtPr>
    <w:sdtEndPr>
      <w:rPr>
        <w:noProof/>
      </w:rPr>
    </w:sdtEndPr>
    <w:sdtContent>
      <w:p w:rsidR="00AD6456" w:rsidRDefault="0035722D">
        <w:pPr>
          <w:pStyle w:val="Header"/>
          <w:jc w:val="right"/>
        </w:pPr>
        <w:r>
          <w:fldChar w:fldCharType="begin"/>
        </w:r>
        <w:r w:rsidR="00AD6456">
          <w:instrText xml:space="preserve"> PAGE   \* MERGEFORMAT </w:instrText>
        </w:r>
        <w:r>
          <w:fldChar w:fldCharType="separate"/>
        </w:r>
        <w:r w:rsidR="00A60546">
          <w:rPr>
            <w:noProof/>
          </w:rPr>
          <w:t>1</w:t>
        </w:r>
        <w:r>
          <w:rPr>
            <w:noProof/>
          </w:rPr>
          <w:fldChar w:fldCharType="end"/>
        </w:r>
      </w:p>
    </w:sdtContent>
  </w:sdt>
  <w:p w:rsidR="00AD6456" w:rsidRDefault="00AD64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2C2"/>
    <w:multiLevelType w:val="hybridMultilevel"/>
    <w:tmpl w:val="E2B25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CB6456"/>
    <w:multiLevelType w:val="hybridMultilevel"/>
    <w:tmpl w:val="0428BD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5C5BD6"/>
    <w:multiLevelType w:val="hybridMultilevel"/>
    <w:tmpl w:val="37B6BA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5606A85"/>
    <w:multiLevelType w:val="hybridMultilevel"/>
    <w:tmpl w:val="CA361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8BB27A7"/>
    <w:multiLevelType w:val="hybridMultilevel"/>
    <w:tmpl w:val="BA5CD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9970CFB"/>
    <w:multiLevelType w:val="hybridMultilevel"/>
    <w:tmpl w:val="60A63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C072B1A"/>
    <w:multiLevelType w:val="hybridMultilevel"/>
    <w:tmpl w:val="BD8C5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CBB1D13"/>
    <w:multiLevelType w:val="hybridMultilevel"/>
    <w:tmpl w:val="855242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DBF0BA2"/>
    <w:multiLevelType w:val="hybridMultilevel"/>
    <w:tmpl w:val="DA628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0E83EF1"/>
    <w:multiLevelType w:val="hybridMultilevel"/>
    <w:tmpl w:val="78746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23E1B37"/>
    <w:multiLevelType w:val="hybridMultilevel"/>
    <w:tmpl w:val="9C82C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6F27CFA"/>
    <w:multiLevelType w:val="hybridMultilevel"/>
    <w:tmpl w:val="0BB68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8815107"/>
    <w:multiLevelType w:val="hybridMultilevel"/>
    <w:tmpl w:val="CB063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BDE5611"/>
    <w:multiLevelType w:val="hybridMultilevel"/>
    <w:tmpl w:val="16007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EE31370"/>
    <w:multiLevelType w:val="hybridMultilevel"/>
    <w:tmpl w:val="E1DE89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1D17C66"/>
    <w:multiLevelType w:val="hybridMultilevel"/>
    <w:tmpl w:val="E6EECB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34C5600"/>
    <w:multiLevelType w:val="hybridMultilevel"/>
    <w:tmpl w:val="27CC0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50B5548"/>
    <w:multiLevelType w:val="hybridMultilevel"/>
    <w:tmpl w:val="CAFCD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89E7ED3"/>
    <w:multiLevelType w:val="hybridMultilevel"/>
    <w:tmpl w:val="BB509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9444DD2"/>
    <w:multiLevelType w:val="hybridMultilevel"/>
    <w:tmpl w:val="EC8E9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9FE336D"/>
    <w:multiLevelType w:val="hybridMultilevel"/>
    <w:tmpl w:val="BBF4FC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DD74117"/>
    <w:multiLevelType w:val="hybridMultilevel"/>
    <w:tmpl w:val="AF943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418414F"/>
    <w:multiLevelType w:val="hybridMultilevel"/>
    <w:tmpl w:val="7026F65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354A2273"/>
    <w:multiLevelType w:val="hybridMultilevel"/>
    <w:tmpl w:val="B950D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73110D4"/>
    <w:multiLevelType w:val="hybridMultilevel"/>
    <w:tmpl w:val="05226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83B00AE"/>
    <w:multiLevelType w:val="hybridMultilevel"/>
    <w:tmpl w:val="98D6C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A0B68AE"/>
    <w:multiLevelType w:val="hybridMultilevel"/>
    <w:tmpl w:val="2DFEE9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3A116CB1"/>
    <w:multiLevelType w:val="hybridMultilevel"/>
    <w:tmpl w:val="3AF09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3A7422B6"/>
    <w:multiLevelType w:val="hybridMultilevel"/>
    <w:tmpl w:val="715C74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3AD243CC"/>
    <w:multiLevelType w:val="hybridMultilevel"/>
    <w:tmpl w:val="CE38E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3CBF1D5B"/>
    <w:multiLevelType w:val="hybridMultilevel"/>
    <w:tmpl w:val="7B528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46B726A"/>
    <w:multiLevelType w:val="hybridMultilevel"/>
    <w:tmpl w:val="23502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44900C0F"/>
    <w:multiLevelType w:val="hybridMultilevel"/>
    <w:tmpl w:val="2BF849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44A23778"/>
    <w:multiLevelType w:val="hybridMultilevel"/>
    <w:tmpl w:val="5EB83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45A93699"/>
    <w:multiLevelType w:val="hybridMultilevel"/>
    <w:tmpl w:val="F62C84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468517F7"/>
    <w:multiLevelType w:val="hybridMultilevel"/>
    <w:tmpl w:val="C0A4D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48825556"/>
    <w:multiLevelType w:val="hybridMultilevel"/>
    <w:tmpl w:val="FDAA2A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48A352BA"/>
    <w:multiLevelType w:val="hybridMultilevel"/>
    <w:tmpl w:val="9FA4FC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8D13073"/>
    <w:multiLevelType w:val="hybridMultilevel"/>
    <w:tmpl w:val="D5BE7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49853C5A"/>
    <w:multiLevelType w:val="hybridMultilevel"/>
    <w:tmpl w:val="0DAA6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4A2B247E"/>
    <w:multiLevelType w:val="hybridMultilevel"/>
    <w:tmpl w:val="433245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4A6C6068"/>
    <w:multiLevelType w:val="hybridMultilevel"/>
    <w:tmpl w:val="7CB47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C9A036C"/>
    <w:multiLevelType w:val="hybridMultilevel"/>
    <w:tmpl w:val="E0886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4E473719"/>
    <w:multiLevelType w:val="hybridMultilevel"/>
    <w:tmpl w:val="5F2CA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4E5731D6"/>
    <w:multiLevelType w:val="hybridMultilevel"/>
    <w:tmpl w:val="6D446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4E765482"/>
    <w:multiLevelType w:val="hybridMultilevel"/>
    <w:tmpl w:val="F93AD4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4E846D65"/>
    <w:multiLevelType w:val="hybridMultilevel"/>
    <w:tmpl w:val="00180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50936074"/>
    <w:multiLevelType w:val="hybridMultilevel"/>
    <w:tmpl w:val="26CCD7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53703D12"/>
    <w:multiLevelType w:val="hybridMultilevel"/>
    <w:tmpl w:val="FC82C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5396754D"/>
    <w:multiLevelType w:val="hybridMultilevel"/>
    <w:tmpl w:val="6A522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nsid w:val="542B4594"/>
    <w:multiLevelType w:val="hybridMultilevel"/>
    <w:tmpl w:val="183AC3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54DD7756"/>
    <w:multiLevelType w:val="hybridMultilevel"/>
    <w:tmpl w:val="8586DD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589052E9"/>
    <w:multiLevelType w:val="hybridMultilevel"/>
    <w:tmpl w:val="06765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nsid w:val="5A9124FD"/>
    <w:multiLevelType w:val="hybridMultilevel"/>
    <w:tmpl w:val="FBCC8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nsid w:val="5AAF3E38"/>
    <w:multiLevelType w:val="hybridMultilevel"/>
    <w:tmpl w:val="690ED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nsid w:val="5ACA439A"/>
    <w:multiLevelType w:val="hybridMultilevel"/>
    <w:tmpl w:val="BE5422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nsid w:val="5E3970B7"/>
    <w:multiLevelType w:val="hybridMultilevel"/>
    <w:tmpl w:val="6BE49D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nsid w:val="64696202"/>
    <w:multiLevelType w:val="hybridMultilevel"/>
    <w:tmpl w:val="40C678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nsid w:val="654A0D1C"/>
    <w:multiLevelType w:val="hybridMultilevel"/>
    <w:tmpl w:val="1BDC4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nsid w:val="690818BE"/>
    <w:multiLevelType w:val="hybridMultilevel"/>
    <w:tmpl w:val="3460AD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nsid w:val="7046701B"/>
    <w:multiLevelType w:val="hybridMultilevel"/>
    <w:tmpl w:val="55BC91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nsid w:val="71F45E60"/>
    <w:multiLevelType w:val="hybridMultilevel"/>
    <w:tmpl w:val="A240E4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nsid w:val="745947AE"/>
    <w:multiLevelType w:val="hybridMultilevel"/>
    <w:tmpl w:val="D46832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nsid w:val="74FF22F1"/>
    <w:multiLevelType w:val="hybridMultilevel"/>
    <w:tmpl w:val="48A2E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nsid w:val="75854CFF"/>
    <w:multiLevelType w:val="hybridMultilevel"/>
    <w:tmpl w:val="460800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nsid w:val="78A655DF"/>
    <w:multiLevelType w:val="hybridMultilevel"/>
    <w:tmpl w:val="C046E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nsid w:val="79A6317F"/>
    <w:multiLevelType w:val="hybridMultilevel"/>
    <w:tmpl w:val="8AD6D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nsid w:val="7A3D59AB"/>
    <w:multiLevelType w:val="hybridMultilevel"/>
    <w:tmpl w:val="7A20BA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nsid w:val="7B8E3C7B"/>
    <w:multiLevelType w:val="hybridMultilevel"/>
    <w:tmpl w:val="07244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nsid w:val="7F50008F"/>
    <w:multiLevelType w:val="hybridMultilevel"/>
    <w:tmpl w:val="A37A1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7"/>
  </w:num>
  <w:num w:numId="2">
    <w:abstractNumId w:val="43"/>
  </w:num>
  <w:num w:numId="3">
    <w:abstractNumId w:val="41"/>
  </w:num>
  <w:num w:numId="4">
    <w:abstractNumId w:val="14"/>
  </w:num>
  <w:num w:numId="5">
    <w:abstractNumId w:val="30"/>
  </w:num>
  <w:num w:numId="6">
    <w:abstractNumId w:val="32"/>
  </w:num>
  <w:num w:numId="7">
    <w:abstractNumId w:val="46"/>
  </w:num>
  <w:num w:numId="8">
    <w:abstractNumId w:val="61"/>
  </w:num>
  <w:num w:numId="9">
    <w:abstractNumId w:val="10"/>
  </w:num>
  <w:num w:numId="10">
    <w:abstractNumId w:val="68"/>
  </w:num>
  <w:num w:numId="11">
    <w:abstractNumId w:val="42"/>
  </w:num>
  <w:num w:numId="12">
    <w:abstractNumId w:val="28"/>
  </w:num>
  <w:num w:numId="13">
    <w:abstractNumId w:val="50"/>
  </w:num>
  <w:num w:numId="14">
    <w:abstractNumId w:val="1"/>
  </w:num>
  <w:num w:numId="15">
    <w:abstractNumId w:val="69"/>
  </w:num>
  <w:num w:numId="16">
    <w:abstractNumId w:val="36"/>
  </w:num>
  <w:num w:numId="17">
    <w:abstractNumId w:val="51"/>
  </w:num>
  <w:num w:numId="18">
    <w:abstractNumId w:val="24"/>
  </w:num>
  <w:num w:numId="19">
    <w:abstractNumId w:val="48"/>
  </w:num>
  <w:num w:numId="20">
    <w:abstractNumId w:val="20"/>
  </w:num>
  <w:num w:numId="21">
    <w:abstractNumId w:val="18"/>
  </w:num>
  <w:num w:numId="22">
    <w:abstractNumId w:val="5"/>
  </w:num>
  <w:num w:numId="23">
    <w:abstractNumId w:val="34"/>
  </w:num>
  <w:num w:numId="24">
    <w:abstractNumId w:val="21"/>
  </w:num>
  <w:num w:numId="25">
    <w:abstractNumId w:val="38"/>
  </w:num>
  <w:num w:numId="26">
    <w:abstractNumId w:val="27"/>
  </w:num>
  <w:num w:numId="27">
    <w:abstractNumId w:val="56"/>
  </w:num>
  <w:num w:numId="28">
    <w:abstractNumId w:val="7"/>
  </w:num>
  <w:num w:numId="29">
    <w:abstractNumId w:val="67"/>
  </w:num>
  <w:num w:numId="30">
    <w:abstractNumId w:val="52"/>
  </w:num>
  <w:num w:numId="31">
    <w:abstractNumId w:val="65"/>
  </w:num>
  <w:num w:numId="32">
    <w:abstractNumId w:val="6"/>
  </w:num>
  <w:num w:numId="33">
    <w:abstractNumId w:val="16"/>
  </w:num>
  <w:num w:numId="34">
    <w:abstractNumId w:val="64"/>
  </w:num>
  <w:num w:numId="35">
    <w:abstractNumId w:val="31"/>
  </w:num>
  <w:num w:numId="36">
    <w:abstractNumId w:val="9"/>
  </w:num>
  <w:num w:numId="37">
    <w:abstractNumId w:val="13"/>
  </w:num>
  <w:num w:numId="38">
    <w:abstractNumId w:val="45"/>
  </w:num>
  <w:num w:numId="39">
    <w:abstractNumId w:val="33"/>
  </w:num>
  <w:num w:numId="40">
    <w:abstractNumId w:val="44"/>
  </w:num>
  <w:num w:numId="41">
    <w:abstractNumId w:val="3"/>
  </w:num>
  <w:num w:numId="42">
    <w:abstractNumId w:val="39"/>
  </w:num>
  <w:num w:numId="43">
    <w:abstractNumId w:val="55"/>
  </w:num>
  <w:num w:numId="44">
    <w:abstractNumId w:val="25"/>
  </w:num>
  <w:num w:numId="45">
    <w:abstractNumId w:val="17"/>
  </w:num>
  <w:num w:numId="46">
    <w:abstractNumId w:val="11"/>
  </w:num>
  <w:num w:numId="47">
    <w:abstractNumId w:val="53"/>
  </w:num>
  <w:num w:numId="48">
    <w:abstractNumId w:val="8"/>
  </w:num>
  <w:num w:numId="49">
    <w:abstractNumId w:val="12"/>
  </w:num>
  <w:num w:numId="50">
    <w:abstractNumId w:val="15"/>
  </w:num>
  <w:num w:numId="51">
    <w:abstractNumId w:val="57"/>
  </w:num>
  <w:num w:numId="52">
    <w:abstractNumId w:val="0"/>
  </w:num>
  <w:num w:numId="53">
    <w:abstractNumId w:val="62"/>
  </w:num>
  <w:num w:numId="54">
    <w:abstractNumId w:val="19"/>
  </w:num>
  <w:num w:numId="55">
    <w:abstractNumId w:val="59"/>
  </w:num>
  <w:num w:numId="56">
    <w:abstractNumId w:val="63"/>
  </w:num>
  <w:num w:numId="57">
    <w:abstractNumId w:val="54"/>
  </w:num>
  <w:num w:numId="58">
    <w:abstractNumId w:val="29"/>
  </w:num>
  <w:num w:numId="59">
    <w:abstractNumId w:val="58"/>
  </w:num>
  <w:num w:numId="60">
    <w:abstractNumId w:val="23"/>
  </w:num>
  <w:num w:numId="61">
    <w:abstractNumId w:val="26"/>
  </w:num>
  <w:num w:numId="62">
    <w:abstractNumId w:val="66"/>
  </w:num>
  <w:num w:numId="63">
    <w:abstractNumId w:val="35"/>
  </w:num>
  <w:num w:numId="64">
    <w:abstractNumId w:val="49"/>
  </w:num>
  <w:num w:numId="65">
    <w:abstractNumId w:val="60"/>
  </w:num>
  <w:num w:numId="66">
    <w:abstractNumId w:val="2"/>
  </w:num>
  <w:num w:numId="67">
    <w:abstractNumId w:val="40"/>
  </w:num>
  <w:num w:numId="68">
    <w:abstractNumId w:val="37"/>
  </w:num>
  <w:num w:numId="69">
    <w:abstractNumId w:val="22"/>
  </w:num>
  <w:num w:numId="70">
    <w:abstractNumId w:val="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BF3480"/>
    <w:rsid w:val="00001B18"/>
    <w:rsid w:val="000122B3"/>
    <w:rsid w:val="0001473E"/>
    <w:rsid w:val="000237F9"/>
    <w:rsid w:val="00026265"/>
    <w:rsid w:val="0002757E"/>
    <w:rsid w:val="000304FF"/>
    <w:rsid w:val="00036A09"/>
    <w:rsid w:val="0004035A"/>
    <w:rsid w:val="0004094B"/>
    <w:rsid w:val="00041B0B"/>
    <w:rsid w:val="00041B1C"/>
    <w:rsid w:val="00042D68"/>
    <w:rsid w:val="00043113"/>
    <w:rsid w:val="0004636B"/>
    <w:rsid w:val="00055C96"/>
    <w:rsid w:val="00056073"/>
    <w:rsid w:val="0005778B"/>
    <w:rsid w:val="00060937"/>
    <w:rsid w:val="00065412"/>
    <w:rsid w:val="000661E5"/>
    <w:rsid w:val="00066435"/>
    <w:rsid w:val="000731B6"/>
    <w:rsid w:val="000776CE"/>
    <w:rsid w:val="000778F0"/>
    <w:rsid w:val="00084F7B"/>
    <w:rsid w:val="00087665"/>
    <w:rsid w:val="00091A8C"/>
    <w:rsid w:val="00095D82"/>
    <w:rsid w:val="000A1FB4"/>
    <w:rsid w:val="000A48C4"/>
    <w:rsid w:val="000A651F"/>
    <w:rsid w:val="000B4ADC"/>
    <w:rsid w:val="000B54F9"/>
    <w:rsid w:val="000B5A7D"/>
    <w:rsid w:val="000B693F"/>
    <w:rsid w:val="000B76BA"/>
    <w:rsid w:val="000C198D"/>
    <w:rsid w:val="000D74D0"/>
    <w:rsid w:val="000E3A73"/>
    <w:rsid w:val="000E3DD7"/>
    <w:rsid w:val="000E4913"/>
    <w:rsid w:val="000F3B7C"/>
    <w:rsid w:val="000F79CD"/>
    <w:rsid w:val="00100270"/>
    <w:rsid w:val="00101216"/>
    <w:rsid w:val="00101C66"/>
    <w:rsid w:val="00103507"/>
    <w:rsid w:val="00103E59"/>
    <w:rsid w:val="00107214"/>
    <w:rsid w:val="001158A0"/>
    <w:rsid w:val="0011689D"/>
    <w:rsid w:val="00120B21"/>
    <w:rsid w:val="0012393E"/>
    <w:rsid w:val="00124961"/>
    <w:rsid w:val="001266EA"/>
    <w:rsid w:val="00126BAF"/>
    <w:rsid w:val="001315B8"/>
    <w:rsid w:val="00131C05"/>
    <w:rsid w:val="00131DF8"/>
    <w:rsid w:val="0013307D"/>
    <w:rsid w:val="00137A2C"/>
    <w:rsid w:val="001408EF"/>
    <w:rsid w:val="00143437"/>
    <w:rsid w:val="0014501F"/>
    <w:rsid w:val="00145EB1"/>
    <w:rsid w:val="001514D5"/>
    <w:rsid w:val="00153DEA"/>
    <w:rsid w:val="001608C4"/>
    <w:rsid w:val="00161549"/>
    <w:rsid w:val="0016637B"/>
    <w:rsid w:val="001663A9"/>
    <w:rsid w:val="00167D42"/>
    <w:rsid w:val="001727AE"/>
    <w:rsid w:val="00175867"/>
    <w:rsid w:val="00176D49"/>
    <w:rsid w:val="001851CB"/>
    <w:rsid w:val="00185EC5"/>
    <w:rsid w:val="00187DFF"/>
    <w:rsid w:val="00192FD8"/>
    <w:rsid w:val="0019316C"/>
    <w:rsid w:val="00194175"/>
    <w:rsid w:val="00194977"/>
    <w:rsid w:val="00197964"/>
    <w:rsid w:val="001A2C58"/>
    <w:rsid w:val="001B3612"/>
    <w:rsid w:val="001B3727"/>
    <w:rsid w:val="001B516F"/>
    <w:rsid w:val="001B6FC1"/>
    <w:rsid w:val="001B7070"/>
    <w:rsid w:val="001B7743"/>
    <w:rsid w:val="001C00E9"/>
    <w:rsid w:val="001C0BB2"/>
    <w:rsid w:val="001C1242"/>
    <w:rsid w:val="001C15DA"/>
    <w:rsid w:val="001D2C92"/>
    <w:rsid w:val="001E53E4"/>
    <w:rsid w:val="001F20DE"/>
    <w:rsid w:val="00204B6E"/>
    <w:rsid w:val="0021191C"/>
    <w:rsid w:val="0021577A"/>
    <w:rsid w:val="002161BF"/>
    <w:rsid w:val="0021621F"/>
    <w:rsid w:val="00225456"/>
    <w:rsid w:val="002274AF"/>
    <w:rsid w:val="00232AF9"/>
    <w:rsid w:val="00235834"/>
    <w:rsid w:val="00237C1A"/>
    <w:rsid w:val="00250B3A"/>
    <w:rsid w:val="00264E1F"/>
    <w:rsid w:val="0026502E"/>
    <w:rsid w:val="002654BA"/>
    <w:rsid w:val="002710C6"/>
    <w:rsid w:val="002720A4"/>
    <w:rsid w:val="00273EE0"/>
    <w:rsid w:val="002746CE"/>
    <w:rsid w:val="00277A90"/>
    <w:rsid w:val="00277E4C"/>
    <w:rsid w:val="00280203"/>
    <w:rsid w:val="0028759A"/>
    <w:rsid w:val="002905FD"/>
    <w:rsid w:val="00291FE3"/>
    <w:rsid w:val="00293E2C"/>
    <w:rsid w:val="002B0A8C"/>
    <w:rsid w:val="002B0BDD"/>
    <w:rsid w:val="002B6A73"/>
    <w:rsid w:val="002B6CE4"/>
    <w:rsid w:val="002C2B8F"/>
    <w:rsid w:val="002C3063"/>
    <w:rsid w:val="002C7130"/>
    <w:rsid w:val="002D153D"/>
    <w:rsid w:val="002D3518"/>
    <w:rsid w:val="002D3C98"/>
    <w:rsid w:val="002D4B87"/>
    <w:rsid w:val="002E0E07"/>
    <w:rsid w:val="002E1A1D"/>
    <w:rsid w:val="002E49C5"/>
    <w:rsid w:val="002E6A9F"/>
    <w:rsid w:val="002E6C88"/>
    <w:rsid w:val="002F2A04"/>
    <w:rsid w:val="002F2FBB"/>
    <w:rsid w:val="002F3477"/>
    <w:rsid w:val="003040C3"/>
    <w:rsid w:val="00310BE7"/>
    <w:rsid w:val="0031384F"/>
    <w:rsid w:val="0031601D"/>
    <w:rsid w:val="00323871"/>
    <w:rsid w:val="00323C6D"/>
    <w:rsid w:val="00340164"/>
    <w:rsid w:val="00340633"/>
    <w:rsid w:val="00342B81"/>
    <w:rsid w:val="0035722D"/>
    <w:rsid w:val="0036543A"/>
    <w:rsid w:val="003658BE"/>
    <w:rsid w:val="00366639"/>
    <w:rsid w:val="00366CE7"/>
    <w:rsid w:val="00374C51"/>
    <w:rsid w:val="0037548E"/>
    <w:rsid w:val="0037783B"/>
    <w:rsid w:val="00377D45"/>
    <w:rsid w:val="003802D0"/>
    <w:rsid w:val="003830A8"/>
    <w:rsid w:val="003831B9"/>
    <w:rsid w:val="003914B5"/>
    <w:rsid w:val="0039703D"/>
    <w:rsid w:val="003A22E1"/>
    <w:rsid w:val="003A5BE7"/>
    <w:rsid w:val="003A6429"/>
    <w:rsid w:val="003A6FA0"/>
    <w:rsid w:val="003A7C0A"/>
    <w:rsid w:val="003B4F7C"/>
    <w:rsid w:val="003B54A3"/>
    <w:rsid w:val="003B60BF"/>
    <w:rsid w:val="003B6331"/>
    <w:rsid w:val="003C5026"/>
    <w:rsid w:val="003C6A47"/>
    <w:rsid w:val="003E161A"/>
    <w:rsid w:val="003E1905"/>
    <w:rsid w:val="003E39AC"/>
    <w:rsid w:val="003E4702"/>
    <w:rsid w:val="003E47D9"/>
    <w:rsid w:val="003E7450"/>
    <w:rsid w:val="00402739"/>
    <w:rsid w:val="004028BF"/>
    <w:rsid w:val="0040692D"/>
    <w:rsid w:val="00411C7A"/>
    <w:rsid w:val="00413617"/>
    <w:rsid w:val="00414AE9"/>
    <w:rsid w:val="00420AB2"/>
    <w:rsid w:val="00420AD4"/>
    <w:rsid w:val="00421071"/>
    <w:rsid w:val="00421CF0"/>
    <w:rsid w:val="00426D91"/>
    <w:rsid w:val="0043100E"/>
    <w:rsid w:val="0043146C"/>
    <w:rsid w:val="00431805"/>
    <w:rsid w:val="00435F71"/>
    <w:rsid w:val="00441A68"/>
    <w:rsid w:val="00445644"/>
    <w:rsid w:val="00446B7F"/>
    <w:rsid w:val="00447AB0"/>
    <w:rsid w:val="00447BA2"/>
    <w:rsid w:val="00454D92"/>
    <w:rsid w:val="00463B1E"/>
    <w:rsid w:val="00466142"/>
    <w:rsid w:val="004732F3"/>
    <w:rsid w:val="0047456B"/>
    <w:rsid w:val="004801F4"/>
    <w:rsid w:val="00480F95"/>
    <w:rsid w:val="0048249C"/>
    <w:rsid w:val="0048584D"/>
    <w:rsid w:val="004876DA"/>
    <w:rsid w:val="0049221F"/>
    <w:rsid w:val="0049377E"/>
    <w:rsid w:val="0049487C"/>
    <w:rsid w:val="004969A2"/>
    <w:rsid w:val="004A3119"/>
    <w:rsid w:val="004A7C06"/>
    <w:rsid w:val="004B10DE"/>
    <w:rsid w:val="004B1A1E"/>
    <w:rsid w:val="004C0C06"/>
    <w:rsid w:val="004C68B4"/>
    <w:rsid w:val="004C776E"/>
    <w:rsid w:val="004D0D56"/>
    <w:rsid w:val="004D2305"/>
    <w:rsid w:val="004D2B98"/>
    <w:rsid w:val="004D31E4"/>
    <w:rsid w:val="004E1867"/>
    <w:rsid w:val="004F4ACC"/>
    <w:rsid w:val="004F548C"/>
    <w:rsid w:val="00501ACA"/>
    <w:rsid w:val="00501E5A"/>
    <w:rsid w:val="00507381"/>
    <w:rsid w:val="00510FEF"/>
    <w:rsid w:val="00511C00"/>
    <w:rsid w:val="0052387F"/>
    <w:rsid w:val="00527930"/>
    <w:rsid w:val="005332C1"/>
    <w:rsid w:val="0053455F"/>
    <w:rsid w:val="00536079"/>
    <w:rsid w:val="005362CD"/>
    <w:rsid w:val="005412C2"/>
    <w:rsid w:val="00542BAD"/>
    <w:rsid w:val="0054410A"/>
    <w:rsid w:val="00551A02"/>
    <w:rsid w:val="00551BD3"/>
    <w:rsid w:val="00551D2C"/>
    <w:rsid w:val="00556AC1"/>
    <w:rsid w:val="00566DC5"/>
    <w:rsid w:val="0057257E"/>
    <w:rsid w:val="00573A9A"/>
    <w:rsid w:val="00574DFE"/>
    <w:rsid w:val="00580330"/>
    <w:rsid w:val="00580644"/>
    <w:rsid w:val="0058176E"/>
    <w:rsid w:val="00582951"/>
    <w:rsid w:val="005831B4"/>
    <w:rsid w:val="00583B2A"/>
    <w:rsid w:val="00594D59"/>
    <w:rsid w:val="00595445"/>
    <w:rsid w:val="005963E1"/>
    <w:rsid w:val="00597248"/>
    <w:rsid w:val="005A1D97"/>
    <w:rsid w:val="005A221D"/>
    <w:rsid w:val="005A61DD"/>
    <w:rsid w:val="005B1E3B"/>
    <w:rsid w:val="005B36B0"/>
    <w:rsid w:val="005B6583"/>
    <w:rsid w:val="005C430D"/>
    <w:rsid w:val="005C6527"/>
    <w:rsid w:val="005D0CE4"/>
    <w:rsid w:val="005D200C"/>
    <w:rsid w:val="005E1846"/>
    <w:rsid w:val="005E3347"/>
    <w:rsid w:val="005E3714"/>
    <w:rsid w:val="005F4A90"/>
    <w:rsid w:val="005F6F94"/>
    <w:rsid w:val="005F7E48"/>
    <w:rsid w:val="00600A58"/>
    <w:rsid w:val="00603792"/>
    <w:rsid w:val="006042D7"/>
    <w:rsid w:val="00605EC1"/>
    <w:rsid w:val="00611D51"/>
    <w:rsid w:val="00613292"/>
    <w:rsid w:val="00616EC1"/>
    <w:rsid w:val="00617C8A"/>
    <w:rsid w:val="00621916"/>
    <w:rsid w:val="00623D5E"/>
    <w:rsid w:val="006251A7"/>
    <w:rsid w:val="00625FFE"/>
    <w:rsid w:val="00631F99"/>
    <w:rsid w:val="00633E50"/>
    <w:rsid w:val="006429F0"/>
    <w:rsid w:val="0064386B"/>
    <w:rsid w:val="00645B7F"/>
    <w:rsid w:val="00653244"/>
    <w:rsid w:val="00654318"/>
    <w:rsid w:val="00661B9D"/>
    <w:rsid w:val="0066225C"/>
    <w:rsid w:val="00662ABC"/>
    <w:rsid w:val="0066507D"/>
    <w:rsid w:val="00667931"/>
    <w:rsid w:val="006700D5"/>
    <w:rsid w:val="00670543"/>
    <w:rsid w:val="00684C3E"/>
    <w:rsid w:val="00690B49"/>
    <w:rsid w:val="0069216F"/>
    <w:rsid w:val="006933A0"/>
    <w:rsid w:val="00696E3E"/>
    <w:rsid w:val="0069719B"/>
    <w:rsid w:val="006A3060"/>
    <w:rsid w:val="006A54C4"/>
    <w:rsid w:val="006B04AE"/>
    <w:rsid w:val="006B0F68"/>
    <w:rsid w:val="006B1AE9"/>
    <w:rsid w:val="006B65F6"/>
    <w:rsid w:val="006B669C"/>
    <w:rsid w:val="006C22C7"/>
    <w:rsid w:val="006C690F"/>
    <w:rsid w:val="006C7BBA"/>
    <w:rsid w:val="006D26B7"/>
    <w:rsid w:val="006D37AA"/>
    <w:rsid w:val="006D40B2"/>
    <w:rsid w:val="006D66DD"/>
    <w:rsid w:val="006D734B"/>
    <w:rsid w:val="006E0B37"/>
    <w:rsid w:val="006E2581"/>
    <w:rsid w:val="006E6223"/>
    <w:rsid w:val="006E69FA"/>
    <w:rsid w:val="006F0200"/>
    <w:rsid w:val="006F18E5"/>
    <w:rsid w:val="006F4CBB"/>
    <w:rsid w:val="006F7F13"/>
    <w:rsid w:val="00701734"/>
    <w:rsid w:val="007078D7"/>
    <w:rsid w:val="00707DC8"/>
    <w:rsid w:val="00711C62"/>
    <w:rsid w:val="00716014"/>
    <w:rsid w:val="00716683"/>
    <w:rsid w:val="00720754"/>
    <w:rsid w:val="007221ED"/>
    <w:rsid w:val="007226E6"/>
    <w:rsid w:val="00726086"/>
    <w:rsid w:val="00726B2D"/>
    <w:rsid w:val="00732CE7"/>
    <w:rsid w:val="007340CE"/>
    <w:rsid w:val="00734DB1"/>
    <w:rsid w:val="0074227D"/>
    <w:rsid w:val="00743810"/>
    <w:rsid w:val="00745646"/>
    <w:rsid w:val="0074660B"/>
    <w:rsid w:val="0075068E"/>
    <w:rsid w:val="0075152E"/>
    <w:rsid w:val="00754EA4"/>
    <w:rsid w:val="0075548C"/>
    <w:rsid w:val="007646C2"/>
    <w:rsid w:val="00764FF2"/>
    <w:rsid w:val="007664CA"/>
    <w:rsid w:val="00774BA6"/>
    <w:rsid w:val="00774DAB"/>
    <w:rsid w:val="007849DE"/>
    <w:rsid w:val="0078779B"/>
    <w:rsid w:val="007924A2"/>
    <w:rsid w:val="00792DE8"/>
    <w:rsid w:val="007968B9"/>
    <w:rsid w:val="007A0A3E"/>
    <w:rsid w:val="007A1158"/>
    <w:rsid w:val="007A42E4"/>
    <w:rsid w:val="007A4F2F"/>
    <w:rsid w:val="007B0297"/>
    <w:rsid w:val="007B4958"/>
    <w:rsid w:val="007C0306"/>
    <w:rsid w:val="007D374D"/>
    <w:rsid w:val="007D4378"/>
    <w:rsid w:val="007E0B73"/>
    <w:rsid w:val="007E38E0"/>
    <w:rsid w:val="007E7B92"/>
    <w:rsid w:val="007F086B"/>
    <w:rsid w:val="007F1C3B"/>
    <w:rsid w:val="007F55B3"/>
    <w:rsid w:val="007F5649"/>
    <w:rsid w:val="007F5DCB"/>
    <w:rsid w:val="007F6722"/>
    <w:rsid w:val="007F7C84"/>
    <w:rsid w:val="008039DC"/>
    <w:rsid w:val="008046D5"/>
    <w:rsid w:val="008064E3"/>
    <w:rsid w:val="00806BE6"/>
    <w:rsid w:val="00806FFC"/>
    <w:rsid w:val="00807CB8"/>
    <w:rsid w:val="0081062F"/>
    <w:rsid w:val="008122D0"/>
    <w:rsid w:val="00812ACA"/>
    <w:rsid w:val="008156BD"/>
    <w:rsid w:val="008160D6"/>
    <w:rsid w:val="008170D7"/>
    <w:rsid w:val="00822EF1"/>
    <w:rsid w:val="008246D8"/>
    <w:rsid w:val="00825DEE"/>
    <w:rsid w:val="008313A9"/>
    <w:rsid w:val="00836F9B"/>
    <w:rsid w:val="00837D96"/>
    <w:rsid w:val="00843F8F"/>
    <w:rsid w:val="00844FF4"/>
    <w:rsid w:val="00860661"/>
    <w:rsid w:val="008658F0"/>
    <w:rsid w:val="00866B03"/>
    <w:rsid w:val="0088140F"/>
    <w:rsid w:val="00885857"/>
    <w:rsid w:val="00887166"/>
    <w:rsid w:val="00891342"/>
    <w:rsid w:val="00893C8A"/>
    <w:rsid w:val="008956C0"/>
    <w:rsid w:val="008A1B82"/>
    <w:rsid w:val="008A1F0F"/>
    <w:rsid w:val="008A5A9B"/>
    <w:rsid w:val="008B070C"/>
    <w:rsid w:val="008B6E22"/>
    <w:rsid w:val="008B7FEE"/>
    <w:rsid w:val="008C2489"/>
    <w:rsid w:val="008C4169"/>
    <w:rsid w:val="008C4C14"/>
    <w:rsid w:val="008C4E2B"/>
    <w:rsid w:val="008C6305"/>
    <w:rsid w:val="008D0D1E"/>
    <w:rsid w:val="008D4C58"/>
    <w:rsid w:val="008E535E"/>
    <w:rsid w:val="008F295B"/>
    <w:rsid w:val="008F4EF6"/>
    <w:rsid w:val="00910010"/>
    <w:rsid w:val="00912548"/>
    <w:rsid w:val="00916291"/>
    <w:rsid w:val="00923127"/>
    <w:rsid w:val="009257BD"/>
    <w:rsid w:val="009259DB"/>
    <w:rsid w:val="0092619B"/>
    <w:rsid w:val="00931DB8"/>
    <w:rsid w:val="00933FF7"/>
    <w:rsid w:val="00947ECA"/>
    <w:rsid w:val="00956877"/>
    <w:rsid w:val="00962930"/>
    <w:rsid w:val="00971BB8"/>
    <w:rsid w:val="00971D6A"/>
    <w:rsid w:val="00975C02"/>
    <w:rsid w:val="00976916"/>
    <w:rsid w:val="0097796A"/>
    <w:rsid w:val="00980E46"/>
    <w:rsid w:val="00982A2D"/>
    <w:rsid w:val="00984302"/>
    <w:rsid w:val="009859C0"/>
    <w:rsid w:val="009867DA"/>
    <w:rsid w:val="00987EF5"/>
    <w:rsid w:val="00990459"/>
    <w:rsid w:val="009908F9"/>
    <w:rsid w:val="00992206"/>
    <w:rsid w:val="0099280B"/>
    <w:rsid w:val="00993A4D"/>
    <w:rsid w:val="0099440D"/>
    <w:rsid w:val="009A43C7"/>
    <w:rsid w:val="009A6B70"/>
    <w:rsid w:val="009A6F35"/>
    <w:rsid w:val="009B32BD"/>
    <w:rsid w:val="009B59E8"/>
    <w:rsid w:val="009B5B55"/>
    <w:rsid w:val="009B65FF"/>
    <w:rsid w:val="009C006A"/>
    <w:rsid w:val="009C0B42"/>
    <w:rsid w:val="009C46EB"/>
    <w:rsid w:val="009D44AA"/>
    <w:rsid w:val="009E0F32"/>
    <w:rsid w:val="009E6379"/>
    <w:rsid w:val="009E72DA"/>
    <w:rsid w:val="009F326C"/>
    <w:rsid w:val="009F4B2F"/>
    <w:rsid w:val="009F647D"/>
    <w:rsid w:val="00A0054E"/>
    <w:rsid w:val="00A01BDB"/>
    <w:rsid w:val="00A02717"/>
    <w:rsid w:val="00A040D8"/>
    <w:rsid w:val="00A05C37"/>
    <w:rsid w:val="00A12230"/>
    <w:rsid w:val="00A1450D"/>
    <w:rsid w:val="00A14C94"/>
    <w:rsid w:val="00A2102F"/>
    <w:rsid w:val="00A25D76"/>
    <w:rsid w:val="00A3121C"/>
    <w:rsid w:val="00A32450"/>
    <w:rsid w:val="00A36B88"/>
    <w:rsid w:val="00A42434"/>
    <w:rsid w:val="00A44839"/>
    <w:rsid w:val="00A44AB1"/>
    <w:rsid w:val="00A46B3C"/>
    <w:rsid w:val="00A5500D"/>
    <w:rsid w:val="00A55012"/>
    <w:rsid w:val="00A60546"/>
    <w:rsid w:val="00A66CF7"/>
    <w:rsid w:val="00A72BD2"/>
    <w:rsid w:val="00A7508F"/>
    <w:rsid w:val="00A758C9"/>
    <w:rsid w:val="00A86520"/>
    <w:rsid w:val="00A86776"/>
    <w:rsid w:val="00A903F3"/>
    <w:rsid w:val="00A91A14"/>
    <w:rsid w:val="00A91F08"/>
    <w:rsid w:val="00A92806"/>
    <w:rsid w:val="00AB006C"/>
    <w:rsid w:val="00AC4A1A"/>
    <w:rsid w:val="00AC7203"/>
    <w:rsid w:val="00AD11F2"/>
    <w:rsid w:val="00AD35A3"/>
    <w:rsid w:val="00AD6456"/>
    <w:rsid w:val="00AE1AE0"/>
    <w:rsid w:val="00AE43AF"/>
    <w:rsid w:val="00AE5D02"/>
    <w:rsid w:val="00AF2C9D"/>
    <w:rsid w:val="00AF3B76"/>
    <w:rsid w:val="00AF465A"/>
    <w:rsid w:val="00B04E7C"/>
    <w:rsid w:val="00B074C4"/>
    <w:rsid w:val="00B07DEB"/>
    <w:rsid w:val="00B119D3"/>
    <w:rsid w:val="00B23FE0"/>
    <w:rsid w:val="00B275FD"/>
    <w:rsid w:val="00B3594A"/>
    <w:rsid w:val="00B3632D"/>
    <w:rsid w:val="00B37FA5"/>
    <w:rsid w:val="00B4035C"/>
    <w:rsid w:val="00B57E10"/>
    <w:rsid w:val="00B65A61"/>
    <w:rsid w:val="00B67915"/>
    <w:rsid w:val="00B71CD0"/>
    <w:rsid w:val="00B732F7"/>
    <w:rsid w:val="00B73D00"/>
    <w:rsid w:val="00B74519"/>
    <w:rsid w:val="00B77B27"/>
    <w:rsid w:val="00B8769D"/>
    <w:rsid w:val="00B90CFD"/>
    <w:rsid w:val="00B92B5A"/>
    <w:rsid w:val="00B93F0E"/>
    <w:rsid w:val="00BA0108"/>
    <w:rsid w:val="00BA1BEB"/>
    <w:rsid w:val="00BA5394"/>
    <w:rsid w:val="00BA7192"/>
    <w:rsid w:val="00BA7FA3"/>
    <w:rsid w:val="00BB0B34"/>
    <w:rsid w:val="00BB0BE4"/>
    <w:rsid w:val="00BB1A16"/>
    <w:rsid w:val="00BB5497"/>
    <w:rsid w:val="00BB7A73"/>
    <w:rsid w:val="00BC012B"/>
    <w:rsid w:val="00BC1438"/>
    <w:rsid w:val="00BC3E58"/>
    <w:rsid w:val="00BC4DD4"/>
    <w:rsid w:val="00BD109A"/>
    <w:rsid w:val="00BD2238"/>
    <w:rsid w:val="00BD3476"/>
    <w:rsid w:val="00BD3700"/>
    <w:rsid w:val="00BE4AFC"/>
    <w:rsid w:val="00BE6BB6"/>
    <w:rsid w:val="00BF3480"/>
    <w:rsid w:val="00BF7AD3"/>
    <w:rsid w:val="00C01A21"/>
    <w:rsid w:val="00C039FF"/>
    <w:rsid w:val="00C12745"/>
    <w:rsid w:val="00C30521"/>
    <w:rsid w:val="00C35071"/>
    <w:rsid w:val="00C36B40"/>
    <w:rsid w:val="00C40B6A"/>
    <w:rsid w:val="00C412DB"/>
    <w:rsid w:val="00C43028"/>
    <w:rsid w:val="00C463A5"/>
    <w:rsid w:val="00C547C0"/>
    <w:rsid w:val="00C55619"/>
    <w:rsid w:val="00C63FCD"/>
    <w:rsid w:val="00C67906"/>
    <w:rsid w:val="00C70193"/>
    <w:rsid w:val="00C82D72"/>
    <w:rsid w:val="00C87E0F"/>
    <w:rsid w:val="00C94D44"/>
    <w:rsid w:val="00CA42F5"/>
    <w:rsid w:val="00CA50D8"/>
    <w:rsid w:val="00CA6817"/>
    <w:rsid w:val="00CB13BD"/>
    <w:rsid w:val="00CB1555"/>
    <w:rsid w:val="00CB234C"/>
    <w:rsid w:val="00CB3B10"/>
    <w:rsid w:val="00CD25D2"/>
    <w:rsid w:val="00CD36E2"/>
    <w:rsid w:val="00CD624B"/>
    <w:rsid w:val="00CD781C"/>
    <w:rsid w:val="00CE0C1B"/>
    <w:rsid w:val="00CE290A"/>
    <w:rsid w:val="00CE4643"/>
    <w:rsid w:val="00D01571"/>
    <w:rsid w:val="00D065AB"/>
    <w:rsid w:val="00D06EAB"/>
    <w:rsid w:val="00D1000A"/>
    <w:rsid w:val="00D1553C"/>
    <w:rsid w:val="00D15942"/>
    <w:rsid w:val="00D24123"/>
    <w:rsid w:val="00D302D8"/>
    <w:rsid w:val="00D31FE8"/>
    <w:rsid w:val="00D352D5"/>
    <w:rsid w:val="00D363F9"/>
    <w:rsid w:val="00D44EA7"/>
    <w:rsid w:val="00D4618C"/>
    <w:rsid w:val="00D462C8"/>
    <w:rsid w:val="00D50D39"/>
    <w:rsid w:val="00D52A26"/>
    <w:rsid w:val="00D56185"/>
    <w:rsid w:val="00D64447"/>
    <w:rsid w:val="00D6680C"/>
    <w:rsid w:val="00D678E5"/>
    <w:rsid w:val="00D72E0C"/>
    <w:rsid w:val="00D75FAD"/>
    <w:rsid w:val="00D77065"/>
    <w:rsid w:val="00D7765C"/>
    <w:rsid w:val="00D80AA1"/>
    <w:rsid w:val="00D812CE"/>
    <w:rsid w:val="00D8283F"/>
    <w:rsid w:val="00D861A2"/>
    <w:rsid w:val="00D86252"/>
    <w:rsid w:val="00D961C9"/>
    <w:rsid w:val="00DA04A9"/>
    <w:rsid w:val="00DA22F5"/>
    <w:rsid w:val="00DA30E0"/>
    <w:rsid w:val="00DA4075"/>
    <w:rsid w:val="00DA57C3"/>
    <w:rsid w:val="00DA6D98"/>
    <w:rsid w:val="00DB2EDD"/>
    <w:rsid w:val="00DB4B43"/>
    <w:rsid w:val="00DC0BAC"/>
    <w:rsid w:val="00DC328C"/>
    <w:rsid w:val="00DC53CE"/>
    <w:rsid w:val="00DC59C8"/>
    <w:rsid w:val="00DC678E"/>
    <w:rsid w:val="00DC767C"/>
    <w:rsid w:val="00DD06E2"/>
    <w:rsid w:val="00DD241D"/>
    <w:rsid w:val="00DD3C35"/>
    <w:rsid w:val="00DD5AD1"/>
    <w:rsid w:val="00DE11AF"/>
    <w:rsid w:val="00DE3262"/>
    <w:rsid w:val="00DE4B1D"/>
    <w:rsid w:val="00DE5C23"/>
    <w:rsid w:val="00DF43F1"/>
    <w:rsid w:val="00E0045A"/>
    <w:rsid w:val="00E06C71"/>
    <w:rsid w:val="00E120B7"/>
    <w:rsid w:val="00E15D56"/>
    <w:rsid w:val="00E22827"/>
    <w:rsid w:val="00E250CA"/>
    <w:rsid w:val="00E3440E"/>
    <w:rsid w:val="00E35129"/>
    <w:rsid w:val="00E405C5"/>
    <w:rsid w:val="00E40A4B"/>
    <w:rsid w:val="00E420C6"/>
    <w:rsid w:val="00E53806"/>
    <w:rsid w:val="00E56F94"/>
    <w:rsid w:val="00E719A2"/>
    <w:rsid w:val="00E73D3D"/>
    <w:rsid w:val="00E75049"/>
    <w:rsid w:val="00E75E50"/>
    <w:rsid w:val="00E77085"/>
    <w:rsid w:val="00E81414"/>
    <w:rsid w:val="00E833CA"/>
    <w:rsid w:val="00E91176"/>
    <w:rsid w:val="00E92304"/>
    <w:rsid w:val="00E93DCB"/>
    <w:rsid w:val="00E93EC6"/>
    <w:rsid w:val="00E952A7"/>
    <w:rsid w:val="00E952CB"/>
    <w:rsid w:val="00E954BD"/>
    <w:rsid w:val="00EA0CE5"/>
    <w:rsid w:val="00EA2E25"/>
    <w:rsid w:val="00EA5359"/>
    <w:rsid w:val="00EA5DD9"/>
    <w:rsid w:val="00EB2131"/>
    <w:rsid w:val="00EB216B"/>
    <w:rsid w:val="00EB4141"/>
    <w:rsid w:val="00EB426C"/>
    <w:rsid w:val="00EC0241"/>
    <w:rsid w:val="00EC2A37"/>
    <w:rsid w:val="00ED1153"/>
    <w:rsid w:val="00ED290D"/>
    <w:rsid w:val="00ED499E"/>
    <w:rsid w:val="00ED58CB"/>
    <w:rsid w:val="00ED640E"/>
    <w:rsid w:val="00EE267D"/>
    <w:rsid w:val="00EF1129"/>
    <w:rsid w:val="00EF2460"/>
    <w:rsid w:val="00F0408F"/>
    <w:rsid w:val="00F05DFD"/>
    <w:rsid w:val="00F1515F"/>
    <w:rsid w:val="00F17A73"/>
    <w:rsid w:val="00F34040"/>
    <w:rsid w:val="00F3508F"/>
    <w:rsid w:val="00F352D2"/>
    <w:rsid w:val="00F37019"/>
    <w:rsid w:val="00F37675"/>
    <w:rsid w:val="00F511A0"/>
    <w:rsid w:val="00F51AFD"/>
    <w:rsid w:val="00F5210D"/>
    <w:rsid w:val="00F525A3"/>
    <w:rsid w:val="00F525B2"/>
    <w:rsid w:val="00F57251"/>
    <w:rsid w:val="00F6599C"/>
    <w:rsid w:val="00F71600"/>
    <w:rsid w:val="00F71884"/>
    <w:rsid w:val="00F83C86"/>
    <w:rsid w:val="00F93A61"/>
    <w:rsid w:val="00F95F6A"/>
    <w:rsid w:val="00FA37C4"/>
    <w:rsid w:val="00FA44F3"/>
    <w:rsid w:val="00FB298A"/>
    <w:rsid w:val="00FB30BB"/>
    <w:rsid w:val="00FB7D17"/>
    <w:rsid w:val="00FC1327"/>
    <w:rsid w:val="00FC172D"/>
    <w:rsid w:val="00FC5AC5"/>
    <w:rsid w:val="00FD0813"/>
    <w:rsid w:val="00FD0A99"/>
    <w:rsid w:val="00FD446B"/>
    <w:rsid w:val="00FD71B7"/>
    <w:rsid w:val="00FD7E59"/>
    <w:rsid w:val="00FE2E56"/>
    <w:rsid w:val="00FE30FB"/>
    <w:rsid w:val="00FE4548"/>
    <w:rsid w:val="00FE539A"/>
    <w:rsid w:val="00FE6DB0"/>
    <w:rsid w:val="00FF0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2D68"/>
    <w:pPr>
      <w:ind w:left="720"/>
      <w:contextualSpacing/>
    </w:pPr>
  </w:style>
  <w:style w:type="paragraph" w:styleId="Header">
    <w:name w:val="header"/>
    <w:basedOn w:val="Normal"/>
    <w:link w:val="HeaderChar"/>
    <w:uiPriority w:val="99"/>
    <w:unhideWhenUsed/>
    <w:rsid w:val="00493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77E"/>
  </w:style>
  <w:style w:type="paragraph" w:styleId="Footer">
    <w:name w:val="footer"/>
    <w:basedOn w:val="Normal"/>
    <w:link w:val="FooterChar"/>
    <w:uiPriority w:val="99"/>
    <w:unhideWhenUsed/>
    <w:rsid w:val="00493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77E"/>
  </w:style>
  <w:style w:type="paragraph" w:styleId="BalloonText">
    <w:name w:val="Balloon Text"/>
    <w:basedOn w:val="Normal"/>
    <w:link w:val="BalloonTextChar"/>
    <w:uiPriority w:val="99"/>
    <w:semiHidden/>
    <w:unhideWhenUsed/>
    <w:rsid w:val="008C4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2D68"/>
    <w:pPr>
      <w:ind w:left="720"/>
      <w:contextualSpacing/>
    </w:pPr>
  </w:style>
  <w:style w:type="paragraph" w:styleId="Header">
    <w:name w:val="header"/>
    <w:basedOn w:val="Normal"/>
    <w:link w:val="HeaderChar"/>
    <w:uiPriority w:val="99"/>
    <w:unhideWhenUsed/>
    <w:rsid w:val="00493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77E"/>
  </w:style>
  <w:style w:type="paragraph" w:styleId="Footer">
    <w:name w:val="footer"/>
    <w:basedOn w:val="Normal"/>
    <w:link w:val="FooterChar"/>
    <w:uiPriority w:val="99"/>
    <w:unhideWhenUsed/>
    <w:rsid w:val="00493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77E"/>
  </w:style>
  <w:style w:type="paragraph" w:styleId="BalloonText">
    <w:name w:val="Balloon Text"/>
    <w:basedOn w:val="Normal"/>
    <w:link w:val="BalloonTextChar"/>
    <w:uiPriority w:val="99"/>
    <w:semiHidden/>
    <w:unhideWhenUsed/>
    <w:rsid w:val="008C4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1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B054C-2CB2-4C34-9663-E6BEDE3D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12697</Words>
  <Characters>72377</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84905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soeadmin</dc:creator>
  <cp:lastModifiedBy>Carol</cp:lastModifiedBy>
  <cp:revision>2</cp:revision>
  <cp:lastPrinted>2014-03-21T01:19:00Z</cp:lastPrinted>
  <dcterms:created xsi:type="dcterms:W3CDTF">2014-09-22T15:30:00Z</dcterms:created>
  <dcterms:modified xsi:type="dcterms:W3CDTF">2014-09-22T15:30:00Z</dcterms:modified>
</cp:coreProperties>
</file>