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jpeg" ContentType="image/jpeg"/>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tabs>
          <w:tab w:pos="10569" w:val="left" w:leader="none"/>
        </w:tabs>
        <w:ind w:left="241"/>
      </w:pPr>
      <w:r>
        <w:rPr/>
        <w:pict>
          <v:group style="width:134.950pt;height:19.3pt;mso-position-horizontal-relative:char;mso-position-vertical-relative:line" coordorigin="0,0" coordsize="2699,386">
            <v:rect style="position:absolute;left:0;top:0;width:2699;height:386" filled="true" fillcolor="#ffffff" stroked="false">
              <v:fill type="solid"/>
            </v:rect>
          </v:group>
        </w:pict>
      </w:r>
      <w:r>
        <w:rPr/>
      </w:r>
      <w:r>
        <w:rPr/>
        <w:tab/>
      </w:r>
      <w:r>
        <w:rPr>
          <w:position w:val="4"/>
        </w:rPr>
        <w:pict>
          <v:group style="width:24.85pt;height:18.1pt;mso-position-horizontal-relative:char;mso-position-vertical-relative:line" coordorigin="0,0" coordsize="497,362">
            <v:rect style="position:absolute;left:0;top:0;width:497;height:362" filled="true" fillcolor="#ffffff" stroked="false">
              <v:fill type="solid"/>
            </v:rect>
          </v:group>
        </w:pict>
      </w:r>
      <w:r>
        <w:rPr>
          <w:position w:val="4"/>
        </w:rPr>
      </w:r>
    </w:p>
    <w:p>
      <w:pPr>
        <w:pStyle w:val="BodyText"/>
        <w:spacing w:before="6"/>
        <w:rPr>
          <w:sz w:val="10"/>
        </w:rPr>
      </w:pPr>
    </w:p>
    <w:p>
      <w:pPr>
        <w:tabs>
          <w:tab w:pos="10882" w:val="left" w:leader="none"/>
        </w:tabs>
        <w:spacing w:line="1261" w:lineRule="exact" w:before="0"/>
        <w:ind w:left="513" w:right="0" w:firstLine="0"/>
        <w:jc w:val="left"/>
        <w:rPr>
          <w:b/>
          <w:sz w:val="120"/>
        </w:rPr>
      </w:pPr>
      <w:r>
        <w:rPr/>
        <w:pict>
          <v:shapetype id="_x0000_t202" o:spt="202" coordsize="21600,21600" path="m,l,21600r21600,l21600,xe">
            <v:stroke joinstyle="miter"/>
            <v:path gradientshapeok="t" o:connecttype="rect"/>
          </v:shapetype>
          <v:shape style="position:absolute;margin-left:560.149597pt;margin-top:-23.297112pt;width:15pt;height:10pt;mso-position-horizontal-relative:page;mso-position-vertical-relative:paragraph;z-index:-272468992" type="#_x0000_t202" filled="false" stroked="false">
            <v:textbox inset="0,0,0,0">
              <w:txbxContent>
                <w:p>
                  <w:pPr>
                    <w:spacing w:line="193" w:lineRule="exact" w:before="0"/>
                    <w:ind w:left="0" w:right="0" w:firstLine="0"/>
                    <w:jc w:val="left"/>
                    <w:rPr>
                      <w:b/>
                      <w:sz w:val="20"/>
                    </w:rPr>
                  </w:pPr>
                  <w:r>
                    <w:rPr>
                      <w:b/>
                      <w:sz w:val="20"/>
                    </w:rPr>
                    <w:t>105</w:t>
                  </w:r>
                </w:p>
              </w:txbxContent>
            </v:textbox>
            <w10:wrap type="none"/>
          </v:shape>
        </w:pict>
      </w:r>
      <w:r>
        <w:rPr/>
        <w:pict>
          <v:shape style="position:absolute;margin-left:56.692902pt;margin-top:-23.297112pt;width:108.1pt;height:12.25pt;mso-position-horizontal-relative:page;mso-position-vertical-relative:paragraph;z-index:-272467968" type="#_x0000_t202" filled="false" stroked="false">
            <v:textbox inset="0,0,0,0">
              <w:txbxContent>
                <w:p>
                  <w:pPr>
                    <w:spacing w:line="192" w:lineRule="auto" w:before="0"/>
                    <w:ind w:left="0" w:right="0" w:firstLine="0"/>
                    <w:jc w:val="left"/>
                    <w:rPr>
                      <w:i/>
                      <w:sz w:val="11"/>
                    </w:rPr>
                  </w:pPr>
                  <w:r>
                    <w:rPr>
                      <w:i/>
                      <w:sz w:val="20"/>
                    </w:rPr>
                    <w:t>Chapter 3: Capture of </w:t>
                  </w:r>
                  <w:r>
                    <w:rPr>
                      <w:i/>
                      <w:spacing w:val="-8"/>
                      <w:sz w:val="20"/>
                    </w:rPr>
                    <w:t>CO</w:t>
                  </w:r>
                  <w:r>
                    <w:rPr>
                      <w:i/>
                      <w:spacing w:val="-8"/>
                      <w:position w:val="-6"/>
                      <w:sz w:val="11"/>
                    </w:rPr>
                    <w:t>2</w:t>
                  </w:r>
                </w:p>
              </w:txbxContent>
            </v:textbox>
            <w10:wrap type="none"/>
          </v:shape>
        </w:pict>
      </w:r>
      <w:bookmarkStart w:name="3. Capture of CO2" w:id="1"/>
      <w:bookmarkEnd w:id="1"/>
      <w:r>
        <w:rPr/>
      </w:r>
      <w:bookmarkStart w:name="_bookmark0" w:id="2"/>
      <w:bookmarkEnd w:id="2"/>
      <w:r>
        <w:rPr/>
      </w:r>
      <w:r>
        <w:rPr>
          <w:b/>
          <w:sz w:val="120"/>
          <w:u w:val="single"/>
        </w:rPr>
        <w:t>3</w:t>
        <w:tab/>
      </w:r>
    </w:p>
    <w:p>
      <w:pPr>
        <w:pStyle w:val="BodyText"/>
        <w:rPr>
          <w:b/>
        </w:rPr>
      </w:pPr>
    </w:p>
    <w:p>
      <w:pPr>
        <w:pStyle w:val="BodyText"/>
        <w:rPr>
          <w:b/>
        </w:rPr>
      </w:pPr>
    </w:p>
    <w:p>
      <w:pPr>
        <w:spacing w:before="196"/>
        <w:ind w:left="513" w:right="0" w:firstLine="0"/>
        <w:jc w:val="left"/>
        <w:rPr>
          <w:b/>
          <w:sz w:val="25"/>
        </w:rPr>
      </w:pPr>
      <w:r>
        <w:rPr>
          <w:b/>
          <w:sz w:val="44"/>
        </w:rPr>
        <w:t>Capture of</w:t>
      </w:r>
      <w:r>
        <w:rPr>
          <w:b/>
          <w:spacing w:val="-12"/>
          <w:sz w:val="44"/>
        </w:rPr>
        <w:t> </w:t>
      </w:r>
      <w:r>
        <w:rPr>
          <w:b/>
          <w:sz w:val="44"/>
        </w:rPr>
        <w:t>CO</w:t>
      </w:r>
      <w:r>
        <w:rPr>
          <w:b/>
          <w:position w:val="-14"/>
          <w:sz w:val="25"/>
        </w:rPr>
        <w:t>2</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2"/>
        </w:rPr>
      </w:pPr>
      <w:r>
        <w:rPr/>
        <w:pict>
          <v:shape style="position:absolute;margin-left:56.693001pt;margin-top:15.384506pt;width:518.5pt;height:.1pt;mso-position-horizontal-relative:page;mso-position-vertical-relative:paragraph;z-index:-251656192;mso-wrap-distance-left:0;mso-wrap-distance-right:0" coordorigin="1134,308" coordsize="10370,0" path="m1134,308l11503,308e" filled="false" stroked="true" strokeweight="1pt" strokecolor="#000000">
            <v:path arrowok="t"/>
            <v:stroke dashstyle="solid"/>
            <w10:wrap type="topAndBottom"/>
          </v:shape>
        </w:pict>
      </w:r>
    </w:p>
    <w:p>
      <w:pPr>
        <w:pStyle w:val="BodyText"/>
        <w:spacing w:before="4"/>
        <w:rPr>
          <w:b/>
          <w:sz w:val="78"/>
        </w:rPr>
      </w:pPr>
    </w:p>
    <w:p>
      <w:pPr>
        <w:spacing w:before="0"/>
        <w:ind w:left="513" w:right="0" w:firstLine="0"/>
        <w:jc w:val="left"/>
        <w:rPr>
          <w:b/>
          <w:sz w:val="24"/>
        </w:rPr>
      </w:pPr>
      <w:r>
        <w:rPr>
          <w:b/>
          <w:sz w:val="24"/>
        </w:rPr>
        <w:t>Coordinating Lead</w:t>
      </w:r>
      <w:r>
        <w:rPr>
          <w:b/>
          <w:spacing w:val="-33"/>
          <w:sz w:val="24"/>
        </w:rPr>
        <w:t> </w:t>
      </w:r>
      <w:r>
        <w:rPr>
          <w:b/>
          <w:sz w:val="24"/>
        </w:rPr>
        <w:t>Authors</w:t>
      </w:r>
    </w:p>
    <w:p>
      <w:pPr>
        <w:spacing w:line="249" w:lineRule="auto" w:before="12"/>
        <w:ind w:left="513" w:right="731" w:firstLine="0"/>
        <w:jc w:val="left"/>
        <w:rPr>
          <w:sz w:val="24"/>
        </w:rPr>
      </w:pPr>
      <w:r>
        <w:rPr>
          <w:sz w:val="24"/>
        </w:rPr>
        <w:t>Kelly (Kailai) Thambimuthu (Australia and Canada), Mohammad Soltanieh (Iran), Juan Carlos Abanades (Spain)</w:t>
      </w:r>
    </w:p>
    <w:p>
      <w:pPr>
        <w:pStyle w:val="BodyText"/>
        <w:spacing w:before="2"/>
        <w:rPr>
          <w:sz w:val="25"/>
        </w:rPr>
      </w:pPr>
    </w:p>
    <w:p>
      <w:pPr>
        <w:spacing w:before="1"/>
        <w:ind w:left="513" w:right="0" w:firstLine="0"/>
        <w:jc w:val="left"/>
        <w:rPr>
          <w:b/>
          <w:sz w:val="24"/>
        </w:rPr>
      </w:pPr>
      <w:r>
        <w:rPr>
          <w:b/>
          <w:sz w:val="24"/>
        </w:rPr>
        <w:t>Lead Authors</w:t>
      </w:r>
    </w:p>
    <w:p>
      <w:pPr>
        <w:spacing w:line="249" w:lineRule="auto" w:before="12"/>
        <w:ind w:left="513" w:right="731" w:firstLine="0"/>
        <w:jc w:val="left"/>
        <w:rPr>
          <w:sz w:val="24"/>
        </w:rPr>
      </w:pPr>
      <w:r>
        <w:rPr>
          <w:sz w:val="24"/>
        </w:rPr>
        <w:t>Rodney Allam (United Kingdom), Olav Bolland (Norway), John Davison (United Kingdom), Paul Feron (The Netherlands), Fred Goede (South Africa), Alyce Herrera (Philippines), Masaki Iijima (Japan), Daniël Jansen (The Netherlands), Iosif Leites (Russian Federation), Philippe Mathieu (Belgium), Edward Rubin (United States), Dale Simbeck (United States), Krzysztof Warmuzinski (Poland), Michael Wilkinson (United Kingdom), Robert Williams (United States)</w:t>
      </w:r>
    </w:p>
    <w:p>
      <w:pPr>
        <w:pStyle w:val="BodyText"/>
        <w:spacing w:before="5"/>
        <w:rPr>
          <w:sz w:val="25"/>
        </w:rPr>
      </w:pPr>
    </w:p>
    <w:p>
      <w:pPr>
        <w:spacing w:before="0"/>
        <w:ind w:left="513" w:right="0" w:firstLine="0"/>
        <w:jc w:val="left"/>
        <w:rPr>
          <w:b/>
          <w:sz w:val="24"/>
        </w:rPr>
      </w:pPr>
      <w:r>
        <w:rPr>
          <w:b/>
          <w:sz w:val="24"/>
        </w:rPr>
        <w:t>Contributing Authors</w:t>
      </w:r>
    </w:p>
    <w:p>
      <w:pPr>
        <w:spacing w:before="12"/>
        <w:ind w:left="513" w:right="0" w:firstLine="0"/>
        <w:jc w:val="left"/>
        <w:rPr>
          <w:sz w:val="24"/>
        </w:rPr>
      </w:pPr>
      <w:r>
        <w:rPr>
          <w:sz w:val="24"/>
        </w:rPr>
        <w:t>Manfred Jaschik (Poland), Anders Lyngfelt (Sweden), Roland Span (Germany), Marek Tanczyk (Poland)</w:t>
      </w:r>
    </w:p>
    <w:p>
      <w:pPr>
        <w:pStyle w:val="BodyText"/>
        <w:spacing w:before="1"/>
        <w:rPr>
          <w:sz w:val="26"/>
        </w:rPr>
      </w:pPr>
    </w:p>
    <w:p>
      <w:pPr>
        <w:spacing w:before="0"/>
        <w:ind w:left="513" w:right="0" w:firstLine="0"/>
        <w:jc w:val="left"/>
        <w:rPr>
          <w:b/>
          <w:sz w:val="24"/>
        </w:rPr>
      </w:pPr>
      <w:r>
        <w:rPr>
          <w:b/>
          <w:sz w:val="24"/>
        </w:rPr>
        <w:t>Review Editors</w:t>
      </w:r>
    </w:p>
    <w:p>
      <w:pPr>
        <w:spacing w:before="12"/>
        <w:ind w:left="513" w:right="0" w:firstLine="0"/>
        <w:jc w:val="left"/>
        <w:rPr>
          <w:sz w:val="24"/>
        </w:rPr>
      </w:pPr>
      <w:r>
        <w:rPr>
          <w:sz w:val="24"/>
        </w:rPr>
        <w:t>Ziad Abu-Ghararah (Saudi Arabia), Tatsuaki Yashima (Japan)</w:t>
      </w:r>
    </w:p>
    <w:p>
      <w:pPr>
        <w:spacing w:after="0"/>
        <w:jc w:val="left"/>
        <w:rPr>
          <w:sz w:val="24"/>
        </w:rPr>
        <w:sectPr>
          <w:type w:val="continuous"/>
          <w:pgSz w:w="12240" w:h="15840"/>
          <w:pgMar w:top="480" w:bottom="280" w:left="620" w:right="0"/>
        </w:sectPr>
      </w:pPr>
    </w:p>
    <w:p>
      <w:pPr>
        <w:pStyle w:val="BodyText"/>
      </w:pPr>
    </w:p>
    <w:p>
      <w:pPr>
        <w:pStyle w:val="BodyText"/>
        <w:rPr>
          <w:sz w:val="15"/>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22"/>
        <w:gridCol w:w="737"/>
        <w:gridCol w:w="4856"/>
        <w:gridCol w:w="357"/>
      </w:tblGrid>
      <w:tr>
        <w:trPr>
          <w:trHeight w:val="417" w:hRule="atLeast"/>
        </w:trPr>
        <w:tc>
          <w:tcPr>
            <w:tcW w:w="4422" w:type="dxa"/>
            <w:tcBorders>
              <w:bottom w:val="single" w:sz="4" w:space="0" w:color="000000"/>
            </w:tcBorders>
          </w:tcPr>
          <w:p>
            <w:pPr>
              <w:pStyle w:val="TableParagraph"/>
              <w:spacing w:line="348" w:lineRule="exact"/>
              <w:jc w:val="left"/>
              <w:rPr>
                <w:b/>
                <w:sz w:val="36"/>
              </w:rPr>
            </w:pPr>
            <w:bookmarkStart w:name="Contents" w:id="3"/>
            <w:bookmarkEnd w:id="3"/>
            <w:r>
              <w:rPr/>
            </w:r>
            <w:r>
              <w:rPr>
                <w:b/>
                <w:sz w:val="36"/>
              </w:rPr>
              <w:t>Contents</w:t>
            </w:r>
          </w:p>
        </w:tc>
        <w:tc>
          <w:tcPr>
            <w:tcW w:w="5950" w:type="dxa"/>
            <w:gridSpan w:val="3"/>
            <w:tcBorders>
              <w:bottom w:val="single" w:sz="4" w:space="0" w:color="000000"/>
            </w:tcBorders>
          </w:tcPr>
          <w:p>
            <w:pPr>
              <w:pStyle w:val="TableParagraph"/>
              <w:jc w:val="left"/>
              <w:rPr>
                <w:sz w:val="20"/>
              </w:rPr>
            </w:pPr>
          </w:p>
        </w:tc>
      </w:tr>
      <w:tr>
        <w:trPr>
          <w:trHeight w:val="632" w:hRule="atLeast"/>
        </w:trPr>
        <w:tc>
          <w:tcPr>
            <w:tcW w:w="4422" w:type="dxa"/>
            <w:tcBorders>
              <w:top w:val="single" w:sz="4" w:space="0" w:color="000000"/>
            </w:tcBorders>
          </w:tcPr>
          <w:p>
            <w:pPr>
              <w:pStyle w:val="TableParagraph"/>
              <w:jc w:val="left"/>
              <w:rPr>
                <w:sz w:val="20"/>
              </w:rPr>
            </w:pPr>
          </w:p>
          <w:p>
            <w:pPr>
              <w:pStyle w:val="TableParagraph"/>
              <w:spacing w:before="146"/>
              <w:jc w:val="left"/>
              <w:rPr>
                <w:b/>
                <w:sz w:val="20"/>
              </w:rPr>
            </w:pPr>
            <w:r>
              <w:rPr>
                <w:b/>
                <w:w w:val="125"/>
                <w:sz w:val="20"/>
              </w:rPr>
              <w:t>ExECutivE SummARy</w:t>
            </w:r>
          </w:p>
        </w:tc>
        <w:tc>
          <w:tcPr>
            <w:tcW w:w="737" w:type="dxa"/>
            <w:tcBorders>
              <w:top w:val="single" w:sz="4" w:space="0" w:color="000000"/>
            </w:tcBorders>
          </w:tcPr>
          <w:p>
            <w:pPr>
              <w:pStyle w:val="TableParagraph"/>
              <w:jc w:val="left"/>
              <w:rPr>
                <w:sz w:val="20"/>
              </w:rPr>
            </w:pPr>
          </w:p>
          <w:p>
            <w:pPr>
              <w:pStyle w:val="TableParagraph"/>
              <w:spacing w:before="146"/>
              <w:ind w:right="168"/>
              <w:jc w:val="right"/>
              <w:rPr>
                <w:b/>
                <w:sz w:val="20"/>
              </w:rPr>
            </w:pPr>
            <w:r>
              <w:rPr>
                <w:b/>
                <w:sz w:val="20"/>
              </w:rPr>
              <w:t>107</w:t>
            </w:r>
          </w:p>
        </w:tc>
        <w:tc>
          <w:tcPr>
            <w:tcW w:w="4856" w:type="dxa"/>
            <w:tcBorders>
              <w:top w:val="single" w:sz="4" w:space="0" w:color="000000"/>
            </w:tcBorders>
          </w:tcPr>
          <w:p>
            <w:pPr>
              <w:pStyle w:val="TableParagraph"/>
              <w:jc w:val="left"/>
              <w:rPr>
                <w:sz w:val="20"/>
              </w:rPr>
            </w:pPr>
          </w:p>
          <w:p>
            <w:pPr>
              <w:pStyle w:val="TableParagraph"/>
              <w:tabs>
                <w:tab w:pos="734" w:val="left" w:leader="none"/>
              </w:tabs>
              <w:spacing w:before="146"/>
              <w:ind w:left="167"/>
              <w:jc w:val="left"/>
              <w:rPr>
                <w:b/>
                <w:sz w:val="20"/>
              </w:rPr>
            </w:pPr>
            <w:r>
              <w:rPr>
                <w:b/>
                <w:sz w:val="20"/>
              </w:rPr>
              <w:t>3.6</w:t>
              <w:tab/>
              <w:t>Environmental, monitoring, risk and</w:t>
            </w:r>
            <w:r>
              <w:rPr>
                <w:b/>
                <w:spacing w:val="-2"/>
                <w:sz w:val="20"/>
              </w:rPr>
              <w:t> </w:t>
            </w:r>
            <w:r>
              <w:rPr>
                <w:b/>
                <w:sz w:val="20"/>
              </w:rPr>
              <w:t>legal</w:t>
            </w:r>
          </w:p>
        </w:tc>
        <w:tc>
          <w:tcPr>
            <w:tcW w:w="357" w:type="dxa"/>
            <w:tcBorders>
              <w:top w:val="single" w:sz="4" w:space="0" w:color="000000"/>
            </w:tcBorders>
          </w:tcPr>
          <w:p>
            <w:pPr>
              <w:pStyle w:val="TableParagraph"/>
              <w:jc w:val="left"/>
              <w:rPr>
                <w:sz w:val="20"/>
              </w:rPr>
            </w:pPr>
          </w:p>
        </w:tc>
      </w:tr>
      <w:tr>
        <w:trPr>
          <w:trHeight w:val="240" w:hRule="atLeast"/>
        </w:trPr>
        <w:tc>
          <w:tcPr>
            <w:tcW w:w="4422" w:type="dxa"/>
          </w:tcPr>
          <w:p>
            <w:pPr>
              <w:pStyle w:val="TableParagraph"/>
              <w:jc w:val="left"/>
              <w:rPr>
                <w:sz w:val="16"/>
              </w:rPr>
            </w:pPr>
          </w:p>
        </w:tc>
        <w:tc>
          <w:tcPr>
            <w:tcW w:w="737" w:type="dxa"/>
          </w:tcPr>
          <w:p>
            <w:pPr>
              <w:pStyle w:val="TableParagraph"/>
              <w:jc w:val="left"/>
              <w:rPr>
                <w:sz w:val="16"/>
              </w:rPr>
            </w:pPr>
          </w:p>
        </w:tc>
        <w:tc>
          <w:tcPr>
            <w:tcW w:w="4856" w:type="dxa"/>
          </w:tcPr>
          <w:p>
            <w:pPr>
              <w:pStyle w:val="TableParagraph"/>
              <w:spacing w:line="213" w:lineRule="exact"/>
              <w:ind w:left="734"/>
              <w:jc w:val="left"/>
              <w:rPr>
                <w:b/>
                <w:sz w:val="20"/>
              </w:rPr>
            </w:pPr>
            <w:r>
              <w:rPr>
                <w:b/>
                <w:sz w:val="20"/>
              </w:rPr>
              <w:t>aspects of capture systems</w:t>
            </w:r>
          </w:p>
        </w:tc>
        <w:tc>
          <w:tcPr>
            <w:tcW w:w="357" w:type="dxa"/>
          </w:tcPr>
          <w:p>
            <w:pPr>
              <w:pStyle w:val="TableParagraph"/>
              <w:spacing w:line="213" w:lineRule="exact"/>
              <w:jc w:val="left"/>
              <w:rPr>
                <w:b/>
                <w:sz w:val="20"/>
              </w:rPr>
            </w:pPr>
            <w:r>
              <w:rPr>
                <w:b/>
                <w:sz w:val="20"/>
              </w:rPr>
              <w:t>141</w:t>
            </w:r>
          </w:p>
        </w:tc>
      </w:tr>
      <w:tr>
        <w:trPr>
          <w:trHeight w:val="262" w:hRule="atLeast"/>
        </w:trPr>
        <w:tc>
          <w:tcPr>
            <w:tcW w:w="4422" w:type="dxa"/>
          </w:tcPr>
          <w:p>
            <w:pPr>
              <w:pStyle w:val="TableParagraph"/>
              <w:tabs>
                <w:tab w:pos="566" w:val="left" w:leader="none"/>
              </w:tabs>
              <w:spacing w:line="213" w:lineRule="exact"/>
              <w:ind w:left="-1"/>
              <w:jc w:val="left"/>
              <w:rPr>
                <w:b/>
                <w:sz w:val="20"/>
              </w:rPr>
            </w:pPr>
            <w:r>
              <w:rPr>
                <w:b/>
                <w:sz w:val="20"/>
              </w:rPr>
              <w:t>3.1</w:t>
              <w:tab/>
              <w:t>introduction</w:t>
            </w:r>
          </w:p>
        </w:tc>
        <w:tc>
          <w:tcPr>
            <w:tcW w:w="737" w:type="dxa"/>
          </w:tcPr>
          <w:p>
            <w:pPr>
              <w:pStyle w:val="TableParagraph"/>
              <w:spacing w:line="213" w:lineRule="exact"/>
              <w:ind w:right="168"/>
              <w:jc w:val="right"/>
              <w:rPr>
                <w:b/>
                <w:sz w:val="20"/>
              </w:rPr>
            </w:pPr>
            <w:r>
              <w:rPr>
                <w:b/>
                <w:sz w:val="20"/>
              </w:rPr>
              <w:t>108</w:t>
            </w:r>
          </w:p>
        </w:tc>
        <w:tc>
          <w:tcPr>
            <w:tcW w:w="4856" w:type="dxa"/>
          </w:tcPr>
          <w:p>
            <w:pPr>
              <w:pStyle w:val="TableParagraph"/>
              <w:spacing w:line="243" w:lineRule="exact"/>
              <w:ind w:left="167"/>
              <w:jc w:val="left"/>
              <w:rPr>
                <w:sz w:val="20"/>
              </w:rPr>
            </w:pPr>
            <w:r>
              <w:rPr>
                <w:sz w:val="20"/>
              </w:rPr>
              <w:t>3.6.1 Emissions and resource use impacts of CO</w:t>
            </w:r>
            <w:r>
              <w:rPr>
                <w:position w:val="-6"/>
                <w:sz w:val="11"/>
              </w:rPr>
              <w:t>2 </w:t>
            </w:r>
            <w:r>
              <w:rPr>
                <w:sz w:val="20"/>
              </w:rPr>
              <w:t>capture</w:t>
            </w:r>
          </w:p>
        </w:tc>
        <w:tc>
          <w:tcPr>
            <w:tcW w:w="357" w:type="dxa"/>
          </w:tcPr>
          <w:p>
            <w:pPr>
              <w:pStyle w:val="TableParagraph"/>
              <w:jc w:val="left"/>
              <w:rPr>
                <w:sz w:val="18"/>
              </w:rPr>
            </w:pPr>
          </w:p>
        </w:tc>
      </w:tr>
      <w:tr>
        <w:trPr>
          <w:trHeight w:val="240" w:hRule="atLeast"/>
        </w:trPr>
        <w:tc>
          <w:tcPr>
            <w:tcW w:w="4422" w:type="dxa"/>
          </w:tcPr>
          <w:p>
            <w:pPr>
              <w:pStyle w:val="TableParagraph"/>
              <w:spacing w:line="184" w:lineRule="auto"/>
              <w:ind w:left="-1"/>
              <w:jc w:val="left"/>
              <w:rPr>
                <w:sz w:val="20"/>
              </w:rPr>
            </w:pPr>
            <w:r>
              <w:rPr>
                <w:sz w:val="20"/>
              </w:rPr>
              <w:t>3.1.1 The basis for CO</w:t>
            </w:r>
            <w:r>
              <w:rPr>
                <w:position w:val="-6"/>
                <w:sz w:val="11"/>
              </w:rPr>
              <w:t>2 </w:t>
            </w:r>
            <w:r>
              <w:rPr>
                <w:sz w:val="20"/>
              </w:rPr>
              <w:t>capture</w:t>
            </w:r>
          </w:p>
        </w:tc>
        <w:tc>
          <w:tcPr>
            <w:tcW w:w="737" w:type="dxa"/>
          </w:tcPr>
          <w:p>
            <w:pPr>
              <w:pStyle w:val="TableParagraph"/>
              <w:spacing w:line="191" w:lineRule="exact"/>
              <w:ind w:right="168"/>
              <w:jc w:val="right"/>
              <w:rPr>
                <w:sz w:val="20"/>
              </w:rPr>
            </w:pPr>
            <w:r>
              <w:rPr>
                <w:sz w:val="20"/>
              </w:rPr>
              <w:t>108</w:t>
            </w:r>
          </w:p>
        </w:tc>
        <w:tc>
          <w:tcPr>
            <w:tcW w:w="4856" w:type="dxa"/>
          </w:tcPr>
          <w:p>
            <w:pPr>
              <w:pStyle w:val="TableParagraph"/>
              <w:spacing w:line="191" w:lineRule="exact"/>
              <w:ind w:left="734"/>
              <w:jc w:val="left"/>
              <w:rPr>
                <w:sz w:val="20"/>
              </w:rPr>
            </w:pPr>
            <w:r>
              <w:rPr>
                <w:sz w:val="20"/>
              </w:rPr>
              <w:t>systems</w:t>
            </w:r>
          </w:p>
        </w:tc>
        <w:tc>
          <w:tcPr>
            <w:tcW w:w="357" w:type="dxa"/>
          </w:tcPr>
          <w:p>
            <w:pPr>
              <w:pStyle w:val="TableParagraph"/>
              <w:spacing w:line="191" w:lineRule="exact"/>
              <w:jc w:val="left"/>
              <w:rPr>
                <w:sz w:val="20"/>
              </w:rPr>
            </w:pPr>
            <w:r>
              <w:rPr>
                <w:sz w:val="20"/>
              </w:rPr>
              <w:t>141</w:t>
            </w:r>
          </w:p>
        </w:tc>
      </w:tr>
      <w:tr>
        <w:trPr>
          <w:trHeight w:val="240" w:hRule="atLeast"/>
        </w:trPr>
        <w:tc>
          <w:tcPr>
            <w:tcW w:w="4422" w:type="dxa"/>
          </w:tcPr>
          <w:p>
            <w:pPr>
              <w:pStyle w:val="TableParagraph"/>
              <w:spacing w:line="184" w:lineRule="auto"/>
              <w:ind w:left="-1"/>
              <w:jc w:val="left"/>
              <w:rPr>
                <w:sz w:val="20"/>
              </w:rPr>
            </w:pPr>
            <w:r>
              <w:rPr>
                <w:sz w:val="20"/>
              </w:rPr>
              <w:t>3.1.2 CO</w:t>
            </w:r>
            <w:r>
              <w:rPr>
                <w:position w:val="-6"/>
                <w:sz w:val="11"/>
              </w:rPr>
              <w:t>2 </w:t>
            </w:r>
            <w:r>
              <w:rPr>
                <w:sz w:val="20"/>
              </w:rPr>
              <w:t>capture systems</w:t>
            </w:r>
          </w:p>
        </w:tc>
        <w:tc>
          <w:tcPr>
            <w:tcW w:w="737" w:type="dxa"/>
          </w:tcPr>
          <w:p>
            <w:pPr>
              <w:pStyle w:val="TableParagraph"/>
              <w:spacing w:line="191" w:lineRule="exact"/>
              <w:ind w:right="168"/>
              <w:jc w:val="right"/>
              <w:rPr>
                <w:sz w:val="20"/>
              </w:rPr>
            </w:pPr>
            <w:r>
              <w:rPr>
                <w:sz w:val="20"/>
              </w:rPr>
              <w:t>108</w:t>
            </w:r>
          </w:p>
        </w:tc>
        <w:tc>
          <w:tcPr>
            <w:tcW w:w="4856" w:type="dxa"/>
          </w:tcPr>
          <w:p>
            <w:pPr>
              <w:pStyle w:val="TableParagraph"/>
              <w:spacing w:line="191" w:lineRule="exact"/>
              <w:ind w:left="167"/>
              <w:jc w:val="left"/>
              <w:rPr>
                <w:sz w:val="20"/>
              </w:rPr>
            </w:pPr>
            <w:r>
              <w:rPr>
                <w:sz w:val="20"/>
              </w:rPr>
              <w:t>3.6.2 Issues related to the classification of carbon</w:t>
            </w:r>
          </w:p>
        </w:tc>
        <w:tc>
          <w:tcPr>
            <w:tcW w:w="357" w:type="dxa"/>
          </w:tcPr>
          <w:p>
            <w:pPr>
              <w:pStyle w:val="TableParagraph"/>
              <w:jc w:val="left"/>
              <w:rPr>
                <w:sz w:val="16"/>
              </w:rPr>
            </w:pPr>
          </w:p>
        </w:tc>
      </w:tr>
      <w:tr>
        <w:trPr>
          <w:trHeight w:val="240" w:hRule="atLeast"/>
        </w:trPr>
        <w:tc>
          <w:tcPr>
            <w:tcW w:w="4422" w:type="dxa"/>
          </w:tcPr>
          <w:p>
            <w:pPr>
              <w:pStyle w:val="TableParagraph"/>
              <w:spacing w:line="184" w:lineRule="auto"/>
              <w:ind w:left="-1"/>
              <w:jc w:val="left"/>
              <w:rPr>
                <w:sz w:val="20"/>
              </w:rPr>
            </w:pPr>
            <w:r>
              <w:rPr>
                <w:sz w:val="20"/>
              </w:rPr>
              <w:t>3.1.3 Types of CO</w:t>
            </w:r>
            <w:r>
              <w:rPr>
                <w:position w:val="-6"/>
                <w:sz w:val="11"/>
              </w:rPr>
              <w:t>2 </w:t>
            </w:r>
            <w:r>
              <w:rPr>
                <w:sz w:val="20"/>
              </w:rPr>
              <w:t>capture technologies</w:t>
            </w:r>
          </w:p>
        </w:tc>
        <w:tc>
          <w:tcPr>
            <w:tcW w:w="737" w:type="dxa"/>
          </w:tcPr>
          <w:p>
            <w:pPr>
              <w:pStyle w:val="TableParagraph"/>
              <w:spacing w:line="191" w:lineRule="exact"/>
              <w:ind w:right="168"/>
              <w:jc w:val="right"/>
              <w:rPr>
                <w:sz w:val="20"/>
              </w:rPr>
            </w:pPr>
            <w:r>
              <w:rPr>
                <w:sz w:val="20"/>
              </w:rPr>
              <w:t>109</w:t>
            </w:r>
          </w:p>
        </w:tc>
        <w:tc>
          <w:tcPr>
            <w:tcW w:w="4856" w:type="dxa"/>
          </w:tcPr>
          <w:p>
            <w:pPr>
              <w:pStyle w:val="TableParagraph"/>
              <w:spacing w:line="191" w:lineRule="exact"/>
              <w:ind w:left="734"/>
              <w:jc w:val="left"/>
              <w:rPr>
                <w:sz w:val="20"/>
              </w:rPr>
            </w:pPr>
            <w:r>
              <w:rPr>
                <w:sz w:val="20"/>
              </w:rPr>
              <w:t>dioxide as a product</w:t>
            </w:r>
          </w:p>
        </w:tc>
        <w:tc>
          <w:tcPr>
            <w:tcW w:w="357" w:type="dxa"/>
          </w:tcPr>
          <w:p>
            <w:pPr>
              <w:pStyle w:val="TableParagraph"/>
              <w:spacing w:line="191" w:lineRule="exact"/>
              <w:jc w:val="left"/>
              <w:rPr>
                <w:sz w:val="20"/>
              </w:rPr>
            </w:pPr>
            <w:r>
              <w:rPr>
                <w:sz w:val="20"/>
              </w:rPr>
              <w:t>145</w:t>
            </w:r>
          </w:p>
        </w:tc>
      </w:tr>
      <w:tr>
        <w:trPr>
          <w:trHeight w:val="457" w:hRule="atLeast"/>
        </w:trPr>
        <w:tc>
          <w:tcPr>
            <w:tcW w:w="4422" w:type="dxa"/>
          </w:tcPr>
          <w:p>
            <w:pPr>
              <w:pStyle w:val="TableParagraph"/>
              <w:spacing w:line="189" w:lineRule="auto"/>
              <w:ind w:left="-1"/>
              <w:jc w:val="left"/>
              <w:rPr>
                <w:sz w:val="20"/>
              </w:rPr>
            </w:pPr>
            <w:r>
              <w:rPr>
                <w:sz w:val="20"/>
              </w:rPr>
              <w:t>3.1.4 Application of CO</w:t>
            </w:r>
            <w:r>
              <w:rPr>
                <w:position w:val="-6"/>
                <w:sz w:val="11"/>
              </w:rPr>
              <w:t>2 </w:t>
            </w:r>
            <w:r>
              <w:rPr>
                <w:sz w:val="20"/>
              </w:rPr>
              <w:t>capture</w:t>
            </w:r>
          </w:p>
        </w:tc>
        <w:tc>
          <w:tcPr>
            <w:tcW w:w="737" w:type="dxa"/>
          </w:tcPr>
          <w:p>
            <w:pPr>
              <w:pStyle w:val="TableParagraph"/>
              <w:spacing w:line="191" w:lineRule="exact"/>
              <w:ind w:right="168"/>
              <w:jc w:val="right"/>
              <w:rPr>
                <w:sz w:val="20"/>
              </w:rPr>
            </w:pPr>
            <w:r>
              <w:rPr>
                <w:sz w:val="20"/>
              </w:rPr>
              <w:t>110</w:t>
            </w:r>
          </w:p>
        </w:tc>
        <w:tc>
          <w:tcPr>
            <w:tcW w:w="4856" w:type="dxa"/>
          </w:tcPr>
          <w:p>
            <w:pPr>
              <w:pStyle w:val="TableParagraph"/>
              <w:spacing w:line="191" w:lineRule="exact"/>
              <w:ind w:left="167"/>
              <w:jc w:val="left"/>
              <w:rPr>
                <w:sz w:val="20"/>
              </w:rPr>
            </w:pPr>
            <w:r>
              <w:rPr>
                <w:sz w:val="20"/>
              </w:rPr>
              <w:t>3.6.3 Health and safety risks associated with carbon</w:t>
            </w:r>
          </w:p>
          <w:p>
            <w:pPr>
              <w:pStyle w:val="TableParagraph"/>
              <w:spacing w:before="10"/>
              <w:ind w:left="734"/>
              <w:jc w:val="left"/>
              <w:rPr>
                <w:sz w:val="20"/>
              </w:rPr>
            </w:pPr>
            <w:r>
              <w:rPr>
                <w:sz w:val="20"/>
              </w:rPr>
              <w:t>dioxide processing</w:t>
            </w:r>
          </w:p>
        </w:tc>
        <w:tc>
          <w:tcPr>
            <w:tcW w:w="357" w:type="dxa"/>
          </w:tcPr>
          <w:p>
            <w:pPr>
              <w:pStyle w:val="TableParagraph"/>
              <w:spacing w:before="5"/>
              <w:jc w:val="left"/>
              <w:rPr>
                <w:sz w:val="17"/>
              </w:rPr>
            </w:pPr>
          </w:p>
          <w:p>
            <w:pPr>
              <w:pStyle w:val="TableParagraph"/>
              <w:jc w:val="left"/>
              <w:rPr>
                <w:sz w:val="20"/>
              </w:rPr>
            </w:pPr>
            <w:r>
              <w:rPr>
                <w:sz w:val="20"/>
              </w:rPr>
              <w:t>145</w:t>
            </w:r>
          </w:p>
        </w:tc>
      </w:tr>
      <w:tr>
        <w:trPr>
          <w:trHeight w:val="240" w:hRule="atLeast"/>
        </w:trPr>
        <w:tc>
          <w:tcPr>
            <w:tcW w:w="4422" w:type="dxa"/>
          </w:tcPr>
          <w:p>
            <w:pPr>
              <w:pStyle w:val="TableParagraph"/>
              <w:tabs>
                <w:tab w:pos="566" w:val="left" w:leader="none"/>
              </w:tabs>
              <w:spacing w:line="213" w:lineRule="exact"/>
              <w:jc w:val="left"/>
              <w:rPr>
                <w:b/>
                <w:sz w:val="20"/>
              </w:rPr>
            </w:pPr>
            <w:r>
              <w:rPr>
                <w:b/>
                <w:sz w:val="20"/>
              </w:rPr>
              <w:t>3.2</w:t>
              <w:tab/>
              <w:t>industrial process capture</w:t>
            </w:r>
            <w:r>
              <w:rPr>
                <w:b/>
                <w:spacing w:val="-2"/>
                <w:sz w:val="20"/>
              </w:rPr>
              <w:t> </w:t>
            </w:r>
            <w:r>
              <w:rPr>
                <w:b/>
                <w:sz w:val="20"/>
              </w:rPr>
              <w:t>systems</w:t>
            </w:r>
          </w:p>
        </w:tc>
        <w:tc>
          <w:tcPr>
            <w:tcW w:w="737" w:type="dxa"/>
          </w:tcPr>
          <w:p>
            <w:pPr>
              <w:pStyle w:val="TableParagraph"/>
              <w:spacing w:line="213" w:lineRule="exact"/>
              <w:ind w:right="168"/>
              <w:jc w:val="right"/>
              <w:rPr>
                <w:b/>
                <w:sz w:val="20"/>
              </w:rPr>
            </w:pPr>
            <w:r>
              <w:rPr>
                <w:b/>
                <w:sz w:val="20"/>
              </w:rPr>
              <w:t>111</w:t>
            </w:r>
          </w:p>
        </w:tc>
        <w:tc>
          <w:tcPr>
            <w:tcW w:w="4856" w:type="dxa"/>
          </w:tcPr>
          <w:p>
            <w:pPr>
              <w:pStyle w:val="TableParagraph"/>
              <w:spacing w:line="213" w:lineRule="exact"/>
              <w:ind w:left="167"/>
              <w:jc w:val="left"/>
              <w:rPr>
                <w:sz w:val="20"/>
              </w:rPr>
            </w:pPr>
            <w:r>
              <w:rPr>
                <w:sz w:val="20"/>
              </w:rPr>
              <w:t>3.6.4 Plant design principles and guidelines used by</w:t>
            </w:r>
          </w:p>
        </w:tc>
        <w:tc>
          <w:tcPr>
            <w:tcW w:w="357" w:type="dxa"/>
          </w:tcPr>
          <w:p>
            <w:pPr>
              <w:pStyle w:val="TableParagraph"/>
              <w:jc w:val="left"/>
              <w:rPr>
                <w:sz w:val="16"/>
              </w:rPr>
            </w:pPr>
          </w:p>
        </w:tc>
      </w:tr>
      <w:tr>
        <w:trPr>
          <w:trHeight w:val="240" w:hRule="atLeast"/>
        </w:trPr>
        <w:tc>
          <w:tcPr>
            <w:tcW w:w="4422" w:type="dxa"/>
          </w:tcPr>
          <w:p>
            <w:pPr>
              <w:pStyle w:val="TableParagraph"/>
              <w:spacing w:line="213" w:lineRule="exact"/>
              <w:jc w:val="left"/>
              <w:rPr>
                <w:sz w:val="20"/>
              </w:rPr>
            </w:pPr>
            <w:r>
              <w:rPr>
                <w:sz w:val="20"/>
              </w:rPr>
              <w:t>3.2.1 Introduction</w:t>
            </w:r>
          </w:p>
        </w:tc>
        <w:tc>
          <w:tcPr>
            <w:tcW w:w="737" w:type="dxa"/>
          </w:tcPr>
          <w:p>
            <w:pPr>
              <w:pStyle w:val="TableParagraph"/>
              <w:spacing w:line="213" w:lineRule="exact"/>
              <w:ind w:right="168"/>
              <w:jc w:val="right"/>
              <w:rPr>
                <w:sz w:val="20"/>
              </w:rPr>
            </w:pPr>
            <w:r>
              <w:rPr>
                <w:sz w:val="20"/>
              </w:rPr>
              <w:t>111</w:t>
            </w:r>
          </w:p>
        </w:tc>
        <w:tc>
          <w:tcPr>
            <w:tcW w:w="4856" w:type="dxa"/>
          </w:tcPr>
          <w:p>
            <w:pPr>
              <w:pStyle w:val="TableParagraph"/>
              <w:spacing w:line="213" w:lineRule="exact"/>
              <w:ind w:left="734"/>
              <w:jc w:val="left"/>
              <w:rPr>
                <w:sz w:val="20"/>
              </w:rPr>
            </w:pPr>
            <w:r>
              <w:rPr>
                <w:sz w:val="20"/>
              </w:rPr>
              <w:t>governments, industries and financiers</w:t>
            </w:r>
          </w:p>
        </w:tc>
        <w:tc>
          <w:tcPr>
            <w:tcW w:w="357" w:type="dxa"/>
          </w:tcPr>
          <w:p>
            <w:pPr>
              <w:pStyle w:val="TableParagraph"/>
              <w:spacing w:line="213" w:lineRule="exact"/>
              <w:ind w:left="-1"/>
              <w:jc w:val="left"/>
              <w:rPr>
                <w:sz w:val="20"/>
              </w:rPr>
            </w:pPr>
            <w:r>
              <w:rPr>
                <w:sz w:val="20"/>
              </w:rPr>
              <w:t>145</w:t>
            </w:r>
          </w:p>
        </w:tc>
      </w:tr>
      <w:tr>
        <w:trPr>
          <w:trHeight w:val="240" w:hRule="atLeast"/>
        </w:trPr>
        <w:tc>
          <w:tcPr>
            <w:tcW w:w="4422" w:type="dxa"/>
          </w:tcPr>
          <w:p>
            <w:pPr>
              <w:pStyle w:val="TableParagraph"/>
              <w:spacing w:line="213" w:lineRule="exact"/>
              <w:jc w:val="left"/>
              <w:rPr>
                <w:sz w:val="20"/>
              </w:rPr>
            </w:pPr>
            <w:r>
              <w:rPr>
                <w:sz w:val="20"/>
              </w:rPr>
              <w:t>3.2.2 Natural gas sweetening</w:t>
            </w:r>
          </w:p>
        </w:tc>
        <w:tc>
          <w:tcPr>
            <w:tcW w:w="737" w:type="dxa"/>
          </w:tcPr>
          <w:p>
            <w:pPr>
              <w:pStyle w:val="TableParagraph"/>
              <w:spacing w:line="213" w:lineRule="exact"/>
              <w:ind w:right="168"/>
              <w:jc w:val="right"/>
              <w:rPr>
                <w:sz w:val="20"/>
              </w:rPr>
            </w:pPr>
            <w:r>
              <w:rPr>
                <w:sz w:val="20"/>
              </w:rPr>
              <w:t>111</w:t>
            </w:r>
          </w:p>
        </w:tc>
        <w:tc>
          <w:tcPr>
            <w:tcW w:w="4856" w:type="dxa"/>
          </w:tcPr>
          <w:p>
            <w:pPr>
              <w:pStyle w:val="TableParagraph"/>
              <w:spacing w:line="213" w:lineRule="exact"/>
              <w:ind w:left="167"/>
              <w:jc w:val="left"/>
              <w:rPr>
                <w:sz w:val="20"/>
              </w:rPr>
            </w:pPr>
            <w:r>
              <w:rPr>
                <w:sz w:val="20"/>
              </w:rPr>
              <w:t>3.6.5 Commissioning, good practice during operations</w:t>
            </w:r>
          </w:p>
        </w:tc>
        <w:tc>
          <w:tcPr>
            <w:tcW w:w="357" w:type="dxa"/>
          </w:tcPr>
          <w:p>
            <w:pPr>
              <w:pStyle w:val="TableParagraph"/>
              <w:jc w:val="left"/>
              <w:rPr>
                <w:sz w:val="16"/>
              </w:rPr>
            </w:pPr>
          </w:p>
        </w:tc>
      </w:tr>
      <w:tr>
        <w:trPr>
          <w:trHeight w:val="240" w:hRule="atLeast"/>
        </w:trPr>
        <w:tc>
          <w:tcPr>
            <w:tcW w:w="4422" w:type="dxa"/>
          </w:tcPr>
          <w:p>
            <w:pPr>
              <w:pStyle w:val="TableParagraph"/>
              <w:spacing w:line="213" w:lineRule="exact"/>
              <w:jc w:val="left"/>
              <w:rPr>
                <w:sz w:val="20"/>
              </w:rPr>
            </w:pPr>
            <w:r>
              <w:rPr>
                <w:sz w:val="20"/>
              </w:rPr>
              <w:t>3.2.3 Steel production</w:t>
            </w:r>
          </w:p>
        </w:tc>
        <w:tc>
          <w:tcPr>
            <w:tcW w:w="737" w:type="dxa"/>
          </w:tcPr>
          <w:p>
            <w:pPr>
              <w:pStyle w:val="TableParagraph"/>
              <w:spacing w:line="213" w:lineRule="exact"/>
              <w:ind w:right="169"/>
              <w:jc w:val="right"/>
              <w:rPr>
                <w:sz w:val="20"/>
              </w:rPr>
            </w:pPr>
            <w:r>
              <w:rPr>
                <w:sz w:val="20"/>
              </w:rPr>
              <w:t>112</w:t>
            </w:r>
          </w:p>
        </w:tc>
        <w:tc>
          <w:tcPr>
            <w:tcW w:w="4856" w:type="dxa"/>
          </w:tcPr>
          <w:p>
            <w:pPr>
              <w:pStyle w:val="TableParagraph"/>
              <w:spacing w:line="213" w:lineRule="exact"/>
              <w:ind w:left="734"/>
              <w:jc w:val="left"/>
              <w:rPr>
                <w:sz w:val="20"/>
              </w:rPr>
            </w:pPr>
            <w:r>
              <w:rPr>
                <w:sz w:val="20"/>
              </w:rPr>
              <w:t>and sound management of chemicals</w:t>
            </w:r>
          </w:p>
        </w:tc>
        <w:tc>
          <w:tcPr>
            <w:tcW w:w="357" w:type="dxa"/>
          </w:tcPr>
          <w:p>
            <w:pPr>
              <w:pStyle w:val="TableParagraph"/>
              <w:spacing w:line="213" w:lineRule="exact"/>
              <w:jc w:val="left"/>
              <w:rPr>
                <w:sz w:val="20"/>
              </w:rPr>
            </w:pPr>
            <w:r>
              <w:rPr>
                <w:sz w:val="20"/>
              </w:rPr>
              <w:t>146</w:t>
            </w:r>
          </w:p>
        </w:tc>
      </w:tr>
      <w:tr>
        <w:trPr>
          <w:trHeight w:val="240" w:hRule="atLeast"/>
        </w:trPr>
        <w:tc>
          <w:tcPr>
            <w:tcW w:w="4422" w:type="dxa"/>
          </w:tcPr>
          <w:p>
            <w:pPr>
              <w:pStyle w:val="TableParagraph"/>
              <w:spacing w:line="213" w:lineRule="exact"/>
              <w:jc w:val="left"/>
              <w:rPr>
                <w:sz w:val="20"/>
              </w:rPr>
            </w:pPr>
            <w:r>
              <w:rPr>
                <w:sz w:val="20"/>
              </w:rPr>
              <w:t>3.2.4 Cement production</w:t>
            </w:r>
          </w:p>
        </w:tc>
        <w:tc>
          <w:tcPr>
            <w:tcW w:w="737" w:type="dxa"/>
          </w:tcPr>
          <w:p>
            <w:pPr>
              <w:pStyle w:val="TableParagraph"/>
              <w:spacing w:line="213" w:lineRule="exact"/>
              <w:ind w:right="167"/>
              <w:jc w:val="right"/>
              <w:rPr>
                <w:sz w:val="20"/>
              </w:rPr>
            </w:pPr>
            <w:r>
              <w:rPr>
                <w:sz w:val="20"/>
              </w:rPr>
              <w:t>113</w:t>
            </w:r>
          </w:p>
        </w:tc>
        <w:tc>
          <w:tcPr>
            <w:tcW w:w="4856" w:type="dxa"/>
          </w:tcPr>
          <w:p>
            <w:pPr>
              <w:pStyle w:val="TableParagraph"/>
              <w:spacing w:line="213" w:lineRule="exact"/>
              <w:ind w:left="167"/>
              <w:jc w:val="left"/>
              <w:rPr>
                <w:sz w:val="20"/>
              </w:rPr>
            </w:pPr>
            <w:r>
              <w:rPr>
                <w:sz w:val="20"/>
              </w:rPr>
              <w:t>3.6.6 Site closure and remediation</w:t>
            </w:r>
          </w:p>
        </w:tc>
        <w:tc>
          <w:tcPr>
            <w:tcW w:w="357" w:type="dxa"/>
          </w:tcPr>
          <w:p>
            <w:pPr>
              <w:pStyle w:val="TableParagraph"/>
              <w:spacing w:line="213" w:lineRule="exact"/>
              <w:jc w:val="left"/>
              <w:rPr>
                <w:sz w:val="20"/>
              </w:rPr>
            </w:pPr>
            <w:r>
              <w:rPr>
                <w:sz w:val="20"/>
              </w:rPr>
              <w:t>146</w:t>
            </w:r>
          </w:p>
        </w:tc>
      </w:tr>
      <w:tr>
        <w:trPr>
          <w:trHeight w:val="240" w:hRule="atLeast"/>
        </w:trPr>
        <w:tc>
          <w:tcPr>
            <w:tcW w:w="4422" w:type="dxa"/>
          </w:tcPr>
          <w:p>
            <w:pPr>
              <w:pStyle w:val="TableParagraph"/>
              <w:spacing w:line="213" w:lineRule="exact"/>
              <w:jc w:val="left"/>
              <w:rPr>
                <w:sz w:val="20"/>
              </w:rPr>
            </w:pPr>
            <w:r>
              <w:rPr>
                <w:sz w:val="20"/>
              </w:rPr>
              <w:t>3.2.5 Ammonia production</w:t>
            </w:r>
          </w:p>
        </w:tc>
        <w:tc>
          <w:tcPr>
            <w:tcW w:w="737" w:type="dxa"/>
          </w:tcPr>
          <w:p>
            <w:pPr>
              <w:pStyle w:val="TableParagraph"/>
              <w:spacing w:line="213" w:lineRule="exact"/>
              <w:ind w:right="167"/>
              <w:jc w:val="right"/>
              <w:rPr>
                <w:sz w:val="20"/>
              </w:rPr>
            </w:pPr>
            <w:r>
              <w:rPr>
                <w:sz w:val="20"/>
              </w:rPr>
              <w:t>113</w:t>
            </w:r>
          </w:p>
        </w:tc>
        <w:tc>
          <w:tcPr>
            <w:tcW w:w="4856" w:type="dxa"/>
          </w:tcPr>
          <w:p>
            <w:pPr>
              <w:pStyle w:val="TableParagraph"/>
              <w:jc w:val="left"/>
              <w:rPr>
                <w:sz w:val="16"/>
              </w:rPr>
            </w:pPr>
          </w:p>
        </w:tc>
        <w:tc>
          <w:tcPr>
            <w:tcW w:w="357" w:type="dxa"/>
          </w:tcPr>
          <w:p>
            <w:pPr>
              <w:pStyle w:val="TableParagraph"/>
              <w:jc w:val="left"/>
              <w:rPr>
                <w:sz w:val="16"/>
              </w:rPr>
            </w:pPr>
          </w:p>
        </w:tc>
      </w:tr>
      <w:tr>
        <w:trPr>
          <w:trHeight w:val="262" w:hRule="atLeast"/>
        </w:trPr>
        <w:tc>
          <w:tcPr>
            <w:tcW w:w="4422" w:type="dxa"/>
          </w:tcPr>
          <w:p>
            <w:pPr>
              <w:pStyle w:val="TableParagraph"/>
              <w:spacing w:line="213" w:lineRule="exact"/>
              <w:jc w:val="left"/>
              <w:rPr>
                <w:sz w:val="20"/>
              </w:rPr>
            </w:pPr>
            <w:r>
              <w:rPr>
                <w:sz w:val="20"/>
              </w:rPr>
              <w:t>3.2.6 Status and outlook</w:t>
            </w:r>
          </w:p>
        </w:tc>
        <w:tc>
          <w:tcPr>
            <w:tcW w:w="737" w:type="dxa"/>
          </w:tcPr>
          <w:p>
            <w:pPr>
              <w:pStyle w:val="TableParagraph"/>
              <w:spacing w:line="213" w:lineRule="exact"/>
              <w:ind w:right="167"/>
              <w:jc w:val="right"/>
              <w:rPr>
                <w:sz w:val="20"/>
              </w:rPr>
            </w:pPr>
            <w:r>
              <w:rPr>
                <w:sz w:val="20"/>
              </w:rPr>
              <w:t>113</w:t>
            </w:r>
          </w:p>
        </w:tc>
        <w:tc>
          <w:tcPr>
            <w:tcW w:w="4856" w:type="dxa"/>
          </w:tcPr>
          <w:p>
            <w:pPr>
              <w:pStyle w:val="TableParagraph"/>
              <w:tabs>
                <w:tab w:pos="734" w:val="left" w:leader="none"/>
              </w:tabs>
              <w:spacing w:line="243" w:lineRule="exact"/>
              <w:ind w:left="167"/>
              <w:jc w:val="left"/>
              <w:rPr>
                <w:b/>
                <w:sz w:val="20"/>
              </w:rPr>
            </w:pPr>
            <w:r>
              <w:rPr>
                <w:b/>
                <w:sz w:val="20"/>
              </w:rPr>
              <w:t>3.7</w:t>
              <w:tab/>
              <w:t>Cost of CO</w:t>
            </w:r>
            <w:r>
              <w:rPr>
                <w:b/>
                <w:position w:val="-6"/>
                <w:sz w:val="11"/>
              </w:rPr>
              <w:t>2</w:t>
            </w:r>
            <w:r>
              <w:rPr>
                <w:b/>
                <w:spacing w:val="21"/>
                <w:position w:val="-6"/>
                <w:sz w:val="11"/>
              </w:rPr>
              <w:t> </w:t>
            </w:r>
            <w:r>
              <w:rPr>
                <w:b/>
                <w:sz w:val="20"/>
              </w:rPr>
              <w:t>capture</w:t>
            </w:r>
          </w:p>
        </w:tc>
        <w:tc>
          <w:tcPr>
            <w:tcW w:w="357" w:type="dxa"/>
          </w:tcPr>
          <w:p>
            <w:pPr>
              <w:pStyle w:val="TableParagraph"/>
              <w:spacing w:line="213" w:lineRule="exact"/>
              <w:jc w:val="left"/>
              <w:rPr>
                <w:b/>
                <w:sz w:val="20"/>
              </w:rPr>
            </w:pPr>
            <w:r>
              <w:rPr>
                <w:b/>
                <w:sz w:val="20"/>
              </w:rPr>
              <w:t>146</w:t>
            </w:r>
          </w:p>
        </w:tc>
      </w:tr>
      <w:tr>
        <w:trPr>
          <w:trHeight w:val="240" w:hRule="atLeast"/>
        </w:trPr>
        <w:tc>
          <w:tcPr>
            <w:tcW w:w="4422" w:type="dxa"/>
          </w:tcPr>
          <w:p>
            <w:pPr>
              <w:pStyle w:val="TableParagraph"/>
              <w:jc w:val="left"/>
              <w:rPr>
                <w:sz w:val="16"/>
              </w:rPr>
            </w:pPr>
          </w:p>
        </w:tc>
        <w:tc>
          <w:tcPr>
            <w:tcW w:w="737" w:type="dxa"/>
          </w:tcPr>
          <w:p>
            <w:pPr>
              <w:pStyle w:val="TableParagraph"/>
              <w:jc w:val="left"/>
              <w:rPr>
                <w:sz w:val="16"/>
              </w:rPr>
            </w:pPr>
          </w:p>
        </w:tc>
        <w:tc>
          <w:tcPr>
            <w:tcW w:w="4856" w:type="dxa"/>
          </w:tcPr>
          <w:p>
            <w:pPr>
              <w:pStyle w:val="TableParagraph"/>
              <w:spacing w:line="184" w:lineRule="auto"/>
              <w:ind w:left="167"/>
              <w:jc w:val="left"/>
              <w:rPr>
                <w:sz w:val="20"/>
              </w:rPr>
            </w:pPr>
            <w:r>
              <w:rPr>
                <w:sz w:val="20"/>
              </w:rPr>
              <w:t>3.7.1 Factors affecting CO</w:t>
            </w:r>
            <w:r>
              <w:rPr>
                <w:position w:val="-6"/>
                <w:sz w:val="11"/>
              </w:rPr>
              <w:t>2 </w:t>
            </w:r>
            <w:r>
              <w:rPr>
                <w:sz w:val="20"/>
              </w:rPr>
              <w:t>capture cost</w:t>
            </w:r>
          </w:p>
        </w:tc>
        <w:tc>
          <w:tcPr>
            <w:tcW w:w="357" w:type="dxa"/>
          </w:tcPr>
          <w:p>
            <w:pPr>
              <w:pStyle w:val="TableParagraph"/>
              <w:spacing w:line="191" w:lineRule="exact"/>
              <w:jc w:val="left"/>
              <w:rPr>
                <w:sz w:val="20"/>
              </w:rPr>
            </w:pPr>
            <w:r>
              <w:rPr>
                <w:sz w:val="20"/>
              </w:rPr>
              <w:t>146</w:t>
            </w:r>
          </w:p>
        </w:tc>
      </w:tr>
      <w:tr>
        <w:trPr>
          <w:trHeight w:val="240" w:hRule="atLeast"/>
        </w:trPr>
        <w:tc>
          <w:tcPr>
            <w:tcW w:w="4422" w:type="dxa"/>
          </w:tcPr>
          <w:p>
            <w:pPr>
              <w:pStyle w:val="TableParagraph"/>
              <w:tabs>
                <w:tab w:pos="567" w:val="left" w:leader="none"/>
              </w:tabs>
              <w:spacing w:line="191" w:lineRule="exact"/>
              <w:jc w:val="left"/>
              <w:rPr>
                <w:b/>
                <w:sz w:val="20"/>
              </w:rPr>
            </w:pPr>
            <w:r>
              <w:rPr>
                <w:b/>
                <w:sz w:val="20"/>
              </w:rPr>
              <w:t>3.3</w:t>
              <w:tab/>
              <w:t>Post-combustion capture</w:t>
            </w:r>
            <w:r>
              <w:rPr>
                <w:b/>
                <w:spacing w:val="-1"/>
                <w:sz w:val="20"/>
              </w:rPr>
              <w:t> </w:t>
            </w:r>
            <w:r>
              <w:rPr>
                <w:b/>
                <w:sz w:val="20"/>
              </w:rPr>
              <w:t>systems</w:t>
            </w:r>
          </w:p>
        </w:tc>
        <w:tc>
          <w:tcPr>
            <w:tcW w:w="737" w:type="dxa"/>
          </w:tcPr>
          <w:p>
            <w:pPr>
              <w:pStyle w:val="TableParagraph"/>
              <w:spacing w:line="191" w:lineRule="exact"/>
              <w:ind w:right="167"/>
              <w:jc w:val="right"/>
              <w:rPr>
                <w:b/>
                <w:sz w:val="20"/>
              </w:rPr>
            </w:pPr>
            <w:r>
              <w:rPr>
                <w:b/>
                <w:sz w:val="20"/>
              </w:rPr>
              <w:t>113</w:t>
            </w:r>
          </w:p>
        </w:tc>
        <w:tc>
          <w:tcPr>
            <w:tcW w:w="4856" w:type="dxa"/>
          </w:tcPr>
          <w:p>
            <w:pPr>
              <w:pStyle w:val="TableParagraph"/>
              <w:spacing w:line="184" w:lineRule="auto"/>
              <w:ind w:left="167"/>
              <w:jc w:val="left"/>
              <w:rPr>
                <w:sz w:val="20"/>
              </w:rPr>
            </w:pPr>
            <w:r>
              <w:rPr>
                <w:sz w:val="20"/>
              </w:rPr>
              <w:t>3.7.2 Measures of CO</w:t>
            </w:r>
            <w:r>
              <w:rPr>
                <w:position w:val="-6"/>
                <w:sz w:val="11"/>
              </w:rPr>
              <w:t>2 </w:t>
            </w:r>
            <w:r>
              <w:rPr>
                <w:sz w:val="20"/>
              </w:rPr>
              <w:t>capture cost</w:t>
            </w:r>
          </w:p>
        </w:tc>
        <w:tc>
          <w:tcPr>
            <w:tcW w:w="357" w:type="dxa"/>
          </w:tcPr>
          <w:p>
            <w:pPr>
              <w:pStyle w:val="TableParagraph"/>
              <w:spacing w:line="191" w:lineRule="exact"/>
              <w:jc w:val="left"/>
              <w:rPr>
                <w:sz w:val="20"/>
              </w:rPr>
            </w:pPr>
            <w:r>
              <w:rPr>
                <w:sz w:val="20"/>
              </w:rPr>
              <w:t>147</w:t>
            </w:r>
          </w:p>
        </w:tc>
      </w:tr>
      <w:tr>
        <w:trPr>
          <w:trHeight w:val="217" w:hRule="atLeast"/>
        </w:trPr>
        <w:tc>
          <w:tcPr>
            <w:tcW w:w="4422" w:type="dxa"/>
          </w:tcPr>
          <w:p>
            <w:pPr>
              <w:pStyle w:val="TableParagraph"/>
              <w:spacing w:line="191" w:lineRule="exact"/>
              <w:jc w:val="left"/>
              <w:rPr>
                <w:sz w:val="20"/>
              </w:rPr>
            </w:pPr>
            <w:r>
              <w:rPr>
                <w:sz w:val="20"/>
              </w:rPr>
              <w:t>3.3.1 Introduction</w:t>
            </w:r>
          </w:p>
        </w:tc>
        <w:tc>
          <w:tcPr>
            <w:tcW w:w="737" w:type="dxa"/>
          </w:tcPr>
          <w:p>
            <w:pPr>
              <w:pStyle w:val="TableParagraph"/>
              <w:spacing w:line="191" w:lineRule="exact"/>
              <w:ind w:right="167"/>
              <w:jc w:val="right"/>
              <w:rPr>
                <w:sz w:val="20"/>
              </w:rPr>
            </w:pPr>
            <w:r>
              <w:rPr>
                <w:sz w:val="20"/>
              </w:rPr>
              <w:t>113</w:t>
            </w:r>
          </w:p>
        </w:tc>
        <w:tc>
          <w:tcPr>
            <w:tcW w:w="4856" w:type="dxa"/>
          </w:tcPr>
          <w:p>
            <w:pPr>
              <w:pStyle w:val="TableParagraph"/>
              <w:spacing w:line="191" w:lineRule="exact"/>
              <w:ind w:left="167"/>
              <w:jc w:val="left"/>
              <w:rPr>
                <w:sz w:val="20"/>
              </w:rPr>
            </w:pPr>
            <w:r>
              <w:rPr>
                <w:sz w:val="20"/>
              </w:rPr>
              <w:t>3.7.3 The context for current cost estimates</w:t>
            </w:r>
          </w:p>
        </w:tc>
        <w:tc>
          <w:tcPr>
            <w:tcW w:w="357" w:type="dxa"/>
          </w:tcPr>
          <w:p>
            <w:pPr>
              <w:pStyle w:val="TableParagraph"/>
              <w:spacing w:line="191" w:lineRule="exact"/>
              <w:jc w:val="left"/>
              <w:rPr>
                <w:sz w:val="20"/>
              </w:rPr>
            </w:pPr>
            <w:r>
              <w:rPr>
                <w:sz w:val="20"/>
              </w:rPr>
              <w:t>149</w:t>
            </w:r>
          </w:p>
        </w:tc>
      </w:tr>
      <w:tr>
        <w:trPr>
          <w:trHeight w:val="240" w:hRule="atLeast"/>
        </w:trPr>
        <w:tc>
          <w:tcPr>
            <w:tcW w:w="4422" w:type="dxa"/>
          </w:tcPr>
          <w:p>
            <w:pPr>
              <w:pStyle w:val="TableParagraph"/>
              <w:spacing w:line="213" w:lineRule="exact"/>
              <w:jc w:val="left"/>
              <w:rPr>
                <w:sz w:val="20"/>
              </w:rPr>
            </w:pPr>
            <w:r>
              <w:rPr>
                <w:sz w:val="20"/>
              </w:rPr>
              <w:t>3.3.2 Existing technologies</w:t>
            </w:r>
          </w:p>
        </w:tc>
        <w:tc>
          <w:tcPr>
            <w:tcW w:w="737" w:type="dxa"/>
          </w:tcPr>
          <w:p>
            <w:pPr>
              <w:pStyle w:val="TableParagraph"/>
              <w:spacing w:line="213" w:lineRule="exact"/>
              <w:ind w:right="169"/>
              <w:jc w:val="right"/>
              <w:rPr>
                <w:sz w:val="20"/>
              </w:rPr>
            </w:pPr>
            <w:r>
              <w:rPr>
                <w:sz w:val="20"/>
              </w:rPr>
              <w:t>114</w:t>
            </w:r>
          </w:p>
        </w:tc>
        <w:tc>
          <w:tcPr>
            <w:tcW w:w="4856" w:type="dxa"/>
          </w:tcPr>
          <w:p>
            <w:pPr>
              <w:pStyle w:val="TableParagraph"/>
              <w:spacing w:line="213" w:lineRule="exact"/>
              <w:ind w:left="167"/>
              <w:jc w:val="left"/>
              <w:rPr>
                <w:sz w:val="20"/>
              </w:rPr>
            </w:pPr>
            <w:r>
              <w:rPr>
                <w:sz w:val="20"/>
              </w:rPr>
              <w:t>3.7.4 Overview of technologies and systems evaluated</w:t>
            </w:r>
          </w:p>
        </w:tc>
        <w:tc>
          <w:tcPr>
            <w:tcW w:w="357" w:type="dxa"/>
          </w:tcPr>
          <w:p>
            <w:pPr>
              <w:pStyle w:val="TableParagraph"/>
              <w:spacing w:line="213" w:lineRule="exact"/>
              <w:jc w:val="left"/>
              <w:rPr>
                <w:sz w:val="20"/>
              </w:rPr>
            </w:pPr>
            <w:r>
              <w:rPr>
                <w:sz w:val="20"/>
              </w:rPr>
              <w:t>150</w:t>
            </w:r>
          </w:p>
        </w:tc>
      </w:tr>
      <w:tr>
        <w:trPr>
          <w:trHeight w:val="262" w:hRule="atLeast"/>
        </w:trPr>
        <w:tc>
          <w:tcPr>
            <w:tcW w:w="4422" w:type="dxa"/>
          </w:tcPr>
          <w:p>
            <w:pPr>
              <w:pStyle w:val="TableParagraph"/>
              <w:spacing w:line="213" w:lineRule="exact"/>
              <w:jc w:val="left"/>
              <w:rPr>
                <w:sz w:val="20"/>
              </w:rPr>
            </w:pPr>
            <w:r>
              <w:rPr>
                <w:sz w:val="20"/>
              </w:rPr>
              <w:t>3.3.3 Emerging technologies</w:t>
            </w:r>
          </w:p>
        </w:tc>
        <w:tc>
          <w:tcPr>
            <w:tcW w:w="737" w:type="dxa"/>
          </w:tcPr>
          <w:p>
            <w:pPr>
              <w:pStyle w:val="TableParagraph"/>
              <w:spacing w:line="213" w:lineRule="exact"/>
              <w:ind w:right="167"/>
              <w:jc w:val="right"/>
              <w:rPr>
                <w:sz w:val="20"/>
              </w:rPr>
            </w:pPr>
            <w:r>
              <w:rPr>
                <w:sz w:val="20"/>
              </w:rPr>
              <w:t>118</w:t>
            </w:r>
          </w:p>
        </w:tc>
        <w:tc>
          <w:tcPr>
            <w:tcW w:w="4856" w:type="dxa"/>
          </w:tcPr>
          <w:p>
            <w:pPr>
              <w:pStyle w:val="TableParagraph"/>
              <w:spacing w:line="243" w:lineRule="exact"/>
              <w:ind w:left="167"/>
              <w:jc w:val="left"/>
              <w:rPr>
                <w:sz w:val="20"/>
              </w:rPr>
            </w:pPr>
            <w:r>
              <w:rPr>
                <w:sz w:val="20"/>
              </w:rPr>
              <w:t>3.7.5 Post-combustion CO</w:t>
            </w:r>
            <w:r>
              <w:rPr>
                <w:position w:val="-6"/>
                <w:sz w:val="11"/>
              </w:rPr>
              <w:t>2 </w:t>
            </w:r>
            <w:r>
              <w:rPr>
                <w:sz w:val="20"/>
              </w:rPr>
              <w:t>capture cost for electric</w:t>
            </w:r>
          </w:p>
        </w:tc>
        <w:tc>
          <w:tcPr>
            <w:tcW w:w="357" w:type="dxa"/>
          </w:tcPr>
          <w:p>
            <w:pPr>
              <w:pStyle w:val="TableParagraph"/>
              <w:jc w:val="left"/>
              <w:rPr>
                <w:sz w:val="18"/>
              </w:rPr>
            </w:pPr>
          </w:p>
        </w:tc>
      </w:tr>
      <w:tr>
        <w:trPr>
          <w:trHeight w:val="217" w:hRule="atLeast"/>
        </w:trPr>
        <w:tc>
          <w:tcPr>
            <w:tcW w:w="4422" w:type="dxa"/>
          </w:tcPr>
          <w:p>
            <w:pPr>
              <w:pStyle w:val="TableParagraph"/>
              <w:spacing w:line="191" w:lineRule="exact"/>
              <w:jc w:val="left"/>
              <w:rPr>
                <w:sz w:val="20"/>
              </w:rPr>
            </w:pPr>
            <w:r>
              <w:rPr>
                <w:sz w:val="20"/>
              </w:rPr>
              <w:t>3.3.4 Status and outlook</w:t>
            </w:r>
          </w:p>
        </w:tc>
        <w:tc>
          <w:tcPr>
            <w:tcW w:w="737" w:type="dxa"/>
          </w:tcPr>
          <w:p>
            <w:pPr>
              <w:pStyle w:val="TableParagraph"/>
              <w:spacing w:line="191" w:lineRule="exact"/>
              <w:ind w:right="167"/>
              <w:jc w:val="right"/>
              <w:rPr>
                <w:sz w:val="20"/>
              </w:rPr>
            </w:pPr>
            <w:r>
              <w:rPr>
                <w:sz w:val="20"/>
              </w:rPr>
              <w:t>121</w:t>
            </w:r>
          </w:p>
        </w:tc>
        <w:tc>
          <w:tcPr>
            <w:tcW w:w="4856" w:type="dxa"/>
          </w:tcPr>
          <w:p>
            <w:pPr>
              <w:pStyle w:val="TableParagraph"/>
              <w:spacing w:line="191" w:lineRule="exact"/>
              <w:ind w:left="734"/>
              <w:jc w:val="left"/>
              <w:rPr>
                <w:sz w:val="20"/>
              </w:rPr>
            </w:pPr>
            <w:r>
              <w:rPr>
                <w:sz w:val="20"/>
              </w:rPr>
              <w:t>power plants (current technology)</w:t>
            </w:r>
          </w:p>
        </w:tc>
        <w:tc>
          <w:tcPr>
            <w:tcW w:w="357" w:type="dxa"/>
          </w:tcPr>
          <w:p>
            <w:pPr>
              <w:pStyle w:val="TableParagraph"/>
              <w:spacing w:line="191" w:lineRule="exact"/>
              <w:jc w:val="left"/>
              <w:rPr>
                <w:sz w:val="20"/>
              </w:rPr>
            </w:pPr>
            <w:r>
              <w:rPr>
                <w:sz w:val="20"/>
              </w:rPr>
              <w:t>150</w:t>
            </w:r>
          </w:p>
        </w:tc>
      </w:tr>
      <w:tr>
        <w:trPr>
          <w:trHeight w:val="480" w:hRule="atLeast"/>
        </w:trPr>
        <w:tc>
          <w:tcPr>
            <w:tcW w:w="4422" w:type="dxa"/>
          </w:tcPr>
          <w:p>
            <w:pPr>
              <w:pStyle w:val="TableParagraph"/>
              <w:spacing w:before="4"/>
              <w:jc w:val="left"/>
              <w:rPr>
                <w:sz w:val="19"/>
              </w:rPr>
            </w:pPr>
          </w:p>
          <w:p>
            <w:pPr>
              <w:pStyle w:val="TableParagraph"/>
              <w:tabs>
                <w:tab w:pos="567" w:val="left" w:leader="none"/>
              </w:tabs>
              <w:jc w:val="left"/>
              <w:rPr>
                <w:b/>
                <w:sz w:val="20"/>
              </w:rPr>
            </w:pPr>
            <w:r>
              <w:rPr>
                <w:b/>
                <w:sz w:val="20"/>
              </w:rPr>
              <w:t>3.4</w:t>
              <w:tab/>
              <w:t>Oxy-fuel combustion capture</w:t>
            </w:r>
            <w:r>
              <w:rPr>
                <w:b/>
                <w:spacing w:val="-2"/>
                <w:sz w:val="20"/>
              </w:rPr>
              <w:t> </w:t>
            </w:r>
            <w:r>
              <w:rPr>
                <w:b/>
                <w:sz w:val="20"/>
              </w:rPr>
              <w:t>systems</w:t>
            </w:r>
          </w:p>
        </w:tc>
        <w:tc>
          <w:tcPr>
            <w:tcW w:w="737" w:type="dxa"/>
          </w:tcPr>
          <w:p>
            <w:pPr>
              <w:pStyle w:val="TableParagraph"/>
              <w:spacing w:before="4"/>
              <w:jc w:val="left"/>
              <w:rPr>
                <w:sz w:val="19"/>
              </w:rPr>
            </w:pPr>
          </w:p>
          <w:p>
            <w:pPr>
              <w:pStyle w:val="TableParagraph"/>
              <w:ind w:right="167"/>
              <w:jc w:val="right"/>
              <w:rPr>
                <w:b/>
                <w:sz w:val="20"/>
              </w:rPr>
            </w:pPr>
            <w:r>
              <w:rPr>
                <w:b/>
                <w:sz w:val="20"/>
              </w:rPr>
              <w:t>122</w:t>
            </w:r>
          </w:p>
        </w:tc>
        <w:tc>
          <w:tcPr>
            <w:tcW w:w="4856" w:type="dxa"/>
          </w:tcPr>
          <w:p>
            <w:pPr>
              <w:pStyle w:val="TableParagraph"/>
              <w:spacing w:line="206" w:lineRule="auto" w:before="2"/>
              <w:ind w:left="734" w:right="350" w:hanging="567"/>
              <w:jc w:val="left"/>
              <w:rPr>
                <w:sz w:val="20"/>
              </w:rPr>
            </w:pPr>
            <w:r>
              <w:rPr>
                <w:sz w:val="20"/>
              </w:rPr>
              <w:t>3.7.6 Pre-combustion CO</w:t>
            </w:r>
            <w:r>
              <w:rPr>
                <w:position w:val="-6"/>
                <w:sz w:val="11"/>
              </w:rPr>
              <w:t>2 </w:t>
            </w:r>
            <w:r>
              <w:rPr>
                <w:sz w:val="20"/>
              </w:rPr>
              <w:t>capture cost for electric power plants (current technology)</w:t>
            </w:r>
          </w:p>
        </w:tc>
        <w:tc>
          <w:tcPr>
            <w:tcW w:w="357" w:type="dxa"/>
          </w:tcPr>
          <w:p>
            <w:pPr>
              <w:pStyle w:val="TableParagraph"/>
              <w:spacing w:before="4"/>
              <w:jc w:val="left"/>
              <w:rPr>
                <w:sz w:val="19"/>
              </w:rPr>
            </w:pPr>
          </w:p>
          <w:p>
            <w:pPr>
              <w:pStyle w:val="TableParagraph"/>
              <w:jc w:val="left"/>
              <w:rPr>
                <w:sz w:val="20"/>
              </w:rPr>
            </w:pPr>
            <w:r>
              <w:rPr>
                <w:sz w:val="20"/>
              </w:rPr>
              <w:t>155</w:t>
            </w:r>
          </w:p>
        </w:tc>
      </w:tr>
      <w:tr>
        <w:trPr>
          <w:trHeight w:val="262" w:hRule="atLeast"/>
        </w:trPr>
        <w:tc>
          <w:tcPr>
            <w:tcW w:w="4422" w:type="dxa"/>
          </w:tcPr>
          <w:p>
            <w:pPr>
              <w:pStyle w:val="TableParagraph"/>
              <w:spacing w:line="213" w:lineRule="exact"/>
              <w:jc w:val="left"/>
              <w:rPr>
                <w:sz w:val="20"/>
              </w:rPr>
            </w:pPr>
            <w:r>
              <w:rPr>
                <w:sz w:val="20"/>
              </w:rPr>
              <w:t>3.4.1 Introduction</w:t>
            </w:r>
          </w:p>
        </w:tc>
        <w:tc>
          <w:tcPr>
            <w:tcW w:w="737" w:type="dxa"/>
          </w:tcPr>
          <w:p>
            <w:pPr>
              <w:pStyle w:val="TableParagraph"/>
              <w:spacing w:line="213" w:lineRule="exact"/>
              <w:ind w:right="167"/>
              <w:jc w:val="right"/>
              <w:rPr>
                <w:sz w:val="20"/>
              </w:rPr>
            </w:pPr>
            <w:r>
              <w:rPr>
                <w:sz w:val="20"/>
              </w:rPr>
              <w:t>122</w:t>
            </w:r>
          </w:p>
        </w:tc>
        <w:tc>
          <w:tcPr>
            <w:tcW w:w="4856" w:type="dxa"/>
          </w:tcPr>
          <w:p>
            <w:pPr>
              <w:pStyle w:val="TableParagraph"/>
              <w:spacing w:line="243" w:lineRule="exact"/>
              <w:ind w:left="167"/>
              <w:jc w:val="left"/>
              <w:rPr>
                <w:sz w:val="20"/>
              </w:rPr>
            </w:pPr>
            <w:r>
              <w:rPr>
                <w:sz w:val="20"/>
              </w:rPr>
              <w:t>3.7.7 CO</w:t>
            </w:r>
            <w:r>
              <w:rPr>
                <w:position w:val="-6"/>
                <w:sz w:val="11"/>
              </w:rPr>
              <w:t>2 </w:t>
            </w:r>
            <w:r>
              <w:rPr>
                <w:sz w:val="20"/>
              </w:rPr>
              <w:t>capture cost for hydrogen production and</w:t>
            </w:r>
          </w:p>
        </w:tc>
        <w:tc>
          <w:tcPr>
            <w:tcW w:w="357" w:type="dxa"/>
          </w:tcPr>
          <w:p>
            <w:pPr>
              <w:pStyle w:val="TableParagraph"/>
              <w:jc w:val="left"/>
              <w:rPr>
                <w:sz w:val="18"/>
              </w:rPr>
            </w:pPr>
          </w:p>
        </w:tc>
      </w:tr>
      <w:tr>
        <w:trPr>
          <w:trHeight w:val="217" w:hRule="atLeast"/>
        </w:trPr>
        <w:tc>
          <w:tcPr>
            <w:tcW w:w="4422" w:type="dxa"/>
          </w:tcPr>
          <w:p>
            <w:pPr>
              <w:pStyle w:val="TableParagraph"/>
              <w:spacing w:line="191" w:lineRule="exact"/>
              <w:jc w:val="left"/>
              <w:rPr>
                <w:sz w:val="20"/>
              </w:rPr>
            </w:pPr>
            <w:r>
              <w:rPr>
                <w:sz w:val="20"/>
              </w:rPr>
              <w:t>3.4.2 Oxy-fuel indirect heating - steam cycle</w:t>
            </w:r>
          </w:p>
        </w:tc>
        <w:tc>
          <w:tcPr>
            <w:tcW w:w="737" w:type="dxa"/>
          </w:tcPr>
          <w:p>
            <w:pPr>
              <w:pStyle w:val="TableParagraph"/>
              <w:spacing w:line="191" w:lineRule="exact"/>
              <w:ind w:right="167"/>
              <w:jc w:val="right"/>
              <w:rPr>
                <w:sz w:val="20"/>
              </w:rPr>
            </w:pPr>
            <w:r>
              <w:rPr>
                <w:sz w:val="20"/>
              </w:rPr>
              <w:t>122</w:t>
            </w:r>
          </w:p>
        </w:tc>
        <w:tc>
          <w:tcPr>
            <w:tcW w:w="4856" w:type="dxa"/>
          </w:tcPr>
          <w:p>
            <w:pPr>
              <w:pStyle w:val="TableParagraph"/>
              <w:spacing w:line="191" w:lineRule="exact"/>
              <w:ind w:left="734"/>
              <w:jc w:val="left"/>
              <w:rPr>
                <w:sz w:val="20"/>
              </w:rPr>
            </w:pPr>
            <w:r>
              <w:rPr>
                <w:sz w:val="20"/>
              </w:rPr>
              <w:t>multi-product plants (current technology)</w:t>
            </w:r>
          </w:p>
        </w:tc>
        <w:tc>
          <w:tcPr>
            <w:tcW w:w="357" w:type="dxa"/>
          </w:tcPr>
          <w:p>
            <w:pPr>
              <w:pStyle w:val="TableParagraph"/>
              <w:spacing w:line="191" w:lineRule="exact"/>
              <w:jc w:val="left"/>
              <w:rPr>
                <w:sz w:val="20"/>
              </w:rPr>
            </w:pPr>
            <w:r>
              <w:rPr>
                <w:sz w:val="20"/>
              </w:rPr>
              <w:t>158</w:t>
            </w:r>
          </w:p>
        </w:tc>
      </w:tr>
      <w:tr>
        <w:trPr>
          <w:trHeight w:val="240" w:hRule="atLeast"/>
        </w:trPr>
        <w:tc>
          <w:tcPr>
            <w:tcW w:w="4422" w:type="dxa"/>
          </w:tcPr>
          <w:p>
            <w:pPr>
              <w:pStyle w:val="TableParagraph"/>
              <w:spacing w:line="213" w:lineRule="exact"/>
              <w:jc w:val="left"/>
              <w:rPr>
                <w:sz w:val="20"/>
              </w:rPr>
            </w:pPr>
            <w:r>
              <w:rPr>
                <w:sz w:val="20"/>
              </w:rPr>
              <w:t>3.4.3 Oxy-fuel direct heating - gas turbine cycle</w:t>
            </w:r>
          </w:p>
        </w:tc>
        <w:tc>
          <w:tcPr>
            <w:tcW w:w="737" w:type="dxa"/>
          </w:tcPr>
          <w:p>
            <w:pPr>
              <w:pStyle w:val="TableParagraph"/>
              <w:spacing w:line="213" w:lineRule="exact"/>
              <w:ind w:right="167"/>
              <w:jc w:val="right"/>
              <w:rPr>
                <w:sz w:val="20"/>
              </w:rPr>
            </w:pPr>
            <w:r>
              <w:rPr>
                <w:sz w:val="20"/>
              </w:rPr>
              <w:t>125</w:t>
            </w:r>
          </w:p>
        </w:tc>
        <w:tc>
          <w:tcPr>
            <w:tcW w:w="4856" w:type="dxa"/>
          </w:tcPr>
          <w:p>
            <w:pPr>
              <w:pStyle w:val="TableParagraph"/>
              <w:spacing w:line="213" w:lineRule="exact"/>
              <w:ind w:left="167"/>
              <w:jc w:val="left"/>
              <w:rPr>
                <w:sz w:val="20"/>
              </w:rPr>
            </w:pPr>
            <w:r>
              <w:rPr>
                <w:sz w:val="20"/>
              </w:rPr>
              <w:t>3.7.8 Capture costs for other industrial processes</w:t>
            </w:r>
          </w:p>
        </w:tc>
        <w:tc>
          <w:tcPr>
            <w:tcW w:w="357" w:type="dxa"/>
          </w:tcPr>
          <w:p>
            <w:pPr>
              <w:pStyle w:val="TableParagraph"/>
              <w:jc w:val="left"/>
              <w:rPr>
                <w:sz w:val="16"/>
              </w:rPr>
            </w:pPr>
          </w:p>
        </w:tc>
      </w:tr>
      <w:tr>
        <w:trPr>
          <w:trHeight w:val="240" w:hRule="atLeast"/>
        </w:trPr>
        <w:tc>
          <w:tcPr>
            <w:tcW w:w="4422" w:type="dxa"/>
          </w:tcPr>
          <w:p>
            <w:pPr>
              <w:pStyle w:val="TableParagraph"/>
              <w:spacing w:line="213" w:lineRule="exact"/>
              <w:jc w:val="left"/>
              <w:rPr>
                <w:sz w:val="20"/>
              </w:rPr>
            </w:pPr>
            <w:r>
              <w:rPr>
                <w:sz w:val="20"/>
              </w:rPr>
              <w:t>3.4.4 Oxy-fuel direct heating - steam turbine cycle</w:t>
            </w:r>
          </w:p>
        </w:tc>
        <w:tc>
          <w:tcPr>
            <w:tcW w:w="737" w:type="dxa"/>
          </w:tcPr>
          <w:p>
            <w:pPr>
              <w:pStyle w:val="TableParagraph"/>
              <w:spacing w:line="213" w:lineRule="exact"/>
              <w:ind w:right="167"/>
              <w:jc w:val="right"/>
              <w:rPr>
                <w:sz w:val="20"/>
              </w:rPr>
            </w:pPr>
            <w:r>
              <w:rPr>
                <w:sz w:val="20"/>
              </w:rPr>
              <w:t>126</w:t>
            </w:r>
          </w:p>
        </w:tc>
        <w:tc>
          <w:tcPr>
            <w:tcW w:w="4856" w:type="dxa"/>
          </w:tcPr>
          <w:p>
            <w:pPr>
              <w:pStyle w:val="TableParagraph"/>
              <w:spacing w:line="213" w:lineRule="exact"/>
              <w:ind w:left="734"/>
              <w:jc w:val="left"/>
              <w:rPr>
                <w:sz w:val="20"/>
              </w:rPr>
            </w:pPr>
            <w:r>
              <w:rPr>
                <w:sz w:val="20"/>
              </w:rPr>
              <w:t>(current technology)</w:t>
            </w:r>
          </w:p>
        </w:tc>
        <w:tc>
          <w:tcPr>
            <w:tcW w:w="357" w:type="dxa"/>
          </w:tcPr>
          <w:p>
            <w:pPr>
              <w:pStyle w:val="TableParagraph"/>
              <w:spacing w:line="213" w:lineRule="exact"/>
              <w:jc w:val="left"/>
              <w:rPr>
                <w:sz w:val="20"/>
              </w:rPr>
            </w:pPr>
            <w:r>
              <w:rPr>
                <w:sz w:val="20"/>
              </w:rPr>
              <w:t>161</w:t>
            </w:r>
          </w:p>
        </w:tc>
      </w:tr>
      <w:tr>
        <w:trPr>
          <w:trHeight w:val="502" w:hRule="atLeast"/>
        </w:trPr>
        <w:tc>
          <w:tcPr>
            <w:tcW w:w="4422" w:type="dxa"/>
          </w:tcPr>
          <w:p>
            <w:pPr>
              <w:pStyle w:val="TableParagraph"/>
              <w:spacing w:line="213" w:lineRule="exact"/>
              <w:jc w:val="left"/>
              <w:rPr>
                <w:sz w:val="20"/>
              </w:rPr>
            </w:pPr>
            <w:r>
              <w:rPr>
                <w:sz w:val="20"/>
              </w:rPr>
              <w:t>3.4.5 Techniques and improvements in oxygen</w:t>
            </w:r>
          </w:p>
          <w:p>
            <w:pPr>
              <w:pStyle w:val="TableParagraph"/>
              <w:spacing w:before="10"/>
              <w:ind w:left="567"/>
              <w:jc w:val="left"/>
              <w:rPr>
                <w:sz w:val="20"/>
              </w:rPr>
            </w:pPr>
            <w:r>
              <w:rPr>
                <w:sz w:val="20"/>
              </w:rPr>
              <w:t>production</w:t>
            </w:r>
          </w:p>
        </w:tc>
        <w:tc>
          <w:tcPr>
            <w:tcW w:w="737" w:type="dxa"/>
          </w:tcPr>
          <w:p>
            <w:pPr>
              <w:pStyle w:val="TableParagraph"/>
              <w:spacing w:before="4"/>
              <w:jc w:val="left"/>
              <w:rPr>
                <w:sz w:val="19"/>
              </w:rPr>
            </w:pPr>
          </w:p>
          <w:p>
            <w:pPr>
              <w:pStyle w:val="TableParagraph"/>
              <w:ind w:right="167"/>
              <w:jc w:val="right"/>
              <w:rPr>
                <w:sz w:val="20"/>
              </w:rPr>
            </w:pPr>
            <w:r>
              <w:rPr>
                <w:sz w:val="20"/>
              </w:rPr>
              <w:t>127</w:t>
            </w:r>
          </w:p>
        </w:tc>
        <w:tc>
          <w:tcPr>
            <w:tcW w:w="4856" w:type="dxa"/>
          </w:tcPr>
          <w:p>
            <w:pPr>
              <w:pStyle w:val="TableParagraph"/>
              <w:numPr>
                <w:ilvl w:val="2"/>
                <w:numId w:val="1"/>
              </w:numPr>
              <w:tabs>
                <w:tab w:pos="735" w:val="left" w:leader="none"/>
              </w:tabs>
              <w:spacing w:line="244" w:lineRule="exact" w:before="0" w:after="0"/>
              <w:ind w:left="734" w:right="0" w:hanging="568"/>
              <w:jc w:val="left"/>
              <w:rPr>
                <w:sz w:val="20"/>
              </w:rPr>
            </w:pPr>
            <w:r>
              <w:rPr>
                <w:sz w:val="20"/>
              </w:rPr>
              <w:t>Outlook for future CO</w:t>
            </w:r>
            <w:r>
              <w:rPr>
                <w:position w:val="-6"/>
                <w:sz w:val="11"/>
              </w:rPr>
              <w:t>2 </w:t>
            </w:r>
            <w:r>
              <w:rPr>
                <w:sz w:val="20"/>
              </w:rPr>
              <w:t>capture</w:t>
            </w:r>
            <w:r>
              <w:rPr>
                <w:spacing w:val="-7"/>
                <w:sz w:val="20"/>
              </w:rPr>
              <w:t> </w:t>
            </w:r>
            <w:r>
              <w:rPr>
                <w:sz w:val="20"/>
              </w:rPr>
              <w:t>costs</w:t>
            </w:r>
          </w:p>
          <w:p>
            <w:pPr>
              <w:pStyle w:val="TableParagraph"/>
              <w:numPr>
                <w:ilvl w:val="2"/>
                <w:numId w:val="1"/>
              </w:numPr>
              <w:tabs>
                <w:tab w:pos="735" w:val="left" w:leader="none"/>
              </w:tabs>
              <w:spacing w:line="239" w:lineRule="exact" w:before="0" w:after="0"/>
              <w:ind w:left="734" w:right="0" w:hanging="568"/>
              <w:jc w:val="left"/>
              <w:rPr>
                <w:sz w:val="20"/>
              </w:rPr>
            </w:pPr>
            <w:r>
              <w:rPr>
                <w:sz w:val="20"/>
              </w:rPr>
              <w:t>CO</w:t>
            </w:r>
            <w:r>
              <w:rPr>
                <w:position w:val="-6"/>
                <w:sz w:val="11"/>
              </w:rPr>
              <w:t>2 </w:t>
            </w:r>
            <w:r>
              <w:rPr>
                <w:sz w:val="20"/>
              </w:rPr>
              <w:t>capture costs for electric power</w:t>
            </w:r>
            <w:r>
              <w:rPr>
                <w:spacing w:val="-5"/>
                <w:sz w:val="20"/>
              </w:rPr>
              <w:t> </w:t>
            </w:r>
            <w:r>
              <w:rPr>
                <w:sz w:val="20"/>
              </w:rPr>
              <w:t>plants</w:t>
            </w:r>
          </w:p>
        </w:tc>
        <w:tc>
          <w:tcPr>
            <w:tcW w:w="357" w:type="dxa"/>
          </w:tcPr>
          <w:p>
            <w:pPr>
              <w:pStyle w:val="TableParagraph"/>
              <w:spacing w:line="213" w:lineRule="exact"/>
              <w:jc w:val="left"/>
              <w:rPr>
                <w:sz w:val="20"/>
              </w:rPr>
            </w:pPr>
            <w:r>
              <w:rPr>
                <w:sz w:val="20"/>
              </w:rPr>
              <w:t>163</w:t>
            </w:r>
          </w:p>
        </w:tc>
      </w:tr>
      <w:tr>
        <w:trPr>
          <w:trHeight w:val="217" w:hRule="atLeast"/>
        </w:trPr>
        <w:tc>
          <w:tcPr>
            <w:tcW w:w="4422" w:type="dxa"/>
          </w:tcPr>
          <w:p>
            <w:pPr>
              <w:pStyle w:val="TableParagraph"/>
              <w:spacing w:line="191" w:lineRule="exact"/>
              <w:jc w:val="left"/>
              <w:rPr>
                <w:sz w:val="20"/>
              </w:rPr>
            </w:pPr>
            <w:r>
              <w:rPr>
                <w:sz w:val="20"/>
              </w:rPr>
              <w:t>3.4.6 Chemical looping combustion</w:t>
            </w:r>
          </w:p>
        </w:tc>
        <w:tc>
          <w:tcPr>
            <w:tcW w:w="737" w:type="dxa"/>
          </w:tcPr>
          <w:p>
            <w:pPr>
              <w:pStyle w:val="TableParagraph"/>
              <w:spacing w:line="191" w:lineRule="exact"/>
              <w:ind w:right="167"/>
              <w:jc w:val="right"/>
              <w:rPr>
                <w:sz w:val="20"/>
              </w:rPr>
            </w:pPr>
            <w:r>
              <w:rPr>
                <w:sz w:val="20"/>
              </w:rPr>
              <w:t>129</w:t>
            </w:r>
          </w:p>
        </w:tc>
        <w:tc>
          <w:tcPr>
            <w:tcW w:w="4856" w:type="dxa"/>
          </w:tcPr>
          <w:p>
            <w:pPr>
              <w:pStyle w:val="TableParagraph"/>
              <w:spacing w:line="191" w:lineRule="exact"/>
              <w:ind w:left="734"/>
              <w:jc w:val="left"/>
              <w:rPr>
                <w:sz w:val="20"/>
              </w:rPr>
            </w:pPr>
            <w:r>
              <w:rPr>
                <w:sz w:val="20"/>
              </w:rPr>
              <w:t>(advanced technology)</w:t>
            </w:r>
          </w:p>
        </w:tc>
        <w:tc>
          <w:tcPr>
            <w:tcW w:w="357" w:type="dxa"/>
          </w:tcPr>
          <w:p>
            <w:pPr>
              <w:pStyle w:val="TableParagraph"/>
              <w:spacing w:line="191" w:lineRule="exact"/>
              <w:jc w:val="left"/>
              <w:rPr>
                <w:sz w:val="20"/>
              </w:rPr>
            </w:pPr>
            <w:r>
              <w:rPr>
                <w:sz w:val="20"/>
              </w:rPr>
              <w:t>163</w:t>
            </w:r>
          </w:p>
        </w:tc>
      </w:tr>
      <w:tr>
        <w:trPr>
          <w:trHeight w:val="480" w:hRule="atLeast"/>
        </w:trPr>
        <w:tc>
          <w:tcPr>
            <w:tcW w:w="4422" w:type="dxa"/>
          </w:tcPr>
          <w:p>
            <w:pPr>
              <w:pStyle w:val="TableParagraph"/>
              <w:spacing w:line="213" w:lineRule="exact"/>
              <w:jc w:val="left"/>
              <w:rPr>
                <w:sz w:val="20"/>
              </w:rPr>
            </w:pPr>
            <w:r>
              <w:rPr>
                <w:sz w:val="20"/>
              </w:rPr>
              <w:t>3.4.7 Status and outlook</w:t>
            </w:r>
          </w:p>
        </w:tc>
        <w:tc>
          <w:tcPr>
            <w:tcW w:w="737" w:type="dxa"/>
          </w:tcPr>
          <w:p>
            <w:pPr>
              <w:pStyle w:val="TableParagraph"/>
              <w:spacing w:line="213" w:lineRule="exact"/>
              <w:ind w:right="167"/>
              <w:jc w:val="right"/>
              <w:rPr>
                <w:sz w:val="20"/>
              </w:rPr>
            </w:pPr>
            <w:r>
              <w:rPr>
                <w:sz w:val="20"/>
              </w:rPr>
              <w:t>130</w:t>
            </w:r>
          </w:p>
        </w:tc>
        <w:tc>
          <w:tcPr>
            <w:tcW w:w="4856" w:type="dxa"/>
          </w:tcPr>
          <w:p>
            <w:pPr>
              <w:pStyle w:val="TableParagraph"/>
              <w:spacing w:line="206" w:lineRule="auto" w:before="2"/>
              <w:ind w:left="734" w:right="350" w:hanging="567"/>
              <w:jc w:val="left"/>
              <w:rPr>
                <w:sz w:val="20"/>
              </w:rPr>
            </w:pPr>
            <w:r>
              <w:rPr>
                <w:sz w:val="20"/>
              </w:rPr>
              <w:t>3.7.11 CO</w:t>
            </w:r>
            <w:r>
              <w:rPr>
                <w:position w:val="-6"/>
                <w:sz w:val="11"/>
              </w:rPr>
              <w:t>2 </w:t>
            </w:r>
            <w:r>
              <w:rPr>
                <w:sz w:val="20"/>
              </w:rPr>
              <w:t>capture costs for hydrogen production and multi-product plants (advanced technology)</w:t>
            </w:r>
          </w:p>
        </w:tc>
        <w:tc>
          <w:tcPr>
            <w:tcW w:w="357" w:type="dxa"/>
          </w:tcPr>
          <w:p>
            <w:pPr>
              <w:pStyle w:val="TableParagraph"/>
              <w:spacing w:before="4"/>
              <w:jc w:val="left"/>
              <w:rPr>
                <w:sz w:val="19"/>
              </w:rPr>
            </w:pPr>
          </w:p>
          <w:p>
            <w:pPr>
              <w:pStyle w:val="TableParagraph"/>
              <w:jc w:val="left"/>
              <w:rPr>
                <w:sz w:val="20"/>
              </w:rPr>
            </w:pPr>
            <w:r>
              <w:rPr>
                <w:sz w:val="20"/>
              </w:rPr>
              <w:t>166</w:t>
            </w:r>
          </w:p>
        </w:tc>
      </w:tr>
      <w:tr>
        <w:trPr>
          <w:trHeight w:val="262" w:hRule="atLeast"/>
        </w:trPr>
        <w:tc>
          <w:tcPr>
            <w:tcW w:w="4422" w:type="dxa"/>
          </w:tcPr>
          <w:p>
            <w:pPr>
              <w:pStyle w:val="TableParagraph"/>
              <w:tabs>
                <w:tab w:pos="567" w:val="left" w:leader="none"/>
              </w:tabs>
              <w:spacing w:line="213" w:lineRule="exact"/>
              <w:jc w:val="left"/>
              <w:rPr>
                <w:b/>
                <w:sz w:val="20"/>
              </w:rPr>
            </w:pPr>
            <w:r>
              <w:rPr>
                <w:b/>
                <w:sz w:val="20"/>
              </w:rPr>
              <w:t>3.5</w:t>
              <w:tab/>
              <w:t>Pre-combustion capture</w:t>
            </w:r>
            <w:r>
              <w:rPr>
                <w:b/>
                <w:spacing w:val="-2"/>
                <w:sz w:val="20"/>
              </w:rPr>
              <w:t> </w:t>
            </w:r>
            <w:r>
              <w:rPr>
                <w:b/>
                <w:sz w:val="20"/>
              </w:rPr>
              <w:t>systems</w:t>
            </w:r>
          </w:p>
        </w:tc>
        <w:tc>
          <w:tcPr>
            <w:tcW w:w="737" w:type="dxa"/>
          </w:tcPr>
          <w:p>
            <w:pPr>
              <w:pStyle w:val="TableParagraph"/>
              <w:spacing w:line="213" w:lineRule="exact"/>
              <w:ind w:right="167"/>
              <w:jc w:val="right"/>
              <w:rPr>
                <w:b/>
                <w:sz w:val="20"/>
              </w:rPr>
            </w:pPr>
            <w:r>
              <w:rPr>
                <w:b/>
                <w:sz w:val="20"/>
              </w:rPr>
              <w:t>130</w:t>
            </w:r>
          </w:p>
        </w:tc>
        <w:tc>
          <w:tcPr>
            <w:tcW w:w="4856" w:type="dxa"/>
          </w:tcPr>
          <w:p>
            <w:pPr>
              <w:pStyle w:val="TableParagraph"/>
              <w:spacing w:line="243" w:lineRule="exact"/>
              <w:ind w:left="167"/>
              <w:jc w:val="left"/>
              <w:rPr>
                <w:sz w:val="20"/>
              </w:rPr>
            </w:pPr>
            <w:r>
              <w:rPr>
                <w:sz w:val="20"/>
              </w:rPr>
              <w:t>3.7.12 CO</w:t>
            </w:r>
            <w:r>
              <w:rPr>
                <w:position w:val="-6"/>
                <w:sz w:val="11"/>
              </w:rPr>
              <w:t>2 </w:t>
            </w:r>
            <w:r>
              <w:rPr>
                <w:sz w:val="20"/>
              </w:rPr>
              <w:t>capture costs for other industrial processes</w:t>
            </w:r>
          </w:p>
        </w:tc>
        <w:tc>
          <w:tcPr>
            <w:tcW w:w="357" w:type="dxa"/>
          </w:tcPr>
          <w:p>
            <w:pPr>
              <w:pStyle w:val="TableParagraph"/>
              <w:jc w:val="left"/>
              <w:rPr>
                <w:sz w:val="18"/>
              </w:rPr>
            </w:pPr>
          </w:p>
        </w:tc>
      </w:tr>
      <w:tr>
        <w:trPr>
          <w:trHeight w:val="217" w:hRule="atLeast"/>
        </w:trPr>
        <w:tc>
          <w:tcPr>
            <w:tcW w:w="4422" w:type="dxa"/>
          </w:tcPr>
          <w:p>
            <w:pPr>
              <w:pStyle w:val="TableParagraph"/>
              <w:spacing w:line="191" w:lineRule="exact"/>
              <w:jc w:val="left"/>
              <w:rPr>
                <w:sz w:val="20"/>
              </w:rPr>
            </w:pPr>
            <w:r>
              <w:rPr>
                <w:sz w:val="20"/>
              </w:rPr>
              <w:t>3.5.1 Introduction</w:t>
            </w:r>
          </w:p>
        </w:tc>
        <w:tc>
          <w:tcPr>
            <w:tcW w:w="737" w:type="dxa"/>
          </w:tcPr>
          <w:p>
            <w:pPr>
              <w:pStyle w:val="TableParagraph"/>
              <w:spacing w:line="191" w:lineRule="exact"/>
              <w:ind w:right="167"/>
              <w:jc w:val="right"/>
              <w:rPr>
                <w:sz w:val="20"/>
              </w:rPr>
            </w:pPr>
            <w:r>
              <w:rPr>
                <w:sz w:val="20"/>
              </w:rPr>
              <w:t>130</w:t>
            </w:r>
          </w:p>
        </w:tc>
        <w:tc>
          <w:tcPr>
            <w:tcW w:w="4856" w:type="dxa"/>
          </w:tcPr>
          <w:p>
            <w:pPr>
              <w:pStyle w:val="TableParagraph"/>
              <w:spacing w:line="191" w:lineRule="exact"/>
              <w:ind w:left="734"/>
              <w:jc w:val="left"/>
              <w:rPr>
                <w:sz w:val="20"/>
              </w:rPr>
            </w:pPr>
            <w:r>
              <w:rPr>
                <w:sz w:val="20"/>
              </w:rPr>
              <w:t>(advanced technology)</w:t>
            </w:r>
          </w:p>
        </w:tc>
        <w:tc>
          <w:tcPr>
            <w:tcW w:w="357" w:type="dxa"/>
          </w:tcPr>
          <w:p>
            <w:pPr>
              <w:pStyle w:val="TableParagraph"/>
              <w:spacing w:line="191" w:lineRule="exact"/>
              <w:jc w:val="left"/>
              <w:rPr>
                <w:sz w:val="20"/>
              </w:rPr>
            </w:pPr>
            <w:r>
              <w:rPr>
                <w:sz w:val="20"/>
              </w:rPr>
              <w:t>168</w:t>
            </w:r>
          </w:p>
        </w:tc>
      </w:tr>
      <w:tr>
        <w:trPr>
          <w:trHeight w:val="262" w:hRule="atLeast"/>
        </w:trPr>
        <w:tc>
          <w:tcPr>
            <w:tcW w:w="4422" w:type="dxa"/>
          </w:tcPr>
          <w:p>
            <w:pPr>
              <w:pStyle w:val="TableParagraph"/>
              <w:spacing w:line="213" w:lineRule="exact"/>
              <w:jc w:val="left"/>
              <w:rPr>
                <w:sz w:val="20"/>
              </w:rPr>
            </w:pPr>
            <w:r>
              <w:rPr>
                <w:sz w:val="20"/>
              </w:rPr>
              <w:t>3.5.2 Existing technologies</w:t>
            </w:r>
          </w:p>
        </w:tc>
        <w:tc>
          <w:tcPr>
            <w:tcW w:w="737" w:type="dxa"/>
          </w:tcPr>
          <w:p>
            <w:pPr>
              <w:pStyle w:val="TableParagraph"/>
              <w:spacing w:line="213" w:lineRule="exact"/>
              <w:ind w:right="167"/>
              <w:jc w:val="right"/>
              <w:rPr>
                <w:sz w:val="20"/>
              </w:rPr>
            </w:pPr>
            <w:r>
              <w:rPr>
                <w:sz w:val="20"/>
              </w:rPr>
              <w:t>130</w:t>
            </w:r>
          </w:p>
        </w:tc>
        <w:tc>
          <w:tcPr>
            <w:tcW w:w="4856" w:type="dxa"/>
          </w:tcPr>
          <w:p>
            <w:pPr>
              <w:pStyle w:val="TableParagraph"/>
              <w:spacing w:line="243" w:lineRule="exact"/>
              <w:ind w:left="167"/>
              <w:jc w:val="left"/>
              <w:rPr>
                <w:sz w:val="20"/>
              </w:rPr>
            </w:pPr>
            <w:r>
              <w:rPr>
                <w:sz w:val="20"/>
              </w:rPr>
              <w:t>3.7.13 Summary of CO</w:t>
            </w:r>
            <w:r>
              <w:rPr>
                <w:position w:val="-6"/>
                <w:sz w:val="11"/>
              </w:rPr>
              <w:t>2 </w:t>
            </w:r>
            <w:r>
              <w:rPr>
                <w:sz w:val="20"/>
              </w:rPr>
              <w:t>capture cost estimates</w:t>
            </w:r>
          </w:p>
        </w:tc>
        <w:tc>
          <w:tcPr>
            <w:tcW w:w="357" w:type="dxa"/>
          </w:tcPr>
          <w:p>
            <w:pPr>
              <w:pStyle w:val="TableParagraph"/>
              <w:spacing w:line="213" w:lineRule="exact"/>
              <w:jc w:val="left"/>
              <w:rPr>
                <w:sz w:val="20"/>
              </w:rPr>
            </w:pPr>
            <w:r>
              <w:rPr>
                <w:sz w:val="20"/>
              </w:rPr>
              <w:t>168</w:t>
            </w:r>
          </w:p>
        </w:tc>
      </w:tr>
      <w:tr>
        <w:trPr>
          <w:trHeight w:val="217" w:hRule="atLeast"/>
        </w:trPr>
        <w:tc>
          <w:tcPr>
            <w:tcW w:w="4422" w:type="dxa"/>
          </w:tcPr>
          <w:p>
            <w:pPr>
              <w:pStyle w:val="TableParagraph"/>
              <w:spacing w:line="191" w:lineRule="exact"/>
              <w:jc w:val="left"/>
              <w:rPr>
                <w:sz w:val="20"/>
              </w:rPr>
            </w:pPr>
            <w:r>
              <w:rPr>
                <w:sz w:val="20"/>
              </w:rPr>
              <w:t>3.5.3 Emerging technologies</w:t>
            </w:r>
          </w:p>
        </w:tc>
        <w:tc>
          <w:tcPr>
            <w:tcW w:w="737" w:type="dxa"/>
          </w:tcPr>
          <w:p>
            <w:pPr>
              <w:pStyle w:val="TableParagraph"/>
              <w:spacing w:line="191" w:lineRule="exact"/>
              <w:ind w:right="167"/>
              <w:jc w:val="right"/>
              <w:rPr>
                <w:sz w:val="20"/>
              </w:rPr>
            </w:pPr>
            <w:r>
              <w:rPr>
                <w:sz w:val="20"/>
              </w:rPr>
              <w:t>136</w:t>
            </w:r>
          </w:p>
        </w:tc>
        <w:tc>
          <w:tcPr>
            <w:tcW w:w="4856" w:type="dxa"/>
          </w:tcPr>
          <w:p>
            <w:pPr>
              <w:pStyle w:val="TableParagraph"/>
              <w:jc w:val="left"/>
              <w:rPr>
                <w:sz w:val="14"/>
              </w:rPr>
            </w:pPr>
          </w:p>
        </w:tc>
        <w:tc>
          <w:tcPr>
            <w:tcW w:w="357" w:type="dxa"/>
          </w:tcPr>
          <w:p>
            <w:pPr>
              <w:pStyle w:val="TableParagraph"/>
              <w:jc w:val="left"/>
              <w:rPr>
                <w:sz w:val="14"/>
              </w:rPr>
            </w:pPr>
          </w:p>
        </w:tc>
      </w:tr>
      <w:tr>
        <w:trPr>
          <w:trHeight w:val="240" w:hRule="atLeast"/>
        </w:trPr>
        <w:tc>
          <w:tcPr>
            <w:tcW w:w="4422" w:type="dxa"/>
          </w:tcPr>
          <w:p>
            <w:pPr>
              <w:pStyle w:val="TableParagraph"/>
              <w:spacing w:line="213" w:lineRule="exact"/>
              <w:jc w:val="left"/>
              <w:rPr>
                <w:sz w:val="20"/>
              </w:rPr>
            </w:pPr>
            <w:r>
              <w:rPr>
                <w:sz w:val="20"/>
              </w:rPr>
              <w:t>3.5.4 Enabling technologies</w:t>
            </w:r>
          </w:p>
        </w:tc>
        <w:tc>
          <w:tcPr>
            <w:tcW w:w="737" w:type="dxa"/>
          </w:tcPr>
          <w:p>
            <w:pPr>
              <w:pStyle w:val="TableParagraph"/>
              <w:spacing w:line="213" w:lineRule="exact"/>
              <w:ind w:right="167"/>
              <w:jc w:val="right"/>
              <w:rPr>
                <w:sz w:val="20"/>
              </w:rPr>
            </w:pPr>
            <w:r>
              <w:rPr>
                <w:sz w:val="20"/>
              </w:rPr>
              <w:t>138</w:t>
            </w:r>
          </w:p>
        </w:tc>
        <w:tc>
          <w:tcPr>
            <w:tcW w:w="4856" w:type="dxa"/>
          </w:tcPr>
          <w:p>
            <w:pPr>
              <w:pStyle w:val="TableParagraph"/>
              <w:tabs>
                <w:tab w:pos="734" w:val="left" w:leader="none"/>
              </w:tabs>
              <w:spacing w:line="213" w:lineRule="exact"/>
              <w:ind w:left="167"/>
              <w:jc w:val="left"/>
              <w:rPr>
                <w:b/>
                <w:sz w:val="20"/>
              </w:rPr>
            </w:pPr>
            <w:r>
              <w:rPr>
                <w:b/>
                <w:sz w:val="20"/>
              </w:rPr>
              <w:t>3.8</w:t>
              <w:tab/>
              <w:t>Gaps in</w:t>
            </w:r>
            <w:r>
              <w:rPr>
                <w:b/>
                <w:spacing w:val="-1"/>
                <w:sz w:val="20"/>
              </w:rPr>
              <w:t> </w:t>
            </w:r>
            <w:r>
              <w:rPr>
                <w:b/>
                <w:sz w:val="20"/>
              </w:rPr>
              <w:t>knowledge</w:t>
            </w:r>
          </w:p>
        </w:tc>
        <w:tc>
          <w:tcPr>
            <w:tcW w:w="357" w:type="dxa"/>
          </w:tcPr>
          <w:p>
            <w:pPr>
              <w:pStyle w:val="TableParagraph"/>
              <w:spacing w:line="213" w:lineRule="exact"/>
              <w:jc w:val="left"/>
              <w:rPr>
                <w:b/>
                <w:sz w:val="20"/>
              </w:rPr>
            </w:pPr>
            <w:r>
              <w:rPr>
                <w:b/>
                <w:sz w:val="20"/>
              </w:rPr>
              <w:t>170</w:t>
            </w:r>
          </w:p>
        </w:tc>
      </w:tr>
      <w:tr>
        <w:trPr>
          <w:trHeight w:val="240" w:hRule="atLeast"/>
        </w:trPr>
        <w:tc>
          <w:tcPr>
            <w:tcW w:w="4422" w:type="dxa"/>
          </w:tcPr>
          <w:p>
            <w:pPr>
              <w:pStyle w:val="TableParagraph"/>
              <w:spacing w:line="213" w:lineRule="exact"/>
              <w:jc w:val="left"/>
              <w:rPr>
                <w:sz w:val="20"/>
              </w:rPr>
            </w:pPr>
            <w:r>
              <w:rPr>
                <w:sz w:val="20"/>
              </w:rPr>
              <w:t>3.5.5 Status and outlook</w:t>
            </w:r>
          </w:p>
        </w:tc>
        <w:tc>
          <w:tcPr>
            <w:tcW w:w="737" w:type="dxa"/>
          </w:tcPr>
          <w:p>
            <w:pPr>
              <w:pStyle w:val="TableParagraph"/>
              <w:spacing w:line="213" w:lineRule="exact"/>
              <w:ind w:right="167"/>
              <w:jc w:val="right"/>
              <w:rPr>
                <w:sz w:val="20"/>
              </w:rPr>
            </w:pPr>
            <w:r>
              <w:rPr>
                <w:sz w:val="20"/>
              </w:rPr>
              <w:t>140</w:t>
            </w:r>
          </w:p>
        </w:tc>
        <w:tc>
          <w:tcPr>
            <w:tcW w:w="4856" w:type="dxa"/>
          </w:tcPr>
          <w:p>
            <w:pPr>
              <w:pStyle w:val="TableParagraph"/>
              <w:jc w:val="left"/>
              <w:rPr>
                <w:sz w:val="16"/>
              </w:rPr>
            </w:pPr>
          </w:p>
        </w:tc>
        <w:tc>
          <w:tcPr>
            <w:tcW w:w="357" w:type="dxa"/>
          </w:tcPr>
          <w:p>
            <w:pPr>
              <w:pStyle w:val="TableParagraph"/>
              <w:jc w:val="left"/>
              <w:rPr>
                <w:sz w:val="16"/>
              </w:rPr>
            </w:pPr>
          </w:p>
        </w:tc>
      </w:tr>
      <w:tr>
        <w:trPr>
          <w:trHeight w:val="220" w:hRule="atLeast"/>
        </w:trPr>
        <w:tc>
          <w:tcPr>
            <w:tcW w:w="4422" w:type="dxa"/>
          </w:tcPr>
          <w:p>
            <w:pPr>
              <w:pStyle w:val="TableParagraph"/>
              <w:jc w:val="left"/>
              <w:rPr>
                <w:sz w:val="14"/>
              </w:rPr>
            </w:pPr>
          </w:p>
        </w:tc>
        <w:tc>
          <w:tcPr>
            <w:tcW w:w="737" w:type="dxa"/>
          </w:tcPr>
          <w:p>
            <w:pPr>
              <w:pStyle w:val="TableParagraph"/>
              <w:jc w:val="left"/>
              <w:rPr>
                <w:sz w:val="14"/>
              </w:rPr>
            </w:pPr>
          </w:p>
        </w:tc>
        <w:tc>
          <w:tcPr>
            <w:tcW w:w="4856" w:type="dxa"/>
          </w:tcPr>
          <w:p>
            <w:pPr>
              <w:pStyle w:val="TableParagraph"/>
              <w:spacing w:line="200" w:lineRule="exact"/>
              <w:ind w:left="167"/>
              <w:jc w:val="left"/>
              <w:rPr>
                <w:b/>
                <w:sz w:val="20"/>
              </w:rPr>
            </w:pPr>
            <w:r>
              <w:rPr>
                <w:b/>
                <w:sz w:val="20"/>
              </w:rPr>
              <w:t>References</w:t>
            </w:r>
          </w:p>
        </w:tc>
        <w:tc>
          <w:tcPr>
            <w:tcW w:w="357" w:type="dxa"/>
          </w:tcPr>
          <w:p>
            <w:pPr>
              <w:pStyle w:val="TableParagraph"/>
              <w:spacing w:line="200" w:lineRule="exact"/>
              <w:jc w:val="left"/>
              <w:rPr>
                <w:b/>
                <w:sz w:val="20"/>
              </w:rPr>
            </w:pPr>
            <w:r>
              <w:rPr>
                <w:b/>
                <w:sz w:val="20"/>
              </w:rPr>
              <w:t>171</w:t>
            </w:r>
          </w:p>
        </w:tc>
      </w:tr>
    </w:tbl>
    <w:p>
      <w:pPr>
        <w:spacing w:after="0" w:line="200" w:lineRule="exact"/>
        <w:jc w:val="left"/>
        <w:rPr>
          <w:sz w:val="20"/>
        </w:rPr>
        <w:sectPr>
          <w:headerReference w:type="even" r:id="rId5"/>
          <w:headerReference w:type="default" r:id="rId6"/>
          <w:pgSz w:w="12240" w:h="15840"/>
          <w:pgMar w:header="567" w:footer="0" w:top="760" w:bottom="280" w:left="620" w:right="0"/>
          <w:pgNumType w:start="106"/>
        </w:sectPr>
      </w:pPr>
    </w:p>
    <w:p>
      <w:pPr>
        <w:pStyle w:val="BodyText"/>
      </w:pPr>
    </w:p>
    <w:p>
      <w:pPr>
        <w:spacing w:after="0"/>
        <w:sectPr>
          <w:pgSz w:w="12240" w:h="15840"/>
          <w:pgMar w:header="567" w:footer="0" w:top="800" w:bottom="280" w:left="620" w:right="0"/>
        </w:sectPr>
      </w:pPr>
    </w:p>
    <w:p>
      <w:pPr>
        <w:pStyle w:val="BodyText"/>
        <w:spacing w:before="4"/>
        <w:rPr>
          <w:sz w:val="18"/>
        </w:rPr>
      </w:pPr>
    </w:p>
    <w:p>
      <w:pPr>
        <w:pStyle w:val="Heading1"/>
        <w:spacing w:line="240" w:lineRule="auto"/>
        <w:ind w:left="513"/>
      </w:pPr>
      <w:bookmarkStart w:name="Executive Summary" w:id="4"/>
      <w:bookmarkEnd w:id="4"/>
      <w:r>
        <w:rPr>
          <w:b w:val="0"/>
        </w:rPr>
      </w:r>
      <w:r>
        <w:rPr>
          <w:spacing w:val="-1"/>
          <w:w w:val="120"/>
        </w:rPr>
        <w:t>ExECutivE</w:t>
      </w:r>
      <w:r>
        <w:rPr>
          <w:spacing w:val="-36"/>
          <w:w w:val="120"/>
        </w:rPr>
        <w:t> </w:t>
      </w:r>
      <w:r>
        <w:rPr>
          <w:spacing w:val="-1"/>
          <w:w w:val="120"/>
        </w:rPr>
        <w:t>SummARy</w:t>
      </w:r>
    </w:p>
    <w:p>
      <w:pPr>
        <w:pStyle w:val="BodyText"/>
        <w:spacing w:before="4"/>
        <w:rPr>
          <w:b/>
          <w:sz w:val="18"/>
        </w:rPr>
      </w:pPr>
      <w:r>
        <w:rPr/>
        <w:br w:type="column"/>
      </w:r>
      <w:r>
        <w:rPr>
          <w:b/>
          <w:sz w:val="18"/>
        </w:rPr>
      </w:r>
    </w:p>
    <w:p>
      <w:pPr>
        <w:pStyle w:val="BodyText"/>
        <w:spacing w:line="249" w:lineRule="auto"/>
        <w:ind w:left="513" w:right="668"/>
      </w:pPr>
      <w:r>
        <w:rPr/>
        <w:pict>
          <v:shape style="position:absolute;margin-left:499.881104pt;margin-top:32.285961pt;width:2.9pt;height:5.8pt;mso-position-horizontal-relative:page;mso-position-vertical-relative:paragraph;z-index:251663360"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t>combined cycle (IGCC) plant using bituminous coal. Overall the COE for fossil fuel plants with capture, ranges from 43-86</w:t>
      </w:r>
    </w:p>
    <w:p>
      <w:pPr>
        <w:spacing w:after="0" w:line="249" w:lineRule="auto"/>
        <w:sectPr>
          <w:type w:val="continuous"/>
          <w:pgSz w:w="12240" w:h="15840"/>
          <w:pgMar w:top="480" w:bottom="280" w:left="620" w:right="0"/>
          <w:cols w:num="2" w:equalWidth="0">
            <w:col w:w="2853" w:space="2473"/>
            <w:col w:w="6294"/>
          </w:cols>
        </w:sectPr>
      </w:pPr>
    </w:p>
    <w:p>
      <w:pPr>
        <w:pStyle w:val="BodyText"/>
        <w:spacing w:line="277" w:lineRule="exact" w:before="2"/>
        <w:ind w:left="513"/>
        <w:rPr>
          <w:sz w:val="11"/>
        </w:rPr>
      </w:pPr>
      <w:r>
        <w:rPr/>
        <w:t>The purpose of </w:t>
      </w:r>
      <w:r>
        <w:rPr>
          <w:spacing w:val="-7"/>
        </w:rPr>
        <w:t>CO</w:t>
      </w:r>
      <w:r>
        <w:rPr>
          <w:spacing w:val="-7"/>
          <w:position w:val="-6"/>
          <w:sz w:val="11"/>
        </w:rPr>
        <w:t>2</w:t>
      </w:r>
    </w:p>
    <w:p>
      <w:pPr>
        <w:pStyle w:val="BodyText"/>
        <w:spacing w:before="2"/>
        <w:ind w:left="3"/>
      </w:pPr>
      <w:r>
        <w:rPr/>
        <w:br w:type="column"/>
      </w:r>
      <w:r>
        <w:rPr/>
        <w:t>capture</w:t>
      </w:r>
      <w:r>
        <w:rPr>
          <w:spacing w:val="-7"/>
        </w:rPr>
        <w:t> </w:t>
      </w:r>
      <w:r>
        <w:rPr/>
        <w:t>is</w:t>
      </w:r>
      <w:r>
        <w:rPr>
          <w:spacing w:val="-7"/>
        </w:rPr>
        <w:t> </w:t>
      </w:r>
      <w:r>
        <w:rPr/>
        <w:t>to</w:t>
      </w:r>
      <w:r>
        <w:rPr>
          <w:spacing w:val="-7"/>
        </w:rPr>
        <w:t> </w:t>
      </w:r>
      <w:r>
        <w:rPr/>
        <w:t>produce</w:t>
      </w:r>
      <w:r>
        <w:rPr>
          <w:spacing w:val="-7"/>
        </w:rPr>
        <w:t> </w:t>
      </w:r>
      <w:r>
        <w:rPr/>
        <w:t>a</w:t>
      </w:r>
      <w:r>
        <w:rPr>
          <w:spacing w:val="-7"/>
        </w:rPr>
        <w:t> </w:t>
      </w:r>
      <w:r>
        <w:rPr/>
        <w:t>concentrated</w:t>
      </w:r>
      <w:r>
        <w:rPr>
          <w:spacing w:val="-8"/>
        </w:rPr>
        <w:t> </w:t>
      </w:r>
      <w:r>
        <w:rPr>
          <w:spacing w:val="-3"/>
        </w:rPr>
        <w:t>stream</w:t>
      </w:r>
    </w:p>
    <w:p>
      <w:pPr>
        <w:pStyle w:val="BodyText"/>
        <w:spacing w:before="2"/>
        <w:ind w:left="243"/>
      </w:pPr>
      <w:r>
        <w:rPr/>
        <w:br w:type="column"/>
      </w:r>
      <w:r>
        <w:rPr/>
        <w:t>US$ MWh</w:t>
      </w:r>
      <w:r>
        <w:rPr>
          <w:position w:val="7"/>
          <w:sz w:val="11"/>
        </w:rPr>
        <w:t>-1</w:t>
      </w:r>
      <w:r>
        <w:rPr/>
        <w:t>, with the cost per tonne of CO</w:t>
      </w:r>
    </w:p>
    <w:p>
      <w:pPr>
        <w:pStyle w:val="BodyText"/>
        <w:spacing w:before="2"/>
        <w:ind w:left="80"/>
      </w:pPr>
      <w:r>
        <w:rPr/>
        <w:br w:type="column"/>
      </w:r>
      <w:r>
        <w:rPr/>
        <w:t>ranging from 11-</w:t>
      </w:r>
    </w:p>
    <w:p>
      <w:pPr>
        <w:spacing w:after="0"/>
        <w:sectPr>
          <w:type w:val="continuous"/>
          <w:pgSz w:w="12240" w:h="15840"/>
          <w:pgMar w:top="480" w:bottom="280" w:left="620" w:right="0"/>
          <w:cols w:num="4" w:equalWidth="0">
            <w:col w:w="2090" w:space="40"/>
            <w:col w:w="3428" w:space="39"/>
            <w:col w:w="3782" w:space="40"/>
            <w:col w:w="2201"/>
          </w:cols>
        </w:sectPr>
      </w:pPr>
    </w:p>
    <w:p>
      <w:pPr>
        <w:pStyle w:val="BodyText"/>
        <w:spacing w:line="187" w:lineRule="auto"/>
        <w:ind w:left="513"/>
        <w:jc w:val="both"/>
      </w:pPr>
      <w:r>
        <w:rPr/>
        <w:t>that</w:t>
      </w:r>
      <w:r>
        <w:rPr>
          <w:spacing w:val="-14"/>
        </w:rPr>
        <w:t> </w:t>
      </w:r>
      <w:r>
        <w:rPr/>
        <w:t>can</w:t>
      </w:r>
      <w:r>
        <w:rPr>
          <w:spacing w:val="-14"/>
        </w:rPr>
        <w:t> </w:t>
      </w:r>
      <w:r>
        <w:rPr/>
        <w:t>be</w:t>
      </w:r>
      <w:r>
        <w:rPr>
          <w:spacing w:val="-13"/>
        </w:rPr>
        <w:t> </w:t>
      </w:r>
      <w:r>
        <w:rPr/>
        <w:t>readily</w:t>
      </w:r>
      <w:r>
        <w:rPr>
          <w:spacing w:val="-14"/>
        </w:rPr>
        <w:t> </w:t>
      </w:r>
      <w:r>
        <w:rPr/>
        <w:t>transported</w:t>
      </w:r>
      <w:r>
        <w:rPr>
          <w:spacing w:val="-13"/>
        </w:rPr>
        <w:t> </w:t>
      </w:r>
      <w:r>
        <w:rPr/>
        <w:t>to</w:t>
      </w:r>
      <w:r>
        <w:rPr>
          <w:spacing w:val="-14"/>
        </w:rPr>
        <w:t> </w:t>
      </w:r>
      <w:r>
        <w:rPr/>
        <w:t>a</w:t>
      </w:r>
      <w:r>
        <w:rPr>
          <w:spacing w:val="-13"/>
        </w:rPr>
        <w:t> </w:t>
      </w:r>
      <w:r>
        <w:rPr/>
        <w:t>CO</w:t>
      </w:r>
      <w:r>
        <w:rPr>
          <w:position w:val="-6"/>
          <w:sz w:val="11"/>
        </w:rPr>
        <w:t>2</w:t>
      </w:r>
      <w:r>
        <w:rPr>
          <w:spacing w:val="8"/>
          <w:position w:val="-6"/>
          <w:sz w:val="11"/>
        </w:rPr>
        <w:t> </w:t>
      </w:r>
      <w:r>
        <w:rPr/>
        <w:t>storage</w:t>
      </w:r>
      <w:r>
        <w:rPr>
          <w:spacing w:val="-13"/>
        </w:rPr>
        <w:t> </w:t>
      </w:r>
      <w:r>
        <w:rPr/>
        <w:t>site.</w:t>
      </w:r>
      <w:r>
        <w:rPr>
          <w:spacing w:val="-14"/>
        </w:rPr>
        <w:t> </w:t>
      </w:r>
      <w:r>
        <w:rPr/>
        <w:t>CO</w:t>
      </w:r>
      <w:r>
        <w:rPr>
          <w:position w:val="-6"/>
          <w:sz w:val="11"/>
        </w:rPr>
        <w:t>2</w:t>
      </w:r>
      <w:r>
        <w:rPr>
          <w:spacing w:val="9"/>
          <w:position w:val="-6"/>
          <w:sz w:val="11"/>
        </w:rPr>
        <w:t> </w:t>
      </w:r>
      <w:r>
        <w:rPr/>
        <w:t>capture</w:t>
      </w:r>
    </w:p>
    <w:p>
      <w:pPr>
        <w:pStyle w:val="BodyText"/>
        <w:spacing w:line="210" w:lineRule="exact"/>
        <w:ind w:left="513"/>
        <w:jc w:val="both"/>
      </w:pPr>
      <w:r>
        <w:rPr/>
        <w:t>and  storage  is  most  applicable  to  large,  centralized</w:t>
      </w:r>
      <w:r>
        <w:rPr>
          <w:spacing w:val="-15"/>
        </w:rPr>
        <w:t> </w:t>
      </w:r>
      <w:r>
        <w:rPr/>
        <w:t>sources</w:t>
      </w:r>
    </w:p>
    <w:p>
      <w:pPr>
        <w:pStyle w:val="BodyText"/>
        <w:spacing w:line="240" w:lineRule="exact"/>
        <w:ind w:left="513"/>
        <w:jc w:val="both"/>
      </w:pPr>
      <w:r>
        <w:rPr/>
        <w:t>like power plants and large industries. Capture </w:t>
      </w:r>
      <w:r>
        <w:rPr>
          <w:spacing w:val="-2"/>
        </w:rPr>
        <w:t>technologies </w:t>
      </w:r>
      <w:r>
        <w:rPr/>
        <w:t>also open the way for large-scale production of low-carbon or carbon-free electricity and fuels for transportation, as well as for small-scale or distributed applications. The energy required to</w:t>
      </w:r>
      <w:r>
        <w:rPr>
          <w:spacing w:val="-11"/>
        </w:rPr>
        <w:t> </w:t>
      </w:r>
      <w:r>
        <w:rPr/>
        <w:t>operate</w:t>
      </w:r>
      <w:r>
        <w:rPr>
          <w:spacing w:val="-10"/>
        </w:rPr>
        <w:t> </w:t>
      </w:r>
      <w:r>
        <w:rPr/>
        <w:t>CO</w:t>
      </w:r>
      <w:r>
        <w:rPr>
          <w:position w:val="-6"/>
          <w:sz w:val="11"/>
        </w:rPr>
        <w:t>2</w:t>
      </w:r>
      <w:r>
        <w:rPr>
          <w:spacing w:val="12"/>
          <w:position w:val="-6"/>
          <w:sz w:val="11"/>
        </w:rPr>
        <w:t> </w:t>
      </w:r>
      <w:r>
        <w:rPr/>
        <w:t>capture</w:t>
      </w:r>
      <w:r>
        <w:rPr>
          <w:spacing w:val="-11"/>
        </w:rPr>
        <w:t> </w:t>
      </w:r>
      <w:r>
        <w:rPr/>
        <w:t>systems</w:t>
      </w:r>
      <w:r>
        <w:rPr>
          <w:spacing w:val="-9"/>
        </w:rPr>
        <w:t> </w:t>
      </w:r>
      <w:r>
        <w:rPr/>
        <w:t>reduces</w:t>
      </w:r>
      <w:r>
        <w:rPr>
          <w:spacing w:val="-11"/>
        </w:rPr>
        <w:t> </w:t>
      </w:r>
      <w:r>
        <w:rPr/>
        <w:t>the</w:t>
      </w:r>
      <w:r>
        <w:rPr>
          <w:spacing w:val="-10"/>
        </w:rPr>
        <w:t> </w:t>
      </w:r>
      <w:r>
        <w:rPr/>
        <w:t>overall</w:t>
      </w:r>
      <w:r>
        <w:rPr>
          <w:spacing w:val="-11"/>
        </w:rPr>
        <w:t> </w:t>
      </w:r>
      <w:r>
        <w:rPr/>
        <w:t>efficiency</w:t>
      </w:r>
      <w:r>
        <w:rPr>
          <w:spacing w:val="-10"/>
        </w:rPr>
        <w:t> </w:t>
      </w:r>
      <w:r>
        <w:rPr/>
        <w:t>of power generation or other processes, leading to increased </w:t>
      </w:r>
      <w:r>
        <w:rPr>
          <w:spacing w:val="-3"/>
        </w:rPr>
        <w:t>fuel </w:t>
      </w:r>
      <w:r>
        <w:rPr/>
        <w:t>requirements, solid wastes and environmental impacts relative to the same type of base plant without capture. However, as more</w:t>
      </w:r>
      <w:r>
        <w:rPr>
          <w:spacing w:val="-10"/>
        </w:rPr>
        <w:t> </w:t>
      </w:r>
      <w:r>
        <w:rPr/>
        <w:t>efficient</w:t>
      </w:r>
      <w:r>
        <w:rPr>
          <w:spacing w:val="-10"/>
        </w:rPr>
        <w:t> </w:t>
      </w:r>
      <w:r>
        <w:rPr/>
        <w:t>plants</w:t>
      </w:r>
      <w:r>
        <w:rPr>
          <w:spacing w:val="-9"/>
        </w:rPr>
        <w:t> </w:t>
      </w:r>
      <w:r>
        <w:rPr/>
        <w:t>with</w:t>
      </w:r>
      <w:r>
        <w:rPr>
          <w:spacing w:val="-8"/>
        </w:rPr>
        <w:t> </w:t>
      </w:r>
      <w:r>
        <w:rPr/>
        <w:t>capture</w:t>
      </w:r>
      <w:r>
        <w:rPr>
          <w:spacing w:val="-10"/>
        </w:rPr>
        <w:t> </w:t>
      </w:r>
      <w:r>
        <w:rPr/>
        <w:t>become</w:t>
      </w:r>
      <w:r>
        <w:rPr>
          <w:spacing w:val="-9"/>
        </w:rPr>
        <w:t> </w:t>
      </w:r>
      <w:r>
        <w:rPr/>
        <w:t>available</w:t>
      </w:r>
      <w:r>
        <w:rPr>
          <w:spacing w:val="-9"/>
        </w:rPr>
        <w:t> </w:t>
      </w:r>
      <w:r>
        <w:rPr/>
        <w:t>and</w:t>
      </w:r>
      <w:r>
        <w:rPr>
          <w:spacing w:val="-9"/>
        </w:rPr>
        <w:t> </w:t>
      </w:r>
      <w:r>
        <w:rPr/>
        <w:t>replace many of the older less efficient plants now in service, the     net impacts will be compatible with clean air emission goals for fossil fuel use. Minimization of energy requirements for capture,</w:t>
      </w:r>
      <w:r>
        <w:rPr>
          <w:spacing w:val="-10"/>
        </w:rPr>
        <w:t> </w:t>
      </w:r>
      <w:r>
        <w:rPr/>
        <w:t>together</w:t>
      </w:r>
      <w:r>
        <w:rPr>
          <w:spacing w:val="-9"/>
        </w:rPr>
        <w:t> </w:t>
      </w:r>
      <w:r>
        <w:rPr/>
        <w:t>with</w:t>
      </w:r>
      <w:r>
        <w:rPr>
          <w:spacing w:val="-8"/>
        </w:rPr>
        <w:t> </w:t>
      </w:r>
      <w:r>
        <w:rPr/>
        <w:t>improvements</w:t>
      </w:r>
      <w:r>
        <w:rPr>
          <w:spacing w:val="-9"/>
        </w:rPr>
        <w:t> </w:t>
      </w:r>
      <w:r>
        <w:rPr/>
        <w:t>in</w:t>
      </w:r>
      <w:r>
        <w:rPr>
          <w:spacing w:val="-8"/>
        </w:rPr>
        <w:t> </w:t>
      </w:r>
      <w:r>
        <w:rPr/>
        <w:t>the</w:t>
      </w:r>
      <w:r>
        <w:rPr>
          <w:spacing w:val="-8"/>
        </w:rPr>
        <w:t> </w:t>
      </w:r>
      <w:r>
        <w:rPr/>
        <w:t>efficiency</w:t>
      </w:r>
      <w:r>
        <w:rPr>
          <w:spacing w:val="-10"/>
        </w:rPr>
        <w:t> </w:t>
      </w:r>
      <w:r>
        <w:rPr/>
        <w:t>of</w:t>
      </w:r>
      <w:r>
        <w:rPr>
          <w:spacing w:val="-8"/>
        </w:rPr>
        <w:t> </w:t>
      </w:r>
      <w:r>
        <w:rPr/>
        <w:t>energy conversion processes will continue to be high priorities </w:t>
      </w:r>
      <w:r>
        <w:rPr>
          <w:spacing w:val="-4"/>
        </w:rPr>
        <w:t>for </w:t>
      </w:r>
      <w:r>
        <w:rPr/>
        <w:t>future technology development in order to minimize overall environmental impacts and cost.</w:t>
      </w:r>
    </w:p>
    <w:p>
      <w:pPr>
        <w:pStyle w:val="BodyText"/>
        <w:spacing w:line="225" w:lineRule="auto" w:before="11"/>
        <w:ind w:left="513" w:firstLine="283"/>
        <w:jc w:val="both"/>
      </w:pPr>
      <w:r>
        <w:rPr/>
        <w:t>At present, CO</w:t>
      </w:r>
      <w:r>
        <w:rPr>
          <w:position w:val="-6"/>
          <w:sz w:val="11"/>
        </w:rPr>
        <w:t>2 </w:t>
      </w:r>
      <w:r>
        <w:rPr/>
        <w:t>is routinely separated at some large industrial plants such as natural gas processing and ammonia production facilities, although these plants remove CO</w:t>
      </w:r>
      <w:r>
        <w:rPr>
          <w:position w:val="-6"/>
          <w:sz w:val="11"/>
        </w:rPr>
        <w:t>2 </w:t>
      </w:r>
      <w:r>
        <w:rPr>
          <w:spacing w:val="-8"/>
        </w:rPr>
        <w:t>to  </w:t>
      </w:r>
      <w:r>
        <w:rPr/>
        <w:t>meet process demands and not for storage. CO</w:t>
      </w:r>
      <w:r>
        <w:rPr>
          <w:position w:val="-6"/>
          <w:sz w:val="11"/>
        </w:rPr>
        <w:t>2 </w:t>
      </w:r>
      <w:r>
        <w:rPr/>
        <w:t>capture also has been applied to several small power plants. However, there have been no applications at large-scale power plants </w:t>
      </w:r>
      <w:r>
        <w:rPr>
          <w:spacing w:val="-7"/>
        </w:rPr>
        <w:t>of </w:t>
      </w:r>
      <w:r>
        <w:rPr/>
        <w:t>several hundred megawatts, the major source of current and projected CO</w:t>
      </w:r>
      <w:r>
        <w:rPr>
          <w:position w:val="-6"/>
          <w:sz w:val="11"/>
        </w:rPr>
        <w:t>2 </w:t>
      </w:r>
      <w:r>
        <w:rPr/>
        <w:t>emissions. There are three main approaches </w:t>
      </w:r>
      <w:r>
        <w:rPr>
          <w:spacing w:val="-7"/>
        </w:rPr>
        <w:t>to </w:t>
      </w:r>
      <w:r>
        <w:rPr/>
        <w:t>CO</w:t>
      </w:r>
      <w:r>
        <w:rPr>
          <w:position w:val="-6"/>
          <w:sz w:val="11"/>
        </w:rPr>
        <w:t>2 </w:t>
      </w:r>
      <w:r>
        <w:rPr/>
        <w:t>capture, for industrial and power plant applications. </w:t>
      </w:r>
      <w:r>
        <w:rPr>
          <w:i/>
          <w:spacing w:val="-3"/>
        </w:rPr>
        <w:t>Post- </w:t>
      </w:r>
      <w:r>
        <w:rPr>
          <w:i/>
        </w:rPr>
        <w:t>combustion </w:t>
      </w:r>
      <w:r>
        <w:rPr/>
        <w:t>systems separate CO</w:t>
      </w:r>
      <w:r>
        <w:rPr>
          <w:position w:val="-6"/>
          <w:sz w:val="11"/>
        </w:rPr>
        <w:t>2 </w:t>
      </w:r>
      <w:r>
        <w:rPr/>
        <w:t>from the flue gases produced by combustion of a primary fuel (coal, natural gas, oil </w:t>
      </w:r>
      <w:r>
        <w:rPr>
          <w:spacing w:val="-9"/>
        </w:rPr>
        <w:t>or </w:t>
      </w:r>
      <w:r>
        <w:rPr/>
        <w:t>biomass) in </w:t>
      </w:r>
      <w:r>
        <w:rPr>
          <w:spacing w:val="-3"/>
        </w:rPr>
        <w:t>air. </w:t>
      </w:r>
      <w:r>
        <w:rPr>
          <w:i/>
        </w:rPr>
        <w:t>Oxy-fuel combustion </w:t>
      </w:r>
      <w:r>
        <w:rPr/>
        <w:t>uses oxygen instead of air</w:t>
      </w:r>
      <w:r>
        <w:rPr>
          <w:spacing w:val="-4"/>
        </w:rPr>
        <w:t> </w:t>
      </w:r>
      <w:r>
        <w:rPr/>
        <w:t>for</w:t>
      </w:r>
      <w:r>
        <w:rPr>
          <w:spacing w:val="-4"/>
        </w:rPr>
        <w:t> </w:t>
      </w:r>
      <w:r>
        <w:rPr/>
        <w:t>combustion,</w:t>
      </w:r>
      <w:r>
        <w:rPr>
          <w:spacing w:val="-4"/>
        </w:rPr>
        <w:t> </w:t>
      </w:r>
      <w:r>
        <w:rPr/>
        <w:t>producing</w:t>
      </w:r>
      <w:r>
        <w:rPr>
          <w:spacing w:val="-4"/>
        </w:rPr>
        <w:t> </w:t>
      </w:r>
      <w:r>
        <w:rPr/>
        <w:t>a</w:t>
      </w:r>
      <w:r>
        <w:rPr>
          <w:spacing w:val="-4"/>
        </w:rPr>
        <w:t> </w:t>
      </w:r>
      <w:r>
        <w:rPr/>
        <w:t>flue</w:t>
      </w:r>
      <w:r>
        <w:rPr>
          <w:spacing w:val="-4"/>
        </w:rPr>
        <w:t> </w:t>
      </w:r>
      <w:r>
        <w:rPr/>
        <w:t>gas</w:t>
      </w:r>
      <w:r>
        <w:rPr>
          <w:spacing w:val="-4"/>
        </w:rPr>
        <w:t> </w:t>
      </w:r>
      <w:r>
        <w:rPr/>
        <w:t>that</w:t>
      </w:r>
      <w:r>
        <w:rPr>
          <w:spacing w:val="-4"/>
        </w:rPr>
        <w:t> </w:t>
      </w:r>
      <w:r>
        <w:rPr/>
        <w:t>is</w:t>
      </w:r>
      <w:r>
        <w:rPr>
          <w:spacing w:val="-4"/>
        </w:rPr>
        <w:t> </w:t>
      </w:r>
      <w:r>
        <w:rPr/>
        <w:t>mainly</w:t>
      </w:r>
      <w:r>
        <w:rPr>
          <w:spacing w:val="-4"/>
        </w:rPr>
        <w:t> </w:t>
      </w:r>
      <w:r>
        <w:rPr/>
        <w:t>H</w:t>
      </w:r>
      <w:r>
        <w:rPr>
          <w:position w:val="-6"/>
          <w:sz w:val="11"/>
        </w:rPr>
        <w:t>2</w:t>
      </w:r>
      <w:r>
        <w:rPr/>
        <w:t>O</w:t>
      </w:r>
      <w:r>
        <w:rPr>
          <w:spacing w:val="-4"/>
        </w:rPr>
        <w:t> </w:t>
      </w:r>
      <w:r>
        <w:rPr/>
        <w:t>and CO</w:t>
      </w:r>
      <w:r>
        <w:rPr>
          <w:position w:val="-6"/>
          <w:sz w:val="11"/>
        </w:rPr>
        <w:t>2 </w:t>
      </w:r>
      <w:r>
        <w:rPr/>
        <w:t>and which is readily captured. This is an option still under development.</w:t>
      </w:r>
      <w:r>
        <w:rPr>
          <w:spacing w:val="-9"/>
        </w:rPr>
        <w:t> </w:t>
      </w:r>
      <w:r>
        <w:rPr>
          <w:i/>
        </w:rPr>
        <w:t>Pre-combustion</w:t>
      </w:r>
      <w:r>
        <w:rPr>
          <w:i/>
          <w:spacing w:val="-8"/>
        </w:rPr>
        <w:t> </w:t>
      </w:r>
      <w:r>
        <w:rPr/>
        <w:t>systems</w:t>
      </w:r>
      <w:r>
        <w:rPr>
          <w:spacing w:val="-8"/>
        </w:rPr>
        <w:t> </w:t>
      </w:r>
      <w:r>
        <w:rPr/>
        <w:t>process</w:t>
      </w:r>
      <w:r>
        <w:rPr>
          <w:spacing w:val="-8"/>
        </w:rPr>
        <w:t> </w:t>
      </w:r>
      <w:r>
        <w:rPr/>
        <w:t>the</w:t>
      </w:r>
      <w:r>
        <w:rPr>
          <w:spacing w:val="-9"/>
        </w:rPr>
        <w:t> </w:t>
      </w:r>
      <w:r>
        <w:rPr/>
        <w:t>primary</w:t>
      </w:r>
      <w:r>
        <w:rPr>
          <w:spacing w:val="-8"/>
        </w:rPr>
        <w:t> </w:t>
      </w:r>
      <w:r>
        <w:rPr/>
        <w:t>fuel in a reactor to produce separate streams of CO</w:t>
      </w:r>
      <w:r>
        <w:rPr>
          <w:position w:val="-6"/>
          <w:sz w:val="11"/>
        </w:rPr>
        <w:t>2 </w:t>
      </w:r>
      <w:r>
        <w:rPr/>
        <w:t>for storage and H</w:t>
      </w:r>
      <w:r>
        <w:rPr>
          <w:position w:val="-6"/>
          <w:sz w:val="11"/>
        </w:rPr>
        <w:t>2 </w:t>
      </w:r>
      <w:r>
        <w:rPr/>
        <w:t>which is used as a fuel. Other industrial processes,</w:t>
      </w:r>
      <w:r>
        <w:rPr>
          <w:spacing w:val="-33"/>
        </w:rPr>
        <w:t> </w:t>
      </w:r>
      <w:r>
        <w:rPr/>
        <w:t>including processes</w:t>
      </w:r>
      <w:r>
        <w:rPr>
          <w:spacing w:val="-9"/>
        </w:rPr>
        <w:t> </w:t>
      </w:r>
      <w:r>
        <w:rPr/>
        <w:t>for</w:t>
      </w:r>
      <w:r>
        <w:rPr>
          <w:spacing w:val="-9"/>
        </w:rPr>
        <w:t> </w:t>
      </w:r>
      <w:r>
        <w:rPr/>
        <w:t>the</w:t>
      </w:r>
      <w:r>
        <w:rPr>
          <w:spacing w:val="-9"/>
        </w:rPr>
        <w:t> </w:t>
      </w:r>
      <w:r>
        <w:rPr/>
        <w:t>production</w:t>
      </w:r>
      <w:r>
        <w:rPr>
          <w:spacing w:val="-9"/>
        </w:rPr>
        <w:t> </w:t>
      </w:r>
      <w:r>
        <w:rPr/>
        <w:t>of</w:t>
      </w:r>
      <w:r>
        <w:rPr>
          <w:spacing w:val="-8"/>
        </w:rPr>
        <w:t> </w:t>
      </w:r>
      <w:r>
        <w:rPr/>
        <w:t>low-carbon</w:t>
      </w:r>
      <w:r>
        <w:rPr>
          <w:spacing w:val="-9"/>
        </w:rPr>
        <w:t> </w:t>
      </w:r>
      <w:r>
        <w:rPr/>
        <w:t>or</w:t>
      </w:r>
      <w:r>
        <w:rPr>
          <w:spacing w:val="-9"/>
        </w:rPr>
        <w:t> </w:t>
      </w:r>
      <w:r>
        <w:rPr/>
        <w:t>carbon-free</w:t>
      </w:r>
      <w:r>
        <w:rPr>
          <w:spacing w:val="-10"/>
        </w:rPr>
        <w:t> </w:t>
      </w:r>
      <w:r>
        <w:rPr>
          <w:spacing w:val="-3"/>
        </w:rPr>
        <w:t>fuels, </w:t>
      </w:r>
      <w:r>
        <w:rPr/>
        <w:t>employ one or more of these same basic capture methods. </w:t>
      </w:r>
      <w:r>
        <w:rPr>
          <w:spacing w:val="-4"/>
        </w:rPr>
        <w:t>The </w:t>
      </w:r>
      <w:r>
        <w:rPr/>
        <w:t>monitoring, risk and legal aspects associated with CO</w:t>
      </w:r>
      <w:r>
        <w:rPr>
          <w:position w:val="-6"/>
          <w:sz w:val="11"/>
        </w:rPr>
        <w:t>2 </w:t>
      </w:r>
      <w:r>
        <w:rPr/>
        <w:t>capture systems appear to present no new challenges, as they are </w:t>
      </w:r>
      <w:r>
        <w:rPr>
          <w:spacing w:val="-4"/>
        </w:rPr>
        <w:t>all </w:t>
      </w:r>
      <w:r>
        <w:rPr/>
        <w:t>elements of long-standing health, safety and environmental control practice in</w:t>
      </w:r>
      <w:r>
        <w:rPr>
          <w:spacing w:val="-1"/>
        </w:rPr>
        <w:t> </w:t>
      </w:r>
      <w:r>
        <w:rPr/>
        <w:t>industry.</w:t>
      </w:r>
    </w:p>
    <w:p>
      <w:pPr>
        <w:pStyle w:val="BodyText"/>
        <w:spacing w:line="214" w:lineRule="exact"/>
        <w:ind w:left="797"/>
        <w:jc w:val="both"/>
      </w:pPr>
      <w:r>
        <w:rPr/>
        <w:t>For</w:t>
      </w:r>
      <w:r>
        <w:rPr>
          <w:spacing w:val="37"/>
        </w:rPr>
        <w:t> </w:t>
      </w:r>
      <w:r>
        <w:rPr/>
        <w:t>all</w:t>
      </w:r>
      <w:r>
        <w:rPr>
          <w:spacing w:val="38"/>
        </w:rPr>
        <w:t> </w:t>
      </w:r>
      <w:r>
        <w:rPr/>
        <w:t>of</w:t>
      </w:r>
      <w:r>
        <w:rPr>
          <w:spacing w:val="38"/>
        </w:rPr>
        <w:t> </w:t>
      </w:r>
      <w:r>
        <w:rPr/>
        <w:t>the</w:t>
      </w:r>
      <w:r>
        <w:rPr>
          <w:spacing w:val="38"/>
        </w:rPr>
        <w:t> </w:t>
      </w:r>
      <w:r>
        <w:rPr/>
        <w:t>aforementioned</w:t>
      </w:r>
      <w:r>
        <w:rPr>
          <w:spacing w:val="38"/>
        </w:rPr>
        <w:t> </w:t>
      </w:r>
      <w:r>
        <w:rPr/>
        <w:t>applications,</w:t>
      </w:r>
      <w:r>
        <w:rPr>
          <w:spacing w:val="38"/>
        </w:rPr>
        <w:t> </w:t>
      </w:r>
      <w:r>
        <w:rPr/>
        <w:t>we</w:t>
      </w:r>
      <w:r>
        <w:rPr>
          <w:spacing w:val="38"/>
        </w:rPr>
        <w:t> </w:t>
      </w:r>
      <w:r>
        <w:rPr/>
        <w:t>reviewed</w:t>
      </w:r>
    </w:p>
    <w:p>
      <w:pPr>
        <w:pStyle w:val="BodyText"/>
        <w:spacing w:line="240" w:lineRule="exact" w:before="5"/>
        <w:ind w:left="513"/>
        <w:jc w:val="both"/>
      </w:pPr>
      <w:r>
        <w:rPr/>
        <w:t>recent studies of the performance and cost of commercial or near-commercial technologies, as well as that of newer CO</w:t>
      </w:r>
      <w:r>
        <w:rPr>
          <w:position w:val="-6"/>
          <w:sz w:val="11"/>
        </w:rPr>
        <w:t>2 </w:t>
      </w:r>
      <w:r>
        <w:rPr/>
        <w:t>capture concepts that are the subject of intense R&amp;D efforts worldwide. For power plants, current commercial CO</w:t>
      </w:r>
      <w:r>
        <w:rPr>
          <w:position w:val="-6"/>
          <w:sz w:val="11"/>
        </w:rPr>
        <w:t>2  </w:t>
      </w:r>
      <w:r>
        <w:rPr>
          <w:spacing w:val="1"/>
          <w:position w:val="-6"/>
          <w:sz w:val="11"/>
        </w:rPr>
        <w:t> </w:t>
      </w:r>
      <w:r>
        <w:rPr/>
        <w:t>capture</w:t>
      </w:r>
    </w:p>
    <w:p>
      <w:pPr>
        <w:pStyle w:val="BodyText"/>
        <w:spacing w:line="187" w:lineRule="auto"/>
        <w:ind w:left="241"/>
        <w:jc w:val="both"/>
      </w:pPr>
      <w:r>
        <w:rPr/>
        <w:br w:type="column"/>
      </w:r>
      <w:r>
        <w:rPr/>
        <w:t>57 US$/tCO</w:t>
      </w:r>
      <w:r>
        <w:rPr>
          <w:position w:val="-6"/>
          <w:sz w:val="11"/>
        </w:rPr>
        <w:t>2  </w:t>
      </w:r>
      <w:r>
        <w:rPr/>
        <w:t>captured or 13-74 US$/tCO</w:t>
      </w:r>
      <w:r>
        <w:rPr>
          <w:position w:val="-6"/>
          <w:sz w:val="11"/>
        </w:rPr>
        <w:t>2  </w:t>
      </w:r>
      <w:r>
        <w:rPr/>
        <w:t>avoided</w:t>
      </w:r>
      <w:r>
        <w:rPr>
          <w:spacing w:val="11"/>
        </w:rPr>
        <w:t> </w:t>
      </w:r>
      <w:r>
        <w:rPr/>
        <w:t>(depending</w:t>
      </w:r>
    </w:p>
    <w:p>
      <w:pPr>
        <w:pStyle w:val="BodyText"/>
        <w:spacing w:line="210" w:lineRule="exact"/>
        <w:ind w:left="241"/>
        <w:jc w:val="both"/>
      </w:pPr>
      <w:r>
        <w:rPr/>
        <w:t>on plant type, size, fuel type and a host of other factors).</w:t>
      </w:r>
      <w:r>
        <w:rPr>
          <w:spacing w:val="-7"/>
        </w:rPr>
        <w:t> </w:t>
      </w:r>
      <w:r>
        <w:rPr/>
        <w:t>These</w:t>
      </w:r>
    </w:p>
    <w:p>
      <w:pPr>
        <w:pStyle w:val="BodyText"/>
        <w:spacing w:line="240" w:lineRule="exact"/>
        <w:ind w:left="241" w:right="732"/>
        <w:jc w:val="both"/>
      </w:pPr>
      <w:r>
        <w:rPr/>
        <w:t>costs include CO</w:t>
      </w:r>
      <w:r>
        <w:rPr>
          <w:position w:val="-6"/>
          <w:sz w:val="11"/>
        </w:rPr>
        <w:t>2 </w:t>
      </w:r>
      <w:r>
        <w:rPr/>
        <w:t>compression but not additional  transport and storage costs. NGCC systems typically have a lower COE than new PC and IGCC plants (with or without capture) for gas prices below about 4 US$ GJ</w:t>
      </w:r>
      <w:r>
        <w:rPr>
          <w:position w:val="7"/>
          <w:sz w:val="11"/>
        </w:rPr>
        <w:t>-1</w:t>
      </w:r>
      <w:r>
        <w:rPr/>
        <w:t>. Most studies indicate that IGCC plants are slightly more costly without capture and slightly less costly with capture than similarly sized PC plants, but the differences in cost for plants with CO</w:t>
      </w:r>
      <w:r>
        <w:rPr>
          <w:position w:val="-6"/>
          <w:sz w:val="11"/>
        </w:rPr>
        <w:t>2 </w:t>
      </w:r>
      <w:r>
        <w:rPr/>
        <w:t>capture can vary with coal type and other local factors. The lowest CO</w:t>
      </w:r>
      <w:r>
        <w:rPr>
          <w:position w:val="-6"/>
          <w:sz w:val="11"/>
        </w:rPr>
        <w:t>2 </w:t>
      </w:r>
      <w:r>
        <w:rPr/>
        <w:t>capture costs (averaging about 12 US$/t CO</w:t>
      </w:r>
      <w:r>
        <w:rPr>
          <w:position w:val="-6"/>
          <w:sz w:val="11"/>
        </w:rPr>
        <w:t>2 </w:t>
      </w:r>
      <w:r>
        <w:rPr/>
        <w:t>captured or 15 US$/tCO</w:t>
      </w:r>
      <w:r>
        <w:rPr>
          <w:position w:val="-6"/>
          <w:sz w:val="11"/>
        </w:rPr>
        <w:t>2 </w:t>
      </w:r>
      <w:r>
        <w:rPr/>
        <w:t>avoided) were found for industrial processes such as hydrogen production</w:t>
      </w:r>
      <w:r>
        <w:rPr>
          <w:spacing w:val="-13"/>
        </w:rPr>
        <w:t> </w:t>
      </w:r>
      <w:r>
        <w:rPr/>
        <w:t>plants</w:t>
      </w:r>
      <w:r>
        <w:rPr>
          <w:spacing w:val="-12"/>
        </w:rPr>
        <w:t> </w:t>
      </w:r>
      <w:r>
        <w:rPr/>
        <w:t>that</w:t>
      </w:r>
      <w:r>
        <w:rPr>
          <w:spacing w:val="-13"/>
        </w:rPr>
        <w:t> </w:t>
      </w:r>
      <w:r>
        <w:rPr/>
        <w:t>produce</w:t>
      </w:r>
      <w:r>
        <w:rPr>
          <w:spacing w:val="-12"/>
        </w:rPr>
        <w:t> </w:t>
      </w:r>
      <w:r>
        <w:rPr/>
        <w:t>concentrated</w:t>
      </w:r>
      <w:r>
        <w:rPr>
          <w:spacing w:val="-13"/>
        </w:rPr>
        <w:t> </w:t>
      </w:r>
      <w:r>
        <w:rPr/>
        <w:t>CO</w:t>
      </w:r>
      <w:r>
        <w:rPr>
          <w:position w:val="-6"/>
          <w:sz w:val="11"/>
        </w:rPr>
        <w:t>2</w:t>
      </w:r>
      <w:r>
        <w:rPr>
          <w:spacing w:val="11"/>
          <w:position w:val="-6"/>
          <w:sz w:val="11"/>
        </w:rPr>
        <w:t> </w:t>
      </w:r>
      <w:r>
        <w:rPr/>
        <w:t>streams</w:t>
      </w:r>
      <w:r>
        <w:rPr>
          <w:spacing w:val="-13"/>
        </w:rPr>
        <w:t> </w:t>
      </w:r>
      <w:r>
        <w:rPr/>
        <w:t>as</w:t>
      </w:r>
      <w:r>
        <w:rPr>
          <w:spacing w:val="-12"/>
        </w:rPr>
        <w:t> </w:t>
      </w:r>
      <w:r>
        <w:rPr/>
        <w:t>part of</w:t>
      </w:r>
      <w:r>
        <w:rPr>
          <w:spacing w:val="-13"/>
        </w:rPr>
        <w:t> </w:t>
      </w:r>
      <w:r>
        <w:rPr/>
        <w:t>the</w:t>
      </w:r>
      <w:r>
        <w:rPr>
          <w:spacing w:val="-12"/>
        </w:rPr>
        <w:t> </w:t>
      </w:r>
      <w:r>
        <w:rPr/>
        <w:t>current</w:t>
      </w:r>
      <w:r>
        <w:rPr>
          <w:spacing w:val="-13"/>
        </w:rPr>
        <w:t> </w:t>
      </w:r>
      <w:r>
        <w:rPr/>
        <w:t>production</w:t>
      </w:r>
      <w:r>
        <w:rPr>
          <w:spacing w:val="-12"/>
        </w:rPr>
        <w:t> </w:t>
      </w:r>
      <w:r>
        <w:rPr/>
        <w:t>process;</w:t>
      </w:r>
      <w:r>
        <w:rPr>
          <w:spacing w:val="-12"/>
        </w:rPr>
        <w:t> </w:t>
      </w:r>
      <w:r>
        <w:rPr/>
        <w:t>such</w:t>
      </w:r>
      <w:r>
        <w:rPr>
          <w:spacing w:val="-13"/>
        </w:rPr>
        <w:t> </w:t>
      </w:r>
      <w:r>
        <w:rPr/>
        <w:t>industrial</w:t>
      </w:r>
      <w:r>
        <w:rPr>
          <w:spacing w:val="-12"/>
        </w:rPr>
        <w:t> </w:t>
      </w:r>
      <w:r>
        <w:rPr/>
        <w:t>processes</w:t>
      </w:r>
      <w:r>
        <w:rPr>
          <w:spacing w:val="-12"/>
        </w:rPr>
        <w:t> </w:t>
      </w:r>
      <w:r>
        <w:rPr/>
        <w:t>may represent some of the earliest opportunities for CO</w:t>
      </w:r>
      <w:r>
        <w:rPr>
          <w:position w:val="-6"/>
          <w:sz w:val="11"/>
        </w:rPr>
        <w:t>2 </w:t>
      </w:r>
      <w:r>
        <w:rPr/>
        <w:t>Capture and Storage (CCS). In all cases, CO</w:t>
      </w:r>
      <w:r>
        <w:rPr>
          <w:position w:val="-6"/>
          <w:sz w:val="11"/>
        </w:rPr>
        <w:t>2 </w:t>
      </w:r>
      <w:r>
        <w:rPr/>
        <w:t>capture costs are highly dependent upon technical, economic and financial factors related to the design and operation of the production process or power system of interest, as well as the design and</w:t>
      </w:r>
      <w:r>
        <w:rPr>
          <w:spacing w:val="-34"/>
        </w:rPr>
        <w:t> </w:t>
      </w:r>
      <w:r>
        <w:rPr/>
        <w:t>operation of the CO</w:t>
      </w:r>
      <w:r>
        <w:rPr>
          <w:position w:val="-6"/>
          <w:sz w:val="11"/>
        </w:rPr>
        <w:t>2 </w:t>
      </w:r>
      <w:r>
        <w:rPr/>
        <w:t>capture technology employed. Thus, comparisons of alternative technologies, or the use of CCS cost estimates, require a specific context to be</w:t>
      </w:r>
      <w:r>
        <w:rPr>
          <w:spacing w:val="-4"/>
        </w:rPr>
        <w:t> </w:t>
      </w:r>
      <w:r>
        <w:rPr/>
        <w:t>meaningful.</w:t>
      </w:r>
    </w:p>
    <w:p>
      <w:pPr>
        <w:pStyle w:val="BodyText"/>
        <w:spacing w:line="240" w:lineRule="exact"/>
        <w:ind w:left="241" w:right="733" w:firstLine="283"/>
        <w:jc w:val="both"/>
      </w:pPr>
      <w:r>
        <w:rPr/>
        <w:t>New or improved methods of CO</w:t>
      </w:r>
      <w:r>
        <w:rPr>
          <w:position w:val="-6"/>
          <w:sz w:val="11"/>
        </w:rPr>
        <w:t>2 </w:t>
      </w:r>
      <w:r>
        <w:rPr/>
        <w:t>capture, combined with advanced power systems and industrial process designs, can significantly reduce CO</w:t>
      </w:r>
      <w:r>
        <w:rPr>
          <w:position w:val="-6"/>
          <w:sz w:val="11"/>
        </w:rPr>
        <w:t>2 </w:t>
      </w:r>
      <w:r>
        <w:rPr/>
        <w:t>capture costs and associated energy requirements. While there is considerable uncertainty about</w:t>
      </w:r>
      <w:r>
        <w:rPr>
          <w:spacing w:val="-23"/>
        </w:rPr>
        <w:t> </w:t>
      </w:r>
      <w:r>
        <w:rPr>
          <w:spacing w:val="-5"/>
        </w:rPr>
        <w:t>the </w:t>
      </w:r>
      <w:r>
        <w:rPr/>
        <w:t>magnitude</w:t>
      </w:r>
      <w:r>
        <w:rPr>
          <w:spacing w:val="-8"/>
        </w:rPr>
        <w:t> </w:t>
      </w:r>
      <w:r>
        <w:rPr/>
        <w:t>and</w:t>
      </w:r>
      <w:r>
        <w:rPr>
          <w:spacing w:val="-7"/>
        </w:rPr>
        <w:t> </w:t>
      </w:r>
      <w:r>
        <w:rPr/>
        <w:t>timing</w:t>
      </w:r>
      <w:r>
        <w:rPr>
          <w:spacing w:val="-7"/>
        </w:rPr>
        <w:t> </w:t>
      </w:r>
      <w:r>
        <w:rPr/>
        <w:t>of</w:t>
      </w:r>
      <w:r>
        <w:rPr>
          <w:spacing w:val="-7"/>
        </w:rPr>
        <w:t> </w:t>
      </w:r>
      <w:r>
        <w:rPr/>
        <w:t>future</w:t>
      </w:r>
      <w:r>
        <w:rPr>
          <w:spacing w:val="-6"/>
        </w:rPr>
        <w:t> </w:t>
      </w:r>
      <w:r>
        <w:rPr/>
        <w:t>cost</w:t>
      </w:r>
      <w:r>
        <w:rPr>
          <w:spacing w:val="-7"/>
        </w:rPr>
        <w:t> </w:t>
      </w:r>
      <w:r>
        <w:rPr/>
        <w:t>reductions,</w:t>
      </w:r>
      <w:r>
        <w:rPr>
          <w:spacing w:val="-6"/>
        </w:rPr>
        <w:t> </w:t>
      </w:r>
      <w:r>
        <w:rPr/>
        <w:t>this</w:t>
      </w:r>
      <w:r>
        <w:rPr>
          <w:spacing w:val="-7"/>
        </w:rPr>
        <w:t> </w:t>
      </w:r>
      <w:r>
        <w:rPr/>
        <w:t>assessment suggests that improvements to commercial technologies can reduce</w:t>
      </w:r>
      <w:r>
        <w:rPr>
          <w:spacing w:val="-14"/>
        </w:rPr>
        <w:t> </w:t>
      </w:r>
      <w:r>
        <w:rPr/>
        <w:t>CO</w:t>
      </w:r>
      <w:r>
        <w:rPr>
          <w:position w:val="-6"/>
          <w:sz w:val="11"/>
        </w:rPr>
        <w:t>2</w:t>
      </w:r>
      <w:r>
        <w:rPr>
          <w:spacing w:val="9"/>
          <w:position w:val="-6"/>
          <w:sz w:val="11"/>
        </w:rPr>
        <w:t> </w:t>
      </w:r>
      <w:r>
        <w:rPr/>
        <w:t>capture</w:t>
      </w:r>
      <w:r>
        <w:rPr>
          <w:spacing w:val="-14"/>
        </w:rPr>
        <w:t> </w:t>
      </w:r>
      <w:r>
        <w:rPr/>
        <w:t>costs</w:t>
      </w:r>
      <w:r>
        <w:rPr>
          <w:spacing w:val="-13"/>
        </w:rPr>
        <w:t> </w:t>
      </w:r>
      <w:r>
        <w:rPr/>
        <w:t>by</w:t>
      </w:r>
      <w:r>
        <w:rPr>
          <w:spacing w:val="-14"/>
        </w:rPr>
        <w:t> </w:t>
      </w:r>
      <w:r>
        <w:rPr/>
        <w:t>at</w:t>
      </w:r>
      <w:r>
        <w:rPr>
          <w:spacing w:val="-14"/>
        </w:rPr>
        <w:t> </w:t>
      </w:r>
      <w:r>
        <w:rPr/>
        <w:t>least</w:t>
      </w:r>
      <w:r>
        <w:rPr>
          <w:spacing w:val="-13"/>
        </w:rPr>
        <w:t> </w:t>
      </w:r>
      <w:r>
        <w:rPr/>
        <w:t>20-30%</w:t>
      </w:r>
      <w:r>
        <w:rPr>
          <w:spacing w:val="-14"/>
        </w:rPr>
        <w:t> </w:t>
      </w:r>
      <w:r>
        <w:rPr/>
        <w:t>over</w:t>
      </w:r>
      <w:r>
        <w:rPr>
          <w:spacing w:val="-14"/>
        </w:rPr>
        <w:t> </w:t>
      </w:r>
      <w:r>
        <w:rPr/>
        <w:t>approximately the next decade, while new technologies under development promise more substantial cost reductions. Realization of future cost</w:t>
      </w:r>
      <w:r>
        <w:rPr>
          <w:spacing w:val="-10"/>
        </w:rPr>
        <w:t> </w:t>
      </w:r>
      <w:r>
        <w:rPr/>
        <w:t>reductions,</w:t>
      </w:r>
      <w:r>
        <w:rPr>
          <w:spacing w:val="-10"/>
        </w:rPr>
        <w:t> </w:t>
      </w:r>
      <w:r>
        <w:rPr/>
        <w:t>however,</w:t>
      </w:r>
      <w:r>
        <w:rPr>
          <w:spacing w:val="-9"/>
        </w:rPr>
        <w:t> </w:t>
      </w:r>
      <w:r>
        <w:rPr/>
        <w:t>will</w:t>
      </w:r>
      <w:r>
        <w:rPr>
          <w:spacing w:val="-10"/>
        </w:rPr>
        <w:t> </w:t>
      </w:r>
      <w:r>
        <w:rPr/>
        <w:t>require</w:t>
      </w:r>
      <w:r>
        <w:rPr>
          <w:spacing w:val="-9"/>
        </w:rPr>
        <w:t> </w:t>
      </w:r>
      <w:r>
        <w:rPr/>
        <w:t>deployment</w:t>
      </w:r>
      <w:r>
        <w:rPr>
          <w:spacing w:val="-10"/>
        </w:rPr>
        <w:t> </w:t>
      </w:r>
      <w:r>
        <w:rPr/>
        <w:t>and</w:t>
      </w:r>
      <w:r>
        <w:rPr>
          <w:spacing w:val="-9"/>
        </w:rPr>
        <w:t> </w:t>
      </w:r>
      <w:r>
        <w:rPr/>
        <w:t>adoption of commercial technologies in the marketplace as well as sustained</w:t>
      </w:r>
      <w:r>
        <w:rPr>
          <w:spacing w:val="-2"/>
        </w:rPr>
        <w:t> </w:t>
      </w:r>
      <w:r>
        <w:rPr/>
        <w:t>R&amp;D.</w:t>
      </w:r>
    </w:p>
    <w:p>
      <w:pPr>
        <w:spacing w:after="0" w:line="240" w:lineRule="exact"/>
        <w:jc w:val="both"/>
        <w:sectPr>
          <w:type w:val="continuous"/>
          <w:pgSz w:w="12240" w:h="15840"/>
          <w:pgMar w:top="480" w:bottom="280" w:left="620" w:right="0"/>
          <w:cols w:num="2" w:equalWidth="0">
            <w:col w:w="5559" w:space="40"/>
            <w:col w:w="6021"/>
          </w:cols>
        </w:sectPr>
      </w:pPr>
    </w:p>
    <w:p>
      <w:pPr>
        <w:pStyle w:val="BodyText"/>
        <w:spacing w:line="277" w:lineRule="exact" w:before="5"/>
        <w:ind w:left="513"/>
        <w:rPr>
          <w:sz w:val="11"/>
        </w:rPr>
      </w:pPr>
      <w:r>
        <w:rPr/>
        <w:t>systems can reduce CO</w:t>
      </w:r>
      <w:r>
        <w:rPr>
          <w:position w:val="-6"/>
          <w:sz w:val="11"/>
        </w:rPr>
        <w:t>2</w:t>
      </w:r>
    </w:p>
    <w:p>
      <w:pPr>
        <w:pStyle w:val="BodyText"/>
        <w:spacing w:before="5"/>
        <w:ind w:left="62"/>
      </w:pPr>
      <w:r>
        <w:rPr/>
        <w:br w:type="column"/>
      </w:r>
      <w:r>
        <w:rPr/>
        <w:t>emissions by 80-90% kWh</w:t>
      </w:r>
      <w:r>
        <w:rPr>
          <w:position w:val="7"/>
          <w:sz w:val="11"/>
        </w:rPr>
        <w:t>-1 </w:t>
      </w:r>
      <w:r>
        <w:rPr/>
        <w:t>(85-</w:t>
      </w:r>
    </w:p>
    <w:p>
      <w:pPr>
        <w:spacing w:after="0"/>
        <w:sectPr>
          <w:type w:val="continuous"/>
          <w:pgSz w:w="12240" w:h="15840"/>
          <w:pgMar w:top="480" w:bottom="280" w:left="620" w:right="0"/>
          <w:cols w:num="2" w:equalWidth="0">
            <w:col w:w="2602" w:space="40"/>
            <w:col w:w="8978"/>
          </w:cols>
        </w:sectPr>
      </w:pPr>
    </w:p>
    <w:p>
      <w:pPr>
        <w:pStyle w:val="BodyText"/>
        <w:spacing w:line="194" w:lineRule="exact"/>
        <w:ind w:left="513"/>
        <w:jc w:val="both"/>
      </w:pPr>
      <w:r>
        <w:rPr/>
        <w:t>95%  capture  efficiency).  Across  all  plant  types  the  cost</w:t>
      </w:r>
      <w:r>
        <w:rPr>
          <w:spacing w:val="1"/>
        </w:rPr>
        <w:t> </w:t>
      </w:r>
      <w:r>
        <w:rPr/>
        <w:t>of</w:t>
      </w:r>
    </w:p>
    <w:p>
      <w:pPr>
        <w:pStyle w:val="BodyText"/>
        <w:spacing w:line="249" w:lineRule="auto" w:before="10"/>
        <w:ind w:left="513" w:right="6060"/>
        <w:jc w:val="both"/>
      </w:pPr>
      <w:r>
        <w:rPr/>
        <w:t>electricity production (COE) increases by 12-36 US$ MWh</w:t>
      </w:r>
      <w:r>
        <w:rPr>
          <w:position w:val="7"/>
          <w:sz w:val="11"/>
        </w:rPr>
        <w:t>-1 </w:t>
      </w:r>
      <w:r>
        <w:rPr/>
        <w:t>(US$ 0.012-0.036 kWh</w:t>
      </w:r>
      <w:r>
        <w:rPr>
          <w:position w:val="7"/>
          <w:sz w:val="11"/>
        </w:rPr>
        <w:t>-1</w:t>
      </w:r>
      <w:r>
        <w:rPr/>
        <w:t>) over a similar type of plant without capture, corresponding to a 40-85% increase for a supercritical pulverized coal (PC) plant, 35-70% for a natural gas combined cycle (NGCC) plant and 20-55% for an integrated </w:t>
      </w:r>
      <w:r>
        <w:rPr>
          <w:spacing w:val="13"/>
        </w:rPr>
        <w:t> </w:t>
      </w:r>
      <w:r>
        <w:rPr>
          <w:spacing w:val="-2"/>
        </w:rPr>
        <w:t>gasification</w:t>
      </w:r>
    </w:p>
    <w:p>
      <w:pPr>
        <w:spacing w:after="0" w:line="249" w:lineRule="auto"/>
        <w:jc w:val="both"/>
        <w:sectPr>
          <w:type w:val="continuous"/>
          <w:pgSz w:w="12240" w:h="15840"/>
          <w:pgMar w:top="480" w:bottom="280" w:left="620" w:right="0"/>
        </w:sectPr>
      </w:pPr>
    </w:p>
    <w:p>
      <w:pPr>
        <w:pStyle w:val="BodyText"/>
      </w:pPr>
    </w:p>
    <w:p>
      <w:pPr>
        <w:pStyle w:val="BodyText"/>
        <w:spacing w:before="8"/>
        <w:rPr>
          <w:sz w:val="25"/>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69"/>
      </w:tblGrid>
      <w:tr>
        <w:trPr>
          <w:trHeight w:val="5581" w:hRule="atLeast"/>
        </w:trPr>
        <w:tc>
          <w:tcPr>
            <w:tcW w:w="10369" w:type="dxa"/>
          </w:tcPr>
          <w:p>
            <w:pPr>
              <w:pStyle w:val="TableParagraph"/>
              <w:spacing w:before="1"/>
              <w:jc w:val="left"/>
              <w:rPr>
                <w:sz w:val="19"/>
              </w:rPr>
            </w:pPr>
          </w:p>
          <w:p>
            <w:pPr>
              <w:pStyle w:val="TableParagraph"/>
              <w:ind w:left="914"/>
              <w:jc w:val="left"/>
              <w:rPr>
                <w:sz w:val="20"/>
              </w:rPr>
            </w:pPr>
            <w:r>
              <w:rPr>
                <w:sz w:val="20"/>
              </w:rPr>
              <w:drawing>
                <wp:inline distT="0" distB="0" distL="0" distR="0">
                  <wp:extent cx="5422397" cy="3264408"/>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5422397" cy="3264408"/>
                          </a:xfrm>
                          <a:prstGeom prst="rect">
                            <a:avLst/>
                          </a:prstGeom>
                        </pic:spPr>
                      </pic:pic>
                    </a:graphicData>
                  </a:graphic>
                </wp:inline>
              </w:drawing>
            </w:r>
            <w:r>
              <w:rPr>
                <w:sz w:val="20"/>
              </w:rPr>
            </w:r>
          </w:p>
        </w:tc>
      </w:tr>
    </w:tbl>
    <w:p>
      <w:pPr>
        <w:pStyle w:val="BodyText"/>
        <w:spacing w:before="2"/>
        <w:rPr>
          <w:sz w:val="6"/>
        </w:rPr>
      </w:pPr>
    </w:p>
    <w:p>
      <w:pPr>
        <w:spacing w:after="0"/>
        <w:rPr>
          <w:sz w:val="6"/>
        </w:rPr>
        <w:sectPr>
          <w:pgSz w:w="12240" w:h="15840"/>
          <w:pgMar w:header="567" w:footer="0" w:top="760" w:bottom="280" w:left="620" w:right="0"/>
        </w:sectPr>
      </w:pPr>
    </w:p>
    <w:p>
      <w:pPr>
        <w:spacing w:before="67"/>
        <w:ind w:left="117" w:right="0" w:firstLine="0"/>
        <w:jc w:val="both"/>
        <w:rPr>
          <w:sz w:val="18"/>
        </w:rPr>
      </w:pPr>
      <w:bookmarkStart w:name="3.1 introduction" w:id="5"/>
      <w:bookmarkEnd w:id="5"/>
      <w:r>
        <w:rPr/>
      </w:r>
      <w:bookmarkStart w:name="3.1.1 The basis for CO2 capture" w:id="6"/>
      <w:bookmarkEnd w:id="6"/>
      <w:r>
        <w:rPr/>
      </w:r>
      <w:bookmarkStart w:name="3.1.2 CO2 capture systems" w:id="7"/>
      <w:bookmarkEnd w:id="7"/>
      <w:r>
        <w:rPr/>
      </w:r>
      <w:bookmarkStart w:name="_bookmark1" w:id="8"/>
      <w:bookmarkEnd w:id="8"/>
      <w:r>
        <w:rPr/>
      </w:r>
      <w:r>
        <w:rPr>
          <w:b/>
          <w:sz w:val="18"/>
        </w:rPr>
        <w:t>Figure 3.1 </w:t>
      </w:r>
      <w:r>
        <w:rPr>
          <w:sz w:val="18"/>
        </w:rPr>
        <w:t>CO</w:t>
      </w:r>
      <w:r>
        <w:rPr>
          <w:position w:val="-5"/>
          <w:sz w:val="10"/>
        </w:rPr>
        <w:t>2 </w:t>
      </w:r>
      <w:r>
        <w:rPr>
          <w:sz w:val="18"/>
        </w:rPr>
        <w:t>capture systems (adapted from BP).</w:t>
      </w:r>
    </w:p>
    <w:p>
      <w:pPr>
        <w:pStyle w:val="BodyText"/>
        <w:spacing w:before="4"/>
        <w:rPr>
          <w:sz w:val="18"/>
        </w:rPr>
      </w:pPr>
    </w:p>
    <w:p>
      <w:pPr>
        <w:pStyle w:val="Heading1"/>
        <w:numPr>
          <w:ilvl w:val="1"/>
          <w:numId w:val="2"/>
        </w:numPr>
        <w:tabs>
          <w:tab w:pos="936" w:val="left" w:leader="none"/>
          <w:tab w:pos="937" w:val="left" w:leader="none"/>
        </w:tabs>
        <w:spacing w:line="240" w:lineRule="auto" w:before="0" w:after="0"/>
        <w:ind w:left="937" w:right="0" w:hanging="820"/>
        <w:jc w:val="left"/>
      </w:pPr>
      <w:r>
        <w:rPr>
          <w:w w:val="105"/>
        </w:rPr>
        <w:t>introduction</w:t>
      </w:r>
    </w:p>
    <w:p>
      <w:pPr>
        <w:pStyle w:val="BodyText"/>
        <w:spacing w:before="9"/>
        <w:rPr>
          <w:b/>
          <w:sz w:val="21"/>
        </w:rPr>
      </w:pPr>
    </w:p>
    <w:p>
      <w:pPr>
        <w:pStyle w:val="Heading2"/>
        <w:numPr>
          <w:ilvl w:val="2"/>
          <w:numId w:val="2"/>
        </w:numPr>
        <w:tabs>
          <w:tab w:pos="936" w:val="left" w:leader="none"/>
          <w:tab w:pos="937" w:val="left" w:leader="none"/>
        </w:tabs>
        <w:spacing w:line="240" w:lineRule="auto" w:before="0" w:after="0"/>
        <w:ind w:left="937" w:right="0" w:hanging="820"/>
        <w:jc w:val="left"/>
        <w:rPr>
          <w:i/>
        </w:rPr>
      </w:pPr>
      <w:r>
        <w:rPr>
          <w:i/>
        </w:rPr>
        <w:t>The basis for CO</w:t>
      </w:r>
      <w:r>
        <w:rPr>
          <w:i/>
          <w:position w:val="-6"/>
          <w:sz w:val="11"/>
        </w:rPr>
        <w:t>2</w:t>
      </w:r>
      <w:r>
        <w:rPr>
          <w:i/>
          <w:spacing w:val="22"/>
          <w:position w:val="-6"/>
          <w:sz w:val="11"/>
        </w:rPr>
        <w:t> </w:t>
      </w:r>
      <w:r>
        <w:rPr>
          <w:i/>
        </w:rPr>
        <w:t>capture</w:t>
      </w:r>
    </w:p>
    <w:p>
      <w:pPr>
        <w:pStyle w:val="BodyText"/>
        <w:spacing w:line="240" w:lineRule="exact" w:before="194"/>
        <w:ind w:left="117" w:right="38"/>
        <w:jc w:val="both"/>
      </w:pPr>
      <w:r>
        <w:rPr/>
        <w:t>The main application of CO</w:t>
      </w:r>
      <w:r>
        <w:rPr>
          <w:position w:val="-6"/>
          <w:sz w:val="11"/>
        </w:rPr>
        <w:t>2 </w:t>
      </w:r>
      <w:r>
        <w:rPr/>
        <w:t>capture is likely to be at large point sources: fossil fuel power plants, fuel processing plants and other industrial plants, particularly for the manufacture of iron, steel, cement and bulk chemicals, as discussed in Chapter 2.</w:t>
      </w:r>
    </w:p>
    <w:p>
      <w:pPr>
        <w:pStyle w:val="BodyText"/>
        <w:spacing w:line="240" w:lineRule="exact"/>
        <w:ind w:left="117" w:right="38" w:firstLine="284"/>
        <w:jc w:val="both"/>
      </w:pPr>
      <w:r>
        <w:rPr/>
        <w:t>Capturing</w:t>
      </w:r>
      <w:r>
        <w:rPr>
          <w:spacing w:val="-13"/>
        </w:rPr>
        <w:t> </w:t>
      </w:r>
      <w:r>
        <w:rPr/>
        <w:t>CO</w:t>
      </w:r>
      <w:r>
        <w:rPr>
          <w:position w:val="-6"/>
          <w:sz w:val="11"/>
        </w:rPr>
        <w:t>2</w:t>
      </w:r>
      <w:r>
        <w:rPr>
          <w:spacing w:val="9"/>
          <w:position w:val="-6"/>
          <w:sz w:val="11"/>
        </w:rPr>
        <w:t> </w:t>
      </w:r>
      <w:r>
        <w:rPr/>
        <w:t>directly</w:t>
      </w:r>
      <w:r>
        <w:rPr>
          <w:spacing w:val="-13"/>
        </w:rPr>
        <w:t> </w:t>
      </w:r>
      <w:r>
        <w:rPr/>
        <w:t>from</w:t>
      </w:r>
      <w:r>
        <w:rPr>
          <w:spacing w:val="-12"/>
        </w:rPr>
        <w:t> </w:t>
      </w:r>
      <w:r>
        <w:rPr/>
        <w:t>small</w:t>
      </w:r>
      <w:r>
        <w:rPr>
          <w:spacing w:val="-13"/>
        </w:rPr>
        <w:t> </w:t>
      </w:r>
      <w:r>
        <w:rPr/>
        <w:t>and</w:t>
      </w:r>
      <w:r>
        <w:rPr>
          <w:spacing w:val="-13"/>
        </w:rPr>
        <w:t> </w:t>
      </w:r>
      <w:r>
        <w:rPr/>
        <w:t>mobile</w:t>
      </w:r>
      <w:r>
        <w:rPr>
          <w:spacing w:val="-13"/>
        </w:rPr>
        <w:t> </w:t>
      </w:r>
      <w:r>
        <w:rPr/>
        <w:t>sources</w:t>
      </w:r>
      <w:r>
        <w:rPr>
          <w:spacing w:val="-12"/>
        </w:rPr>
        <w:t> </w:t>
      </w:r>
      <w:r>
        <w:rPr/>
        <w:t>in</w:t>
      </w:r>
      <w:r>
        <w:rPr>
          <w:spacing w:val="-13"/>
        </w:rPr>
        <w:t> </w:t>
      </w:r>
      <w:r>
        <w:rPr/>
        <w:t>the transportation and residential &amp; commercial building sectors is expected</w:t>
      </w:r>
      <w:r>
        <w:rPr>
          <w:spacing w:val="-21"/>
        </w:rPr>
        <w:t> </w:t>
      </w:r>
      <w:r>
        <w:rPr/>
        <w:t>to</w:t>
      </w:r>
      <w:r>
        <w:rPr>
          <w:spacing w:val="-20"/>
        </w:rPr>
        <w:t> </w:t>
      </w:r>
      <w:r>
        <w:rPr/>
        <w:t>be</w:t>
      </w:r>
      <w:r>
        <w:rPr>
          <w:spacing w:val="-20"/>
        </w:rPr>
        <w:t> </w:t>
      </w:r>
      <w:r>
        <w:rPr/>
        <w:t>more</w:t>
      </w:r>
      <w:r>
        <w:rPr>
          <w:spacing w:val="-20"/>
        </w:rPr>
        <w:t> </w:t>
      </w:r>
      <w:r>
        <w:rPr/>
        <w:t>difficult</w:t>
      </w:r>
      <w:r>
        <w:rPr>
          <w:spacing w:val="-20"/>
        </w:rPr>
        <w:t> </w:t>
      </w:r>
      <w:r>
        <w:rPr/>
        <w:t>and</w:t>
      </w:r>
      <w:r>
        <w:rPr>
          <w:spacing w:val="-20"/>
        </w:rPr>
        <w:t> </w:t>
      </w:r>
      <w:r>
        <w:rPr/>
        <w:t>expensive</w:t>
      </w:r>
      <w:r>
        <w:rPr>
          <w:spacing w:val="-20"/>
        </w:rPr>
        <w:t> </w:t>
      </w:r>
      <w:r>
        <w:rPr/>
        <w:t>than</w:t>
      </w:r>
      <w:r>
        <w:rPr>
          <w:spacing w:val="-20"/>
        </w:rPr>
        <w:t> </w:t>
      </w:r>
      <w:r>
        <w:rPr/>
        <w:t>from</w:t>
      </w:r>
      <w:r>
        <w:rPr>
          <w:spacing w:val="-20"/>
        </w:rPr>
        <w:t> </w:t>
      </w:r>
      <w:r>
        <w:rPr/>
        <w:t>large</w:t>
      </w:r>
      <w:r>
        <w:rPr>
          <w:spacing w:val="-20"/>
        </w:rPr>
        <w:t> </w:t>
      </w:r>
      <w:r>
        <w:rPr>
          <w:spacing w:val="-3"/>
        </w:rPr>
        <w:t>point </w:t>
      </w:r>
      <w:r>
        <w:rPr/>
        <w:t>sources. Small-scale capture is therefore not further discussed in this chapter. An alternative way of avoiding emissions of CO</w:t>
      </w:r>
      <w:r>
        <w:rPr>
          <w:position w:val="-6"/>
          <w:sz w:val="11"/>
        </w:rPr>
        <w:t>2</w:t>
      </w:r>
      <w:r>
        <w:rPr>
          <w:spacing w:val="14"/>
          <w:position w:val="-6"/>
          <w:sz w:val="11"/>
        </w:rPr>
        <w:t> </w:t>
      </w:r>
      <w:r>
        <w:rPr/>
        <w:t>from</w:t>
      </w:r>
      <w:r>
        <w:rPr>
          <w:spacing w:val="-9"/>
        </w:rPr>
        <w:t> </w:t>
      </w:r>
      <w:r>
        <w:rPr/>
        <w:t>these</w:t>
      </w:r>
      <w:r>
        <w:rPr>
          <w:spacing w:val="-8"/>
        </w:rPr>
        <w:t> </w:t>
      </w:r>
      <w:r>
        <w:rPr/>
        <w:t>sources</w:t>
      </w:r>
      <w:r>
        <w:rPr>
          <w:spacing w:val="-8"/>
        </w:rPr>
        <w:t> </w:t>
      </w:r>
      <w:r>
        <w:rPr/>
        <w:t>would</w:t>
      </w:r>
      <w:r>
        <w:rPr>
          <w:spacing w:val="-8"/>
        </w:rPr>
        <w:t> </w:t>
      </w:r>
      <w:r>
        <w:rPr/>
        <w:t>be</w:t>
      </w:r>
      <w:r>
        <w:rPr>
          <w:spacing w:val="-9"/>
        </w:rPr>
        <w:t> </w:t>
      </w:r>
      <w:r>
        <w:rPr/>
        <w:t>by</w:t>
      </w:r>
      <w:r>
        <w:rPr>
          <w:spacing w:val="-8"/>
        </w:rPr>
        <w:t> </w:t>
      </w:r>
      <w:r>
        <w:rPr/>
        <w:t>use</w:t>
      </w:r>
      <w:r>
        <w:rPr>
          <w:spacing w:val="-8"/>
        </w:rPr>
        <w:t> </w:t>
      </w:r>
      <w:r>
        <w:rPr/>
        <w:t>of</w:t>
      </w:r>
      <w:r>
        <w:rPr>
          <w:spacing w:val="-9"/>
        </w:rPr>
        <w:t> </w:t>
      </w:r>
      <w:r>
        <w:rPr/>
        <w:t>energy</w:t>
      </w:r>
      <w:r>
        <w:rPr>
          <w:spacing w:val="-8"/>
        </w:rPr>
        <w:t> </w:t>
      </w:r>
      <w:r>
        <w:rPr/>
        <w:t>carriers</w:t>
      </w:r>
      <w:r>
        <w:rPr>
          <w:spacing w:val="-8"/>
        </w:rPr>
        <w:t> </w:t>
      </w:r>
      <w:r>
        <w:rPr/>
        <w:t>such as hydrogen or electricity produced in large fossil fuel-based plants with CO</w:t>
      </w:r>
      <w:r>
        <w:rPr>
          <w:position w:val="-6"/>
          <w:sz w:val="11"/>
        </w:rPr>
        <w:t>2 </w:t>
      </w:r>
      <w:r>
        <w:rPr/>
        <w:t>capture or by using renewable energy sources. Production of hydrogen with CO</w:t>
      </w:r>
      <w:r>
        <w:rPr>
          <w:position w:val="-6"/>
          <w:sz w:val="11"/>
        </w:rPr>
        <w:t>2 </w:t>
      </w:r>
      <w:r>
        <w:rPr/>
        <w:t>capture is included in this chapter.</w:t>
      </w:r>
    </w:p>
    <w:p>
      <w:pPr>
        <w:pStyle w:val="BodyText"/>
        <w:spacing w:line="240" w:lineRule="exact"/>
        <w:ind w:left="117" w:right="38" w:firstLine="284"/>
        <w:jc w:val="both"/>
      </w:pPr>
      <w:r>
        <w:rPr/>
        <w:t>The possibility of CO</w:t>
      </w:r>
      <w:r>
        <w:rPr>
          <w:position w:val="-6"/>
          <w:sz w:val="11"/>
        </w:rPr>
        <w:t>2 </w:t>
      </w:r>
      <w:r>
        <w:rPr/>
        <w:t>capture from ambient air </w:t>
      </w:r>
      <w:r>
        <w:rPr>
          <w:spacing w:val="-3"/>
        </w:rPr>
        <w:t>(Lackner, </w:t>
      </w:r>
      <w:r>
        <w:rPr/>
        <w:t>2003) is not discussed in this chapter because the </w:t>
      </w:r>
      <w:r>
        <w:rPr>
          <w:spacing w:val="-5"/>
        </w:rPr>
        <w:t>CO</w:t>
      </w:r>
      <w:r>
        <w:rPr>
          <w:spacing w:val="-5"/>
          <w:position w:val="-6"/>
          <w:sz w:val="11"/>
        </w:rPr>
        <w:t>2 </w:t>
      </w:r>
      <w:r>
        <w:rPr/>
        <w:t>concentration in ambient air  is  around  380  ppm,  a  factor  of 100 or more lower than in flue gas. Capturing CO</w:t>
      </w:r>
      <w:r>
        <w:rPr>
          <w:position w:val="-6"/>
          <w:sz w:val="11"/>
        </w:rPr>
        <w:t>2  </w:t>
      </w:r>
      <w:r>
        <w:rPr/>
        <w:t>from   air by the growth of biomass and its use in industrial plants with CO</w:t>
      </w:r>
      <w:r>
        <w:rPr>
          <w:position w:val="-6"/>
          <w:sz w:val="11"/>
        </w:rPr>
        <w:t>2 </w:t>
      </w:r>
      <w:r>
        <w:rPr/>
        <w:t>capture is more cost-effective based on foreseeable technologies, and is included in this</w:t>
      </w:r>
      <w:r>
        <w:rPr>
          <w:spacing w:val="-2"/>
        </w:rPr>
        <w:t> </w:t>
      </w:r>
      <w:r>
        <w:rPr/>
        <w:t>chapter.</w:t>
      </w:r>
    </w:p>
    <w:p>
      <w:pPr>
        <w:pStyle w:val="BodyText"/>
        <w:spacing w:line="249" w:lineRule="auto" w:before="5"/>
        <w:ind w:left="117" w:right="38" w:firstLine="284"/>
        <w:jc w:val="both"/>
      </w:pPr>
      <w:r>
        <w:rPr/>
        <w:t>In</w:t>
      </w:r>
      <w:r>
        <w:rPr>
          <w:spacing w:val="-9"/>
        </w:rPr>
        <w:t> </w:t>
      </w:r>
      <w:r>
        <w:rPr/>
        <w:t>an</w:t>
      </w:r>
      <w:r>
        <w:rPr>
          <w:spacing w:val="-9"/>
        </w:rPr>
        <w:t> </w:t>
      </w:r>
      <w:r>
        <w:rPr/>
        <w:t>analysis</w:t>
      </w:r>
      <w:r>
        <w:rPr>
          <w:spacing w:val="-9"/>
        </w:rPr>
        <w:t> </w:t>
      </w:r>
      <w:r>
        <w:rPr/>
        <w:t>of</w:t>
      </w:r>
      <w:r>
        <w:rPr>
          <w:spacing w:val="-9"/>
        </w:rPr>
        <w:t> </w:t>
      </w:r>
      <w:r>
        <w:rPr/>
        <w:t>possible</w:t>
      </w:r>
      <w:r>
        <w:rPr>
          <w:spacing w:val="-9"/>
        </w:rPr>
        <w:t> </w:t>
      </w:r>
      <w:r>
        <w:rPr/>
        <w:t>future</w:t>
      </w:r>
      <w:r>
        <w:rPr>
          <w:spacing w:val="-9"/>
        </w:rPr>
        <w:t> </w:t>
      </w:r>
      <w:r>
        <w:rPr/>
        <w:t>scenarios</w:t>
      </w:r>
      <w:r>
        <w:rPr>
          <w:spacing w:val="-9"/>
        </w:rPr>
        <w:t> </w:t>
      </w:r>
      <w:r>
        <w:rPr/>
        <w:t>for</w:t>
      </w:r>
      <w:r>
        <w:rPr>
          <w:spacing w:val="-9"/>
        </w:rPr>
        <w:t> </w:t>
      </w:r>
      <w:r>
        <w:rPr/>
        <w:t>anthropogenic greenhouse-gas emissions it is implicit that technological innovations will be one of the key factors which determines our future path (Section 2.5.3). Therefore this chapter deals</w:t>
      </w:r>
      <w:r>
        <w:rPr>
          <w:spacing w:val="-13"/>
        </w:rPr>
        <w:t> </w:t>
      </w:r>
      <w:r>
        <w:rPr>
          <w:spacing w:val="-5"/>
        </w:rPr>
        <w:t>not</w:t>
      </w:r>
    </w:p>
    <w:p>
      <w:pPr>
        <w:pStyle w:val="BodyText"/>
        <w:rPr>
          <w:sz w:val="24"/>
        </w:rPr>
      </w:pPr>
      <w:r>
        <w:rPr/>
        <w:br w:type="column"/>
      </w:r>
      <w:r>
        <w:rPr>
          <w:sz w:val="24"/>
        </w:rPr>
      </w:r>
    </w:p>
    <w:p>
      <w:pPr>
        <w:pStyle w:val="BodyText"/>
        <w:spacing w:before="7"/>
        <w:rPr>
          <w:sz w:val="22"/>
        </w:rPr>
      </w:pPr>
    </w:p>
    <w:p>
      <w:pPr>
        <w:pStyle w:val="BodyText"/>
        <w:spacing w:line="225" w:lineRule="auto"/>
        <w:ind w:left="117" w:right="1131"/>
        <w:jc w:val="both"/>
      </w:pPr>
      <w:r>
        <w:rPr/>
        <w:t>only with application of existing technology for CO</w:t>
      </w:r>
      <w:r>
        <w:rPr>
          <w:position w:val="-6"/>
          <w:sz w:val="11"/>
        </w:rPr>
        <w:t>2 </w:t>
      </w:r>
      <w:r>
        <w:rPr/>
        <w:t>capture, but describes many new processes under development which may result in lower CO</w:t>
      </w:r>
      <w:r>
        <w:rPr>
          <w:position w:val="-6"/>
          <w:sz w:val="11"/>
        </w:rPr>
        <w:t>2 </w:t>
      </w:r>
      <w:r>
        <w:rPr/>
        <w:t>capture costs in future.</w:t>
      </w:r>
    </w:p>
    <w:p>
      <w:pPr>
        <w:pStyle w:val="Heading2"/>
        <w:numPr>
          <w:ilvl w:val="2"/>
          <w:numId w:val="2"/>
        </w:numPr>
        <w:tabs>
          <w:tab w:pos="825" w:val="left" w:leader="none"/>
          <w:tab w:pos="826" w:val="left" w:leader="none"/>
        </w:tabs>
        <w:spacing w:line="240" w:lineRule="auto" w:before="203" w:after="0"/>
        <w:ind w:left="826" w:right="0" w:hanging="709"/>
        <w:jc w:val="left"/>
        <w:rPr>
          <w:i/>
        </w:rPr>
      </w:pPr>
      <w:r>
        <w:rPr>
          <w:i/>
        </w:rPr>
        <w:t>CO</w:t>
      </w:r>
      <w:r>
        <w:rPr>
          <w:i/>
          <w:position w:val="-6"/>
          <w:sz w:val="11"/>
        </w:rPr>
        <w:t>2 </w:t>
      </w:r>
      <w:r>
        <w:rPr>
          <w:i/>
        </w:rPr>
        <w:t>capture</w:t>
      </w:r>
      <w:r>
        <w:rPr>
          <w:i/>
          <w:spacing w:val="-6"/>
        </w:rPr>
        <w:t> </w:t>
      </w:r>
      <w:r>
        <w:rPr>
          <w:i/>
        </w:rPr>
        <w:t>systems</w:t>
      </w:r>
    </w:p>
    <w:p>
      <w:pPr>
        <w:pStyle w:val="BodyText"/>
        <w:spacing w:before="11"/>
        <w:rPr>
          <w:b/>
          <w:i/>
          <w:sz w:val="18"/>
        </w:rPr>
      </w:pPr>
    </w:p>
    <w:p>
      <w:pPr>
        <w:pStyle w:val="BodyText"/>
        <w:spacing w:line="206" w:lineRule="auto"/>
        <w:ind w:left="117" w:right="1129"/>
      </w:pPr>
      <w:r>
        <w:rPr/>
        <w:t>There are four basic systems for capturing CO</w:t>
      </w:r>
      <w:r>
        <w:rPr>
          <w:position w:val="-6"/>
          <w:sz w:val="11"/>
        </w:rPr>
        <w:t>2 </w:t>
      </w:r>
      <w:r>
        <w:rPr/>
        <w:t>from use of fossil fuels and/or biomass:</w:t>
      </w:r>
    </w:p>
    <w:p>
      <w:pPr>
        <w:pStyle w:val="ListParagraph"/>
        <w:numPr>
          <w:ilvl w:val="0"/>
          <w:numId w:val="3"/>
        </w:numPr>
        <w:tabs>
          <w:tab w:pos="400" w:val="left" w:leader="none"/>
          <w:tab w:pos="401" w:val="left" w:leader="none"/>
        </w:tabs>
        <w:spacing w:line="249" w:lineRule="auto" w:before="15" w:after="0"/>
        <w:ind w:left="400" w:right="1614" w:hanging="284"/>
        <w:jc w:val="left"/>
        <w:rPr>
          <w:sz w:val="20"/>
        </w:rPr>
      </w:pPr>
      <w:r>
        <w:rPr>
          <w:sz w:val="20"/>
        </w:rPr>
        <w:t>Capture from industrial process streams (described in Section</w:t>
      </w:r>
      <w:r>
        <w:rPr>
          <w:spacing w:val="-2"/>
          <w:sz w:val="20"/>
        </w:rPr>
        <w:t> </w:t>
      </w:r>
      <w:r>
        <w:rPr>
          <w:sz w:val="20"/>
        </w:rPr>
        <w:t>3.2);</w:t>
      </w:r>
    </w:p>
    <w:p>
      <w:pPr>
        <w:pStyle w:val="ListParagraph"/>
        <w:numPr>
          <w:ilvl w:val="0"/>
          <w:numId w:val="3"/>
        </w:numPr>
        <w:tabs>
          <w:tab w:pos="400" w:val="left" w:leader="none"/>
          <w:tab w:pos="401" w:val="left" w:leader="none"/>
        </w:tabs>
        <w:spacing w:line="240" w:lineRule="auto" w:before="2" w:after="0"/>
        <w:ind w:left="400" w:right="0" w:hanging="284"/>
        <w:jc w:val="left"/>
        <w:rPr>
          <w:sz w:val="20"/>
        </w:rPr>
      </w:pPr>
      <w:r>
        <w:rPr>
          <w:sz w:val="20"/>
        </w:rPr>
        <w:t>Post-combustion capture (described in Section</w:t>
      </w:r>
      <w:r>
        <w:rPr>
          <w:spacing w:val="-5"/>
          <w:sz w:val="20"/>
        </w:rPr>
        <w:t> </w:t>
      </w:r>
      <w:r>
        <w:rPr>
          <w:sz w:val="20"/>
        </w:rPr>
        <w:t>3.3);</w:t>
      </w:r>
    </w:p>
    <w:p>
      <w:pPr>
        <w:pStyle w:val="ListParagraph"/>
        <w:numPr>
          <w:ilvl w:val="0"/>
          <w:numId w:val="3"/>
        </w:numPr>
        <w:tabs>
          <w:tab w:pos="400" w:val="left" w:leader="none"/>
          <w:tab w:pos="401" w:val="left" w:leader="none"/>
        </w:tabs>
        <w:spacing w:line="240" w:lineRule="auto" w:before="10" w:after="0"/>
        <w:ind w:left="400" w:right="0" w:hanging="284"/>
        <w:jc w:val="left"/>
        <w:rPr>
          <w:sz w:val="20"/>
        </w:rPr>
      </w:pPr>
      <w:r>
        <w:rPr>
          <w:sz w:val="20"/>
        </w:rPr>
        <w:t>Oxy-fuel combustion capture (described in Section</w:t>
      </w:r>
      <w:r>
        <w:rPr>
          <w:spacing w:val="-5"/>
          <w:sz w:val="20"/>
        </w:rPr>
        <w:t> </w:t>
      </w:r>
      <w:r>
        <w:rPr>
          <w:sz w:val="20"/>
        </w:rPr>
        <w:t>3.4);</w:t>
      </w:r>
    </w:p>
    <w:p>
      <w:pPr>
        <w:pStyle w:val="ListParagraph"/>
        <w:numPr>
          <w:ilvl w:val="0"/>
          <w:numId w:val="3"/>
        </w:numPr>
        <w:tabs>
          <w:tab w:pos="400" w:val="left" w:leader="none"/>
          <w:tab w:pos="401" w:val="left" w:leader="none"/>
        </w:tabs>
        <w:spacing w:line="240" w:lineRule="auto" w:before="10" w:after="0"/>
        <w:ind w:left="400" w:right="0" w:hanging="284"/>
        <w:jc w:val="left"/>
        <w:rPr>
          <w:sz w:val="20"/>
        </w:rPr>
      </w:pPr>
      <w:r>
        <w:rPr>
          <w:sz w:val="20"/>
        </w:rPr>
        <w:t>Pre-combustion capture (described in Section</w:t>
      </w:r>
      <w:r>
        <w:rPr>
          <w:spacing w:val="-5"/>
          <w:sz w:val="20"/>
        </w:rPr>
        <w:t> </w:t>
      </w:r>
      <w:r>
        <w:rPr>
          <w:sz w:val="20"/>
        </w:rPr>
        <w:t>3.5).</w:t>
      </w:r>
    </w:p>
    <w:p>
      <w:pPr>
        <w:pStyle w:val="BodyText"/>
        <w:spacing w:before="8"/>
        <w:rPr>
          <w:sz w:val="21"/>
        </w:rPr>
      </w:pPr>
    </w:p>
    <w:p>
      <w:pPr>
        <w:pStyle w:val="BodyText"/>
        <w:ind w:left="117"/>
      </w:pPr>
      <w:r>
        <w:rPr/>
        <w:t>These systems are shown in simplified form in Figure 3.1.</w:t>
      </w:r>
    </w:p>
    <w:p>
      <w:pPr>
        <w:pStyle w:val="BodyText"/>
        <w:spacing w:before="9"/>
        <w:rPr>
          <w:sz w:val="21"/>
        </w:rPr>
      </w:pPr>
    </w:p>
    <w:p>
      <w:pPr>
        <w:pStyle w:val="ListParagraph"/>
        <w:numPr>
          <w:ilvl w:val="3"/>
          <w:numId w:val="2"/>
        </w:numPr>
        <w:tabs>
          <w:tab w:pos="969" w:val="left" w:leader="none"/>
        </w:tabs>
        <w:spacing w:line="240" w:lineRule="auto" w:before="0" w:after="0"/>
        <w:ind w:left="968" w:right="0" w:hanging="852"/>
        <w:jc w:val="both"/>
        <w:rPr>
          <w:i/>
          <w:sz w:val="20"/>
        </w:rPr>
      </w:pPr>
      <w:r>
        <w:rPr>
          <w:i/>
          <w:sz w:val="20"/>
        </w:rPr>
        <w:t>Capture from industrial process</w:t>
      </w:r>
      <w:r>
        <w:rPr>
          <w:i/>
          <w:spacing w:val="-34"/>
          <w:sz w:val="20"/>
        </w:rPr>
        <w:t> </w:t>
      </w:r>
      <w:r>
        <w:rPr>
          <w:i/>
          <w:sz w:val="20"/>
        </w:rPr>
        <w:t>streams</w:t>
      </w:r>
    </w:p>
    <w:p>
      <w:pPr>
        <w:pStyle w:val="BodyText"/>
        <w:spacing w:line="240" w:lineRule="exact" w:before="4"/>
        <w:ind w:left="117" w:right="1130"/>
        <w:jc w:val="both"/>
      </w:pPr>
      <w:r>
        <w:rPr/>
        <w:t>CO</w:t>
      </w:r>
      <w:r>
        <w:rPr>
          <w:position w:val="-6"/>
          <w:sz w:val="11"/>
        </w:rPr>
        <w:t>2 </w:t>
      </w:r>
      <w:r>
        <w:rPr/>
        <w:t>has been captured from  industrial  process  streams  for 80 years (Kohl and Nielsen, 1997), although most of the CO</w:t>
      </w:r>
      <w:r>
        <w:rPr>
          <w:position w:val="-6"/>
          <w:sz w:val="11"/>
        </w:rPr>
        <w:t>2 </w:t>
      </w:r>
      <w:r>
        <w:rPr/>
        <w:t>that is captured is vented to the atmosphere because there is  no incentive or requirement to store it. Current examples of CO</w:t>
      </w:r>
      <w:r>
        <w:rPr>
          <w:position w:val="-6"/>
          <w:sz w:val="11"/>
        </w:rPr>
        <w:t>2 </w:t>
      </w:r>
      <w:r>
        <w:rPr/>
        <w:t>capture from process streams are purification of natural gas and production of hydrogen-containing synthesis gas for the manufacture of ammonia, alcohols and synthetic</w:t>
      </w:r>
      <w:r>
        <w:rPr>
          <w:spacing w:val="34"/>
        </w:rPr>
        <w:t> </w:t>
      </w:r>
      <w:r>
        <w:rPr/>
        <w:t>liquid fuels. Most of the techniques employed for CO</w:t>
      </w:r>
      <w:r>
        <w:rPr>
          <w:position w:val="-6"/>
          <w:sz w:val="11"/>
        </w:rPr>
        <w:t>2  </w:t>
      </w:r>
      <w:r>
        <w:rPr/>
        <w:t>capture in   the examples mentioned are also similar to those used in pre- combustion capture. Other industrial process streams which are a source of CO</w:t>
      </w:r>
      <w:r>
        <w:rPr>
          <w:position w:val="-6"/>
          <w:sz w:val="11"/>
        </w:rPr>
        <w:t>2 </w:t>
      </w:r>
      <w:r>
        <w:rPr/>
        <w:t>that is not captured include cement and steel production, and fermentation processes for food and</w:t>
      </w:r>
      <w:r>
        <w:rPr>
          <w:spacing w:val="-36"/>
        </w:rPr>
        <w:t> </w:t>
      </w:r>
      <w:r>
        <w:rPr/>
        <w:t>drink production.</w:t>
      </w:r>
      <w:r>
        <w:rPr>
          <w:spacing w:val="27"/>
        </w:rPr>
        <w:t> </w:t>
      </w:r>
      <w:r>
        <w:rPr/>
        <w:t>CO</w:t>
      </w:r>
      <w:r>
        <w:rPr>
          <w:position w:val="-6"/>
          <w:sz w:val="11"/>
        </w:rPr>
        <w:t>2 </w:t>
      </w:r>
      <w:r>
        <w:rPr>
          <w:spacing w:val="22"/>
          <w:position w:val="-6"/>
          <w:sz w:val="11"/>
        </w:rPr>
        <w:t> </w:t>
      </w:r>
      <w:r>
        <w:rPr/>
        <w:t>could</w:t>
      </w:r>
      <w:r>
        <w:rPr>
          <w:spacing w:val="28"/>
        </w:rPr>
        <w:t> </w:t>
      </w:r>
      <w:r>
        <w:rPr/>
        <w:t>be</w:t>
      </w:r>
      <w:r>
        <w:rPr>
          <w:spacing w:val="28"/>
        </w:rPr>
        <w:t> </w:t>
      </w:r>
      <w:r>
        <w:rPr/>
        <w:t>captured</w:t>
      </w:r>
      <w:r>
        <w:rPr>
          <w:spacing w:val="27"/>
        </w:rPr>
        <w:t> </w:t>
      </w:r>
      <w:r>
        <w:rPr/>
        <w:t>from</w:t>
      </w:r>
      <w:r>
        <w:rPr>
          <w:spacing w:val="28"/>
        </w:rPr>
        <w:t> </w:t>
      </w:r>
      <w:r>
        <w:rPr/>
        <w:t>these</w:t>
      </w:r>
      <w:r>
        <w:rPr>
          <w:spacing w:val="27"/>
        </w:rPr>
        <w:t> </w:t>
      </w:r>
      <w:r>
        <w:rPr/>
        <w:t>streams</w:t>
      </w:r>
      <w:r>
        <w:rPr>
          <w:spacing w:val="27"/>
        </w:rPr>
        <w:t> </w:t>
      </w:r>
      <w:r>
        <w:rPr/>
        <w:t>using</w:t>
      </w:r>
    </w:p>
    <w:p>
      <w:pPr>
        <w:spacing w:after="0" w:line="240" w:lineRule="exact"/>
        <w:jc w:val="both"/>
        <w:sectPr>
          <w:type w:val="continuous"/>
          <w:pgSz w:w="12240" w:h="15840"/>
          <w:pgMar w:top="480" w:bottom="280" w:left="620" w:right="0"/>
          <w:cols w:num="2" w:equalWidth="0">
            <w:col w:w="5202" w:space="124"/>
            <w:col w:w="6294"/>
          </w:cols>
        </w:sectPr>
      </w:pPr>
    </w:p>
    <w:p>
      <w:pPr>
        <w:pStyle w:val="BodyText"/>
      </w:pPr>
    </w:p>
    <w:p>
      <w:pPr>
        <w:spacing w:after="0"/>
        <w:sectPr>
          <w:pgSz w:w="12240" w:h="15840"/>
          <w:pgMar w:header="567" w:footer="0" w:top="800" w:bottom="280" w:left="620" w:right="0"/>
        </w:sectPr>
      </w:pPr>
    </w:p>
    <w:p>
      <w:pPr>
        <w:pStyle w:val="BodyText"/>
        <w:spacing w:before="4"/>
        <w:rPr>
          <w:sz w:val="18"/>
        </w:rPr>
      </w:pPr>
    </w:p>
    <w:p>
      <w:pPr>
        <w:pStyle w:val="BodyText"/>
        <w:spacing w:line="249" w:lineRule="auto"/>
        <w:ind w:left="513"/>
        <w:jc w:val="both"/>
      </w:pPr>
      <w:bookmarkStart w:name="3.1.3 Types of CO2 capture technologies" w:id="9"/>
      <w:bookmarkEnd w:id="9"/>
      <w:r>
        <w:rPr/>
      </w:r>
      <w:r>
        <w:rPr/>
        <w:t>techniques that are common to post-combustion capture, </w:t>
      </w:r>
      <w:r>
        <w:rPr>
          <w:spacing w:val="-4"/>
        </w:rPr>
        <w:t>oxy- </w:t>
      </w:r>
      <w:r>
        <w:rPr/>
        <w:t>fuel</w:t>
      </w:r>
      <w:r>
        <w:rPr>
          <w:spacing w:val="-12"/>
        </w:rPr>
        <w:t> </w:t>
      </w:r>
      <w:r>
        <w:rPr/>
        <w:t>combustion</w:t>
      </w:r>
      <w:r>
        <w:rPr>
          <w:spacing w:val="-12"/>
        </w:rPr>
        <w:t> </w:t>
      </w:r>
      <w:r>
        <w:rPr/>
        <w:t>capture</w:t>
      </w:r>
      <w:r>
        <w:rPr>
          <w:spacing w:val="-11"/>
        </w:rPr>
        <w:t> </w:t>
      </w:r>
      <w:r>
        <w:rPr/>
        <w:t>and</w:t>
      </w:r>
      <w:r>
        <w:rPr>
          <w:spacing w:val="-12"/>
        </w:rPr>
        <w:t> </w:t>
      </w:r>
      <w:r>
        <w:rPr/>
        <w:t>pre-combustion</w:t>
      </w:r>
      <w:r>
        <w:rPr>
          <w:spacing w:val="-11"/>
        </w:rPr>
        <w:t> </w:t>
      </w:r>
      <w:r>
        <w:rPr/>
        <w:t>capture</w:t>
      </w:r>
      <w:r>
        <w:rPr>
          <w:spacing w:val="-12"/>
        </w:rPr>
        <w:t> </w:t>
      </w:r>
      <w:r>
        <w:rPr/>
        <w:t>(see</w:t>
      </w:r>
      <w:r>
        <w:rPr>
          <w:spacing w:val="-11"/>
        </w:rPr>
        <w:t> </w:t>
      </w:r>
      <w:r>
        <w:rPr>
          <w:spacing w:val="-4"/>
        </w:rPr>
        <w:t>below </w:t>
      </w:r>
      <w:r>
        <w:rPr/>
        <w:t>and Section</w:t>
      </w:r>
      <w:r>
        <w:rPr>
          <w:spacing w:val="-2"/>
        </w:rPr>
        <w:t> </w:t>
      </w:r>
      <w:r>
        <w:rPr/>
        <w:t>3.2).</w:t>
      </w:r>
    </w:p>
    <w:p>
      <w:pPr>
        <w:pStyle w:val="BodyText"/>
        <w:spacing w:before="1"/>
        <w:rPr>
          <w:sz w:val="21"/>
        </w:rPr>
      </w:pPr>
    </w:p>
    <w:p>
      <w:pPr>
        <w:pStyle w:val="ListParagraph"/>
        <w:numPr>
          <w:ilvl w:val="3"/>
          <w:numId w:val="2"/>
        </w:numPr>
        <w:tabs>
          <w:tab w:pos="1334" w:val="left" w:leader="none"/>
        </w:tabs>
        <w:spacing w:line="240" w:lineRule="auto" w:before="0" w:after="0"/>
        <w:ind w:left="1333" w:right="0" w:hanging="821"/>
        <w:jc w:val="both"/>
        <w:rPr>
          <w:i/>
          <w:sz w:val="20"/>
        </w:rPr>
      </w:pPr>
      <w:r>
        <w:rPr>
          <w:i/>
          <w:sz w:val="20"/>
        </w:rPr>
        <w:t>Post-combustion</w:t>
      </w:r>
      <w:r>
        <w:rPr>
          <w:i/>
          <w:spacing w:val="-1"/>
          <w:sz w:val="20"/>
        </w:rPr>
        <w:t> </w:t>
      </w:r>
      <w:r>
        <w:rPr>
          <w:i/>
          <w:sz w:val="20"/>
        </w:rPr>
        <w:t>capture</w:t>
      </w:r>
    </w:p>
    <w:p>
      <w:pPr>
        <w:pStyle w:val="BodyText"/>
        <w:spacing w:line="240" w:lineRule="exact" w:before="5"/>
        <w:ind w:left="513" w:right="1"/>
        <w:jc w:val="both"/>
      </w:pPr>
      <w:r>
        <w:rPr/>
        <w:t>Capture of CO</w:t>
      </w:r>
      <w:r>
        <w:rPr>
          <w:position w:val="-6"/>
          <w:sz w:val="11"/>
        </w:rPr>
        <w:t>2 </w:t>
      </w:r>
      <w:r>
        <w:rPr/>
        <w:t>from flue gases produced by combustion </w:t>
      </w:r>
      <w:r>
        <w:rPr>
          <w:spacing w:val="-6"/>
        </w:rPr>
        <w:t>of </w:t>
      </w:r>
      <w:r>
        <w:rPr/>
        <w:t>fossil fuels and biomass in air is referred to as</w:t>
      </w:r>
      <w:r>
        <w:rPr>
          <w:spacing w:val="-30"/>
        </w:rPr>
        <w:t> </w:t>
      </w:r>
      <w:r>
        <w:rPr/>
        <w:t>post-combustion capture.</w:t>
      </w:r>
      <w:r>
        <w:rPr>
          <w:spacing w:val="-7"/>
        </w:rPr>
        <w:t> </w:t>
      </w:r>
      <w:r>
        <w:rPr/>
        <w:t>Instead</w:t>
      </w:r>
      <w:r>
        <w:rPr>
          <w:spacing w:val="-6"/>
        </w:rPr>
        <w:t> </w:t>
      </w:r>
      <w:r>
        <w:rPr/>
        <w:t>of</w:t>
      </w:r>
      <w:r>
        <w:rPr>
          <w:spacing w:val="-6"/>
        </w:rPr>
        <w:t> </w:t>
      </w:r>
      <w:r>
        <w:rPr/>
        <w:t>being</w:t>
      </w:r>
      <w:r>
        <w:rPr>
          <w:spacing w:val="-7"/>
        </w:rPr>
        <w:t> </w:t>
      </w:r>
      <w:r>
        <w:rPr/>
        <w:t>discharged</w:t>
      </w:r>
      <w:r>
        <w:rPr>
          <w:spacing w:val="-6"/>
        </w:rPr>
        <w:t> </w:t>
      </w:r>
      <w:r>
        <w:rPr/>
        <w:t>directly</w:t>
      </w:r>
      <w:r>
        <w:rPr>
          <w:spacing w:val="-6"/>
        </w:rPr>
        <w:t> </w:t>
      </w:r>
      <w:r>
        <w:rPr/>
        <w:t>to</w:t>
      </w:r>
      <w:r>
        <w:rPr>
          <w:spacing w:val="-7"/>
        </w:rPr>
        <w:t> </w:t>
      </w:r>
      <w:r>
        <w:rPr/>
        <w:t>the</w:t>
      </w:r>
      <w:r>
        <w:rPr>
          <w:spacing w:val="-6"/>
        </w:rPr>
        <w:t> </w:t>
      </w:r>
      <w:r>
        <w:rPr/>
        <w:t>atmosphere, flue gas is passed through equipment which separates most of the</w:t>
      </w:r>
      <w:r>
        <w:rPr>
          <w:spacing w:val="-9"/>
        </w:rPr>
        <w:t> </w:t>
      </w:r>
      <w:r>
        <w:rPr/>
        <w:t>CO</w:t>
      </w:r>
      <w:r>
        <w:rPr>
          <w:position w:val="-6"/>
          <w:sz w:val="11"/>
        </w:rPr>
        <w:t>2</w:t>
      </w:r>
      <w:r>
        <w:rPr/>
        <w:t>.</w:t>
      </w:r>
      <w:r>
        <w:rPr>
          <w:spacing w:val="-12"/>
        </w:rPr>
        <w:t> </w:t>
      </w:r>
      <w:r>
        <w:rPr/>
        <w:t>The</w:t>
      </w:r>
      <w:r>
        <w:rPr>
          <w:spacing w:val="-8"/>
        </w:rPr>
        <w:t> </w:t>
      </w:r>
      <w:r>
        <w:rPr/>
        <w:t>CO</w:t>
      </w:r>
      <w:r>
        <w:rPr>
          <w:position w:val="-6"/>
          <w:sz w:val="11"/>
        </w:rPr>
        <w:t>2</w:t>
      </w:r>
      <w:r>
        <w:rPr>
          <w:spacing w:val="14"/>
          <w:position w:val="-6"/>
          <w:sz w:val="11"/>
        </w:rPr>
        <w:t> </w:t>
      </w:r>
      <w:r>
        <w:rPr/>
        <w:t>is</w:t>
      </w:r>
      <w:r>
        <w:rPr>
          <w:spacing w:val="-8"/>
        </w:rPr>
        <w:t> </w:t>
      </w:r>
      <w:r>
        <w:rPr/>
        <w:t>fed</w:t>
      </w:r>
      <w:r>
        <w:rPr>
          <w:spacing w:val="-8"/>
        </w:rPr>
        <w:t> </w:t>
      </w:r>
      <w:r>
        <w:rPr/>
        <w:t>to</w:t>
      </w:r>
      <w:r>
        <w:rPr>
          <w:spacing w:val="-8"/>
        </w:rPr>
        <w:t> </w:t>
      </w:r>
      <w:r>
        <w:rPr/>
        <w:t>a</w:t>
      </w:r>
      <w:r>
        <w:rPr>
          <w:spacing w:val="-8"/>
        </w:rPr>
        <w:t> </w:t>
      </w:r>
      <w:r>
        <w:rPr/>
        <w:t>storage</w:t>
      </w:r>
      <w:r>
        <w:rPr>
          <w:spacing w:val="-9"/>
        </w:rPr>
        <w:t> </w:t>
      </w:r>
      <w:r>
        <w:rPr/>
        <w:t>reservoir</w:t>
      </w:r>
      <w:r>
        <w:rPr>
          <w:spacing w:val="-9"/>
        </w:rPr>
        <w:t> </w:t>
      </w:r>
      <w:r>
        <w:rPr/>
        <w:t>and</w:t>
      </w:r>
      <w:r>
        <w:rPr>
          <w:spacing w:val="-8"/>
        </w:rPr>
        <w:t> </w:t>
      </w:r>
      <w:r>
        <w:rPr/>
        <w:t>the</w:t>
      </w:r>
      <w:r>
        <w:rPr>
          <w:spacing w:val="-8"/>
        </w:rPr>
        <w:t> </w:t>
      </w:r>
      <w:r>
        <w:rPr/>
        <w:t>remaining flue gas is discharged to the atmosphere. A chemical sorbent process</w:t>
      </w:r>
      <w:r>
        <w:rPr>
          <w:spacing w:val="-5"/>
        </w:rPr>
        <w:t> </w:t>
      </w:r>
      <w:r>
        <w:rPr/>
        <w:t>as</w:t>
      </w:r>
      <w:r>
        <w:rPr>
          <w:spacing w:val="-4"/>
        </w:rPr>
        <w:t> </w:t>
      </w:r>
      <w:r>
        <w:rPr/>
        <w:t>described</w:t>
      </w:r>
      <w:r>
        <w:rPr>
          <w:spacing w:val="-4"/>
        </w:rPr>
        <w:t> </w:t>
      </w:r>
      <w:r>
        <w:rPr/>
        <w:t>in</w:t>
      </w:r>
      <w:r>
        <w:rPr>
          <w:spacing w:val="-4"/>
        </w:rPr>
        <w:t> </w:t>
      </w:r>
      <w:r>
        <w:rPr/>
        <w:t>Section</w:t>
      </w:r>
      <w:r>
        <w:rPr>
          <w:spacing w:val="-4"/>
        </w:rPr>
        <w:t> </w:t>
      </w:r>
      <w:r>
        <w:rPr/>
        <w:t>3.1.3.1</w:t>
      </w:r>
      <w:r>
        <w:rPr>
          <w:spacing w:val="-4"/>
        </w:rPr>
        <w:t> </w:t>
      </w:r>
      <w:r>
        <w:rPr/>
        <w:t>would</w:t>
      </w:r>
      <w:r>
        <w:rPr>
          <w:spacing w:val="-4"/>
        </w:rPr>
        <w:t> </w:t>
      </w:r>
      <w:r>
        <w:rPr/>
        <w:t>normally</w:t>
      </w:r>
      <w:r>
        <w:rPr>
          <w:spacing w:val="-4"/>
        </w:rPr>
        <w:t> </w:t>
      </w:r>
      <w:r>
        <w:rPr/>
        <w:t>be</w:t>
      </w:r>
      <w:r>
        <w:rPr>
          <w:spacing w:val="-4"/>
        </w:rPr>
        <w:t> </w:t>
      </w:r>
      <w:r>
        <w:rPr/>
        <w:t>used for CO</w:t>
      </w:r>
      <w:r>
        <w:rPr>
          <w:position w:val="-6"/>
          <w:sz w:val="11"/>
        </w:rPr>
        <w:t>2 </w:t>
      </w:r>
      <w:r>
        <w:rPr/>
        <w:t>separation. Other techniques are also being considered but these are not at such an advanced stage of</w:t>
      </w:r>
      <w:r>
        <w:rPr>
          <w:spacing w:val="-7"/>
        </w:rPr>
        <w:t> </w:t>
      </w:r>
      <w:r>
        <w:rPr/>
        <w:t>development.</w:t>
      </w:r>
    </w:p>
    <w:p>
      <w:pPr>
        <w:pStyle w:val="BodyText"/>
        <w:spacing w:line="240" w:lineRule="exact"/>
        <w:ind w:left="513" w:firstLine="284"/>
        <w:jc w:val="both"/>
      </w:pPr>
      <w:r>
        <w:rPr/>
        <w:t>Besides industrial applications, the main systems of reference for post-combustion capture are the current installed capacity of 2261 </w:t>
      </w:r>
      <w:r>
        <w:rPr>
          <w:spacing w:val="-6"/>
        </w:rPr>
        <w:t>GW</w:t>
      </w:r>
      <w:r>
        <w:rPr>
          <w:spacing w:val="-6"/>
          <w:position w:val="-6"/>
          <w:sz w:val="11"/>
        </w:rPr>
        <w:t>e </w:t>
      </w:r>
      <w:r>
        <w:rPr/>
        <w:t>of oil, coal and natural gas power plants (IEA WEO, 2004) and in particular, 155 </w:t>
      </w:r>
      <w:r>
        <w:rPr>
          <w:spacing w:val="-6"/>
        </w:rPr>
        <w:t>GW</w:t>
      </w:r>
      <w:r>
        <w:rPr>
          <w:spacing w:val="-6"/>
          <w:position w:val="-6"/>
          <w:sz w:val="11"/>
        </w:rPr>
        <w:t>e </w:t>
      </w:r>
      <w:r>
        <w:rPr/>
        <w:t>of supercritical pulverized coal fired plants (IEA CCC, 2005) and 339 </w:t>
      </w:r>
      <w:r>
        <w:rPr>
          <w:spacing w:val="-6"/>
        </w:rPr>
        <w:t>GW</w:t>
      </w:r>
      <w:r>
        <w:rPr>
          <w:spacing w:val="-6"/>
          <w:position w:val="-6"/>
          <w:sz w:val="11"/>
        </w:rPr>
        <w:t>e </w:t>
      </w:r>
      <w:r>
        <w:rPr/>
        <w:t>of natural gas combined cycle (NGCC) plants, both </w:t>
      </w:r>
      <w:r>
        <w:rPr>
          <w:spacing w:val="-2"/>
        </w:rPr>
        <w:t>representing </w:t>
      </w:r>
      <w:r>
        <w:rPr/>
        <w:t>the types of high efficiency power plant technology where </w:t>
      </w:r>
      <w:r>
        <w:rPr>
          <w:spacing w:val="-4"/>
        </w:rPr>
        <w:t>CO</w:t>
      </w:r>
      <w:r>
        <w:rPr>
          <w:spacing w:val="-4"/>
          <w:position w:val="-6"/>
          <w:sz w:val="11"/>
        </w:rPr>
        <w:t>2 </w:t>
      </w:r>
      <w:r>
        <w:rPr/>
        <w:t>capture can be best applied (see Sections 3.3 and 3.7).</w:t>
      </w:r>
    </w:p>
    <w:p>
      <w:pPr>
        <w:pStyle w:val="BodyText"/>
        <w:spacing w:before="3"/>
        <w:rPr>
          <w:sz w:val="21"/>
        </w:rPr>
      </w:pPr>
    </w:p>
    <w:p>
      <w:pPr>
        <w:pStyle w:val="ListParagraph"/>
        <w:numPr>
          <w:ilvl w:val="3"/>
          <w:numId w:val="2"/>
        </w:numPr>
        <w:tabs>
          <w:tab w:pos="1365" w:val="left" w:leader="none"/>
        </w:tabs>
        <w:spacing w:line="240" w:lineRule="auto" w:before="1" w:after="0"/>
        <w:ind w:left="1364" w:right="0" w:hanging="852"/>
        <w:jc w:val="both"/>
        <w:rPr>
          <w:i/>
          <w:sz w:val="20"/>
        </w:rPr>
      </w:pPr>
      <w:r>
        <w:rPr>
          <w:i/>
          <w:sz w:val="20"/>
        </w:rPr>
        <w:t>Oxy-fuel combustion</w:t>
      </w:r>
      <w:r>
        <w:rPr>
          <w:i/>
          <w:spacing w:val="-2"/>
          <w:sz w:val="20"/>
        </w:rPr>
        <w:t> </w:t>
      </w:r>
      <w:r>
        <w:rPr>
          <w:i/>
          <w:sz w:val="20"/>
        </w:rPr>
        <w:t>capture</w:t>
      </w:r>
    </w:p>
    <w:p>
      <w:pPr>
        <w:pStyle w:val="BodyText"/>
        <w:spacing w:line="240" w:lineRule="exact" w:before="4"/>
        <w:ind w:left="513"/>
        <w:jc w:val="both"/>
      </w:pPr>
      <w:r>
        <w:rPr/>
        <w:t>In oxy-fuel combustion, nearly pure oxygen is used </w:t>
      </w:r>
      <w:r>
        <w:rPr>
          <w:spacing w:val="-4"/>
        </w:rPr>
        <w:t>for </w:t>
      </w:r>
      <w:r>
        <w:rPr/>
        <w:t>combustion instead of air, resulting in a flue gas that is mainly CO</w:t>
      </w:r>
      <w:r>
        <w:rPr>
          <w:position w:val="-6"/>
          <w:sz w:val="11"/>
        </w:rPr>
        <w:t>2 </w:t>
      </w:r>
      <w:r>
        <w:rPr/>
        <w:t>and H</w:t>
      </w:r>
      <w:r>
        <w:rPr>
          <w:position w:val="-6"/>
          <w:sz w:val="11"/>
        </w:rPr>
        <w:t>2</w:t>
      </w:r>
      <w:r>
        <w:rPr/>
        <w:t>O. If fuel is burnt in pure oxygen, the flame temperature is excessively high, but  CO</w:t>
      </w:r>
      <w:r>
        <w:rPr>
          <w:position w:val="-6"/>
          <w:sz w:val="11"/>
        </w:rPr>
        <w:t>2  </w:t>
      </w:r>
      <w:r>
        <w:rPr/>
        <w:t>and/or  H</w:t>
      </w:r>
      <w:r>
        <w:rPr>
          <w:position w:val="-6"/>
          <w:sz w:val="11"/>
        </w:rPr>
        <w:t>2</w:t>
      </w:r>
      <w:r>
        <w:rPr/>
        <w:t>O-rich  flue gas can be recycled to the combustor to moderate </w:t>
      </w:r>
      <w:r>
        <w:rPr>
          <w:spacing w:val="-3"/>
        </w:rPr>
        <w:t>this. </w:t>
      </w:r>
      <w:r>
        <w:rPr/>
        <w:t>Oxygen is usually produced by low temperature (cryogenic) air separation and novel techniques to supply oxygen to the fuel, such as membranes and chemical looping cycles are</w:t>
      </w:r>
      <w:r>
        <w:rPr>
          <w:spacing w:val="-36"/>
        </w:rPr>
        <w:t> </w:t>
      </w:r>
      <w:r>
        <w:rPr>
          <w:spacing w:val="-3"/>
        </w:rPr>
        <w:t>being </w:t>
      </w:r>
      <w:r>
        <w:rPr/>
        <w:t>developed. The power plant systems of reference for oxy-fuel combustion capture systems are the same as those noted above for post-combustion capture</w:t>
      </w:r>
      <w:r>
        <w:rPr>
          <w:spacing w:val="-1"/>
        </w:rPr>
        <w:t> </w:t>
      </w:r>
      <w:r>
        <w:rPr/>
        <w:t>systems.</w:t>
      </w:r>
    </w:p>
    <w:p>
      <w:pPr>
        <w:pStyle w:val="BodyText"/>
        <w:spacing w:before="4"/>
        <w:rPr>
          <w:sz w:val="21"/>
        </w:rPr>
      </w:pPr>
    </w:p>
    <w:p>
      <w:pPr>
        <w:pStyle w:val="ListParagraph"/>
        <w:numPr>
          <w:ilvl w:val="3"/>
          <w:numId w:val="2"/>
        </w:numPr>
        <w:tabs>
          <w:tab w:pos="1334" w:val="left" w:leader="none"/>
        </w:tabs>
        <w:spacing w:line="240" w:lineRule="auto" w:before="0" w:after="0"/>
        <w:ind w:left="1333" w:right="0" w:hanging="821"/>
        <w:jc w:val="both"/>
        <w:rPr>
          <w:i/>
          <w:sz w:val="20"/>
        </w:rPr>
      </w:pPr>
      <w:r>
        <w:rPr>
          <w:i/>
          <w:sz w:val="20"/>
        </w:rPr>
        <w:t>Pre-combustion</w:t>
      </w:r>
      <w:r>
        <w:rPr>
          <w:i/>
          <w:spacing w:val="-1"/>
          <w:sz w:val="20"/>
        </w:rPr>
        <w:t> </w:t>
      </w:r>
      <w:r>
        <w:rPr>
          <w:i/>
          <w:sz w:val="20"/>
        </w:rPr>
        <w:t>capture</w:t>
      </w:r>
    </w:p>
    <w:p>
      <w:pPr>
        <w:pStyle w:val="BodyText"/>
        <w:spacing w:line="240" w:lineRule="exact" w:before="5"/>
        <w:ind w:left="513"/>
        <w:jc w:val="both"/>
      </w:pPr>
      <w:r>
        <w:rPr/>
        <w:t>Pre-combustion capture involves reacting a fuel with oxygen or air and/or steam to give mainly a ‘synthesis gas (syngas)’ or ‘fuel gas’ composed of carbon monoxide and hydrogen. </w:t>
      </w:r>
      <w:r>
        <w:rPr>
          <w:spacing w:val="-5"/>
        </w:rPr>
        <w:t>The </w:t>
      </w:r>
      <w:r>
        <w:rPr/>
        <w:t>carbon monoxide is reacted with steam in a catalytic reactor, called a shift converter, to give CO</w:t>
      </w:r>
      <w:r>
        <w:rPr>
          <w:position w:val="-6"/>
          <w:sz w:val="11"/>
        </w:rPr>
        <w:t>2 </w:t>
      </w:r>
      <w:r>
        <w:rPr/>
        <w:t>and more hydrogen. CO</w:t>
      </w:r>
      <w:r>
        <w:rPr>
          <w:position w:val="-6"/>
          <w:sz w:val="11"/>
        </w:rPr>
        <w:t>2  </w:t>
      </w:r>
      <w:r>
        <w:rPr/>
        <w:t>is then separated, usually by a physical or chemical absorption process, resulting in a hydrogen-rich fuel which can be used  in many applications, such as boilers, furnaces, gas turbines, engines and fuel cells. These systems are considered to be strategically important (see Section 3.5) but the power plant systems</w:t>
      </w:r>
      <w:r>
        <w:rPr>
          <w:spacing w:val="-14"/>
        </w:rPr>
        <w:t> </w:t>
      </w:r>
      <w:r>
        <w:rPr/>
        <w:t>of</w:t>
      </w:r>
      <w:r>
        <w:rPr>
          <w:spacing w:val="-13"/>
        </w:rPr>
        <w:t> </w:t>
      </w:r>
      <w:r>
        <w:rPr/>
        <w:t>reference</w:t>
      </w:r>
      <w:r>
        <w:rPr>
          <w:spacing w:val="-13"/>
        </w:rPr>
        <w:t> </w:t>
      </w:r>
      <w:r>
        <w:rPr/>
        <w:t>today</w:t>
      </w:r>
      <w:r>
        <w:rPr>
          <w:spacing w:val="-13"/>
        </w:rPr>
        <w:t> </w:t>
      </w:r>
      <w:r>
        <w:rPr/>
        <w:t>are</w:t>
      </w:r>
      <w:r>
        <w:rPr>
          <w:spacing w:val="-14"/>
        </w:rPr>
        <w:t> </w:t>
      </w:r>
      <w:r>
        <w:rPr/>
        <w:t>4</w:t>
      </w:r>
      <w:r>
        <w:rPr>
          <w:spacing w:val="-13"/>
        </w:rPr>
        <w:t> </w:t>
      </w:r>
      <w:r>
        <w:rPr>
          <w:spacing w:val="-6"/>
        </w:rPr>
        <w:t>GW</w:t>
      </w:r>
      <w:r>
        <w:rPr>
          <w:spacing w:val="-6"/>
          <w:position w:val="-6"/>
          <w:sz w:val="11"/>
        </w:rPr>
        <w:t>e</w:t>
      </w:r>
      <w:r>
        <w:rPr>
          <w:spacing w:val="10"/>
          <w:position w:val="-6"/>
          <w:sz w:val="11"/>
        </w:rPr>
        <w:t> </w:t>
      </w:r>
      <w:r>
        <w:rPr/>
        <w:t>of</w:t>
      </w:r>
      <w:r>
        <w:rPr>
          <w:spacing w:val="-13"/>
        </w:rPr>
        <w:t> </w:t>
      </w:r>
      <w:r>
        <w:rPr/>
        <w:t>both</w:t>
      </w:r>
      <w:r>
        <w:rPr>
          <w:spacing w:val="-13"/>
        </w:rPr>
        <w:t> </w:t>
      </w:r>
      <w:r>
        <w:rPr/>
        <w:t>oil</w:t>
      </w:r>
      <w:r>
        <w:rPr>
          <w:spacing w:val="-14"/>
        </w:rPr>
        <w:t> </w:t>
      </w:r>
      <w:r>
        <w:rPr/>
        <w:t>and</w:t>
      </w:r>
      <w:r>
        <w:rPr>
          <w:spacing w:val="-13"/>
        </w:rPr>
        <w:t> </w:t>
      </w:r>
      <w:r>
        <w:rPr/>
        <w:t>coal-based, integrated gasification combined cycles (IGCC) which are around 0.1% of total installed capacity worldwide (3719 </w:t>
      </w:r>
      <w:r>
        <w:rPr>
          <w:spacing w:val="-5"/>
        </w:rPr>
        <w:t>GW</w:t>
      </w:r>
      <w:r>
        <w:rPr>
          <w:spacing w:val="-5"/>
          <w:position w:val="-6"/>
          <w:sz w:val="11"/>
        </w:rPr>
        <w:t>e</w:t>
      </w:r>
      <w:r>
        <w:rPr>
          <w:spacing w:val="-5"/>
        </w:rPr>
        <w:t>; </w:t>
      </w:r>
      <w:r>
        <w:rPr/>
        <w:t>IEA WEO, 2004). Other reference systems for the application of pre-combustion capture include substantially more capacity than that identified above for IGCC in existing natural gas, </w:t>
      </w:r>
      <w:r>
        <w:rPr>
          <w:spacing w:val="-5"/>
        </w:rPr>
        <w:t>oil </w:t>
      </w:r>
      <w:r>
        <w:rPr/>
        <w:t>and coal-based syngas/hydrogen production facilities and</w:t>
      </w:r>
      <w:r>
        <w:rPr>
          <w:spacing w:val="-26"/>
        </w:rPr>
        <w:t> </w:t>
      </w:r>
      <w:r>
        <w:rPr/>
        <w:t>other types of industrial systems described in more detail in</w:t>
      </w:r>
      <w:r>
        <w:rPr>
          <w:spacing w:val="-14"/>
        </w:rPr>
        <w:t> </w:t>
      </w:r>
      <w:r>
        <w:rPr/>
        <w:t>Sections</w:t>
      </w:r>
    </w:p>
    <w:p>
      <w:pPr>
        <w:pStyle w:val="BodyText"/>
        <w:spacing w:before="5"/>
        <w:ind w:left="513"/>
        <w:jc w:val="both"/>
      </w:pPr>
      <w:r>
        <w:rPr/>
        <w:t>3.2 and 3.5.</w:t>
      </w:r>
    </w:p>
    <w:p>
      <w:pPr>
        <w:pStyle w:val="Heading2"/>
        <w:numPr>
          <w:ilvl w:val="2"/>
          <w:numId w:val="2"/>
        </w:numPr>
        <w:tabs>
          <w:tab w:pos="951" w:val="left" w:leader="none"/>
        </w:tabs>
        <w:spacing w:line="240" w:lineRule="auto" w:before="211" w:after="0"/>
        <w:ind w:left="950" w:right="0" w:hanging="710"/>
        <w:jc w:val="both"/>
        <w:rPr>
          <w:i/>
        </w:rPr>
      </w:pPr>
      <w:r>
        <w:rPr>
          <w:i/>
          <w:spacing w:val="-8"/>
        </w:rPr>
        <w:br w:type="column"/>
      </w:r>
      <w:r>
        <w:rPr>
          <w:i/>
        </w:rPr>
        <w:t>Types of CO</w:t>
      </w:r>
      <w:r>
        <w:rPr>
          <w:i/>
          <w:position w:val="-6"/>
          <w:sz w:val="11"/>
        </w:rPr>
        <w:t>2 </w:t>
      </w:r>
      <w:r>
        <w:rPr>
          <w:i/>
        </w:rPr>
        <w:t>capture</w:t>
      </w:r>
      <w:r>
        <w:rPr>
          <w:i/>
          <w:spacing w:val="-6"/>
        </w:rPr>
        <w:t> </w:t>
      </w:r>
      <w:r>
        <w:rPr>
          <w:i/>
        </w:rPr>
        <w:t>technologies</w:t>
      </w:r>
    </w:p>
    <w:p>
      <w:pPr>
        <w:pStyle w:val="BodyText"/>
        <w:spacing w:line="225" w:lineRule="auto" w:before="208"/>
        <w:ind w:left="241" w:right="734"/>
        <w:jc w:val="both"/>
      </w:pPr>
      <w:r>
        <w:rPr/>
        <w:t>CO</w:t>
      </w:r>
      <w:r>
        <w:rPr>
          <w:position w:val="-6"/>
          <w:sz w:val="11"/>
        </w:rPr>
        <w:t>2 </w:t>
      </w:r>
      <w:r>
        <w:rPr/>
        <w:t>capture systems use many of the known technologies for gas separation which are integrated into the basic systems for CO</w:t>
      </w:r>
      <w:r>
        <w:rPr>
          <w:position w:val="-6"/>
          <w:sz w:val="11"/>
        </w:rPr>
        <w:t>2 </w:t>
      </w:r>
      <w:r>
        <w:rPr/>
        <w:t>capture identified in the last section. A summary of these separation methods is given below while further details are available in standard textbooks.</w:t>
      </w:r>
    </w:p>
    <w:p>
      <w:pPr>
        <w:pStyle w:val="BodyText"/>
        <w:spacing w:before="8"/>
        <w:rPr>
          <w:sz w:val="21"/>
        </w:rPr>
      </w:pPr>
    </w:p>
    <w:p>
      <w:pPr>
        <w:pStyle w:val="ListParagraph"/>
        <w:numPr>
          <w:ilvl w:val="3"/>
          <w:numId w:val="2"/>
        </w:numPr>
        <w:tabs>
          <w:tab w:pos="1062" w:val="left" w:leader="none"/>
        </w:tabs>
        <w:spacing w:line="240" w:lineRule="auto" w:before="0" w:after="0"/>
        <w:ind w:left="1061" w:right="0" w:hanging="821"/>
        <w:jc w:val="both"/>
        <w:rPr>
          <w:i/>
          <w:sz w:val="20"/>
        </w:rPr>
      </w:pPr>
      <w:r>
        <w:rPr>
          <w:i/>
          <w:sz w:val="20"/>
        </w:rPr>
        <w:t>Separation with</w:t>
      </w:r>
      <w:r>
        <w:rPr>
          <w:i/>
          <w:spacing w:val="-1"/>
          <w:sz w:val="20"/>
        </w:rPr>
        <w:t> </w:t>
      </w:r>
      <w:r>
        <w:rPr>
          <w:i/>
          <w:sz w:val="20"/>
        </w:rPr>
        <w:t>sorbents/solvents</w:t>
      </w:r>
    </w:p>
    <w:p>
      <w:pPr>
        <w:pStyle w:val="BodyText"/>
        <w:spacing w:line="240" w:lineRule="exact" w:before="5"/>
        <w:ind w:left="241" w:right="723"/>
        <w:jc w:val="both"/>
      </w:pPr>
      <w:r>
        <w:rPr/>
        <w:t>The separation is achieved by passing the CO</w:t>
      </w:r>
      <w:r>
        <w:rPr>
          <w:position w:val="-6"/>
          <w:sz w:val="11"/>
        </w:rPr>
        <w:t>2</w:t>
      </w:r>
      <w:r>
        <w:rPr/>
        <w:t>-containing gas in intimate contact with a liquid absorbent or solid sorbent that is</w:t>
      </w:r>
      <w:r>
        <w:rPr>
          <w:spacing w:val="-10"/>
        </w:rPr>
        <w:t> </w:t>
      </w:r>
      <w:r>
        <w:rPr/>
        <w:t>capable</w:t>
      </w:r>
      <w:r>
        <w:rPr>
          <w:spacing w:val="-10"/>
        </w:rPr>
        <w:t> </w:t>
      </w:r>
      <w:r>
        <w:rPr/>
        <w:t>of</w:t>
      </w:r>
      <w:r>
        <w:rPr>
          <w:spacing w:val="-10"/>
        </w:rPr>
        <w:t> </w:t>
      </w:r>
      <w:r>
        <w:rPr/>
        <w:t>capturing</w:t>
      </w:r>
      <w:r>
        <w:rPr>
          <w:spacing w:val="-10"/>
        </w:rPr>
        <w:t> </w:t>
      </w:r>
      <w:r>
        <w:rPr/>
        <w:t>the</w:t>
      </w:r>
      <w:r>
        <w:rPr>
          <w:spacing w:val="-9"/>
        </w:rPr>
        <w:t> </w:t>
      </w:r>
      <w:r>
        <w:rPr/>
        <w:t>CO</w:t>
      </w:r>
      <w:r>
        <w:rPr>
          <w:position w:val="-6"/>
          <w:sz w:val="11"/>
        </w:rPr>
        <w:t>2</w:t>
      </w:r>
      <w:r>
        <w:rPr/>
        <w:t>.</w:t>
      </w:r>
      <w:r>
        <w:rPr>
          <w:spacing w:val="-10"/>
        </w:rPr>
        <w:t> </w:t>
      </w:r>
      <w:r>
        <w:rPr/>
        <w:t>In</w:t>
      </w:r>
      <w:r>
        <w:rPr>
          <w:spacing w:val="-10"/>
        </w:rPr>
        <w:t> </w:t>
      </w:r>
      <w:r>
        <w:rPr/>
        <w:t>the</w:t>
      </w:r>
      <w:r>
        <w:rPr>
          <w:spacing w:val="-10"/>
        </w:rPr>
        <w:t> </w:t>
      </w:r>
      <w:r>
        <w:rPr/>
        <w:t>general</w:t>
      </w:r>
      <w:r>
        <w:rPr>
          <w:spacing w:val="-9"/>
        </w:rPr>
        <w:t> </w:t>
      </w:r>
      <w:r>
        <w:rPr/>
        <w:t>scheme</w:t>
      </w:r>
      <w:r>
        <w:rPr>
          <w:spacing w:val="-10"/>
        </w:rPr>
        <w:t> </w:t>
      </w:r>
      <w:r>
        <w:rPr/>
        <w:t>of</w:t>
      </w:r>
      <w:r>
        <w:rPr>
          <w:spacing w:val="-10"/>
        </w:rPr>
        <w:t> </w:t>
      </w:r>
      <w:hyperlink w:history="true" w:anchor="_bookmark2">
        <w:r>
          <w:rPr/>
          <w:t>Figure</w:t>
        </w:r>
      </w:hyperlink>
      <w:r>
        <w:rPr/>
        <w:t> </w:t>
      </w:r>
      <w:hyperlink w:history="true" w:anchor="_bookmark2">
        <w:r>
          <w:rPr/>
          <w:t>3.2a, </w:t>
        </w:r>
      </w:hyperlink>
      <w:r>
        <w:rPr/>
        <w:t>the sorbent loaded with the captured CO</w:t>
      </w:r>
      <w:r>
        <w:rPr>
          <w:position w:val="-6"/>
          <w:sz w:val="11"/>
        </w:rPr>
        <w:t>2 </w:t>
      </w:r>
      <w:r>
        <w:rPr/>
        <w:t>is transported to a different vessel, where it releases the CO</w:t>
      </w:r>
      <w:r>
        <w:rPr>
          <w:position w:val="-6"/>
          <w:sz w:val="11"/>
        </w:rPr>
        <w:t>2 </w:t>
      </w:r>
      <w:r>
        <w:rPr/>
        <w:t>(regeneration) after being</w:t>
      </w:r>
      <w:r>
        <w:rPr>
          <w:spacing w:val="-9"/>
        </w:rPr>
        <w:t> </w:t>
      </w:r>
      <w:r>
        <w:rPr/>
        <w:t>heated,</w:t>
      </w:r>
      <w:r>
        <w:rPr>
          <w:spacing w:val="-9"/>
        </w:rPr>
        <w:t> </w:t>
      </w:r>
      <w:r>
        <w:rPr/>
        <w:t>after</w:t>
      </w:r>
      <w:r>
        <w:rPr>
          <w:spacing w:val="-9"/>
        </w:rPr>
        <w:t> </w:t>
      </w:r>
      <w:r>
        <w:rPr/>
        <w:t>a</w:t>
      </w:r>
      <w:r>
        <w:rPr>
          <w:spacing w:val="-9"/>
        </w:rPr>
        <w:t> </w:t>
      </w:r>
      <w:r>
        <w:rPr/>
        <w:t>pressure</w:t>
      </w:r>
      <w:r>
        <w:rPr>
          <w:spacing w:val="-9"/>
        </w:rPr>
        <w:t> </w:t>
      </w:r>
      <w:r>
        <w:rPr/>
        <w:t>decrease</w:t>
      </w:r>
      <w:r>
        <w:rPr>
          <w:spacing w:val="-9"/>
        </w:rPr>
        <w:t> </w:t>
      </w:r>
      <w:r>
        <w:rPr/>
        <w:t>or</w:t>
      </w:r>
      <w:r>
        <w:rPr>
          <w:spacing w:val="-9"/>
        </w:rPr>
        <w:t> </w:t>
      </w:r>
      <w:r>
        <w:rPr/>
        <w:t>after</w:t>
      </w:r>
      <w:r>
        <w:rPr>
          <w:spacing w:val="-9"/>
        </w:rPr>
        <w:t> </w:t>
      </w:r>
      <w:r>
        <w:rPr/>
        <w:t>any</w:t>
      </w:r>
      <w:r>
        <w:rPr>
          <w:spacing w:val="-9"/>
        </w:rPr>
        <w:t> </w:t>
      </w:r>
      <w:r>
        <w:rPr/>
        <w:t>other</w:t>
      </w:r>
      <w:r>
        <w:rPr>
          <w:spacing w:val="-9"/>
        </w:rPr>
        <w:t> </w:t>
      </w:r>
      <w:r>
        <w:rPr/>
        <w:t>change in</w:t>
      </w:r>
      <w:r>
        <w:rPr>
          <w:spacing w:val="-7"/>
        </w:rPr>
        <w:t> </w:t>
      </w:r>
      <w:r>
        <w:rPr/>
        <w:t>the</w:t>
      </w:r>
      <w:r>
        <w:rPr>
          <w:spacing w:val="-6"/>
        </w:rPr>
        <w:t> </w:t>
      </w:r>
      <w:r>
        <w:rPr/>
        <w:t>conditions</w:t>
      </w:r>
      <w:r>
        <w:rPr>
          <w:spacing w:val="-7"/>
        </w:rPr>
        <w:t> </w:t>
      </w:r>
      <w:r>
        <w:rPr/>
        <w:t>around</w:t>
      </w:r>
      <w:r>
        <w:rPr>
          <w:spacing w:val="-6"/>
        </w:rPr>
        <w:t> </w:t>
      </w:r>
      <w:r>
        <w:rPr/>
        <w:t>the</w:t>
      </w:r>
      <w:r>
        <w:rPr>
          <w:spacing w:val="-6"/>
        </w:rPr>
        <w:t> </w:t>
      </w:r>
      <w:r>
        <w:rPr/>
        <w:t>sorbent.</w:t>
      </w:r>
      <w:r>
        <w:rPr>
          <w:spacing w:val="-10"/>
        </w:rPr>
        <w:t> </w:t>
      </w:r>
      <w:r>
        <w:rPr/>
        <w:t>The</w:t>
      </w:r>
      <w:r>
        <w:rPr>
          <w:spacing w:val="-7"/>
        </w:rPr>
        <w:t> </w:t>
      </w:r>
      <w:r>
        <w:rPr/>
        <w:t>sorbent</w:t>
      </w:r>
      <w:r>
        <w:rPr>
          <w:spacing w:val="-6"/>
        </w:rPr>
        <w:t> </w:t>
      </w:r>
      <w:r>
        <w:rPr/>
        <w:t>resulting</w:t>
      </w:r>
      <w:r>
        <w:rPr>
          <w:spacing w:val="-7"/>
        </w:rPr>
        <w:t> </w:t>
      </w:r>
      <w:r>
        <w:rPr/>
        <w:t>after the</w:t>
      </w:r>
      <w:r>
        <w:rPr>
          <w:spacing w:val="-16"/>
        </w:rPr>
        <w:t> </w:t>
      </w:r>
      <w:r>
        <w:rPr/>
        <w:t>regeneration</w:t>
      </w:r>
      <w:r>
        <w:rPr>
          <w:spacing w:val="-15"/>
        </w:rPr>
        <w:t> </w:t>
      </w:r>
      <w:r>
        <w:rPr/>
        <w:t>step</w:t>
      </w:r>
      <w:r>
        <w:rPr>
          <w:spacing w:val="-15"/>
        </w:rPr>
        <w:t> </w:t>
      </w:r>
      <w:r>
        <w:rPr/>
        <w:t>is</w:t>
      </w:r>
      <w:r>
        <w:rPr>
          <w:spacing w:val="-14"/>
        </w:rPr>
        <w:t> </w:t>
      </w:r>
      <w:r>
        <w:rPr/>
        <w:t>sent</w:t>
      </w:r>
      <w:r>
        <w:rPr>
          <w:spacing w:val="-16"/>
        </w:rPr>
        <w:t> </w:t>
      </w:r>
      <w:r>
        <w:rPr/>
        <w:t>back</w:t>
      </w:r>
      <w:r>
        <w:rPr>
          <w:spacing w:val="-15"/>
        </w:rPr>
        <w:t> </w:t>
      </w:r>
      <w:r>
        <w:rPr/>
        <w:t>to</w:t>
      </w:r>
      <w:r>
        <w:rPr>
          <w:spacing w:val="-15"/>
        </w:rPr>
        <w:t> </w:t>
      </w:r>
      <w:r>
        <w:rPr/>
        <w:t>capture</w:t>
      </w:r>
      <w:r>
        <w:rPr>
          <w:spacing w:val="-15"/>
        </w:rPr>
        <w:t> </w:t>
      </w:r>
      <w:r>
        <w:rPr/>
        <w:t>more</w:t>
      </w:r>
      <w:r>
        <w:rPr>
          <w:spacing w:val="-16"/>
        </w:rPr>
        <w:t> </w:t>
      </w:r>
      <w:r>
        <w:rPr/>
        <w:t>CO</w:t>
      </w:r>
      <w:r>
        <w:rPr>
          <w:position w:val="-6"/>
          <w:sz w:val="11"/>
        </w:rPr>
        <w:t>2</w:t>
      </w:r>
      <w:r>
        <w:rPr>
          <w:spacing w:val="8"/>
          <w:position w:val="-6"/>
          <w:sz w:val="11"/>
        </w:rPr>
        <w:t> </w:t>
      </w:r>
      <w:r>
        <w:rPr/>
        <w:t>in</w:t>
      </w:r>
      <w:r>
        <w:rPr>
          <w:spacing w:val="-15"/>
        </w:rPr>
        <w:t> </w:t>
      </w:r>
      <w:r>
        <w:rPr/>
        <w:t>a</w:t>
      </w:r>
      <w:r>
        <w:rPr>
          <w:spacing w:val="-15"/>
        </w:rPr>
        <w:t> </w:t>
      </w:r>
      <w:r>
        <w:rPr/>
        <w:t>cyclic process. In some variants of this scheme the sorbent is a solid and does not circulate between vessels because the sorption and regeneration are achieved by cyclic changes (in pressure or temperature) in the vessel where the sorbent is contained. A make-up</w:t>
      </w:r>
      <w:r>
        <w:rPr>
          <w:spacing w:val="-12"/>
        </w:rPr>
        <w:t> </w:t>
      </w:r>
      <w:r>
        <w:rPr/>
        <w:t>flow</w:t>
      </w:r>
      <w:r>
        <w:rPr>
          <w:spacing w:val="-10"/>
        </w:rPr>
        <w:t> </w:t>
      </w:r>
      <w:r>
        <w:rPr/>
        <w:t>of</w:t>
      </w:r>
      <w:r>
        <w:rPr>
          <w:spacing w:val="-10"/>
        </w:rPr>
        <w:t> </w:t>
      </w:r>
      <w:r>
        <w:rPr/>
        <w:t>fresh</w:t>
      </w:r>
      <w:r>
        <w:rPr>
          <w:spacing w:val="-10"/>
        </w:rPr>
        <w:t> </w:t>
      </w:r>
      <w:r>
        <w:rPr/>
        <w:t>sorbent</w:t>
      </w:r>
      <w:r>
        <w:rPr>
          <w:spacing w:val="-10"/>
        </w:rPr>
        <w:t> </w:t>
      </w:r>
      <w:r>
        <w:rPr/>
        <w:t>is</w:t>
      </w:r>
      <w:r>
        <w:rPr>
          <w:spacing w:val="-11"/>
        </w:rPr>
        <w:t> </w:t>
      </w:r>
      <w:r>
        <w:rPr/>
        <w:t>always</w:t>
      </w:r>
      <w:r>
        <w:rPr>
          <w:spacing w:val="-11"/>
        </w:rPr>
        <w:t> </w:t>
      </w:r>
      <w:r>
        <w:rPr/>
        <w:t>required</w:t>
      </w:r>
      <w:r>
        <w:rPr>
          <w:spacing w:val="-11"/>
        </w:rPr>
        <w:t> </w:t>
      </w:r>
      <w:r>
        <w:rPr/>
        <w:t>to</w:t>
      </w:r>
      <w:r>
        <w:rPr>
          <w:spacing w:val="-10"/>
        </w:rPr>
        <w:t> </w:t>
      </w:r>
      <w:r>
        <w:rPr/>
        <w:t>compensate for the natural decay of activity and/or sorbent losses. In some situations, the sorbent may be a solid oxide which reacts in a vessel with fossil fuel or biomass producing heat and mainly CO</w:t>
      </w:r>
      <w:r>
        <w:rPr>
          <w:position w:val="-6"/>
          <w:sz w:val="11"/>
        </w:rPr>
        <w:t>2</w:t>
      </w:r>
      <w:r>
        <w:rPr>
          <w:spacing w:val="-5"/>
          <w:position w:val="-6"/>
          <w:sz w:val="11"/>
        </w:rPr>
        <w:t> </w:t>
      </w:r>
      <w:r>
        <w:rPr/>
        <w:t>(see</w:t>
      </w:r>
      <w:r>
        <w:rPr>
          <w:spacing w:val="-10"/>
        </w:rPr>
        <w:t> </w:t>
      </w:r>
      <w:r>
        <w:rPr/>
        <w:t>Section</w:t>
      </w:r>
      <w:r>
        <w:rPr>
          <w:spacing w:val="-10"/>
        </w:rPr>
        <w:t> </w:t>
      </w:r>
      <w:r>
        <w:rPr/>
        <w:t>3.4.6).</w:t>
      </w:r>
      <w:r>
        <w:rPr>
          <w:spacing w:val="-13"/>
        </w:rPr>
        <w:t> </w:t>
      </w:r>
      <w:r>
        <w:rPr/>
        <w:t>The</w:t>
      </w:r>
      <w:r>
        <w:rPr>
          <w:spacing w:val="-11"/>
        </w:rPr>
        <w:t> </w:t>
      </w:r>
      <w:r>
        <w:rPr/>
        <w:t>spent</w:t>
      </w:r>
      <w:r>
        <w:rPr>
          <w:spacing w:val="-10"/>
        </w:rPr>
        <w:t> </w:t>
      </w:r>
      <w:r>
        <w:rPr/>
        <w:t>sorbent</w:t>
      </w:r>
      <w:r>
        <w:rPr>
          <w:spacing w:val="-10"/>
        </w:rPr>
        <w:t> </w:t>
      </w:r>
      <w:r>
        <w:rPr/>
        <w:t>is</w:t>
      </w:r>
      <w:r>
        <w:rPr>
          <w:spacing w:val="-10"/>
        </w:rPr>
        <w:t> </w:t>
      </w:r>
      <w:r>
        <w:rPr/>
        <w:t>then</w:t>
      </w:r>
      <w:r>
        <w:rPr>
          <w:spacing w:val="-10"/>
        </w:rPr>
        <w:t> </w:t>
      </w:r>
      <w:r>
        <w:rPr/>
        <w:t>circulated</w:t>
      </w:r>
      <w:r>
        <w:rPr>
          <w:spacing w:val="-10"/>
        </w:rPr>
        <w:t> </w:t>
      </w:r>
      <w:r>
        <w:rPr/>
        <w:t>to</w:t>
      </w:r>
      <w:r>
        <w:rPr>
          <w:spacing w:val="-10"/>
        </w:rPr>
        <w:t> </w:t>
      </w:r>
      <w:r>
        <w:rPr/>
        <w:t>a second vessel where it is re-oxidized in air for reuse with some loss and make up of fresh</w:t>
      </w:r>
      <w:r>
        <w:rPr>
          <w:spacing w:val="-1"/>
        </w:rPr>
        <w:t> </w:t>
      </w:r>
      <w:r>
        <w:rPr/>
        <w:t>sorbent.</w:t>
      </w:r>
    </w:p>
    <w:p>
      <w:pPr>
        <w:pStyle w:val="BodyText"/>
        <w:spacing w:line="240" w:lineRule="exact"/>
        <w:ind w:left="241" w:right="733" w:firstLine="284"/>
        <w:jc w:val="both"/>
      </w:pPr>
      <w:r>
        <w:rPr/>
        <w:t>The general scheme of </w:t>
      </w:r>
      <w:hyperlink w:history="true" w:anchor="_bookmark2">
        <w:r>
          <w:rPr/>
          <w:t>Figure 3.2 </w:t>
        </w:r>
      </w:hyperlink>
      <w:r>
        <w:rPr/>
        <w:t>governs many important CO</w:t>
      </w:r>
      <w:r>
        <w:rPr>
          <w:position w:val="-6"/>
          <w:sz w:val="11"/>
        </w:rPr>
        <w:t>2</w:t>
      </w:r>
      <w:r>
        <w:rPr>
          <w:spacing w:val="8"/>
          <w:position w:val="-6"/>
          <w:sz w:val="11"/>
        </w:rPr>
        <w:t> </w:t>
      </w:r>
      <w:r>
        <w:rPr/>
        <w:t>capture</w:t>
      </w:r>
      <w:r>
        <w:rPr>
          <w:spacing w:val="-15"/>
        </w:rPr>
        <w:t> </w:t>
      </w:r>
      <w:r>
        <w:rPr/>
        <w:t>systems,</w:t>
      </w:r>
      <w:r>
        <w:rPr>
          <w:spacing w:val="-14"/>
        </w:rPr>
        <w:t> </w:t>
      </w:r>
      <w:r>
        <w:rPr/>
        <w:t>including</w:t>
      </w:r>
      <w:r>
        <w:rPr>
          <w:spacing w:val="-15"/>
        </w:rPr>
        <w:t> </w:t>
      </w:r>
      <w:r>
        <w:rPr/>
        <w:t>leading</w:t>
      </w:r>
      <w:r>
        <w:rPr>
          <w:spacing w:val="-14"/>
        </w:rPr>
        <w:t> </w:t>
      </w:r>
      <w:r>
        <w:rPr/>
        <w:t>commercial</w:t>
      </w:r>
      <w:r>
        <w:rPr>
          <w:spacing w:val="-15"/>
        </w:rPr>
        <w:t> </w:t>
      </w:r>
      <w:r>
        <w:rPr/>
        <w:t>options</w:t>
      </w:r>
      <w:r>
        <w:rPr>
          <w:spacing w:val="-14"/>
        </w:rPr>
        <w:t> </w:t>
      </w:r>
      <w:r>
        <w:rPr/>
        <w:t>like chemical absorption and physical absorption and adsorption. Other emerging processes based on new liquid sorbents, or new solid regenerable sorbents are being developed with the aim of overcoming the limitations of the existing</w:t>
      </w:r>
      <w:r>
        <w:rPr>
          <w:spacing w:val="34"/>
        </w:rPr>
        <w:t> </w:t>
      </w:r>
      <w:r>
        <w:rPr/>
        <w:t>systems. One common problem of these CO</w:t>
      </w:r>
      <w:r>
        <w:rPr>
          <w:position w:val="-6"/>
          <w:sz w:val="11"/>
        </w:rPr>
        <w:t>2  </w:t>
      </w:r>
      <w:r>
        <w:rPr/>
        <w:t>capture systems is that  the flow of sorbent between the vessels of </w:t>
      </w:r>
      <w:hyperlink w:history="true" w:anchor="_bookmark2">
        <w:r>
          <w:rPr/>
          <w:t>Figure 3.2a </w:t>
        </w:r>
      </w:hyperlink>
      <w:r>
        <w:rPr/>
        <w:t>is large because it has to match the huge flow of CO</w:t>
      </w:r>
      <w:r>
        <w:rPr>
          <w:position w:val="-6"/>
          <w:sz w:val="11"/>
        </w:rPr>
        <w:t>2 </w:t>
      </w:r>
      <w:r>
        <w:rPr/>
        <w:t>being processed in the power plant. Therefore, equipment sizes and the energy required for sorbent regeneration are large and tend to</w:t>
      </w:r>
      <w:r>
        <w:rPr>
          <w:spacing w:val="-19"/>
        </w:rPr>
        <w:t> </w:t>
      </w:r>
      <w:r>
        <w:rPr/>
        <w:t>translate into an important efficiency penalty and added cost. Also, in systems using expensive sorbent materials there is always a danger of escalating cost related to the purchase of the sorbent and</w:t>
      </w:r>
      <w:r>
        <w:rPr>
          <w:spacing w:val="-9"/>
        </w:rPr>
        <w:t> </w:t>
      </w:r>
      <w:r>
        <w:rPr/>
        <w:t>the</w:t>
      </w:r>
      <w:r>
        <w:rPr>
          <w:spacing w:val="-9"/>
        </w:rPr>
        <w:t> </w:t>
      </w:r>
      <w:r>
        <w:rPr/>
        <w:t>disposal</w:t>
      </w:r>
      <w:r>
        <w:rPr>
          <w:spacing w:val="-9"/>
        </w:rPr>
        <w:t> </w:t>
      </w:r>
      <w:r>
        <w:rPr/>
        <w:t>of</w:t>
      </w:r>
      <w:r>
        <w:rPr>
          <w:spacing w:val="-8"/>
        </w:rPr>
        <w:t> </w:t>
      </w:r>
      <w:r>
        <w:rPr/>
        <w:t>sorbent</w:t>
      </w:r>
      <w:r>
        <w:rPr>
          <w:spacing w:val="-9"/>
        </w:rPr>
        <w:t> </w:t>
      </w:r>
      <w:r>
        <w:rPr/>
        <w:t>residues.</w:t>
      </w:r>
      <w:r>
        <w:rPr>
          <w:spacing w:val="-9"/>
        </w:rPr>
        <w:t> </w:t>
      </w:r>
      <w:r>
        <w:rPr/>
        <w:t>Good</w:t>
      </w:r>
      <w:r>
        <w:rPr>
          <w:spacing w:val="-9"/>
        </w:rPr>
        <w:t> </w:t>
      </w:r>
      <w:r>
        <w:rPr/>
        <w:t>sorbent</w:t>
      </w:r>
      <w:r>
        <w:rPr>
          <w:spacing w:val="-8"/>
        </w:rPr>
        <w:t> </w:t>
      </w:r>
      <w:r>
        <w:rPr/>
        <w:t>performance under high CO</w:t>
      </w:r>
      <w:r>
        <w:rPr>
          <w:position w:val="-6"/>
          <w:sz w:val="11"/>
        </w:rPr>
        <w:t>2 </w:t>
      </w:r>
      <w:r>
        <w:rPr/>
        <w:t>loading in many repetitive cycles is obviously a necessary condition in these CO</w:t>
      </w:r>
      <w:r>
        <w:rPr>
          <w:position w:val="-6"/>
          <w:sz w:val="11"/>
        </w:rPr>
        <w:t>2 </w:t>
      </w:r>
      <w:r>
        <w:rPr/>
        <w:t>capture</w:t>
      </w:r>
      <w:r>
        <w:rPr>
          <w:spacing w:val="-7"/>
        </w:rPr>
        <w:t> </w:t>
      </w:r>
      <w:r>
        <w:rPr/>
        <w:t>systems.</w:t>
      </w:r>
    </w:p>
    <w:p>
      <w:pPr>
        <w:pStyle w:val="BodyText"/>
        <w:spacing w:before="3"/>
        <w:rPr>
          <w:sz w:val="21"/>
        </w:rPr>
      </w:pPr>
    </w:p>
    <w:p>
      <w:pPr>
        <w:pStyle w:val="ListParagraph"/>
        <w:numPr>
          <w:ilvl w:val="3"/>
          <w:numId w:val="2"/>
        </w:numPr>
        <w:tabs>
          <w:tab w:pos="1062" w:val="left" w:leader="none"/>
        </w:tabs>
        <w:spacing w:line="240" w:lineRule="auto" w:before="1" w:after="0"/>
        <w:ind w:left="1061" w:right="0" w:hanging="821"/>
        <w:jc w:val="both"/>
        <w:rPr>
          <w:i/>
          <w:sz w:val="20"/>
        </w:rPr>
      </w:pPr>
      <w:r>
        <w:rPr>
          <w:i/>
          <w:sz w:val="20"/>
        </w:rPr>
        <w:t>Separation with</w:t>
      </w:r>
      <w:r>
        <w:rPr>
          <w:i/>
          <w:spacing w:val="-1"/>
          <w:sz w:val="20"/>
        </w:rPr>
        <w:t> </w:t>
      </w:r>
      <w:r>
        <w:rPr>
          <w:i/>
          <w:sz w:val="20"/>
        </w:rPr>
        <w:t>membranes</w:t>
      </w:r>
    </w:p>
    <w:p>
      <w:pPr>
        <w:pStyle w:val="BodyText"/>
        <w:spacing w:line="249" w:lineRule="auto" w:before="10"/>
        <w:ind w:left="241" w:right="733"/>
        <w:jc w:val="both"/>
      </w:pPr>
      <w:r>
        <w:rPr/>
        <w:t>Membrane</w:t>
      </w:r>
      <w:hyperlink w:history="true" w:anchor="_bookmark2">
        <w:r>
          <w:rPr/>
          <w:t>s (Figure 3.2b) </w:t>
        </w:r>
      </w:hyperlink>
      <w:r>
        <w:rPr/>
        <w:t>are specially manufactured materials that allow the selective permeation of a gas through them. The selectivity of the membrane to different gases is intimately related</w:t>
      </w:r>
      <w:r>
        <w:rPr>
          <w:spacing w:val="-5"/>
        </w:rPr>
        <w:t> </w:t>
      </w:r>
      <w:r>
        <w:rPr/>
        <w:t>to</w:t>
      </w:r>
      <w:r>
        <w:rPr>
          <w:spacing w:val="-4"/>
        </w:rPr>
        <w:t> </w:t>
      </w:r>
      <w:r>
        <w:rPr/>
        <w:t>the</w:t>
      </w:r>
      <w:r>
        <w:rPr>
          <w:spacing w:val="-4"/>
        </w:rPr>
        <w:t> </w:t>
      </w:r>
      <w:r>
        <w:rPr/>
        <w:t>nature</w:t>
      </w:r>
      <w:r>
        <w:rPr>
          <w:spacing w:val="-4"/>
        </w:rPr>
        <w:t> </w:t>
      </w:r>
      <w:r>
        <w:rPr/>
        <w:t>of</w:t>
      </w:r>
      <w:r>
        <w:rPr>
          <w:spacing w:val="-4"/>
        </w:rPr>
        <w:t> </w:t>
      </w:r>
      <w:r>
        <w:rPr/>
        <w:t>the</w:t>
      </w:r>
      <w:r>
        <w:rPr>
          <w:spacing w:val="-4"/>
        </w:rPr>
        <w:t> </w:t>
      </w:r>
      <w:r>
        <w:rPr/>
        <w:t>material,</w:t>
      </w:r>
      <w:r>
        <w:rPr>
          <w:spacing w:val="-4"/>
        </w:rPr>
        <w:t> </w:t>
      </w:r>
      <w:r>
        <w:rPr/>
        <w:t>but</w:t>
      </w:r>
      <w:r>
        <w:rPr>
          <w:spacing w:val="-5"/>
        </w:rPr>
        <w:t> </w:t>
      </w:r>
      <w:r>
        <w:rPr/>
        <w:t>the</w:t>
      </w:r>
      <w:r>
        <w:rPr>
          <w:spacing w:val="-4"/>
        </w:rPr>
        <w:t> </w:t>
      </w:r>
      <w:r>
        <w:rPr/>
        <w:t>flow</w:t>
      </w:r>
      <w:r>
        <w:rPr>
          <w:spacing w:val="-4"/>
        </w:rPr>
        <w:t> </w:t>
      </w:r>
      <w:r>
        <w:rPr/>
        <w:t>of</w:t>
      </w:r>
      <w:r>
        <w:rPr>
          <w:spacing w:val="-4"/>
        </w:rPr>
        <w:t> </w:t>
      </w:r>
      <w:r>
        <w:rPr/>
        <w:t>gas</w:t>
      </w:r>
      <w:r>
        <w:rPr>
          <w:spacing w:val="-4"/>
        </w:rPr>
        <w:t> </w:t>
      </w:r>
      <w:r>
        <w:rPr/>
        <w:t>through the membrane is usually driven by the pressure difference across the membrane. Therefore, high-pressure streams are usually preferred for membrane separation. There are many different types of membrane materials (polymeric, metallic, ceramic)</w:t>
      </w:r>
      <w:r>
        <w:rPr>
          <w:spacing w:val="17"/>
        </w:rPr>
        <w:t> </w:t>
      </w:r>
      <w:r>
        <w:rPr/>
        <w:t>that</w:t>
      </w:r>
      <w:r>
        <w:rPr>
          <w:spacing w:val="18"/>
        </w:rPr>
        <w:t> </w:t>
      </w:r>
      <w:r>
        <w:rPr/>
        <w:t>may</w:t>
      </w:r>
      <w:r>
        <w:rPr>
          <w:spacing w:val="18"/>
        </w:rPr>
        <w:t> </w:t>
      </w:r>
      <w:r>
        <w:rPr/>
        <w:t>find</w:t>
      </w:r>
      <w:r>
        <w:rPr>
          <w:spacing w:val="18"/>
        </w:rPr>
        <w:t> </w:t>
      </w:r>
      <w:r>
        <w:rPr/>
        <w:t>application</w:t>
      </w:r>
      <w:r>
        <w:rPr>
          <w:spacing w:val="17"/>
        </w:rPr>
        <w:t> </w:t>
      </w:r>
      <w:r>
        <w:rPr/>
        <w:t>in</w:t>
      </w:r>
      <w:r>
        <w:rPr>
          <w:spacing w:val="19"/>
        </w:rPr>
        <w:t> </w:t>
      </w:r>
      <w:r>
        <w:rPr/>
        <w:t>CO</w:t>
      </w:r>
      <w:r>
        <w:rPr>
          <w:position w:val="-6"/>
          <w:sz w:val="11"/>
        </w:rPr>
        <w:t>2</w:t>
      </w:r>
      <w:r>
        <w:rPr>
          <w:spacing w:val="12"/>
          <w:position w:val="-6"/>
          <w:sz w:val="11"/>
        </w:rPr>
        <w:t> </w:t>
      </w:r>
      <w:r>
        <w:rPr/>
        <w:t>capture</w:t>
      </w:r>
      <w:r>
        <w:rPr>
          <w:spacing w:val="18"/>
        </w:rPr>
        <w:t> </w:t>
      </w:r>
      <w:r>
        <w:rPr/>
        <w:t>systems</w:t>
      </w:r>
      <w:r>
        <w:rPr>
          <w:spacing w:val="18"/>
        </w:rPr>
        <w:t> </w:t>
      </w:r>
      <w:r>
        <w:rPr/>
        <w:t>to</w:t>
      </w:r>
    </w:p>
    <w:p>
      <w:pPr>
        <w:spacing w:after="0" w:line="249" w:lineRule="auto"/>
        <w:jc w:val="both"/>
        <w:sectPr>
          <w:type w:val="continuous"/>
          <w:pgSz w:w="12240" w:h="15840"/>
          <w:pgMar w:top="480" w:bottom="280" w:left="620" w:right="0"/>
          <w:cols w:num="2" w:equalWidth="0">
            <w:col w:w="5559" w:space="40"/>
            <w:col w:w="6021"/>
          </w:cols>
        </w:sectPr>
      </w:pPr>
    </w:p>
    <w:p>
      <w:pPr>
        <w:pStyle w:val="BodyText"/>
      </w:pPr>
    </w:p>
    <w:p>
      <w:pPr>
        <w:pStyle w:val="BodyText"/>
        <w:spacing w:before="10"/>
        <w:rPr>
          <w:sz w:val="11"/>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49"/>
      </w:tblGrid>
      <w:tr>
        <w:trPr>
          <w:trHeight w:val="6953" w:hRule="atLeast"/>
        </w:trPr>
        <w:tc>
          <w:tcPr>
            <w:tcW w:w="10349" w:type="dxa"/>
          </w:tcPr>
          <w:p>
            <w:pPr>
              <w:pStyle w:val="TableParagraph"/>
              <w:spacing w:before="7" w:after="1"/>
              <w:jc w:val="left"/>
              <w:rPr>
                <w:sz w:val="20"/>
              </w:rPr>
            </w:pPr>
          </w:p>
          <w:p>
            <w:pPr>
              <w:pStyle w:val="TableParagraph"/>
              <w:ind w:left="925"/>
              <w:jc w:val="left"/>
              <w:rPr>
                <w:sz w:val="20"/>
              </w:rPr>
            </w:pPr>
            <w:r>
              <w:rPr>
                <w:sz w:val="20"/>
              </w:rPr>
              <w:drawing>
                <wp:inline distT="0" distB="0" distL="0" distR="0">
                  <wp:extent cx="5462813" cy="3956304"/>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5462813" cy="3956304"/>
                          </a:xfrm>
                          <a:prstGeom prst="rect">
                            <a:avLst/>
                          </a:prstGeom>
                        </pic:spPr>
                      </pic:pic>
                    </a:graphicData>
                  </a:graphic>
                </wp:inline>
              </w:drawing>
            </w:r>
            <w:r>
              <w:rPr>
                <w:sz w:val="20"/>
              </w:rPr>
            </w:r>
          </w:p>
        </w:tc>
      </w:tr>
    </w:tbl>
    <w:p>
      <w:pPr>
        <w:spacing w:line="211" w:lineRule="auto" w:before="129"/>
        <w:ind w:left="117" w:right="1131" w:firstLine="0"/>
        <w:jc w:val="both"/>
        <w:rPr>
          <w:sz w:val="18"/>
        </w:rPr>
      </w:pPr>
      <w:bookmarkStart w:name="3.1.4 Application of CO2 capture" w:id="10"/>
      <w:bookmarkEnd w:id="10"/>
      <w:r>
        <w:rPr/>
      </w:r>
      <w:bookmarkStart w:name="_bookmark2" w:id="11"/>
      <w:bookmarkEnd w:id="11"/>
      <w:r>
        <w:rPr/>
      </w:r>
      <w:bookmarkStart w:name="_bookmark3" w:id="12"/>
      <w:bookmarkEnd w:id="12"/>
      <w:r>
        <w:rPr/>
      </w:r>
      <w:r>
        <w:rPr>
          <w:b/>
          <w:sz w:val="18"/>
        </w:rPr>
        <w:t>Figure</w:t>
      </w:r>
      <w:r>
        <w:rPr>
          <w:b/>
          <w:spacing w:val="-5"/>
          <w:sz w:val="18"/>
        </w:rPr>
        <w:t> </w:t>
      </w:r>
      <w:r>
        <w:rPr>
          <w:b/>
          <w:sz w:val="18"/>
        </w:rPr>
        <w:t>3.2</w:t>
      </w:r>
      <w:r>
        <w:rPr>
          <w:b/>
          <w:spacing w:val="-5"/>
          <w:sz w:val="18"/>
        </w:rPr>
        <w:t> </w:t>
      </w:r>
      <w:r>
        <w:rPr>
          <w:sz w:val="18"/>
        </w:rPr>
        <w:t>General</w:t>
      </w:r>
      <w:r>
        <w:rPr>
          <w:spacing w:val="-5"/>
          <w:sz w:val="18"/>
        </w:rPr>
        <w:t> </w:t>
      </w:r>
      <w:r>
        <w:rPr>
          <w:sz w:val="18"/>
        </w:rPr>
        <w:t>schemes</w:t>
      </w:r>
      <w:r>
        <w:rPr>
          <w:spacing w:val="-5"/>
          <w:sz w:val="18"/>
        </w:rPr>
        <w:t> </w:t>
      </w:r>
      <w:r>
        <w:rPr>
          <w:sz w:val="18"/>
        </w:rPr>
        <w:t>of</w:t>
      </w:r>
      <w:r>
        <w:rPr>
          <w:spacing w:val="-5"/>
          <w:sz w:val="18"/>
        </w:rPr>
        <w:t> </w:t>
      </w:r>
      <w:r>
        <w:rPr>
          <w:sz w:val="18"/>
        </w:rPr>
        <w:t>the</w:t>
      </w:r>
      <w:r>
        <w:rPr>
          <w:spacing w:val="-5"/>
          <w:sz w:val="18"/>
        </w:rPr>
        <w:t> </w:t>
      </w:r>
      <w:r>
        <w:rPr>
          <w:sz w:val="18"/>
        </w:rPr>
        <w:t>main</w:t>
      </w:r>
      <w:r>
        <w:rPr>
          <w:spacing w:val="-5"/>
          <w:sz w:val="18"/>
        </w:rPr>
        <w:t> </w:t>
      </w:r>
      <w:r>
        <w:rPr>
          <w:sz w:val="18"/>
        </w:rPr>
        <w:t>separation</w:t>
      </w:r>
      <w:r>
        <w:rPr>
          <w:spacing w:val="-5"/>
          <w:sz w:val="18"/>
        </w:rPr>
        <w:t> </w:t>
      </w:r>
      <w:r>
        <w:rPr>
          <w:sz w:val="18"/>
        </w:rPr>
        <w:t>processes</w:t>
      </w:r>
      <w:r>
        <w:rPr>
          <w:spacing w:val="-5"/>
          <w:sz w:val="18"/>
        </w:rPr>
        <w:t> </w:t>
      </w:r>
      <w:r>
        <w:rPr>
          <w:sz w:val="18"/>
        </w:rPr>
        <w:t>relevant</w:t>
      </w:r>
      <w:r>
        <w:rPr>
          <w:spacing w:val="-5"/>
          <w:sz w:val="18"/>
        </w:rPr>
        <w:t> </w:t>
      </w:r>
      <w:r>
        <w:rPr>
          <w:sz w:val="18"/>
        </w:rPr>
        <w:t>for</w:t>
      </w:r>
      <w:r>
        <w:rPr>
          <w:spacing w:val="-5"/>
          <w:sz w:val="18"/>
        </w:rPr>
        <w:t> </w:t>
      </w:r>
      <w:r>
        <w:rPr>
          <w:sz w:val="18"/>
        </w:rPr>
        <w:t>CO</w:t>
      </w:r>
      <w:r>
        <w:rPr>
          <w:position w:val="-5"/>
          <w:sz w:val="10"/>
        </w:rPr>
        <w:t>2</w:t>
      </w:r>
      <w:r>
        <w:rPr>
          <w:spacing w:val="15"/>
          <w:position w:val="-5"/>
          <w:sz w:val="10"/>
        </w:rPr>
        <w:t> </w:t>
      </w:r>
      <w:r>
        <w:rPr>
          <w:sz w:val="18"/>
        </w:rPr>
        <w:t>capture.</w:t>
      </w:r>
      <w:r>
        <w:rPr>
          <w:spacing w:val="-8"/>
          <w:sz w:val="18"/>
        </w:rPr>
        <w:t> </w:t>
      </w:r>
      <w:r>
        <w:rPr>
          <w:sz w:val="18"/>
        </w:rPr>
        <w:t>The</w:t>
      </w:r>
      <w:r>
        <w:rPr>
          <w:spacing w:val="-5"/>
          <w:sz w:val="18"/>
        </w:rPr>
        <w:t> </w:t>
      </w:r>
      <w:r>
        <w:rPr>
          <w:sz w:val="18"/>
        </w:rPr>
        <w:t>gas</w:t>
      </w:r>
      <w:r>
        <w:rPr>
          <w:spacing w:val="-5"/>
          <w:sz w:val="18"/>
        </w:rPr>
        <w:t> </w:t>
      </w:r>
      <w:r>
        <w:rPr>
          <w:sz w:val="18"/>
        </w:rPr>
        <w:t>removed</w:t>
      </w:r>
      <w:r>
        <w:rPr>
          <w:spacing w:val="-5"/>
          <w:sz w:val="18"/>
        </w:rPr>
        <w:t> </w:t>
      </w:r>
      <w:r>
        <w:rPr>
          <w:sz w:val="18"/>
        </w:rPr>
        <w:t>in</w:t>
      </w:r>
      <w:r>
        <w:rPr>
          <w:spacing w:val="-5"/>
          <w:sz w:val="18"/>
        </w:rPr>
        <w:t> </w:t>
      </w:r>
      <w:r>
        <w:rPr>
          <w:sz w:val="18"/>
        </w:rPr>
        <w:t>the</w:t>
      </w:r>
      <w:r>
        <w:rPr>
          <w:spacing w:val="-5"/>
          <w:sz w:val="18"/>
        </w:rPr>
        <w:t> </w:t>
      </w:r>
      <w:r>
        <w:rPr>
          <w:sz w:val="18"/>
        </w:rPr>
        <w:t>separation</w:t>
      </w:r>
      <w:r>
        <w:rPr>
          <w:spacing w:val="-5"/>
          <w:sz w:val="18"/>
        </w:rPr>
        <w:t> </w:t>
      </w:r>
      <w:r>
        <w:rPr>
          <w:sz w:val="18"/>
        </w:rPr>
        <w:t>may</w:t>
      </w:r>
      <w:r>
        <w:rPr>
          <w:spacing w:val="-5"/>
          <w:sz w:val="18"/>
        </w:rPr>
        <w:t> </w:t>
      </w:r>
      <w:r>
        <w:rPr>
          <w:sz w:val="18"/>
        </w:rPr>
        <w:t>be</w:t>
      </w:r>
      <w:r>
        <w:rPr>
          <w:spacing w:val="-5"/>
          <w:sz w:val="18"/>
        </w:rPr>
        <w:t> </w:t>
      </w:r>
      <w:r>
        <w:rPr>
          <w:sz w:val="18"/>
        </w:rPr>
        <w:t>CO</w:t>
      </w:r>
      <w:r>
        <w:rPr>
          <w:position w:val="-5"/>
          <w:sz w:val="10"/>
        </w:rPr>
        <w:t>2</w:t>
      </w:r>
      <w:r>
        <w:rPr>
          <w:sz w:val="18"/>
        </w:rPr>
        <w:t>,</w:t>
      </w:r>
      <w:r>
        <w:rPr>
          <w:spacing w:val="-5"/>
          <w:sz w:val="18"/>
        </w:rPr>
        <w:t> </w:t>
      </w:r>
      <w:r>
        <w:rPr>
          <w:sz w:val="18"/>
        </w:rPr>
        <w:t>H</w:t>
      </w:r>
      <w:r>
        <w:rPr>
          <w:position w:val="-5"/>
          <w:sz w:val="10"/>
        </w:rPr>
        <w:t>2</w:t>
      </w:r>
      <w:r>
        <w:rPr>
          <w:spacing w:val="15"/>
          <w:position w:val="-5"/>
          <w:sz w:val="10"/>
        </w:rPr>
        <w:t> </w:t>
      </w:r>
      <w:r>
        <w:rPr>
          <w:sz w:val="18"/>
        </w:rPr>
        <w:t>or</w:t>
      </w:r>
      <w:r>
        <w:rPr>
          <w:spacing w:val="-5"/>
          <w:sz w:val="18"/>
        </w:rPr>
        <w:t> </w:t>
      </w:r>
      <w:r>
        <w:rPr>
          <w:sz w:val="18"/>
        </w:rPr>
        <w:t>O</w:t>
      </w:r>
      <w:r>
        <w:rPr>
          <w:position w:val="-5"/>
          <w:sz w:val="10"/>
        </w:rPr>
        <w:t>2</w:t>
      </w:r>
      <w:r>
        <w:rPr>
          <w:sz w:val="18"/>
        </w:rPr>
        <w:t>. In Figures 3.2b and 3.2c one of the separated gas streams (A and B) is a concentrated stream of CO</w:t>
      </w:r>
      <w:r>
        <w:rPr>
          <w:position w:val="-5"/>
          <w:sz w:val="10"/>
        </w:rPr>
        <w:t>2</w:t>
      </w:r>
      <w:r>
        <w:rPr>
          <w:sz w:val="18"/>
        </w:rPr>
        <w:t>, H</w:t>
      </w:r>
      <w:r>
        <w:rPr>
          <w:position w:val="-5"/>
          <w:sz w:val="10"/>
        </w:rPr>
        <w:t>2 </w:t>
      </w:r>
      <w:r>
        <w:rPr>
          <w:sz w:val="18"/>
        </w:rPr>
        <w:t>or O</w:t>
      </w:r>
      <w:r>
        <w:rPr>
          <w:position w:val="-5"/>
          <w:sz w:val="10"/>
        </w:rPr>
        <w:t>2 </w:t>
      </w:r>
      <w:r>
        <w:rPr>
          <w:sz w:val="18"/>
        </w:rPr>
        <w:t>and the other is a gas stream with all the remaining gases in the original gas (A+B).</w:t>
      </w:r>
    </w:p>
    <w:p>
      <w:pPr>
        <w:pStyle w:val="BodyText"/>
      </w:pPr>
    </w:p>
    <w:p>
      <w:pPr>
        <w:pStyle w:val="BodyText"/>
        <w:spacing w:before="10"/>
        <w:rPr>
          <w:sz w:val="21"/>
        </w:rPr>
      </w:pPr>
    </w:p>
    <w:p>
      <w:pPr>
        <w:spacing w:after="0"/>
        <w:rPr>
          <w:sz w:val="21"/>
        </w:rPr>
        <w:sectPr>
          <w:pgSz w:w="12240" w:h="15840"/>
          <w:pgMar w:header="567" w:footer="0" w:top="760" w:bottom="280" w:left="620" w:right="0"/>
        </w:sectPr>
      </w:pPr>
    </w:p>
    <w:p>
      <w:pPr>
        <w:pStyle w:val="BodyText"/>
        <w:spacing w:line="240" w:lineRule="exact" w:before="59"/>
        <w:ind w:left="117" w:right="38"/>
        <w:jc w:val="both"/>
      </w:pPr>
      <w:r>
        <w:rPr/>
        <w:t>preferentially separate H</w:t>
      </w:r>
      <w:r>
        <w:rPr>
          <w:position w:val="-6"/>
          <w:sz w:val="11"/>
        </w:rPr>
        <w:t>2 </w:t>
      </w:r>
      <w:r>
        <w:rPr/>
        <w:t>from a fuel gas stream, CO</w:t>
      </w:r>
      <w:r>
        <w:rPr>
          <w:position w:val="-6"/>
          <w:sz w:val="11"/>
        </w:rPr>
        <w:t>2 </w:t>
      </w:r>
      <w:r>
        <w:rPr/>
        <w:t>from a range of process streams or O</w:t>
      </w:r>
      <w:r>
        <w:rPr>
          <w:position w:val="-6"/>
          <w:sz w:val="11"/>
        </w:rPr>
        <w:t>2 </w:t>
      </w:r>
      <w:r>
        <w:rPr/>
        <w:t>from air with the separated O</w:t>
      </w:r>
      <w:r>
        <w:rPr>
          <w:position w:val="-6"/>
          <w:sz w:val="11"/>
        </w:rPr>
        <w:t>2 </w:t>
      </w:r>
      <w:r>
        <w:rPr/>
        <w:t>subsequently aiding the production of a highly concentrated CO</w:t>
      </w:r>
      <w:r>
        <w:rPr>
          <w:position w:val="-6"/>
          <w:sz w:val="11"/>
        </w:rPr>
        <w:t>2</w:t>
      </w:r>
      <w:r>
        <w:rPr>
          <w:spacing w:val="12"/>
          <w:position w:val="-6"/>
          <w:sz w:val="11"/>
        </w:rPr>
        <w:t> </w:t>
      </w:r>
      <w:r>
        <w:rPr/>
        <w:t>stream.</w:t>
      </w:r>
      <w:r>
        <w:rPr>
          <w:spacing w:val="-20"/>
        </w:rPr>
        <w:t> </w:t>
      </w:r>
      <w:r>
        <w:rPr/>
        <w:t>Although</w:t>
      </w:r>
      <w:r>
        <w:rPr>
          <w:spacing w:val="-10"/>
        </w:rPr>
        <w:t> </w:t>
      </w:r>
      <w:r>
        <w:rPr/>
        <w:t>membrane</w:t>
      </w:r>
      <w:r>
        <w:rPr>
          <w:spacing w:val="-10"/>
        </w:rPr>
        <w:t> </w:t>
      </w:r>
      <w:r>
        <w:rPr/>
        <w:t>separation</w:t>
      </w:r>
      <w:r>
        <w:rPr>
          <w:spacing w:val="-10"/>
        </w:rPr>
        <w:t> </w:t>
      </w:r>
      <w:r>
        <w:rPr/>
        <w:t>finds</w:t>
      </w:r>
      <w:r>
        <w:rPr>
          <w:spacing w:val="-10"/>
        </w:rPr>
        <w:t> </w:t>
      </w:r>
      <w:r>
        <w:rPr/>
        <w:t>many</w:t>
      </w:r>
      <w:r>
        <w:rPr>
          <w:spacing w:val="-11"/>
        </w:rPr>
        <w:t> </w:t>
      </w:r>
      <w:r>
        <w:rPr/>
        <w:t>current commercial applications in industry (some of a large scale, like CO</w:t>
      </w:r>
      <w:r>
        <w:rPr>
          <w:position w:val="-6"/>
          <w:sz w:val="11"/>
        </w:rPr>
        <w:t>2 </w:t>
      </w:r>
      <w:r>
        <w:rPr/>
        <w:t>separation from natural gas) they have not yet been applied for the large scale and demanding conditions in terms of reliability and low-cost required for CO</w:t>
      </w:r>
      <w:r>
        <w:rPr>
          <w:position w:val="-6"/>
          <w:sz w:val="11"/>
        </w:rPr>
        <w:t>2 </w:t>
      </w:r>
      <w:r>
        <w:rPr/>
        <w:t>capture systems.  A large worldwide R&amp;D effort is in progress aimed at the manufacture of more suitable membrane materials for CO</w:t>
      </w:r>
      <w:r>
        <w:rPr>
          <w:position w:val="-6"/>
          <w:sz w:val="11"/>
        </w:rPr>
        <w:t>2 </w:t>
      </w:r>
      <w:r>
        <w:rPr/>
        <w:t>capture in large-scale</w:t>
      </w:r>
      <w:r>
        <w:rPr>
          <w:spacing w:val="-1"/>
        </w:rPr>
        <w:t> </w:t>
      </w:r>
      <w:r>
        <w:rPr/>
        <w:t>applications.</w:t>
      </w:r>
    </w:p>
    <w:p>
      <w:pPr>
        <w:pStyle w:val="BodyText"/>
        <w:spacing w:before="3"/>
        <w:rPr>
          <w:sz w:val="21"/>
        </w:rPr>
      </w:pPr>
    </w:p>
    <w:p>
      <w:pPr>
        <w:pStyle w:val="ListParagraph"/>
        <w:numPr>
          <w:ilvl w:val="3"/>
          <w:numId w:val="2"/>
        </w:numPr>
        <w:tabs>
          <w:tab w:pos="937" w:val="left" w:leader="none"/>
        </w:tabs>
        <w:spacing w:line="240" w:lineRule="auto" w:before="0" w:after="0"/>
        <w:ind w:left="937" w:right="0" w:hanging="820"/>
        <w:jc w:val="both"/>
        <w:rPr>
          <w:i/>
          <w:sz w:val="20"/>
        </w:rPr>
      </w:pPr>
      <w:r>
        <w:rPr>
          <w:i/>
          <w:sz w:val="20"/>
        </w:rPr>
        <w:t>Distillation of a liquefied gas stream</w:t>
      </w:r>
      <w:r>
        <w:rPr>
          <w:i/>
          <w:spacing w:val="-9"/>
          <w:sz w:val="20"/>
        </w:rPr>
        <w:t> </w:t>
      </w:r>
      <w:r>
        <w:rPr>
          <w:i/>
          <w:sz w:val="20"/>
        </w:rPr>
        <w:t>and</w:t>
      </w:r>
    </w:p>
    <w:p>
      <w:pPr>
        <w:spacing w:before="10"/>
        <w:ind w:left="937" w:right="0" w:firstLine="0"/>
        <w:jc w:val="both"/>
        <w:rPr>
          <w:i/>
          <w:sz w:val="20"/>
        </w:rPr>
      </w:pPr>
      <w:r>
        <w:rPr>
          <w:i/>
          <w:sz w:val="20"/>
        </w:rPr>
        <w:t>refrigerated separation</w:t>
      </w:r>
    </w:p>
    <w:p>
      <w:pPr>
        <w:pStyle w:val="BodyText"/>
        <w:spacing w:line="240" w:lineRule="exact" w:before="5"/>
        <w:ind w:left="117" w:right="38"/>
        <w:jc w:val="both"/>
      </w:pPr>
      <w:r>
        <w:rPr/>
        <w:t>A gas can be made liquid by a series of compression, cooling and expansion steps. Once in liquid form, the components of the gas can be separated in a distillation column. In the case  of air, this operation is currently carried out commercially </w:t>
      </w:r>
      <w:r>
        <w:rPr>
          <w:spacing w:val="-7"/>
        </w:rPr>
        <w:t>on</w:t>
      </w:r>
      <w:r>
        <w:rPr>
          <w:spacing w:val="36"/>
        </w:rPr>
        <w:t> </w:t>
      </w:r>
      <w:r>
        <w:rPr/>
        <w:t>a large scale. Oxygen can be separated from air following the scheme of Figure 3.2c and be used in a range of CO</w:t>
      </w:r>
      <w:r>
        <w:rPr>
          <w:position w:val="-6"/>
          <w:sz w:val="11"/>
        </w:rPr>
        <w:t>2 </w:t>
      </w:r>
      <w:r>
        <w:rPr/>
        <w:t>capture systems</w:t>
      </w:r>
      <w:r>
        <w:rPr>
          <w:spacing w:val="-7"/>
        </w:rPr>
        <w:t> </w:t>
      </w:r>
      <w:r>
        <w:rPr/>
        <w:t>(oxy-fuel</w:t>
      </w:r>
      <w:r>
        <w:rPr>
          <w:spacing w:val="-6"/>
        </w:rPr>
        <w:t> </w:t>
      </w:r>
      <w:r>
        <w:rPr/>
        <w:t>combustion</w:t>
      </w:r>
      <w:r>
        <w:rPr>
          <w:spacing w:val="-6"/>
        </w:rPr>
        <w:t> </w:t>
      </w:r>
      <w:r>
        <w:rPr/>
        <w:t>and</w:t>
      </w:r>
      <w:r>
        <w:rPr>
          <w:spacing w:val="-7"/>
        </w:rPr>
        <w:t> </w:t>
      </w:r>
      <w:r>
        <w:rPr/>
        <w:t>pre-combustion</w:t>
      </w:r>
      <w:r>
        <w:rPr>
          <w:spacing w:val="-6"/>
        </w:rPr>
        <w:t> </w:t>
      </w:r>
      <w:r>
        <w:rPr/>
        <w:t>capture).</w:t>
      </w:r>
      <w:r>
        <w:rPr>
          <w:spacing w:val="-17"/>
        </w:rPr>
        <w:t> </w:t>
      </w:r>
      <w:r>
        <w:rPr/>
        <w:t>As in</w:t>
      </w:r>
      <w:r>
        <w:rPr>
          <w:spacing w:val="17"/>
        </w:rPr>
        <w:t> </w:t>
      </w:r>
      <w:r>
        <w:rPr/>
        <w:t>the</w:t>
      </w:r>
      <w:r>
        <w:rPr>
          <w:spacing w:val="17"/>
        </w:rPr>
        <w:t> </w:t>
      </w:r>
      <w:r>
        <w:rPr/>
        <w:t>previous</w:t>
      </w:r>
      <w:r>
        <w:rPr>
          <w:spacing w:val="18"/>
        </w:rPr>
        <w:t> </w:t>
      </w:r>
      <w:r>
        <w:rPr/>
        <w:t>paragraphs,</w:t>
      </w:r>
      <w:r>
        <w:rPr>
          <w:spacing w:val="17"/>
        </w:rPr>
        <w:t> </w:t>
      </w:r>
      <w:r>
        <w:rPr/>
        <w:t>the</w:t>
      </w:r>
      <w:r>
        <w:rPr>
          <w:spacing w:val="18"/>
        </w:rPr>
        <w:t> </w:t>
      </w:r>
      <w:r>
        <w:rPr/>
        <w:t>key</w:t>
      </w:r>
      <w:r>
        <w:rPr>
          <w:spacing w:val="17"/>
        </w:rPr>
        <w:t> </w:t>
      </w:r>
      <w:r>
        <w:rPr/>
        <w:t>issue</w:t>
      </w:r>
      <w:r>
        <w:rPr>
          <w:spacing w:val="17"/>
        </w:rPr>
        <w:t> </w:t>
      </w:r>
      <w:r>
        <w:rPr/>
        <w:t>for</w:t>
      </w:r>
      <w:r>
        <w:rPr>
          <w:spacing w:val="18"/>
        </w:rPr>
        <w:t> </w:t>
      </w:r>
      <w:r>
        <w:rPr/>
        <w:t>these</w:t>
      </w:r>
      <w:r>
        <w:rPr>
          <w:spacing w:val="17"/>
        </w:rPr>
        <w:t> </w:t>
      </w:r>
      <w:r>
        <w:rPr/>
        <w:t>systems</w:t>
      </w:r>
      <w:r>
        <w:rPr>
          <w:spacing w:val="18"/>
        </w:rPr>
        <w:t> </w:t>
      </w:r>
      <w:r>
        <w:rPr/>
        <w:t>is</w:t>
      </w:r>
    </w:p>
    <w:p>
      <w:pPr>
        <w:pStyle w:val="BodyText"/>
        <w:spacing w:line="240" w:lineRule="exact" w:before="59"/>
        <w:ind w:left="117" w:right="1131" w:hanging="1"/>
        <w:jc w:val="both"/>
      </w:pPr>
      <w:r>
        <w:rPr/>
        <w:br w:type="column"/>
      </w:r>
      <w:r>
        <w:rPr/>
        <w:t>the large flow of oxygen required. Refrigerated separation can also be used to separate CO</w:t>
      </w:r>
      <w:r>
        <w:rPr>
          <w:position w:val="-6"/>
          <w:sz w:val="11"/>
        </w:rPr>
        <w:t>2 </w:t>
      </w:r>
      <w:r>
        <w:rPr/>
        <w:t>from other gases. It can be used  to separate impurities from relatively high purity CO</w:t>
      </w:r>
      <w:r>
        <w:rPr>
          <w:position w:val="-6"/>
          <w:sz w:val="11"/>
        </w:rPr>
        <w:t>2 </w:t>
      </w:r>
      <w:r>
        <w:rPr/>
        <w:t>streams, for example, from oxy-fuel combustion and for CO</w:t>
      </w:r>
      <w:r>
        <w:rPr>
          <w:position w:val="-6"/>
          <w:sz w:val="11"/>
        </w:rPr>
        <w:t>2 </w:t>
      </w:r>
      <w:r>
        <w:rPr/>
        <w:t>removal from natural gas or synthesis gas that has undergone a shift conversion of CO to CO</w:t>
      </w:r>
      <w:r>
        <w:rPr>
          <w:position w:val="-6"/>
          <w:sz w:val="11"/>
        </w:rPr>
        <w:t>2</w:t>
      </w:r>
      <w:r>
        <w:rPr/>
        <w:t>.</w:t>
      </w:r>
    </w:p>
    <w:p>
      <w:pPr>
        <w:pStyle w:val="BodyText"/>
        <w:spacing w:before="3"/>
        <w:rPr>
          <w:sz w:val="21"/>
        </w:rPr>
      </w:pPr>
    </w:p>
    <w:p>
      <w:pPr>
        <w:pStyle w:val="Heading2"/>
        <w:numPr>
          <w:ilvl w:val="2"/>
          <w:numId w:val="2"/>
        </w:numPr>
        <w:tabs>
          <w:tab w:pos="825" w:val="left" w:leader="none"/>
          <w:tab w:pos="827" w:val="left" w:leader="none"/>
        </w:tabs>
        <w:spacing w:line="240" w:lineRule="auto" w:before="0" w:after="0"/>
        <w:ind w:left="826" w:right="0" w:hanging="710"/>
        <w:jc w:val="left"/>
        <w:rPr>
          <w:i/>
        </w:rPr>
      </w:pPr>
      <w:r>
        <w:rPr>
          <w:i/>
        </w:rPr>
        <w:t>Application of CO</w:t>
      </w:r>
      <w:r>
        <w:rPr>
          <w:i/>
          <w:position w:val="-6"/>
          <w:sz w:val="11"/>
        </w:rPr>
        <w:t>2</w:t>
      </w:r>
      <w:r>
        <w:rPr>
          <w:i/>
          <w:spacing w:val="22"/>
          <w:position w:val="-6"/>
          <w:sz w:val="11"/>
        </w:rPr>
        <w:t> </w:t>
      </w:r>
      <w:r>
        <w:rPr>
          <w:i/>
        </w:rPr>
        <w:t>capture</w:t>
      </w:r>
    </w:p>
    <w:p>
      <w:pPr>
        <w:pStyle w:val="BodyText"/>
        <w:spacing w:line="240" w:lineRule="exact" w:before="195"/>
        <w:ind w:left="117" w:right="1129"/>
        <w:jc w:val="both"/>
      </w:pPr>
      <w:r>
        <w:rPr/>
        <w:t>The CO</w:t>
      </w:r>
      <w:r>
        <w:rPr>
          <w:position w:val="-6"/>
          <w:sz w:val="11"/>
        </w:rPr>
        <w:t>2 </w:t>
      </w:r>
      <w:r>
        <w:rPr/>
        <w:t>capture systems shown in </w:t>
      </w:r>
      <w:hyperlink w:history="true" w:anchor="_bookmark1">
        <w:r>
          <w:rPr/>
          <w:t>Figure 3.1</w:t>
        </w:r>
      </w:hyperlink>
      <w:r>
        <w:rPr/>
        <w:t> can be cross- referenced with the different separation technologies of </w:t>
      </w:r>
      <w:hyperlink w:history="true" w:anchor="_bookmark3">
        <w:r>
          <w:rPr/>
          <w:t>Figure</w:t>
        </w:r>
      </w:hyperlink>
      <w:r>
        <w:rPr/>
        <w:t> </w:t>
      </w:r>
      <w:hyperlink w:history="true" w:anchor="_bookmark3">
        <w:r>
          <w:rPr/>
          <w:t>3.2, </w:t>
        </w:r>
      </w:hyperlink>
      <w:r>
        <w:rPr/>
        <w:t>resulting in a capture toolbox. </w:t>
      </w:r>
      <w:hyperlink w:history="true" w:anchor="_bookmark4">
        <w:r>
          <w:rPr>
            <w:spacing w:val="-3"/>
          </w:rPr>
          <w:t>Table </w:t>
        </w:r>
        <w:r>
          <w:rPr/>
          <w:t>3.1 </w:t>
        </w:r>
      </w:hyperlink>
      <w:r>
        <w:rPr/>
        <w:t>gives an overview of</w:t>
      </w:r>
      <w:r>
        <w:rPr>
          <w:spacing w:val="-13"/>
        </w:rPr>
        <w:t> </w:t>
      </w:r>
      <w:r>
        <w:rPr/>
        <w:t>both</w:t>
      </w:r>
      <w:r>
        <w:rPr>
          <w:spacing w:val="-12"/>
        </w:rPr>
        <w:t> </w:t>
      </w:r>
      <w:r>
        <w:rPr/>
        <w:t>current</w:t>
      </w:r>
      <w:r>
        <w:rPr>
          <w:spacing w:val="-13"/>
        </w:rPr>
        <w:t> </w:t>
      </w:r>
      <w:r>
        <w:rPr/>
        <w:t>and</w:t>
      </w:r>
      <w:r>
        <w:rPr>
          <w:spacing w:val="-12"/>
        </w:rPr>
        <w:t> </w:t>
      </w:r>
      <w:r>
        <w:rPr/>
        <w:t>emerging</w:t>
      </w:r>
      <w:r>
        <w:rPr>
          <w:spacing w:val="-12"/>
        </w:rPr>
        <w:t> </w:t>
      </w:r>
      <w:r>
        <w:rPr/>
        <w:t>technologies</w:t>
      </w:r>
      <w:r>
        <w:rPr>
          <w:spacing w:val="-13"/>
        </w:rPr>
        <w:t> </w:t>
      </w:r>
      <w:r>
        <w:rPr/>
        <w:t>in</w:t>
      </w:r>
      <w:r>
        <w:rPr>
          <w:spacing w:val="-12"/>
        </w:rPr>
        <w:t> </w:t>
      </w:r>
      <w:r>
        <w:rPr/>
        <w:t>this</w:t>
      </w:r>
      <w:r>
        <w:rPr>
          <w:spacing w:val="-13"/>
        </w:rPr>
        <w:t> </w:t>
      </w:r>
      <w:r>
        <w:rPr/>
        <w:t>toolbox.</w:t>
      </w:r>
      <w:r>
        <w:rPr>
          <w:spacing w:val="-12"/>
        </w:rPr>
        <w:t> </w:t>
      </w:r>
      <w:r>
        <w:rPr/>
        <w:t>In</w:t>
      </w:r>
      <w:r>
        <w:rPr>
          <w:spacing w:val="-12"/>
        </w:rPr>
        <w:t> </w:t>
      </w:r>
      <w:r>
        <w:rPr/>
        <w:t>the next sections of this chapter a more detailed description of all these technological options will be given, with more emphasis on the most developed technologies for which the CO</w:t>
      </w:r>
      <w:r>
        <w:rPr>
          <w:position w:val="-6"/>
          <w:sz w:val="11"/>
        </w:rPr>
        <w:t>2 </w:t>
      </w:r>
      <w:r>
        <w:rPr/>
        <w:t>capture cost can be estimated most reliably. These leading commercial options are shown in bold in </w:t>
      </w:r>
      <w:hyperlink w:history="true" w:anchor="_bookmark4">
        <w:r>
          <w:rPr>
            <w:spacing w:val="-3"/>
          </w:rPr>
          <w:t>Table </w:t>
        </w:r>
        <w:r>
          <w:rPr/>
          <w:t>3.1. </w:t>
        </w:r>
      </w:hyperlink>
      <w:r>
        <w:rPr/>
        <w:t>An overview of the diverse</w:t>
      </w:r>
      <w:r>
        <w:rPr>
          <w:spacing w:val="-17"/>
        </w:rPr>
        <w:t> </w:t>
      </w:r>
      <w:r>
        <w:rPr/>
        <w:t>range</w:t>
      </w:r>
      <w:r>
        <w:rPr>
          <w:spacing w:val="-17"/>
        </w:rPr>
        <w:t> </w:t>
      </w:r>
      <w:r>
        <w:rPr/>
        <w:t>of</w:t>
      </w:r>
      <w:r>
        <w:rPr>
          <w:spacing w:val="-17"/>
        </w:rPr>
        <w:t> </w:t>
      </w:r>
      <w:r>
        <w:rPr/>
        <w:t>emerging</w:t>
      </w:r>
      <w:r>
        <w:rPr>
          <w:spacing w:val="-16"/>
        </w:rPr>
        <w:t> </w:t>
      </w:r>
      <w:r>
        <w:rPr/>
        <w:t>options</w:t>
      </w:r>
      <w:r>
        <w:rPr>
          <w:spacing w:val="-17"/>
        </w:rPr>
        <w:t> </w:t>
      </w:r>
      <w:r>
        <w:rPr/>
        <w:t>being</w:t>
      </w:r>
      <w:r>
        <w:rPr>
          <w:spacing w:val="-17"/>
        </w:rPr>
        <w:t> </w:t>
      </w:r>
      <w:r>
        <w:rPr/>
        <w:t>investigated</w:t>
      </w:r>
      <w:r>
        <w:rPr>
          <w:spacing w:val="-17"/>
        </w:rPr>
        <w:t> </w:t>
      </w:r>
      <w:r>
        <w:rPr/>
        <w:t>worldwide for CO</w:t>
      </w:r>
      <w:r>
        <w:rPr>
          <w:position w:val="-6"/>
          <w:sz w:val="11"/>
        </w:rPr>
        <w:t>2 </w:t>
      </w:r>
      <w:r>
        <w:rPr/>
        <w:t>capture applications will also be provided. All of these options are aimed at more efficient and lower cost</w:t>
      </w:r>
      <w:r>
        <w:rPr>
          <w:spacing w:val="-19"/>
        </w:rPr>
        <w:t> </w:t>
      </w:r>
      <w:r>
        <w:rPr/>
        <w:t>CO</w:t>
      </w:r>
      <w:r>
        <w:rPr>
          <w:position w:val="-6"/>
          <w:sz w:val="11"/>
        </w:rPr>
        <w:t>2</w:t>
      </w:r>
      <w:r>
        <w:rPr/>
        <w:t>-capture systems</w:t>
      </w:r>
      <w:r>
        <w:rPr>
          <w:spacing w:val="26"/>
        </w:rPr>
        <w:t> </w:t>
      </w:r>
      <w:r>
        <w:rPr/>
        <w:t>(compared</w:t>
      </w:r>
      <w:r>
        <w:rPr>
          <w:spacing w:val="27"/>
        </w:rPr>
        <w:t> </w:t>
      </w:r>
      <w:r>
        <w:rPr/>
        <w:t>with</w:t>
      </w:r>
      <w:r>
        <w:rPr>
          <w:spacing w:val="27"/>
        </w:rPr>
        <w:t> </w:t>
      </w:r>
      <w:r>
        <w:rPr/>
        <w:t>the</w:t>
      </w:r>
      <w:r>
        <w:rPr>
          <w:spacing w:val="27"/>
        </w:rPr>
        <w:t> </w:t>
      </w:r>
      <w:r>
        <w:rPr/>
        <w:t>leading</w:t>
      </w:r>
      <w:r>
        <w:rPr>
          <w:spacing w:val="27"/>
        </w:rPr>
        <w:t> </w:t>
      </w:r>
      <w:r>
        <w:rPr/>
        <w:t>options).</w:t>
      </w:r>
      <w:r>
        <w:rPr>
          <w:spacing w:val="27"/>
        </w:rPr>
        <w:t> </w:t>
      </w:r>
      <w:r>
        <w:rPr/>
        <w:t>It</w:t>
      </w:r>
      <w:r>
        <w:rPr>
          <w:spacing w:val="27"/>
        </w:rPr>
        <w:t> </w:t>
      </w:r>
      <w:r>
        <w:rPr/>
        <w:t>is</w:t>
      </w:r>
      <w:r>
        <w:rPr>
          <w:spacing w:val="27"/>
        </w:rPr>
        <w:t> </w:t>
      </w:r>
      <w:r>
        <w:rPr/>
        <w:t>important</w:t>
      </w:r>
    </w:p>
    <w:p>
      <w:pPr>
        <w:spacing w:after="0" w:line="240" w:lineRule="exact"/>
        <w:jc w:val="both"/>
        <w:sectPr>
          <w:type w:val="continuous"/>
          <w:pgSz w:w="12240" w:h="15840"/>
          <w:pgMar w:top="480" w:bottom="280" w:left="620" w:right="0"/>
          <w:cols w:num="2" w:equalWidth="0">
            <w:col w:w="5202" w:space="124"/>
            <w:col w:w="6294"/>
          </w:cols>
        </w:sectPr>
      </w:pPr>
    </w:p>
    <w:p>
      <w:pPr>
        <w:pStyle w:val="BodyText"/>
      </w:pPr>
      <w:r>
        <w:rPr/>
        <w:pict>
          <v:shape style="position:absolute;margin-left:67.443001pt;margin-top:56.742001pt;width:223.55pt;height:678.6pt;mso-position-horizontal-relative:page;mso-position-vertical-relative:page;z-index:25166848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
                    <w:gridCol w:w="280"/>
                    <w:gridCol w:w="472"/>
                    <w:gridCol w:w="1048"/>
                    <w:gridCol w:w="856"/>
                    <w:gridCol w:w="1048"/>
                    <w:gridCol w:w="472"/>
                  </w:tblGrid>
                  <w:tr>
                    <w:trPr>
                      <w:trHeight w:val="2149" w:hRule="atLeast"/>
                    </w:trPr>
                    <w:tc>
                      <w:tcPr>
                        <w:tcW w:w="280" w:type="dxa"/>
                        <w:vMerge w:val="restart"/>
                        <w:shd w:val="clear" w:color="auto" w:fill="E0EEE0"/>
                        <w:textDirection w:val="btLr"/>
                      </w:tcPr>
                      <w:p>
                        <w:pPr>
                          <w:pStyle w:val="TableParagraph"/>
                          <w:spacing w:before="50"/>
                          <w:ind w:left="960"/>
                          <w:jc w:val="left"/>
                          <w:rPr>
                            <w:b/>
                            <w:sz w:val="16"/>
                          </w:rPr>
                        </w:pPr>
                        <w:r>
                          <w:rPr>
                            <w:b/>
                            <w:sz w:val="16"/>
                          </w:rPr>
                          <w:t>Pre-combustion capture</w:t>
                        </w:r>
                      </w:p>
                    </w:tc>
                    <w:tc>
                      <w:tcPr>
                        <w:tcW w:w="280" w:type="dxa"/>
                        <w:vMerge w:val="restart"/>
                        <w:shd w:val="clear" w:color="auto" w:fill="E0EEE0"/>
                        <w:textDirection w:val="btLr"/>
                      </w:tcPr>
                      <w:p>
                        <w:pPr>
                          <w:pStyle w:val="TableParagraph"/>
                          <w:spacing w:line="199" w:lineRule="exact" w:before="50"/>
                          <w:ind w:left="1513" w:right="1513"/>
                          <w:rPr>
                            <w:b/>
                            <w:sz w:val="9"/>
                          </w:rPr>
                        </w:pPr>
                        <w:r>
                          <w:rPr>
                            <w:b/>
                            <w:sz w:val="16"/>
                          </w:rPr>
                          <w:t>CO</w:t>
                        </w:r>
                        <w:r>
                          <w:rPr>
                            <w:b/>
                            <w:position w:val="-4"/>
                            <w:sz w:val="9"/>
                          </w:rPr>
                          <w:t>2</w:t>
                        </w:r>
                        <w:r>
                          <w:rPr>
                            <w:b/>
                            <w:sz w:val="16"/>
                          </w:rPr>
                          <w:t>/H</w:t>
                        </w:r>
                        <w:r>
                          <w:rPr>
                            <w:b/>
                            <w:position w:val="-4"/>
                            <w:sz w:val="9"/>
                          </w:rPr>
                          <w:t>2</w:t>
                        </w:r>
                      </w:p>
                    </w:tc>
                    <w:tc>
                      <w:tcPr>
                        <w:tcW w:w="472" w:type="dxa"/>
                        <w:shd w:val="clear" w:color="auto" w:fill="E0EEE0"/>
                        <w:textDirection w:val="btLr"/>
                      </w:tcPr>
                      <w:p>
                        <w:pPr>
                          <w:pStyle w:val="TableParagraph"/>
                          <w:spacing w:before="50"/>
                          <w:ind w:left="75"/>
                          <w:jc w:val="left"/>
                          <w:rPr>
                            <w:b/>
                            <w:sz w:val="16"/>
                          </w:rPr>
                        </w:pPr>
                        <w:r>
                          <w:rPr>
                            <w:b/>
                            <w:sz w:val="16"/>
                          </w:rPr>
                          <w:t>Emerging</w:t>
                        </w:r>
                      </w:p>
                    </w:tc>
                    <w:tc>
                      <w:tcPr>
                        <w:tcW w:w="1048" w:type="dxa"/>
                        <w:shd w:val="clear" w:color="auto" w:fill="F9FCF9"/>
                        <w:textDirection w:val="btLr"/>
                      </w:tcPr>
                      <w:p>
                        <w:pPr>
                          <w:pStyle w:val="TableParagraph"/>
                          <w:spacing w:line="249" w:lineRule="auto" w:before="50"/>
                          <w:ind w:left="75" w:right="147"/>
                          <w:jc w:val="left"/>
                          <w:rPr>
                            <w:sz w:val="16"/>
                          </w:rPr>
                        </w:pPr>
                        <w:r>
                          <w:rPr>
                            <w:sz w:val="16"/>
                          </w:rPr>
                          <w:t>Improved chemical solvents Novel contacting equipment Improved design of processes</w:t>
                        </w:r>
                      </w:p>
                    </w:tc>
                    <w:tc>
                      <w:tcPr>
                        <w:tcW w:w="856" w:type="dxa"/>
                        <w:shd w:val="clear" w:color="auto" w:fill="F9FCF9"/>
                        <w:textDirection w:val="btLr"/>
                      </w:tcPr>
                      <w:p>
                        <w:pPr>
                          <w:pStyle w:val="TableParagraph"/>
                          <w:spacing w:line="249" w:lineRule="auto" w:before="50"/>
                          <w:ind w:left="75" w:right="1360"/>
                          <w:jc w:val="left"/>
                          <w:rPr>
                            <w:sz w:val="16"/>
                          </w:rPr>
                        </w:pPr>
                        <w:r>
                          <w:rPr>
                            <w:sz w:val="16"/>
                          </w:rPr>
                          <w:t>Ceramic Palladium Reactors Contactors</w:t>
                        </w:r>
                      </w:p>
                    </w:tc>
                    <w:tc>
                      <w:tcPr>
                        <w:tcW w:w="1048" w:type="dxa"/>
                        <w:shd w:val="clear" w:color="auto" w:fill="F9FCF9"/>
                        <w:textDirection w:val="btLr"/>
                      </w:tcPr>
                      <w:p>
                        <w:pPr>
                          <w:pStyle w:val="TableParagraph"/>
                          <w:spacing w:line="249" w:lineRule="auto" w:before="50"/>
                          <w:ind w:left="75" w:right="432"/>
                          <w:jc w:val="left"/>
                          <w:rPr>
                            <w:sz w:val="16"/>
                          </w:rPr>
                        </w:pPr>
                        <w:r>
                          <w:rPr>
                            <w:sz w:val="16"/>
                          </w:rPr>
                          <w:t>Carbonates Hydrotalcites Silicates</w:t>
                        </w:r>
                      </w:p>
                    </w:tc>
                    <w:tc>
                      <w:tcPr>
                        <w:tcW w:w="472" w:type="dxa"/>
                        <w:shd w:val="clear" w:color="auto" w:fill="F9FCF9"/>
                        <w:textDirection w:val="btLr"/>
                      </w:tcPr>
                      <w:p>
                        <w:pPr>
                          <w:pStyle w:val="TableParagraph"/>
                          <w:spacing w:before="50"/>
                          <w:ind w:left="75"/>
                          <w:jc w:val="left"/>
                          <w:rPr>
                            <w:sz w:val="16"/>
                          </w:rPr>
                        </w:pPr>
                        <w:r>
                          <w:rPr>
                            <w:sz w:val="16"/>
                          </w:rPr>
                          <w:t>Hybrid processes</w:t>
                        </w:r>
                      </w:p>
                    </w:tc>
                  </w:tr>
                  <w:tr>
                    <w:trPr>
                      <w:trHeight w:val="1407" w:hRule="atLeast"/>
                    </w:trPr>
                    <w:tc>
                      <w:tcPr>
                        <w:tcW w:w="280" w:type="dxa"/>
                        <w:vMerge/>
                        <w:tcBorders>
                          <w:top w:val="nil"/>
                        </w:tcBorders>
                        <w:shd w:val="clear" w:color="auto" w:fill="E0EEE0"/>
                        <w:textDirection w:val="btLr"/>
                      </w:tcPr>
                      <w:p>
                        <w:pPr>
                          <w:rPr>
                            <w:sz w:val="2"/>
                            <w:szCs w:val="2"/>
                          </w:rPr>
                        </w:pPr>
                      </w:p>
                    </w:tc>
                    <w:tc>
                      <w:tcPr>
                        <w:tcW w:w="280" w:type="dxa"/>
                        <w:vMerge/>
                        <w:tcBorders>
                          <w:top w:val="nil"/>
                        </w:tcBorders>
                        <w:shd w:val="clear" w:color="auto" w:fill="E0EEE0"/>
                        <w:textDirection w:val="btLr"/>
                      </w:tcPr>
                      <w:p>
                        <w:pPr>
                          <w:rPr>
                            <w:sz w:val="2"/>
                            <w:szCs w:val="2"/>
                          </w:rPr>
                        </w:pPr>
                      </w:p>
                    </w:tc>
                    <w:tc>
                      <w:tcPr>
                        <w:tcW w:w="472" w:type="dxa"/>
                        <w:shd w:val="clear" w:color="auto" w:fill="E0EEE0"/>
                        <w:textDirection w:val="btLr"/>
                      </w:tcPr>
                      <w:p>
                        <w:pPr>
                          <w:pStyle w:val="TableParagraph"/>
                          <w:spacing w:before="50"/>
                          <w:ind w:left="75"/>
                          <w:jc w:val="left"/>
                          <w:rPr>
                            <w:b/>
                            <w:sz w:val="16"/>
                          </w:rPr>
                        </w:pPr>
                        <w:r>
                          <w:rPr>
                            <w:b/>
                            <w:sz w:val="16"/>
                          </w:rPr>
                          <w:t>Current</w:t>
                        </w:r>
                      </w:p>
                    </w:tc>
                    <w:tc>
                      <w:tcPr>
                        <w:tcW w:w="1048" w:type="dxa"/>
                        <w:shd w:val="clear" w:color="auto" w:fill="F9FCF9"/>
                        <w:textDirection w:val="btLr"/>
                      </w:tcPr>
                      <w:p>
                        <w:pPr>
                          <w:pStyle w:val="TableParagraph"/>
                          <w:spacing w:line="249" w:lineRule="auto" w:before="50"/>
                          <w:ind w:left="75" w:right="80"/>
                          <w:jc w:val="left"/>
                          <w:rPr>
                            <w:b/>
                            <w:sz w:val="16"/>
                          </w:rPr>
                        </w:pPr>
                        <w:r>
                          <w:rPr>
                            <w:b/>
                            <w:sz w:val="16"/>
                          </w:rPr>
                          <w:t>Physical solvent Chemical solvents</w:t>
                        </w:r>
                      </w:p>
                    </w:tc>
                    <w:tc>
                      <w:tcPr>
                        <w:tcW w:w="856" w:type="dxa"/>
                        <w:shd w:val="clear" w:color="auto" w:fill="F9FCF9"/>
                        <w:textDirection w:val="btLr"/>
                      </w:tcPr>
                      <w:p>
                        <w:pPr>
                          <w:pStyle w:val="TableParagraph"/>
                          <w:spacing w:before="50"/>
                          <w:ind w:left="75"/>
                          <w:jc w:val="left"/>
                          <w:rPr>
                            <w:sz w:val="16"/>
                          </w:rPr>
                        </w:pPr>
                        <w:r>
                          <w:rPr>
                            <w:sz w:val="16"/>
                          </w:rPr>
                          <w:t>Polymeric</w:t>
                        </w:r>
                      </w:p>
                    </w:tc>
                    <w:tc>
                      <w:tcPr>
                        <w:tcW w:w="1048" w:type="dxa"/>
                        <w:shd w:val="clear" w:color="auto" w:fill="F9FCF9"/>
                        <w:textDirection w:val="btLr"/>
                      </w:tcPr>
                      <w:p>
                        <w:pPr>
                          <w:pStyle w:val="TableParagraph"/>
                          <w:spacing w:line="249" w:lineRule="auto" w:before="50"/>
                          <w:ind w:left="75" w:right="214"/>
                          <w:jc w:val="left"/>
                          <w:rPr>
                            <w:sz w:val="16"/>
                          </w:rPr>
                        </w:pPr>
                        <w:r>
                          <w:rPr>
                            <w:sz w:val="16"/>
                          </w:rPr>
                          <w:t>Zeolites Activated carbon Alumina</w:t>
                        </w:r>
                      </w:p>
                    </w:tc>
                    <w:tc>
                      <w:tcPr>
                        <w:tcW w:w="472" w:type="dxa"/>
                        <w:shd w:val="clear" w:color="auto" w:fill="F9FCF9"/>
                        <w:textDirection w:val="btLr"/>
                      </w:tcPr>
                      <w:p>
                        <w:pPr>
                          <w:pStyle w:val="TableParagraph"/>
                          <w:spacing w:before="50"/>
                          <w:ind w:left="75"/>
                          <w:jc w:val="left"/>
                          <w:rPr>
                            <w:sz w:val="16"/>
                          </w:rPr>
                        </w:pPr>
                        <w:r>
                          <w:rPr>
                            <w:sz w:val="16"/>
                          </w:rPr>
                          <w:t>Liquefaction</w:t>
                        </w:r>
                      </w:p>
                    </w:tc>
                  </w:tr>
                  <w:tr>
                    <w:trPr>
                      <w:trHeight w:val="1700" w:hRule="atLeast"/>
                    </w:trPr>
                    <w:tc>
                      <w:tcPr>
                        <w:tcW w:w="280" w:type="dxa"/>
                        <w:vMerge w:val="restart"/>
                        <w:shd w:val="clear" w:color="auto" w:fill="E0EEE0"/>
                        <w:textDirection w:val="btLr"/>
                      </w:tcPr>
                      <w:p>
                        <w:pPr>
                          <w:pStyle w:val="TableParagraph"/>
                          <w:spacing w:before="50"/>
                          <w:ind w:left="370"/>
                          <w:jc w:val="left"/>
                          <w:rPr>
                            <w:b/>
                            <w:sz w:val="16"/>
                          </w:rPr>
                        </w:pPr>
                        <w:r>
                          <w:rPr>
                            <w:b/>
                            <w:sz w:val="16"/>
                          </w:rPr>
                          <w:t>Oxy-fuel combustion capture</w:t>
                        </w:r>
                      </w:p>
                    </w:tc>
                    <w:tc>
                      <w:tcPr>
                        <w:tcW w:w="280" w:type="dxa"/>
                        <w:vMerge w:val="restart"/>
                        <w:shd w:val="clear" w:color="auto" w:fill="E0EEE0"/>
                        <w:textDirection w:val="btLr"/>
                      </w:tcPr>
                      <w:p>
                        <w:pPr>
                          <w:pStyle w:val="TableParagraph"/>
                          <w:spacing w:line="199" w:lineRule="exact" w:before="50"/>
                          <w:ind w:left="1161" w:right="1161"/>
                          <w:rPr>
                            <w:b/>
                            <w:sz w:val="9"/>
                          </w:rPr>
                        </w:pPr>
                        <w:r>
                          <w:rPr>
                            <w:b/>
                            <w:sz w:val="16"/>
                          </w:rPr>
                          <w:t>O</w:t>
                        </w:r>
                        <w:r>
                          <w:rPr>
                            <w:b/>
                            <w:position w:val="-4"/>
                            <w:sz w:val="9"/>
                          </w:rPr>
                          <w:t>2</w:t>
                        </w:r>
                        <w:r>
                          <w:rPr>
                            <w:b/>
                            <w:sz w:val="16"/>
                          </w:rPr>
                          <w:t>/N</w:t>
                        </w:r>
                        <w:r>
                          <w:rPr>
                            <w:b/>
                            <w:position w:val="-4"/>
                            <w:sz w:val="9"/>
                          </w:rPr>
                          <w:t>2</w:t>
                        </w:r>
                      </w:p>
                    </w:tc>
                    <w:tc>
                      <w:tcPr>
                        <w:tcW w:w="472" w:type="dxa"/>
                        <w:shd w:val="clear" w:color="auto" w:fill="E0EEE0"/>
                        <w:textDirection w:val="btLr"/>
                      </w:tcPr>
                      <w:p>
                        <w:pPr>
                          <w:pStyle w:val="TableParagraph"/>
                          <w:spacing w:before="50"/>
                          <w:ind w:left="75"/>
                          <w:jc w:val="left"/>
                          <w:rPr>
                            <w:b/>
                            <w:sz w:val="16"/>
                          </w:rPr>
                        </w:pPr>
                        <w:r>
                          <w:rPr>
                            <w:b/>
                            <w:sz w:val="16"/>
                          </w:rPr>
                          <w:t>Emerging</w:t>
                        </w:r>
                      </w:p>
                    </w:tc>
                    <w:tc>
                      <w:tcPr>
                        <w:tcW w:w="1048" w:type="dxa"/>
                        <w:shd w:val="clear" w:color="auto" w:fill="F9FCF9"/>
                        <w:textDirection w:val="btLr"/>
                      </w:tcPr>
                      <w:p>
                        <w:pPr>
                          <w:pStyle w:val="TableParagraph"/>
                          <w:spacing w:before="50"/>
                          <w:ind w:left="75"/>
                          <w:jc w:val="left"/>
                          <w:rPr>
                            <w:sz w:val="16"/>
                          </w:rPr>
                        </w:pPr>
                        <w:r>
                          <w:rPr>
                            <w:sz w:val="16"/>
                          </w:rPr>
                          <w:t>Biomimetic solvents,</w:t>
                        </w:r>
                      </w:p>
                      <w:p>
                        <w:pPr>
                          <w:pStyle w:val="TableParagraph"/>
                          <w:spacing w:line="249" w:lineRule="auto" w:before="8"/>
                          <w:ind w:left="75" w:right="445"/>
                          <w:jc w:val="left"/>
                          <w:rPr>
                            <w:sz w:val="16"/>
                          </w:rPr>
                        </w:pPr>
                        <w:r>
                          <w:rPr>
                            <w:sz w:val="16"/>
                          </w:rPr>
                          <w:t>e.g. hemoglobine- derivatives</w:t>
                        </w:r>
                      </w:p>
                    </w:tc>
                    <w:tc>
                      <w:tcPr>
                        <w:tcW w:w="856" w:type="dxa"/>
                        <w:shd w:val="clear" w:color="auto" w:fill="F9FCF9"/>
                        <w:textDirection w:val="btLr"/>
                      </w:tcPr>
                      <w:p>
                        <w:pPr>
                          <w:pStyle w:val="TableParagraph"/>
                          <w:spacing w:line="249" w:lineRule="auto" w:before="50"/>
                          <w:ind w:left="75" w:right="320"/>
                          <w:jc w:val="left"/>
                          <w:rPr>
                            <w:sz w:val="16"/>
                          </w:rPr>
                        </w:pPr>
                        <w:r>
                          <w:rPr>
                            <w:sz w:val="16"/>
                          </w:rPr>
                          <w:t>Ion transport membranes Facilitated transport</w:t>
                        </w:r>
                      </w:p>
                    </w:tc>
                    <w:tc>
                      <w:tcPr>
                        <w:tcW w:w="1048" w:type="dxa"/>
                        <w:shd w:val="clear" w:color="auto" w:fill="F9FCF9"/>
                        <w:textDirection w:val="btLr"/>
                      </w:tcPr>
                      <w:p>
                        <w:pPr>
                          <w:pStyle w:val="TableParagraph"/>
                          <w:spacing w:line="228" w:lineRule="auto" w:before="56"/>
                          <w:ind w:left="75" w:right="244"/>
                          <w:jc w:val="left"/>
                          <w:rPr>
                            <w:sz w:val="16"/>
                          </w:rPr>
                        </w:pPr>
                        <w:r>
                          <w:rPr>
                            <w:sz w:val="16"/>
                          </w:rPr>
                          <w:t>Adsorbents for O</w:t>
                        </w:r>
                        <w:r>
                          <w:rPr>
                            <w:position w:val="-4"/>
                            <w:sz w:val="9"/>
                          </w:rPr>
                          <w:t>2</w:t>
                        </w:r>
                        <w:r>
                          <w:rPr>
                            <w:sz w:val="16"/>
                          </w:rPr>
                          <w:t>/N</w:t>
                        </w:r>
                        <w:r>
                          <w:rPr>
                            <w:position w:val="-4"/>
                            <w:sz w:val="9"/>
                          </w:rPr>
                          <w:t>2 </w:t>
                        </w:r>
                        <w:r>
                          <w:rPr>
                            <w:sz w:val="16"/>
                          </w:rPr>
                          <w:t>separation, Perovskites</w:t>
                        </w:r>
                      </w:p>
                      <w:p>
                        <w:pPr>
                          <w:pStyle w:val="TableParagraph"/>
                          <w:spacing w:line="249" w:lineRule="auto" w:before="11"/>
                          <w:ind w:left="75" w:right="481"/>
                          <w:jc w:val="left"/>
                          <w:rPr>
                            <w:sz w:val="16"/>
                          </w:rPr>
                        </w:pPr>
                        <w:r>
                          <w:rPr>
                            <w:sz w:val="16"/>
                          </w:rPr>
                          <w:t>Oxygen chemical looping</w:t>
                        </w:r>
                      </w:p>
                    </w:tc>
                    <w:tc>
                      <w:tcPr>
                        <w:tcW w:w="472" w:type="dxa"/>
                        <w:shd w:val="clear" w:color="auto" w:fill="F9FCF9"/>
                        <w:textDirection w:val="btLr"/>
                      </w:tcPr>
                      <w:p>
                        <w:pPr>
                          <w:pStyle w:val="TableParagraph"/>
                          <w:spacing w:before="50"/>
                          <w:ind w:left="75"/>
                          <w:jc w:val="left"/>
                          <w:rPr>
                            <w:sz w:val="16"/>
                          </w:rPr>
                        </w:pPr>
                        <w:r>
                          <w:rPr>
                            <w:sz w:val="16"/>
                          </w:rPr>
                          <w:t>Improved distillation</w:t>
                        </w:r>
                      </w:p>
                    </w:tc>
                  </w:tr>
                  <w:tr>
                    <w:trPr>
                      <w:trHeight w:val="1027" w:hRule="atLeast"/>
                    </w:trPr>
                    <w:tc>
                      <w:tcPr>
                        <w:tcW w:w="280" w:type="dxa"/>
                        <w:vMerge/>
                        <w:tcBorders>
                          <w:top w:val="nil"/>
                        </w:tcBorders>
                        <w:shd w:val="clear" w:color="auto" w:fill="E0EEE0"/>
                        <w:textDirection w:val="btLr"/>
                      </w:tcPr>
                      <w:p>
                        <w:pPr>
                          <w:rPr>
                            <w:sz w:val="2"/>
                            <w:szCs w:val="2"/>
                          </w:rPr>
                        </w:pPr>
                      </w:p>
                    </w:tc>
                    <w:tc>
                      <w:tcPr>
                        <w:tcW w:w="280" w:type="dxa"/>
                        <w:vMerge/>
                        <w:tcBorders>
                          <w:top w:val="nil"/>
                        </w:tcBorders>
                        <w:shd w:val="clear" w:color="auto" w:fill="E0EEE0"/>
                        <w:textDirection w:val="btLr"/>
                      </w:tcPr>
                      <w:p>
                        <w:pPr>
                          <w:rPr>
                            <w:sz w:val="2"/>
                            <w:szCs w:val="2"/>
                          </w:rPr>
                        </w:pPr>
                      </w:p>
                    </w:tc>
                    <w:tc>
                      <w:tcPr>
                        <w:tcW w:w="472" w:type="dxa"/>
                        <w:shd w:val="clear" w:color="auto" w:fill="E0EEE0"/>
                        <w:textDirection w:val="btLr"/>
                      </w:tcPr>
                      <w:p>
                        <w:pPr>
                          <w:pStyle w:val="TableParagraph"/>
                          <w:spacing w:before="50"/>
                          <w:ind w:left="75"/>
                          <w:jc w:val="left"/>
                          <w:rPr>
                            <w:b/>
                            <w:sz w:val="16"/>
                          </w:rPr>
                        </w:pPr>
                        <w:r>
                          <w:rPr>
                            <w:b/>
                            <w:sz w:val="16"/>
                          </w:rPr>
                          <w:t>Current</w:t>
                        </w:r>
                      </w:p>
                    </w:tc>
                    <w:tc>
                      <w:tcPr>
                        <w:tcW w:w="1048" w:type="dxa"/>
                        <w:shd w:val="clear" w:color="auto" w:fill="F9FCF9"/>
                        <w:textDirection w:val="btLr"/>
                      </w:tcPr>
                      <w:p>
                        <w:pPr>
                          <w:pStyle w:val="TableParagraph"/>
                          <w:spacing w:before="50"/>
                          <w:ind w:left="74"/>
                          <w:jc w:val="left"/>
                          <w:rPr>
                            <w:sz w:val="16"/>
                          </w:rPr>
                        </w:pPr>
                        <w:r>
                          <w:rPr>
                            <w:sz w:val="16"/>
                          </w:rPr>
                          <w:t>n. a.</w:t>
                        </w:r>
                      </w:p>
                    </w:tc>
                    <w:tc>
                      <w:tcPr>
                        <w:tcW w:w="856" w:type="dxa"/>
                        <w:shd w:val="clear" w:color="auto" w:fill="F9FCF9"/>
                        <w:textDirection w:val="btLr"/>
                      </w:tcPr>
                      <w:p>
                        <w:pPr>
                          <w:pStyle w:val="TableParagraph"/>
                          <w:spacing w:before="50"/>
                          <w:ind w:left="74"/>
                          <w:jc w:val="left"/>
                          <w:rPr>
                            <w:sz w:val="16"/>
                          </w:rPr>
                        </w:pPr>
                        <w:r>
                          <w:rPr>
                            <w:sz w:val="16"/>
                          </w:rPr>
                          <w:t>Polymeric</w:t>
                        </w:r>
                      </w:p>
                    </w:tc>
                    <w:tc>
                      <w:tcPr>
                        <w:tcW w:w="1048" w:type="dxa"/>
                        <w:shd w:val="clear" w:color="auto" w:fill="F9FCF9"/>
                        <w:textDirection w:val="btLr"/>
                      </w:tcPr>
                      <w:p>
                        <w:pPr>
                          <w:pStyle w:val="TableParagraph"/>
                          <w:spacing w:line="249" w:lineRule="auto" w:before="50"/>
                          <w:ind w:left="74" w:right="311"/>
                          <w:jc w:val="left"/>
                          <w:rPr>
                            <w:sz w:val="16"/>
                          </w:rPr>
                        </w:pPr>
                        <w:r>
                          <w:rPr>
                            <w:sz w:val="16"/>
                          </w:rPr>
                          <w:t>Zeolites Activated carbon</w:t>
                        </w:r>
                      </w:p>
                    </w:tc>
                    <w:tc>
                      <w:tcPr>
                        <w:tcW w:w="472" w:type="dxa"/>
                        <w:shd w:val="clear" w:color="auto" w:fill="F9FCF9"/>
                        <w:textDirection w:val="btLr"/>
                      </w:tcPr>
                      <w:p>
                        <w:pPr>
                          <w:pStyle w:val="TableParagraph"/>
                          <w:spacing w:before="50"/>
                          <w:ind w:left="74"/>
                          <w:jc w:val="left"/>
                          <w:rPr>
                            <w:b/>
                            <w:sz w:val="16"/>
                          </w:rPr>
                        </w:pPr>
                        <w:r>
                          <w:rPr>
                            <w:b/>
                            <w:sz w:val="16"/>
                          </w:rPr>
                          <w:t>Distillation</w:t>
                        </w:r>
                      </w:p>
                    </w:tc>
                  </w:tr>
                  <w:tr>
                    <w:trPr>
                      <w:trHeight w:val="1497" w:hRule="atLeast"/>
                    </w:trPr>
                    <w:tc>
                      <w:tcPr>
                        <w:tcW w:w="280" w:type="dxa"/>
                        <w:vMerge w:val="restart"/>
                        <w:shd w:val="clear" w:color="auto" w:fill="E0EEE0"/>
                        <w:textDirection w:val="btLr"/>
                      </w:tcPr>
                      <w:p>
                        <w:pPr>
                          <w:pStyle w:val="TableParagraph"/>
                          <w:spacing w:before="50"/>
                          <w:ind w:left="494"/>
                          <w:jc w:val="left"/>
                          <w:rPr>
                            <w:b/>
                            <w:sz w:val="16"/>
                          </w:rPr>
                        </w:pPr>
                        <w:r>
                          <w:rPr>
                            <w:b/>
                            <w:sz w:val="16"/>
                          </w:rPr>
                          <w:t>Post-combustion capture</w:t>
                        </w:r>
                      </w:p>
                    </w:tc>
                    <w:tc>
                      <w:tcPr>
                        <w:tcW w:w="280" w:type="dxa"/>
                        <w:vMerge w:val="restart"/>
                        <w:shd w:val="clear" w:color="auto" w:fill="E0EEE0"/>
                        <w:textDirection w:val="btLr"/>
                      </w:tcPr>
                      <w:p>
                        <w:pPr>
                          <w:pStyle w:val="TableParagraph"/>
                          <w:spacing w:line="199" w:lineRule="exact" w:before="50"/>
                          <w:ind w:left="1080" w:right="1080"/>
                          <w:rPr>
                            <w:b/>
                            <w:sz w:val="9"/>
                          </w:rPr>
                        </w:pPr>
                        <w:r>
                          <w:rPr>
                            <w:b/>
                            <w:sz w:val="16"/>
                          </w:rPr>
                          <w:t>CO</w:t>
                        </w:r>
                        <w:r>
                          <w:rPr>
                            <w:b/>
                            <w:position w:val="-4"/>
                            <w:sz w:val="9"/>
                          </w:rPr>
                          <w:t>2</w:t>
                        </w:r>
                        <w:r>
                          <w:rPr>
                            <w:b/>
                            <w:sz w:val="16"/>
                          </w:rPr>
                          <w:t>/N</w:t>
                        </w:r>
                        <w:r>
                          <w:rPr>
                            <w:b/>
                            <w:position w:val="-4"/>
                            <w:sz w:val="9"/>
                          </w:rPr>
                          <w:t>2</w:t>
                        </w:r>
                      </w:p>
                    </w:tc>
                    <w:tc>
                      <w:tcPr>
                        <w:tcW w:w="472" w:type="dxa"/>
                        <w:shd w:val="clear" w:color="auto" w:fill="E0EEE0"/>
                        <w:textDirection w:val="btLr"/>
                      </w:tcPr>
                      <w:p>
                        <w:pPr>
                          <w:pStyle w:val="TableParagraph"/>
                          <w:spacing w:before="50"/>
                          <w:ind w:left="75"/>
                          <w:jc w:val="left"/>
                          <w:rPr>
                            <w:b/>
                            <w:sz w:val="16"/>
                          </w:rPr>
                        </w:pPr>
                        <w:r>
                          <w:rPr>
                            <w:b/>
                            <w:sz w:val="16"/>
                          </w:rPr>
                          <w:t>Emerging</w:t>
                        </w:r>
                      </w:p>
                    </w:tc>
                    <w:tc>
                      <w:tcPr>
                        <w:tcW w:w="1048" w:type="dxa"/>
                        <w:shd w:val="clear" w:color="auto" w:fill="F9FCF9"/>
                        <w:textDirection w:val="btLr"/>
                      </w:tcPr>
                      <w:p>
                        <w:pPr>
                          <w:pStyle w:val="TableParagraph"/>
                          <w:spacing w:line="249" w:lineRule="auto" w:before="50"/>
                          <w:ind w:left="75" w:right="148"/>
                          <w:jc w:val="left"/>
                          <w:rPr>
                            <w:sz w:val="16"/>
                          </w:rPr>
                        </w:pPr>
                        <w:r>
                          <w:rPr>
                            <w:sz w:val="16"/>
                          </w:rPr>
                          <w:t>Improved solvents Novel contacting equipment Improved design of processes</w:t>
                        </w:r>
                      </w:p>
                    </w:tc>
                    <w:tc>
                      <w:tcPr>
                        <w:tcW w:w="856" w:type="dxa"/>
                        <w:shd w:val="clear" w:color="auto" w:fill="F9FCF9"/>
                        <w:textDirection w:val="btLr"/>
                      </w:tcPr>
                      <w:p>
                        <w:pPr>
                          <w:pStyle w:val="TableParagraph"/>
                          <w:spacing w:before="50"/>
                          <w:ind w:left="75"/>
                          <w:jc w:val="left"/>
                          <w:rPr>
                            <w:sz w:val="16"/>
                          </w:rPr>
                        </w:pPr>
                        <w:r>
                          <w:rPr>
                            <w:sz w:val="16"/>
                          </w:rPr>
                          <w:t>Ceramic</w:t>
                        </w:r>
                      </w:p>
                      <w:p>
                        <w:pPr>
                          <w:pStyle w:val="TableParagraph"/>
                          <w:spacing w:line="249" w:lineRule="auto" w:before="8"/>
                          <w:ind w:left="75" w:right="117"/>
                          <w:jc w:val="left"/>
                          <w:rPr>
                            <w:sz w:val="16"/>
                          </w:rPr>
                        </w:pPr>
                        <w:r>
                          <w:rPr>
                            <w:sz w:val="16"/>
                          </w:rPr>
                          <w:t>Facilitated transport Carbon</w:t>
                        </w:r>
                      </w:p>
                      <w:p>
                        <w:pPr>
                          <w:pStyle w:val="TableParagraph"/>
                          <w:spacing w:before="2"/>
                          <w:ind w:left="75"/>
                          <w:jc w:val="left"/>
                          <w:rPr>
                            <w:sz w:val="16"/>
                          </w:rPr>
                        </w:pPr>
                        <w:r>
                          <w:rPr>
                            <w:sz w:val="16"/>
                          </w:rPr>
                          <w:t>Contactors</w:t>
                        </w:r>
                      </w:p>
                    </w:tc>
                    <w:tc>
                      <w:tcPr>
                        <w:tcW w:w="1048" w:type="dxa"/>
                        <w:shd w:val="clear" w:color="auto" w:fill="F9FCF9"/>
                        <w:textDirection w:val="btLr"/>
                      </w:tcPr>
                      <w:p>
                        <w:pPr>
                          <w:pStyle w:val="TableParagraph"/>
                          <w:spacing w:line="249" w:lineRule="auto" w:before="50"/>
                          <w:ind w:left="75" w:right="526"/>
                          <w:jc w:val="left"/>
                          <w:rPr>
                            <w:sz w:val="16"/>
                          </w:rPr>
                        </w:pPr>
                        <w:r>
                          <w:rPr>
                            <w:sz w:val="16"/>
                          </w:rPr>
                          <w:t>Carbonates Carbon based sorbents</w:t>
                        </w:r>
                      </w:p>
                    </w:tc>
                    <w:tc>
                      <w:tcPr>
                        <w:tcW w:w="472" w:type="dxa"/>
                        <w:shd w:val="clear" w:color="auto" w:fill="F9FCF9"/>
                        <w:textDirection w:val="btLr"/>
                      </w:tcPr>
                      <w:p>
                        <w:pPr>
                          <w:pStyle w:val="TableParagraph"/>
                          <w:spacing w:before="50"/>
                          <w:ind w:left="75"/>
                          <w:jc w:val="left"/>
                          <w:rPr>
                            <w:sz w:val="16"/>
                          </w:rPr>
                        </w:pPr>
                        <w:r>
                          <w:rPr>
                            <w:sz w:val="16"/>
                          </w:rPr>
                          <w:t>Hybrid processes</w:t>
                        </w:r>
                      </w:p>
                    </w:tc>
                  </w:tr>
                  <w:tr>
                    <w:trPr>
                      <w:trHeight w:val="1183" w:hRule="atLeast"/>
                    </w:trPr>
                    <w:tc>
                      <w:tcPr>
                        <w:tcW w:w="280" w:type="dxa"/>
                        <w:vMerge/>
                        <w:tcBorders>
                          <w:top w:val="nil"/>
                        </w:tcBorders>
                        <w:shd w:val="clear" w:color="auto" w:fill="E0EEE0"/>
                        <w:textDirection w:val="btLr"/>
                      </w:tcPr>
                      <w:p>
                        <w:pPr>
                          <w:rPr>
                            <w:sz w:val="2"/>
                            <w:szCs w:val="2"/>
                          </w:rPr>
                        </w:pPr>
                      </w:p>
                    </w:tc>
                    <w:tc>
                      <w:tcPr>
                        <w:tcW w:w="280" w:type="dxa"/>
                        <w:vMerge/>
                        <w:tcBorders>
                          <w:top w:val="nil"/>
                        </w:tcBorders>
                        <w:shd w:val="clear" w:color="auto" w:fill="E0EEE0"/>
                        <w:textDirection w:val="btLr"/>
                      </w:tcPr>
                      <w:p>
                        <w:pPr>
                          <w:rPr>
                            <w:sz w:val="2"/>
                            <w:szCs w:val="2"/>
                          </w:rPr>
                        </w:pPr>
                      </w:p>
                    </w:tc>
                    <w:tc>
                      <w:tcPr>
                        <w:tcW w:w="472" w:type="dxa"/>
                        <w:shd w:val="clear" w:color="auto" w:fill="E0EEE0"/>
                        <w:textDirection w:val="btLr"/>
                      </w:tcPr>
                      <w:p>
                        <w:pPr>
                          <w:pStyle w:val="TableParagraph"/>
                          <w:spacing w:before="50"/>
                          <w:ind w:left="75"/>
                          <w:jc w:val="left"/>
                          <w:rPr>
                            <w:b/>
                            <w:sz w:val="16"/>
                          </w:rPr>
                        </w:pPr>
                        <w:r>
                          <w:rPr>
                            <w:b/>
                            <w:sz w:val="16"/>
                          </w:rPr>
                          <w:t>Current</w:t>
                        </w:r>
                      </w:p>
                    </w:tc>
                    <w:tc>
                      <w:tcPr>
                        <w:tcW w:w="1048" w:type="dxa"/>
                        <w:shd w:val="clear" w:color="auto" w:fill="F9FCF9"/>
                        <w:textDirection w:val="btLr"/>
                      </w:tcPr>
                      <w:p>
                        <w:pPr>
                          <w:pStyle w:val="TableParagraph"/>
                          <w:spacing w:line="249" w:lineRule="auto" w:before="50"/>
                          <w:ind w:left="75" w:right="439"/>
                          <w:jc w:val="left"/>
                          <w:rPr>
                            <w:b/>
                            <w:sz w:val="16"/>
                          </w:rPr>
                        </w:pPr>
                        <w:r>
                          <w:rPr>
                            <w:b/>
                            <w:sz w:val="16"/>
                          </w:rPr>
                          <w:t>Chemical solvents</w:t>
                        </w:r>
                      </w:p>
                    </w:tc>
                    <w:tc>
                      <w:tcPr>
                        <w:tcW w:w="856" w:type="dxa"/>
                        <w:shd w:val="clear" w:color="auto" w:fill="F9FCF9"/>
                        <w:textDirection w:val="btLr"/>
                      </w:tcPr>
                      <w:p>
                        <w:pPr>
                          <w:pStyle w:val="TableParagraph"/>
                          <w:spacing w:before="50"/>
                          <w:ind w:left="75"/>
                          <w:jc w:val="left"/>
                          <w:rPr>
                            <w:sz w:val="16"/>
                          </w:rPr>
                        </w:pPr>
                        <w:r>
                          <w:rPr>
                            <w:sz w:val="16"/>
                          </w:rPr>
                          <w:t>Polymeric</w:t>
                        </w:r>
                      </w:p>
                    </w:tc>
                    <w:tc>
                      <w:tcPr>
                        <w:tcW w:w="1048" w:type="dxa"/>
                        <w:shd w:val="clear" w:color="auto" w:fill="F9FCF9"/>
                        <w:textDirection w:val="btLr"/>
                      </w:tcPr>
                      <w:p>
                        <w:pPr>
                          <w:pStyle w:val="TableParagraph"/>
                          <w:spacing w:line="249" w:lineRule="auto" w:before="50"/>
                          <w:ind w:left="75" w:right="466"/>
                          <w:jc w:val="left"/>
                          <w:rPr>
                            <w:sz w:val="16"/>
                          </w:rPr>
                        </w:pPr>
                        <w:r>
                          <w:rPr>
                            <w:sz w:val="16"/>
                          </w:rPr>
                          <w:t>Zeolites Activated carbon</w:t>
                        </w:r>
                      </w:p>
                    </w:tc>
                    <w:tc>
                      <w:tcPr>
                        <w:tcW w:w="472" w:type="dxa"/>
                        <w:shd w:val="clear" w:color="auto" w:fill="F9FCF9"/>
                        <w:textDirection w:val="btLr"/>
                      </w:tcPr>
                      <w:p>
                        <w:pPr>
                          <w:pStyle w:val="TableParagraph"/>
                          <w:spacing w:before="50"/>
                          <w:ind w:left="75"/>
                          <w:jc w:val="left"/>
                          <w:rPr>
                            <w:sz w:val="16"/>
                          </w:rPr>
                        </w:pPr>
                        <w:r>
                          <w:rPr>
                            <w:sz w:val="16"/>
                          </w:rPr>
                          <w:t>Liquefaction</w:t>
                        </w:r>
                      </w:p>
                    </w:tc>
                  </w:tr>
                  <w:tr>
                    <w:trPr>
                      <w:trHeight w:val="1602" w:hRule="atLeast"/>
                    </w:trPr>
                    <w:tc>
                      <w:tcPr>
                        <w:tcW w:w="280" w:type="dxa"/>
                        <w:vMerge w:val="restart"/>
                        <w:shd w:val="clear" w:color="auto" w:fill="E0EEE0"/>
                        <w:textDirection w:val="btLr"/>
                      </w:tcPr>
                      <w:p>
                        <w:pPr>
                          <w:pStyle w:val="TableParagraph"/>
                          <w:spacing w:before="50"/>
                          <w:ind w:left="922"/>
                          <w:jc w:val="left"/>
                          <w:rPr>
                            <w:b/>
                            <w:sz w:val="9"/>
                          </w:rPr>
                        </w:pPr>
                        <w:r>
                          <w:rPr>
                            <w:b/>
                            <w:sz w:val="16"/>
                          </w:rPr>
                          <w:t>Process streams</w:t>
                        </w:r>
                        <w:r>
                          <w:rPr>
                            <w:b/>
                            <w:position w:val="5"/>
                            <w:sz w:val="9"/>
                          </w:rPr>
                          <w:t>a</w:t>
                        </w:r>
                      </w:p>
                    </w:tc>
                    <w:tc>
                      <w:tcPr>
                        <w:tcW w:w="280" w:type="dxa"/>
                        <w:vMerge w:val="restart"/>
                        <w:shd w:val="clear" w:color="auto" w:fill="E0EEE0"/>
                        <w:textDirection w:val="btLr"/>
                      </w:tcPr>
                      <w:p>
                        <w:pPr>
                          <w:pStyle w:val="TableParagraph"/>
                          <w:spacing w:line="199" w:lineRule="exact" w:before="50"/>
                          <w:ind w:left="1161" w:right="1161"/>
                          <w:rPr>
                            <w:b/>
                            <w:sz w:val="9"/>
                          </w:rPr>
                        </w:pPr>
                        <w:r>
                          <w:rPr>
                            <w:b/>
                            <w:sz w:val="16"/>
                          </w:rPr>
                          <w:t>CO</w:t>
                        </w:r>
                        <w:r>
                          <w:rPr>
                            <w:b/>
                            <w:position w:val="-4"/>
                            <w:sz w:val="9"/>
                          </w:rPr>
                          <w:t>2</w:t>
                        </w:r>
                        <w:r>
                          <w:rPr>
                            <w:b/>
                            <w:sz w:val="16"/>
                          </w:rPr>
                          <w:t>/CH</w:t>
                        </w:r>
                        <w:r>
                          <w:rPr>
                            <w:b/>
                            <w:position w:val="-4"/>
                            <w:sz w:val="9"/>
                          </w:rPr>
                          <w:t>4</w:t>
                        </w:r>
                      </w:p>
                    </w:tc>
                    <w:tc>
                      <w:tcPr>
                        <w:tcW w:w="472" w:type="dxa"/>
                        <w:shd w:val="clear" w:color="auto" w:fill="E0EEE0"/>
                        <w:textDirection w:val="btLr"/>
                      </w:tcPr>
                      <w:p>
                        <w:pPr>
                          <w:pStyle w:val="TableParagraph"/>
                          <w:spacing w:before="50"/>
                          <w:ind w:left="74"/>
                          <w:jc w:val="left"/>
                          <w:rPr>
                            <w:b/>
                            <w:sz w:val="16"/>
                          </w:rPr>
                        </w:pPr>
                        <w:r>
                          <w:rPr>
                            <w:b/>
                            <w:sz w:val="16"/>
                          </w:rPr>
                          <w:t>Emerging</w:t>
                        </w:r>
                      </w:p>
                    </w:tc>
                    <w:tc>
                      <w:tcPr>
                        <w:tcW w:w="1048" w:type="dxa"/>
                        <w:shd w:val="clear" w:color="auto" w:fill="F9FCF9"/>
                        <w:textDirection w:val="btLr"/>
                      </w:tcPr>
                      <w:p>
                        <w:pPr>
                          <w:pStyle w:val="TableParagraph"/>
                          <w:spacing w:line="249" w:lineRule="auto" w:before="50"/>
                          <w:ind w:left="74" w:right="254"/>
                          <w:jc w:val="left"/>
                          <w:rPr>
                            <w:sz w:val="16"/>
                          </w:rPr>
                        </w:pPr>
                        <w:r>
                          <w:rPr>
                            <w:sz w:val="16"/>
                          </w:rPr>
                          <w:t>Improved solvents Novel contacting equipment Improved design of processes</w:t>
                        </w:r>
                      </w:p>
                    </w:tc>
                    <w:tc>
                      <w:tcPr>
                        <w:tcW w:w="856" w:type="dxa"/>
                        <w:shd w:val="clear" w:color="auto" w:fill="F9FCF9"/>
                        <w:textDirection w:val="btLr"/>
                      </w:tcPr>
                      <w:p>
                        <w:pPr>
                          <w:pStyle w:val="TableParagraph"/>
                          <w:spacing w:before="50"/>
                          <w:ind w:left="74"/>
                          <w:jc w:val="left"/>
                          <w:rPr>
                            <w:sz w:val="16"/>
                          </w:rPr>
                        </w:pPr>
                        <w:r>
                          <w:rPr>
                            <w:sz w:val="16"/>
                          </w:rPr>
                          <w:t>Ceramic</w:t>
                        </w:r>
                      </w:p>
                      <w:p>
                        <w:pPr>
                          <w:pStyle w:val="TableParagraph"/>
                          <w:spacing w:line="249" w:lineRule="auto" w:before="8"/>
                          <w:ind w:left="74" w:right="223"/>
                          <w:jc w:val="left"/>
                          <w:rPr>
                            <w:sz w:val="16"/>
                          </w:rPr>
                        </w:pPr>
                        <w:r>
                          <w:rPr>
                            <w:sz w:val="16"/>
                          </w:rPr>
                          <w:t>Facilitated transport Carbon</w:t>
                        </w:r>
                      </w:p>
                      <w:p>
                        <w:pPr>
                          <w:pStyle w:val="TableParagraph"/>
                          <w:spacing w:before="2"/>
                          <w:ind w:left="74"/>
                          <w:jc w:val="left"/>
                          <w:rPr>
                            <w:sz w:val="16"/>
                          </w:rPr>
                        </w:pPr>
                        <w:r>
                          <w:rPr>
                            <w:sz w:val="16"/>
                          </w:rPr>
                          <w:t>Contactors</w:t>
                        </w:r>
                      </w:p>
                    </w:tc>
                    <w:tc>
                      <w:tcPr>
                        <w:tcW w:w="1048" w:type="dxa"/>
                        <w:shd w:val="clear" w:color="auto" w:fill="F9FCF9"/>
                      </w:tcPr>
                      <w:p>
                        <w:pPr>
                          <w:pStyle w:val="TableParagraph"/>
                          <w:jc w:val="left"/>
                          <w:rPr>
                            <w:sz w:val="18"/>
                          </w:rPr>
                        </w:pPr>
                      </w:p>
                    </w:tc>
                    <w:tc>
                      <w:tcPr>
                        <w:tcW w:w="472" w:type="dxa"/>
                        <w:shd w:val="clear" w:color="auto" w:fill="F9FCF9"/>
                      </w:tcPr>
                      <w:p>
                        <w:pPr>
                          <w:pStyle w:val="TableParagraph"/>
                          <w:jc w:val="left"/>
                          <w:rPr>
                            <w:sz w:val="18"/>
                          </w:rPr>
                        </w:pPr>
                      </w:p>
                    </w:tc>
                  </w:tr>
                  <w:tr>
                    <w:trPr>
                      <w:trHeight w:val="1365" w:hRule="atLeast"/>
                    </w:trPr>
                    <w:tc>
                      <w:tcPr>
                        <w:tcW w:w="280" w:type="dxa"/>
                        <w:vMerge/>
                        <w:tcBorders>
                          <w:top w:val="nil"/>
                        </w:tcBorders>
                        <w:shd w:val="clear" w:color="auto" w:fill="E0EEE0"/>
                        <w:textDirection w:val="btLr"/>
                      </w:tcPr>
                      <w:p>
                        <w:pPr>
                          <w:rPr>
                            <w:sz w:val="2"/>
                            <w:szCs w:val="2"/>
                          </w:rPr>
                        </w:pPr>
                      </w:p>
                    </w:tc>
                    <w:tc>
                      <w:tcPr>
                        <w:tcW w:w="280" w:type="dxa"/>
                        <w:vMerge/>
                        <w:tcBorders>
                          <w:top w:val="nil"/>
                        </w:tcBorders>
                        <w:shd w:val="clear" w:color="auto" w:fill="E0EEE0"/>
                        <w:textDirection w:val="btLr"/>
                      </w:tcPr>
                      <w:p>
                        <w:pPr>
                          <w:rPr>
                            <w:sz w:val="2"/>
                            <w:szCs w:val="2"/>
                          </w:rPr>
                        </w:pPr>
                      </w:p>
                    </w:tc>
                    <w:tc>
                      <w:tcPr>
                        <w:tcW w:w="472" w:type="dxa"/>
                        <w:shd w:val="clear" w:color="auto" w:fill="E0EEE0"/>
                        <w:textDirection w:val="btLr"/>
                      </w:tcPr>
                      <w:p>
                        <w:pPr>
                          <w:pStyle w:val="TableParagraph"/>
                          <w:spacing w:before="50"/>
                          <w:ind w:left="74"/>
                          <w:jc w:val="left"/>
                          <w:rPr>
                            <w:b/>
                            <w:sz w:val="16"/>
                          </w:rPr>
                        </w:pPr>
                        <w:r>
                          <w:rPr>
                            <w:b/>
                            <w:sz w:val="16"/>
                          </w:rPr>
                          <w:t>Current</w:t>
                        </w:r>
                      </w:p>
                    </w:tc>
                    <w:tc>
                      <w:tcPr>
                        <w:tcW w:w="1048" w:type="dxa"/>
                        <w:shd w:val="clear" w:color="auto" w:fill="F9FCF9"/>
                        <w:textDirection w:val="btLr"/>
                      </w:tcPr>
                      <w:p>
                        <w:pPr>
                          <w:pStyle w:val="TableParagraph"/>
                          <w:spacing w:before="50"/>
                          <w:ind w:left="74"/>
                          <w:jc w:val="left"/>
                          <w:rPr>
                            <w:b/>
                            <w:sz w:val="16"/>
                          </w:rPr>
                        </w:pPr>
                        <w:r>
                          <w:rPr>
                            <w:b/>
                            <w:sz w:val="16"/>
                          </w:rPr>
                          <w:t>Physical solvents</w:t>
                        </w:r>
                      </w:p>
                      <w:p>
                        <w:pPr>
                          <w:pStyle w:val="TableParagraph"/>
                          <w:spacing w:before="5"/>
                          <w:jc w:val="left"/>
                          <w:rPr>
                            <w:sz w:val="17"/>
                          </w:rPr>
                        </w:pPr>
                      </w:p>
                      <w:p>
                        <w:pPr>
                          <w:pStyle w:val="TableParagraph"/>
                          <w:spacing w:line="249" w:lineRule="auto"/>
                          <w:ind w:left="74" w:right="622"/>
                          <w:jc w:val="left"/>
                          <w:rPr>
                            <w:b/>
                            <w:sz w:val="16"/>
                          </w:rPr>
                        </w:pPr>
                        <w:r>
                          <w:rPr>
                            <w:b/>
                            <w:sz w:val="16"/>
                          </w:rPr>
                          <w:t>Chemical solvents</w:t>
                        </w:r>
                      </w:p>
                    </w:tc>
                    <w:tc>
                      <w:tcPr>
                        <w:tcW w:w="856" w:type="dxa"/>
                        <w:shd w:val="clear" w:color="auto" w:fill="F9FCF9"/>
                        <w:textDirection w:val="btLr"/>
                      </w:tcPr>
                      <w:p>
                        <w:pPr>
                          <w:pStyle w:val="TableParagraph"/>
                          <w:spacing w:before="50"/>
                          <w:ind w:left="74"/>
                          <w:jc w:val="left"/>
                          <w:rPr>
                            <w:b/>
                            <w:sz w:val="16"/>
                          </w:rPr>
                        </w:pPr>
                        <w:r>
                          <w:rPr>
                            <w:b/>
                            <w:sz w:val="16"/>
                          </w:rPr>
                          <w:t>Polymeric</w:t>
                        </w:r>
                      </w:p>
                    </w:tc>
                    <w:tc>
                      <w:tcPr>
                        <w:tcW w:w="1048" w:type="dxa"/>
                        <w:shd w:val="clear" w:color="auto" w:fill="F9FCF9"/>
                        <w:textDirection w:val="btLr"/>
                      </w:tcPr>
                      <w:p>
                        <w:pPr>
                          <w:pStyle w:val="TableParagraph"/>
                          <w:spacing w:line="249" w:lineRule="auto" w:before="50"/>
                          <w:ind w:left="74" w:right="173"/>
                          <w:jc w:val="left"/>
                          <w:rPr>
                            <w:sz w:val="16"/>
                          </w:rPr>
                        </w:pPr>
                        <w:r>
                          <w:rPr>
                            <w:sz w:val="16"/>
                          </w:rPr>
                          <w:t>Zeolites Activated carbon</w:t>
                        </w:r>
                      </w:p>
                    </w:tc>
                    <w:tc>
                      <w:tcPr>
                        <w:tcW w:w="472" w:type="dxa"/>
                        <w:shd w:val="clear" w:color="auto" w:fill="F9FCF9"/>
                        <w:textDirection w:val="btLr"/>
                      </w:tcPr>
                      <w:p>
                        <w:pPr>
                          <w:pStyle w:val="TableParagraph"/>
                          <w:spacing w:line="249" w:lineRule="auto" w:before="50"/>
                          <w:ind w:left="74"/>
                          <w:jc w:val="left"/>
                          <w:rPr>
                            <w:sz w:val="16"/>
                          </w:rPr>
                        </w:pPr>
                        <w:r>
                          <w:rPr>
                            <w:sz w:val="16"/>
                          </w:rPr>
                          <w:t>Ryan-Holmes process</w:t>
                        </w:r>
                      </w:p>
                    </w:tc>
                  </w:tr>
                  <w:tr>
                    <w:trPr>
                      <w:trHeight w:val="1536" w:hRule="atLeast"/>
                    </w:trPr>
                    <w:tc>
                      <w:tcPr>
                        <w:tcW w:w="560" w:type="dxa"/>
                        <w:gridSpan w:val="2"/>
                        <w:shd w:val="clear" w:color="auto" w:fill="E0EEE0"/>
                        <w:textDirection w:val="btLr"/>
                      </w:tcPr>
                      <w:p>
                        <w:pPr>
                          <w:pStyle w:val="TableParagraph"/>
                          <w:spacing w:before="50"/>
                          <w:ind w:left="74"/>
                          <w:jc w:val="left"/>
                          <w:rPr>
                            <w:b/>
                            <w:sz w:val="16"/>
                          </w:rPr>
                        </w:pPr>
                        <w:r>
                          <w:rPr>
                            <w:b/>
                            <w:sz w:val="16"/>
                          </w:rPr>
                          <w:t>Separation task</w:t>
                        </w:r>
                      </w:p>
                    </w:tc>
                    <w:tc>
                      <w:tcPr>
                        <w:tcW w:w="472" w:type="dxa"/>
                        <w:shd w:val="clear" w:color="auto" w:fill="E0EEE0"/>
                        <w:textDirection w:val="btLr"/>
                      </w:tcPr>
                      <w:p>
                        <w:pPr>
                          <w:pStyle w:val="TableParagraph"/>
                          <w:spacing w:line="249" w:lineRule="auto" w:before="50"/>
                          <w:ind w:left="74"/>
                          <w:jc w:val="left"/>
                          <w:rPr>
                            <w:b/>
                            <w:sz w:val="16"/>
                          </w:rPr>
                        </w:pPr>
                        <w:r>
                          <w:rPr>
                            <w:b/>
                            <w:w w:val="105"/>
                            <w:sz w:val="16"/>
                          </w:rPr>
                          <w:t>Capture </w:t>
                        </w:r>
                        <w:r>
                          <w:rPr>
                            <w:b/>
                            <w:w w:val="200"/>
                            <w:sz w:val="16"/>
                          </w:rPr>
                          <w:t>t</w:t>
                        </w:r>
                        <w:r>
                          <w:rPr>
                            <w:b/>
                            <w:sz w:val="16"/>
                          </w:rPr>
                          <w:t>echnologies</w:t>
                        </w:r>
                      </w:p>
                    </w:tc>
                    <w:tc>
                      <w:tcPr>
                        <w:tcW w:w="1048" w:type="dxa"/>
                        <w:shd w:val="clear" w:color="auto" w:fill="F9FCF9"/>
                        <w:textDirection w:val="btLr"/>
                      </w:tcPr>
                      <w:p>
                        <w:pPr>
                          <w:pStyle w:val="TableParagraph"/>
                          <w:spacing w:before="50"/>
                          <w:ind w:left="74"/>
                          <w:jc w:val="left"/>
                          <w:rPr>
                            <w:b/>
                            <w:sz w:val="16"/>
                          </w:rPr>
                        </w:pPr>
                        <w:r>
                          <w:rPr>
                            <w:b/>
                            <w:sz w:val="16"/>
                          </w:rPr>
                          <w:t>Solvents</w:t>
                        </w:r>
                      </w:p>
                      <w:p>
                        <w:pPr>
                          <w:pStyle w:val="TableParagraph"/>
                          <w:spacing w:before="8"/>
                          <w:ind w:left="74"/>
                          <w:jc w:val="left"/>
                          <w:rPr>
                            <w:sz w:val="16"/>
                          </w:rPr>
                        </w:pPr>
                        <w:r>
                          <w:rPr>
                            <w:sz w:val="16"/>
                          </w:rPr>
                          <w:t>(Absorption)</w:t>
                        </w:r>
                      </w:p>
                    </w:tc>
                    <w:tc>
                      <w:tcPr>
                        <w:tcW w:w="856" w:type="dxa"/>
                        <w:shd w:val="clear" w:color="auto" w:fill="F9FCF9"/>
                        <w:textDirection w:val="btLr"/>
                      </w:tcPr>
                      <w:p>
                        <w:pPr>
                          <w:pStyle w:val="TableParagraph"/>
                          <w:spacing w:before="50"/>
                          <w:ind w:left="74"/>
                          <w:jc w:val="left"/>
                          <w:rPr>
                            <w:b/>
                            <w:sz w:val="16"/>
                          </w:rPr>
                        </w:pPr>
                        <w:r>
                          <w:rPr>
                            <w:b/>
                            <w:sz w:val="16"/>
                          </w:rPr>
                          <w:t>membranes</w:t>
                        </w:r>
                      </w:p>
                    </w:tc>
                    <w:tc>
                      <w:tcPr>
                        <w:tcW w:w="1048" w:type="dxa"/>
                        <w:shd w:val="clear" w:color="auto" w:fill="F9FCF9"/>
                        <w:textDirection w:val="btLr"/>
                      </w:tcPr>
                      <w:p>
                        <w:pPr>
                          <w:pStyle w:val="TableParagraph"/>
                          <w:spacing w:before="50"/>
                          <w:ind w:left="74"/>
                          <w:jc w:val="left"/>
                          <w:rPr>
                            <w:b/>
                            <w:sz w:val="16"/>
                          </w:rPr>
                        </w:pPr>
                        <w:r>
                          <w:rPr>
                            <w:b/>
                            <w:sz w:val="16"/>
                          </w:rPr>
                          <w:t>Solid sorbents</w:t>
                        </w:r>
                      </w:p>
                    </w:tc>
                    <w:tc>
                      <w:tcPr>
                        <w:tcW w:w="472" w:type="dxa"/>
                        <w:shd w:val="clear" w:color="auto" w:fill="F9FCF9"/>
                        <w:textDirection w:val="btLr"/>
                      </w:tcPr>
                      <w:p>
                        <w:pPr>
                          <w:pStyle w:val="TableParagraph"/>
                          <w:spacing w:before="50"/>
                          <w:ind w:left="74"/>
                          <w:jc w:val="left"/>
                          <w:rPr>
                            <w:b/>
                            <w:sz w:val="16"/>
                          </w:rPr>
                        </w:pPr>
                        <w:r>
                          <w:rPr>
                            <w:b/>
                            <w:sz w:val="16"/>
                          </w:rPr>
                          <w:t>Cryogenic</w:t>
                        </w:r>
                      </w:p>
                    </w:tc>
                  </w:tr>
                </w:tbl>
                <w:p>
                  <w:pPr>
                    <w:pStyle w:val="BodyText"/>
                  </w:pPr>
                </w:p>
              </w:txbxContent>
            </v:textbox>
            <w10:wrap type="none"/>
          </v:shape>
        </w:pict>
      </w:r>
    </w:p>
    <w:p>
      <w:pPr>
        <w:pStyle w:val="BodyText"/>
        <w:spacing w:before="10"/>
        <w:rPr>
          <w:sz w:val="17"/>
        </w:rPr>
      </w:pPr>
    </w:p>
    <w:p>
      <w:pPr>
        <w:pStyle w:val="BodyText"/>
        <w:spacing w:line="240" w:lineRule="exact"/>
        <w:ind w:left="5840" w:right="734"/>
        <w:jc w:val="both"/>
      </w:pPr>
      <w:r>
        <w:rPr/>
        <w:pict>
          <v:shape style="position:absolute;margin-left:290.542603pt;margin-top:26.97658pt;width:11.8pt;height:635.6pt;mso-position-horizontal-relative:page;mso-position-vertical-relative:paragraph;z-index:251666432" type="#_x0000_t202" filled="false" stroked="false">
            <v:textbox inset="0,0,0,0" style="layout-flow:vertical;mso-layout-flow-alt:bottom-to-top">
              <w:txbxContent>
                <w:p>
                  <w:pPr>
                    <w:spacing w:line="209" w:lineRule="exact" w:before="0"/>
                    <w:ind w:left="20" w:right="0" w:firstLine="0"/>
                    <w:jc w:val="left"/>
                    <w:rPr>
                      <w:sz w:val="16"/>
                    </w:rPr>
                  </w:pPr>
                  <w:r>
                    <w:rPr>
                      <w:sz w:val="16"/>
                    </w:rPr>
                    <w:t>Notes: Processes shown in bold are commercial processes that are currently preferred in most circumstances. Some process streams involve CO</w:t>
                  </w:r>
                  <w:r>
                    <w:rPr>
                      <w:position w:val="-4"/>
                      <w:sz w:val="9"/>
                    </w:rPr>
                    <w:t>2</w:t>
                  </w:r>
                  <w:r>
                    <w:rPr>
                      <w:sz w:val="16"/>
                    </w:rPr>
                    <w:t>/H</w:t>
                  </w:r>
                  <w:r>
                    <w:rPr>
                      <w:position w:val="-4"/>
                      <w:sz w:val="9"/>
                    </w:rPr>
                    <w:t>2 </w:t>
                  </w:r>
                  <w:r>
                    <w:rPr>
                      <w:sz w:val="16"/>
                    </w:rPr>
                    <w:t>or CO</w:t>
                  </w:r>
                  <w:r>
                    <w:rPr>
                      <w:position w:val="-4"/>
                      <w:sz w:val="9"/>
                    </w:rPr>
                    <w:t>2</w:t>
                  </w:r>
                  <w:r>
                    <w:rPr>
                      <w:sz w:val="16"/>
                    </w:rPr>
                    <w:t>/N</w:t>
                  </w:r>
                  <w:r>
                    <w:rPr>
                      <w:position w:val="-4"/>
                      <w:sz w:val="9"/>
                    </w:rPr>
                    <w:t>2 </w:t>
                  </w:r>
                  <w:r>
                    <w:rPr>
                      <w:sz w:val="16"/>
                    </w:rPr>
                    <w:t>separations but this is covered under</w:t>
                  </w:r>
                </w:p>
              </w:txbxContent>
            </v:textbox>
            <w10:wrap type="none"/>
          </v:shape>
        </w:pict>
      </w:r>
      <w:bookmarkStart w:name="3.2 industrial process capture systems" w:id="13"/>
      <w:bookmarkEnd w:id="13"/>
      <w:r>
        <w:rPr/>
      </w:r>
      <w:bookmarkStart w:name="3.2.1 Introduction" w:id="14"/>
      <w:bookmarkEnd w:id="14"/>
      <w:r>
        <w:rPr/>
      </w:r>
      <w:r>
        <w:rPr/>
        <w:t>to understand that this wide variety of approaches for CO</w:t>
      </w:r>
      <w:r>
        <w:rPr>
          <w:position w:val="-6"/>
          <w:sz w:val="11"/>
        </w:rPr>
        <w:t>2 </w:t>
      </w:r>
      <w:r>
        <w:rPr/>
        <w:t>capture will tend to settle with time as the expected benefits (and potential weaknesses) in the technological portfolio of</w:t>
      </w:r>
      <w:hyperlink w:history="true" w:anchor="_bookmark4">
        <w:r>
          <w:rPr/>
          <w:t> </w:t>
        </w:r>
        <w:r>
          <w:rPr>
            <w:spacing w:val="-3"/>
          </w:rPr>
          <w:t>Table </w:t>
        </w:r>
        <w:r>
          <w:rPr/>
          <w:t>3.1 </w:t>
        </w:r>
      </w:hyperlink>
      <w:r>
        <w:rPr/>
        <w:t>becomes obvious with new results from current and future research and demonstration projects. Only a few of</w:t>
      </w:r>
      <w:r>
        <w:rPr>
          <w:spacing w:val="-35"/>
        </w:rPr>
        <w:t> </w:t>
      </w:r>
      <w:r>
        <w:rPr>
          <w:spacing w:val="-3"/>
        </w:rPr>
        <w:t>these </w:t>
      </w:r>
      <w:r>
        <w:rPr/>
        <w:t>options will prove truly cost-effective in the medium to </w:t>
      </w:r>
      <w:r>
        <w:rPr>
          <w:spacing w:val="-3"/>
        </w:rPr>
        <w:t>long </w:t>
      </w:r>
      <w:r>
        <w:rPr/>
        <w:t>term.</w:t>
      </w:r>
    </w:p>
    <w:p>
      <w:pPr>
        <w:pStyle w:val="BodyText"/>
        <w:spacing w:line="240" w:lineRule="exact"/>
        <w:ind w:left="5840" w:right="734" w:firstLine="284"/>
        <w:jc w:val="both"/>
      </w:pPr>
      <w:r>
        <w:rPr/>
        <w:t>CO</w:t>
      </w:r>
      <w:r>
        <w:rPr>
          <w:position w:val="-6"/>
          <w:sz w:val="11"/>
        </w:rPr>
        <w:t>2 </w:t>
      </w:r>
      <w:r>
        <w:rPr/>
        <w:t>capture may be installed in new energy utilization</w:t>
      </w:r>
      <w:bookmarkStart w:name="3.2.2 Natural gas sweetening" w:id="15"/>
      <w:bookmarkEnd w:id="15"/>
      <w:r>
        <w:rPr/>
      </w:r>
      <w:r>
        <w:rPr/>
        <w:t> plants or it may be retrofitted to existing plants. In principle,  if CO</w:t>
      </w:r>
      <w:r>
        <w:rPr>
          <w:position w:val="-6"/>
          <w:sz w:val="11"/>
        </w:rPr>
        <w:t>2 </w:t>
      </w:r>
      <w:r>
        <w:rPr/>
        <w:t>capture is to be introduced rapidly, it may have to be retrofitted</w:t>
      </w:r>
      <w:r>
        <w:rPr>
          <w:spacing w:val="-5"/>
        </w:rPr>
        <w:t> </w:t>
      </w:r>
      <w:r>
        <w:rPr/>
        <w:t>to</w:t>
      </w:r>
      <w:r>
        <w:rPr>
          <w:spacing w:val="-5"/>
        </w:rPr>
        <w:t> </w:t>
      </w:r>
      <w:r>
        <w:rPr/>
        <w:t>some</w:t>
      </w:r>
      <w:r>
        <w:rPr>
          <w:spacing w:val="-5"/>
        </w:rPr>
        <w:t> </w:t>
      </w:r>
      <w:r>
        <w:rPr/>
        <w:t>existing</w:t>
      </w:r>
      <w:r>
        <w:rPr>
          <w:spacing w:val="-4"/>
        </w:rPr>
        <w:t> </w:t>
      </w:r>
      <w:r>
        <w:rPr/>
        <w:t>plants</w:t>
      </w:r>
      <w:r>
        <w:rPr>
          <w:spacing w:val="-5"/>
        </w:rPr>
        <w:t> </w:t>
      </w:r>
      <w:r>
        <w:rPr/>
        <w:t>or</w:t>
      </w:r>
      <w:r>
        <w:rPr>
          <w:spacing w:val="-5"/>
        </w:rPr>
        <w:t> </w:t>
      </w:r>
      <w:r>
        <w:rPr/>
        <w:t>these</w:t>
      </w:r>
      <w:r>
        <w:rPr>
          <w:spacing w:val="-5"/>
        </w:rPr>
        <w:t> </w:t>
      </w:r>
      <w:r>
        <w:rPr/>
        <w:t>plants</w:t>
      </w:r>
      <w:r>
        <w:rPr>
          <w:spacing w:val="-4"/>
        </w:rPr>
        <w:t> </w:t>
      </w:r>
      <w:r>
        <w:rPr/>
        <w:t>would</w:t>
      </w:r>
      <w:r>
        <w:rPr>
          <w:spacing w:val="-5"/>
        </w:rPr>
        <w:t> </w:t>
      </w:r>
      <w:r>
        <w:rPr/>
        <w:t>have</w:t>
      </w:r>
      <w:r>
        <w:rPr>
          <w:spacing w:val="-5"/>
        </w:rPr>
        <w:t> </w:t>
      </w:r>
      <w:r>
        <w:rPr/>
        <w:t>to be</w:t>
      </w:r>
      <w:r>
        <w:rPr>
          <w:spacing w:val="-8"/>
        </w:rPr>
        <w:t> </w:t>
      </w:r>
      <w:r>
        <w:rPr/>
        <w:t>retired</w:t>
      </w:r>
      <w:r>
        <w:rPr>
          <w:spacing w:val="-7"/>
        </w:rPr>
        <w:t> </w:t>
      </w:r>
      <w:r>
        <w:rPr/>
        <w:t>prematurely</w:t>
      </w:r>
      <w:r>
        <w:rPr>
          <w:spacing w:val="-7"/>
        </w:rPr>
        <w:t> </w:t>
      </w:r>
      <w:r>
        <w:rPr/>
        <w:t>and</w:t>
      </w:r>
      <w:r>
        <w:rPr>
          <w:spacing w:val="-8"/>
        </w:rPr>
        <w:t> </w:t>
      </w:r>
      <w:r>
        <w:rPr/>
        <w:t>replaced</w:t>
      </w:r>
      <w:r>
        <w:rPr>
          <w:spacing w:val="-7"/>
        </w:rPr>
        <w:t> </w:t>
      </w:r>
      <w:r>
        <w:rPr/>
        <w:t>by</w:t>
      </w:r>
      <w:r>
        <w:rPr>
          <w:spacing w:val="-7"/>
        </w:rPr>
        <w:t> </w:t>
      </w:r>
      <w:r>
        <w:rPr/>
        <w:t>new</w:t>
      </w:r>
      <w:r>
        <w:rPr>
          <w:spacing w:val="-8"/>
        </w:rPr>
        <w:t> </w:t>
      </w:r>
      <w:r>
        <w:rPr/>
        <w:t>plants</w:t>
      </w:r>
      <w:r>
        <w:rPr>
          <w:spacing w:val="-7"/>
        </w:rPr>
        <w:t> </w:t>
      </w:r>
      <w:r>
        <w:rPr/>
        <w:t>with</w:t>
      </w:r>
      <w:r>
        <w:rPr>
          <w:spacing w:val="-7"/>
        </w:rPr>
        <w:t> </w:t>
      </w:r>
      <w:r>
        <w:rPr/>
        <w:t>capture. Disadvantages of retrofits</w:t>
      </w:r>
      <w:r>
        <w:rPr>
          <w:spacing w:val="-3"/>
        </w:rPr>
        <w:t> </w:t>
      </w:r>
      <w:r>
        <w:rPr/>
        <w:t>are:</w:t>
      </w:r>
    </w:p>
    <w:p>
      <w:pPr>
        <w:pStyle w:val="ListParagraph"/>
        <w:numPr>
          <w:ilvl w:val="0"/>
          <w:numId w:val="4"/>
        </w:numPr>
        <w:tabs>
          <w:tab w:pos="6124" w:val="left" w:leader="none"/>
        </w:tabs>
        <w:spacing w:line="249" w:lineRule="auto" w:before="6" w:after="0"/>
        <w:ind w:left="6123" w:right="734" w:hanging="284"/>
        <w:jc w:val="both"/>
        <w:rPr>
          <w:sz w:val="20"/>
        </w:rPr>
      </w:pPr>
      <w:r>
        <w:rPr>
          <w:sz w:val="20"/>
        </w:rPr>
        <w:t>There</w:t>
      </w:r>
      <w:r>
        <w:rPr>
          <w:spacing w:val="-8"/>
          <w:sz w:val="20"/>
        </w:rPr>
        <w:t> </w:t>
      </w:r>
      <w:r>
        <w:rPr>
          <w:sz w:val="20"/>
        </w:rPr>
        <w:t>may</w:t>
      </w:r>
      <w:r>
        <w:rPr>
          <w:spacing w:val="-8"/>
          <w:sz w:val="20"/>
        </w:rPr>
        <w:t> </w:t>
      </w:r>
      <w:r>
        <w:rPr>
          <w:sz w:val="20"/>
        </w:rPr>
        <w:t>be</w:t>
      </w:r>
      <w:r>
        <w:rPr>
          <w:spacing w:val="-7"/>
          <w:sz w:val="20"/>
        </w:rPr>
        <w:t> </w:t>
      </w:r>
      <w:r>
        <w:rPr>
          <w:sz w:val="20"/>
        </w:rPr>
        <w:t>site</w:t>
      </w:r>
      <w:r>
        <w:rPr>
          <w:spacing w:val="-8"/>
          <w:sz w:val="20"/>
        </w:rPr>
        <w:t> </w:t>
      </w:r>
      <w:r>
        <w:rPr>
          <w:sz w:val="20"/>
        </w:rPr>
        <w:t>constraints</w:t>
      </w:r>
      <w:r>
        <w:rPr>
          <w:spacing w:val="-7"/>
          <w:sz w:val="20"/>
        </w:rPr>
        <w:t> </w:t>
      </w:r>
      <w:r>
        <w:rPr>
          <w:sz w:val="20"/>
        </w:rPr>
        <w:t>such</w:t>
      </w:r>
      <w:r>
        <w:rPr>
          <w:spacing w:val="-8"/>
          <w:sz w:val="20"/>
        </w:rPr>
        <w:t> </w:t>
      </w:r>
      <w:r>
        <w:rPr>
          <w:sz w:val="20"/>
        </w:rPr>
        <w:t>as</w:t>
      </w:r>
      <w:r>
        <w:rPr>
          <w:spacing w:val="-8"/>
          <w:sz w:val="20"/>
        </w:rPr>
        <w:t> </w:t>
      </w:r>
      <w:r>
        <w:rPr>
          <w:sz w:val="20"/>
        </w:rPr>
        <w:t>availability</w:t>
      </w:r>
      <w:r>
        <w:rPr>
          <w:spacing w:val="-7"/>
          <w:sz w:val="20"/>
        </w:rPr>
        <w:t> </w:t>
      </w:r>
      <w:r>
        <w:rPr>
          <w:sz w:val="20"/>
        </w:rPr>
        <w:t>of</w:t>
      </w:r>
      <w:r>
        <w:rPr>
          <w:spacing w:val="-8"/>
          <w:sz w:val="20"/>
        </w:rPr>
        <w:t> </w:t>
      </w:r>
      <w:r>
        <w:rPr>
          <w:sz w:val="20"/>
        </w:rPr>
        <w:t>land</w:t>
      </w:r>
      <w:r>
        <w:rPr>
          <w:spacing w:val="-7"/>
          <w:sz w:val="20"/>
        </w:rPr>
        <w:t> </w:t>
      </w:r>
      <w:r>
        <w:rPr>
          <w:sz w:val="20"/>
        </w:rPr>
        <w:t>for the capture equipment;</w:t>
      </w:r>
    </w:p>
    <w:p>
      <w:pPr>
        <w:pStyle w:val="ListParagraph"/>
        <w:numPr>
          <w:ilvl w:val="0"/>
          <w:numId w:val="4"/>
        </w:numPr>
        <w:tabs>
          <w:tab w:pos="6124" w:val="left" w:leader="none"/>
        </w:tabs>
        <w:spacing w:line="249" w:lineRule="auto" w:before="1" w:after="0"/>
        <w:ind w:left="6123" w:right="734" w:hanging="284"/>
        <w:jc w:val="both"/>
        <w:rPr>
          <w:sz w:val="20"/>
        </w:rPr>
      </w:pPr>
      <w:r>
        <w:rPr/>
        <w:pict>
          <v:shape style="position:absolute;margin-left:300.142609pt;margin-top:18.17654pt;width:10pt;height:475.55pt;mso-position-horizontal-relative:page;mso-position-vertical-relative:paragraph;z-index:251667456" type="#_x0000_t202" filled="false" stroked="false">
            <v:textbox inset="0,0,0,0" style="layout-flow:vertical;mso-layout-flow-alt:bottom-to-top">
              <w:txbxContent>
                <w:p>
                  <w:pPr>
                    <w:spacing w:line="175" w:lineRule="exact" w:before="0"/>
                    <w:ind w:left="20" w:right="0" w:firstLine="0"/>
                    <w:jc w:val="left"/>
                    <w:rPr>
                      <w:sz w:val="16"/>
                    </w:rPr>
                  </w:pPr>
                  <w:r>
                    <w:rPr>
                      <w:sz w:val="16"/>
                    </w:rPr>
                    <w:t>pre-combustion capture and post-combustion capture. The key separation processes are outlined in Section 3.1.3 and described in Sections 3.2-3.5.</w:t>
                  </w:r>
                </w:p>
              </w:txbxContent>
            </v:textbox>
            <w10:wrap type="none"/>
          </v:shape>
        </w:pict>
      </w:r>
      <w:r>
        <w:rPr>
          <w:sz w:val="20"/>
        </w:rPr>
        <w:t>A long remaining plant life may be needed to justify </w:t>
      </w:r>
      <w:r>
        <w:rPr>
          <w:spacing w:val="-5"/>
          <w:sz w:val="20"/>
        </w:rPr>
        <w:t>the </w:t>
      </w:r>
      <w:r>
        <w:rPr>
          <w:sz w:val="20"/>
        </w:rPr>
        <w:t>large expense of installing capture</w:t>
      </w:r>
      <w:r>
        <w:rPr>
          <w:spacing w:val="-1"/>
          <w:sz w:val="20"/>
        </w:rPr>
        <w:t> </w:t>
      </w:r>
      <w:r>
        <w:rPr>
          <w:sz w:val="20"/>
        </w:rPr>
        <w:t>equipment;</w:t>
      </w:r>
    </w:p>
    <w:p>
      <w:pPr>
        <w:pStyle w:val="ListParagraph"/>
        <w:numPr>
          <w:ilvl w:val="0"/>
          <w:numId w:val="4"/>
        </w:numPr>
        <w:tabs>
          <w:tab w:pos="6124" w:val="left" w:leader="none"/>
        </w:tabs>
        <w:spacing w:line="225" w:lineRule="auto" w:before="13" w:after="0"/>
        <w:ind w:left="6123" w:right="734" w:hanging="284"/>
        <w:jc w:val="both"/>
        <w:rPr>
          <w:sz w:val="20"/>
        </w:rPr>
      </w:pPr>
      <w:r>
        <w:rPr>
          <w:sz w:val="20"/>
        </w:rPr>
        <w:t>Old plants tend to have low energy efficiencies. Including CO</w:t>
      </w:r>
      <w:r>
        <w:rPr>
          <w:position w:val="-6"/>
          <w:sz w:val="11"/>
        </w:rPr>
        <w:t>2</w:t>
      </w:r>
      <w:r>
        <w:rPr>
          <w:spacing w:val="13"/>
          <w:position w:val="-6"/>
          <w:sz w:val="11"/>
        </w:rPr>
        <w:t> </w:t>
      </w:r>
      <w:r>
        <w:rPr>
          <w:sz w:val="20"/>
        </w:rPr>
        <w:t>capture</w:t>
      </w:r>
      <w:r>
        <w:rPr>
          <w:spacing w:val="-9"/>
          <w:sz w:val="20"/>
        </w:rPr>
        <w:t> </w:t>
      </w:r>
      <w:r>
        <w:rPr>
          <w:sz w:val="20"/>
        </w:rPr>
        <w:t>will</w:t>
      </w:r>
      <w:r>
        <w:rPr>
          <w:spacing w:val="-10"/>
          <w:sz w:val="20"/>
        </w:rPr>
        <w:t> </w:t>
      </w:r>
      <w:r>
        <w:rPr>
          <w:sz w:val="20"/>
        </w:rPr>
        <w:t>have</w:t>
      </w:r>
      <w:r>
        <w:rPr>
          <w:spacing w:val="-9"/>
          <w:sz w:val="20"/>
        </w:rPr>
        <w:t> </w:t>
      </w:r>
      <w:r>
        <w:rPr>
          <w:sz w:val="20"/>
        </w:rPr>
        <w:t>a</w:t>
      </w:r>
      <w:r>
        <w:rPr>
          <w:spacing w:val="-9"/>
          <w:sz w:val="20"/>
        </w:rPr>
        <w:t> </w:t>
      </w:r>
      <w:r>
        <w:rPr>
          <w:sz w:val="20"/>
        </w:rPr>
        <w:t>proportionally</w:t>
      </w:r>
      <w:r>
        <w:rPr>
          <w:spacing w:val="-9"/>
          <w:sz w:val="20"/>
        </w:rPr>
        <w:t> </w:t>
      </w:r>
      <w:r>
        <w:rPr>
          <w:sz w:val="20"/>
        </w:rPr>
        <w:t>greater</w:t>
      </w:r>
      <w:r>
        <w:rPr>
          <w:spacing w:val="-9"/>
          <w:sz w:val="20"/>
        </w:rPr>
        <w:t> </w:t>
      </w:r>
      <w:r>
        <w:rPr>
          <w:sz w:val="20"/>
        </w:rPr>
        <w:t>impact</w:t>
      </w:r>
      <w:r>
        <w:rPr>
          <w:spacing w:val="-9"/>
          <w:sz w:val="20"/>
        </w:rPr>
        <w:t> </w:t>
      </w:r>
      <w:r>
        <w:rPr>
          <w:sz w:val="20"/>
        </w:rPr>
        <w:t>on</w:t>
      </w:r>
      <w:r>
        <w:rPr>
          <w:spacing w:val="-9"/>
          <w:sz w:val="20"/>
        </w:rPr>
        <w:t> </w:t>
      </w:r>
      <w:r>
        <w:rPr>
          <w:spacing w:val="-4"/>
          <w:sz w:val="20"/>
        </w:rPr>
        <w:t>the </w:t>
      </w:r>
      <w:r>
        <w:rPr>
          <w:sz w:val="20"/>
        </w:rPr>
        <w:t>net output than in high efficiency</w:t>
      </w:r>
      <w:r>
        <w:rPr>
          <w:spacing w:val="-2"/>
          <w:sz w:val="20"/>
        </w:rPr>
        <w:t> </w:t>
      </w:r>
      <w:r>
        <w:rPr>
          <w:sz w:val="20"/>
        </w:rPr>
        <w:t>plants.</w:t>
      </w:r>
    </w:p>
    <w:p>
      <w:pPr>
        <w:pStyle w:val="BodyText"/>
        <w:spacing w:before="3"/>
        <w:rPr>
          <w:sz w:val="21"/>
        </w:rPr>
      </w:pPr>
    </w:p>
    <w:p>
      <w:pPr>
        <w:pStyle w:val="BodyText"/>
        <w:spacing w:line="240" w:lineRule="exact"/>
        <w:ind w:left="5840" w:right="733"/>
        <w:jc w:val="both"/>
      </w:pPr>
      <w:bookmarkStart w:name="_bookmark4" w:id="16"/>
      <w:bookmarkEnd w:id="16"/>
      <w:r>
        <w:rPr/>
      </w:r>
      <w:r>
        <w:rPr/>
        <w:t>To minimize the site constraints, new energy utilization plants could be built ‘capture-ready’, that is with the process design initially factoring in the changes necessary to add capture and with sufficient space and facilities made available for simple installation of CO</w:t>
      </w:r>
      <w:r>
        <w:rPr>
          <w:position w:val="-6"/>
          <w:sz w:val="11"/>
        </w:rPr>
        <w:t>2 </w:t>
      </w:r>
      <w:r>
        <w:rPr/>
        <w:t>capture at a later date. For some types of capture retrofit, for example pre-combustion capture and oxy- fuel combustion, much of the retrofit equipment could be built on a separate site if necessary.</w:t>
      </w:r>
    </w:p>
    <w:p>
      <w:pPr>
        <w:pStyle w:val="BodyText"/>
        <w:spacing w:line="240" w:lineRule="exact"/>
        <w:ind w:left="5840" w:right="734" w:firstLine="284"/>
        <w:jc w:val="both"/>
      </w:pPr>
      <w:r>
        <w:rPr/>
        <w:t>The other barriers could be largely overcome by upgrading or substantially rebuilding the existing plant when capture is retrofitted.</w:t>
      </w:r>
      <w:r>
        <w:rPr>
          <w:spacing w:val="-31"/>
        </w:rPr>
        <w:t> </w:t>
      </w:r>
      <w:r>
        <w:rPr/>
        <w:t>For</w:t>
      </w:r>
      <w:r>
        <w:rPr>
          <w:spacing w:val="-30"/>
        </w:rPr>
        <w:t> </w:t>
      </w:r>
      <w:r>
        <w:rPr/>
        <w:t>example,</w:t>
      </w:r>
      <w:r>
        <w:rPr>
          <w:spacing w:val="-30"/>
        </w:rPr>
        <w:t> </w:t>
      </w:r>
      <w:r>
        <w:rPr/>
        <w:t>old</w:t>
      </w:r>
      <w:r>
        <w:rPr>
          <w:spacing w:val="-30"/>
        </w:rPr>
        <w:t> </w:t>
      </w:r>
      <w:r>
        <w:rPr/>
        <w:t>inefficient</w:t>
      </w:r>
      <w:r>
        <w:rPr>
          <w:spacing w:val="-31"/>
        </w:rPr>
        <w:t> </w:t>
      </w:r>
      <w:r>
        <w:rPr/>
        <w:t>boilers</w:t>
      </w:r>
      <w:r>
        <w:rPr>
          <w:spacing w:val="-30"/>
        </w:rPr>
        <w:t> </w:t>
      </w:r>
      <w:r>
        <w:rPr/>
        <w:t>and</w:t>
      </w:r>
      <w:r>
        <w:rPr>
          <w:spacing w:val="-30"/>
        </w:rPr>
        <w:t> </w:t>
      </w:r>
      <w:r>
        <w:rPr/>
        <w:t>steam</w:t>
      </w:r>
      <w:r>
        <w:rPr>
          <w:spacing w:val="-30"/>
        </w:rPr>
        <w:t> </w:t>
      </w:r>
      <w:r>
        <w:rPr/>
        <w:t>turbines could be replaced by modern, high-efficiency supercritical boilers and turbines or IGCC plants. As the efficiencies </w:t>
      </w:r>
      <w:r>
        <w:rPr>
          <w:spacing w:val="-6"/>
        </w:rPr>
        <w:t>of </w:t>
      </w:r>
      <w:r>
        <w:rPr/>
        <w:t>power generation technologies are increasing, the efficiency </w:t>
      </w:r>
      <w:r>
        <w:rPr>
          <w:spacing w:val="-7"/>
        </w:rPr>
        <w:t>of </w:t>
      </w:r>
      <w:r>
        <w:rPr/>
        <w:t>the</w:t>
      </w:r>
      <w:r>
        <w:rPr>
          <w:spacing w:val="-6"/>
        </w:rPr>
        <w:t> </w:t>
      </w:r>
      <w:r>
        <w:rPr/>
        <w:t>retrofitted</w:t>
      </w:r>
      <w:r>
        <w:rPr>
          <w:spacing w:val="-6"/>
        </w:rPr>
        <w:t> </w:t>
      </w:r>
      <w:r>
        <w:rPr/>
        <w:t>plant</w:t>
      </w:r>
      <w:r>
        <w:rPr>
          <w:spacing w:val="-6"/>
        </w:rPr>
        <w:t> </w:t>
      </w:r>
      <w:r>
        <w:rPr/>
        <w:t>with</w:t>
      </w:r>
      <w:r>
        <w:rPr>
          <w:spacing w:val="-6"/>
        </w:rPr>
        <w:t> </w:t>
      </w:r>
      <w:r>
        <w:rPr/>
        <w:t>CO</w:t>
      </w:r>
      <w:r>
        <w:rPr>
          <w:position w:val="-6"/>
          <w:sz w:val="11"/>
        </w:rPr>
        <w:t>2</w:t>
      </w:r>
      <w:r>
        <w:rPr>
          <w:spacing w:val="17"/>
          <w:position w:val="-6"/>
          <w:sz w:val="11"/>
        </w:rPr>
        <w:t> </w:t>
      </w:r>
      <w:r>
        <w:rPr/>
        <w:t>capture</w:t>
      </w:r>
      <w:r>
        <w:rPr>
          <w:spacing w:val="-6"/>
        </w:rPr>
        <w:t> </w:t>
      </w:r>
      <w:r>
        <w:rPr/>
        <w:t>could</w:t>
      </w:r>
      <w:r>
        <w:rPr>
          <w:spacing w:val="-6"/>
        </w:rPr>
        <w:t> </w:t>
      </w:r>
      <w:r>
        <w:rPr/>
        <w:t>be</w:t>
      </w:r>
      <w:r>
        <w:rPr>
          <w:spacing w:val="-6"/>
        </w:rPr>
        <w:t> </w:t>
      </w:r>
      <w:r>
        <w:rPr/>
        <w:t>as</w:t>
      </w:r>
      <w:r>
        <w:rPr>
          <w:spacing w:val="-6"/>
        </w:rPr>
        <w:t> </w:t>
      </w:r>
      <w:r>
        <w:rPr/>
        <w:t>high</w:t>
      </w:r>
      <w:r>
        <w:rPr>
          <w:spacing w:val="-6"/>
        </w:rPr>
        <w:t> </w:t>
      </w:r>
      <w:r>
        <w:rPr/>
        <w:t>as</w:t>
      </w:r>
      <w:r>
        <w:rPr>
          <w:spacing w:val="-6"/>
        </w:rPr>
        <w:t> </w:t>
      </w:r>
      <w:r>
        <w:rPr/>
        <w:t>that</w:t>
      </w:r>
      <w:r>
        <w:rPr>
          <w:spacing w:val="-6"/>
        </w:rPr>
        <w:t> of </w:t>
      </w:r>
      <w:r>
        <w:rPr/>
        <w:t>the original plant without</w:t>
      </w:r>
      <w:r>
        <w:rPr>
          <w:spacing w:val="-2"/>
        </w:rPr>
        <w:t> </w:t>
      </w:r>
      <w:r>
        <w:rPr/>
        <w:t>capture.</w:t>
      </w:r>
    </w:p>
    <w:p>
      <w:pPr>
        <w:pStyle w:val="BodyText"/>
        <w:spacing w:before="4"/>
        <w:rPr>
          <w:sz w:val="21"/>
        </w:rPr>
      </w:pPr>
    </w:p>
    <w:p>
      <w:pPr>
        <w:pStyle w:val="Heading1"/>
        <w:numPr>
          <w:ilvl w:val="1"/>
          <w:numId w:val="5"/>
        </w:numPr>
        <w:tabs>
          <w:tab w:pos="6549" w:val="left" w:leader="none"/>
          <w:tab w:pos="6550" w:val="left" w:leader="none"/>
        </w:tabs>
        <w:spacing w:line="240" w:lineRule="auto" w:before="0" w:after="0"/>
        <w:ind w:left="6549" w:right="0" w:hanging="710"/>
        <w:jc w:val="left"/>
      </w:pPr>
      <w:r>
        <w:rPr/>
        <w:t>industrial process capture</w:t>
      </w:r>
      <w:r>
        <w:rPr>
          <w:spacing w:val="-2"/>
        </w:rPr>
        <w:t> </w:t>
      </w:r>
      <w:r>
        <w:rPr/>
        <w:t>systems</w:t>
      </w:r>
    </w:p>
    <w:p>
      <w:pPr>
        <w:pStyle w:val="BodyText"/>
        <w:spacing w:before="8"/>
        <w:rPr>
          <w:b/>
          <w:sz w:val="21"/>
        </w:rPr>
      </w:pPr>
    </w:p>
    <w:p>
      <w:pPr>
        <w:pStyle w:val="Heading2"/>
        <w:numPr>
          <w:ilvl w:val="2"/>
          <w:numId w:val="5"/>
        </w:numPr>
        <w:tabs>
          <w:tab w:pos="6660" w:val="left" w:leader="none"/>
          <w:tab w:pos="6661" w:val="left" w:leader="none"/>
        </w:tabs>
        <w:spacing w:line="240" w:lineRule="auto" w:before="0" w:after="0"/>
        <w:ind w:left="6660" w:right="0" w:hanging="821"/>
        <w:jc w:val="left"/>
        <w:rPr>
          <w:i/>
        </w:rPr>
      </w:pPr>
      <w:r>
        <w:rPr>
          <w:i/>
        </w:rPr>
        <w:t>Introduction</w:t>
      </w:r>
    </w:p>
    <w:p>
      <w:pPr>
        <w:pStyle w:val="BodyText"/>
        <w:spacing w:before="3"/>
        <w:rPr>
          <w:b/>
          <w:i/>
          <w:sz w:val="21"/>
        </w:rPr>
      </w:pPr>
    </w:p>
    <w:p>
      <w:pPr>
        <w:pStyle w:val="BodyText"/>
        <w:spacing w:line="240" w:lineRule="exact" w:before="1"/>
        <w:ind w:left="5840" w:right="733"/>
        <w:jc w:val="both"/>
      </w:pPr>
      <w:r>
        <w:rPr/>
        <w:pict>
          <v:shape style="position:absolute;margin-left:55.692902pt;margin-top:69.860001pt;width:11pt;height:100.1pt;mso-position-horizontal-relative:page;mso-position-vertical-relative:paragraph;z-index:251664384" type="#_x0000_t202" filled="false" stroked="false">
            <v:textbox inset="0,0,0,0" style="layout-flow:vertical;mso-layout-flow-alt:bottom-to-top">
              <w:txbxContent>
                <w:p>
                  <w:pPr>
                    <w:spacing w:line="194" w:lineRule="exact" w:before="0"/>
                    <w:ind w:left="20" w:right="0" w:firstLine="0"/>
                    <w:jc w:val="left"/>
                    <w:rPr>
                      <w:sz w:val="18"/>
                    </w:rPr>
                  </w:pPr>
                  <w:r>
                    <w:rPr>
                      <w:b/>
                      <w:spacing w:val="-17"/>
                      <w:w w:val="200"/>
                      <w:sz w:val="18"/>
                    </w:rPr>
                    <w:t>t</w:t>
                  </w:r>
                  <w:r>
                    <w:rPr>
                      <w:b/>
                      <w:sz w:val="18"/>
                    </w:rPr>
                    <w:t>able</w:t>
                  </w:r>
                  <w:r>
                    <w:rPr>
                      <w:b/>
                      <w:spacing w:val="4"/>
                      <w:sz w:val="18"/>
                    </w:rPr>
                    <w:t> </w:t>
                  </w:r>
                  <w:r>
                    <w:rPr>
                      <w:b/>
                      <w:sz w:val="18"/>
                    </w:rPr>
                    <w:t>3.1</w:t>
                  </w:r>
                  <w:r>
                    <w:rPr>
                      <w:b/>
                      <w:spacing w:val="4"/>
                      <w:sz w:val="18"/>
                    </w:rPr>
                    <w:t> </w:t>
                  </w:r>
                  <w:r>
                    <w:rPr>
                      <w:sz w:val="18"/>
                    </w:rPr>
                    <w:t>Capture</w:t>
                  </w:r>
                  <w:r>
                    <w:rPr>
                      <w:spacing w:val="4"/>
                      <w:sz w:val="18"/>
                    </w:rPr>
                    <w:t> </w:t>
                  </w:r>
                  <w:r>
                    <w:rPr>
                      <w:sz w:val="18"/>
                    </w:rPr>
                    <w:t>toolbox.</w:t>
                  </w:r>
                </w:p>
              </w:txbxContent>
            </v:textbox>
            <w10:wrap type="none"/>
          </v:shape>
        </w:pict>
      </w:r>
      <w:r>
        <w:rPr/>
        <w:t>There are several industrial applications involving process streams where the opportunity exists to capture CO</w:t>
      </w:r>
      <w:r>
        <w:rPr>
          <w:position w:val="-6"/>
          <w:sz w:val="11"/>
        </w:rPr>
        <w:t>2 </w:t>
      </w:r>
      <w:r>
        <w:rPr/>
        <w:t>in large quantities and at costs lower than from the systems described in the rest of this chapter. Capture from these sources will not be the complete answer to the needs of climate change, since the volumes of combustion-generated CO</w:t>
      </w:r>
      <w:r>
        <w:rPr>
          <w:position w:val="-6"/>
          <w:sz w:val="11"/>
        </w:rPr>
        <w:t>2 </w:t>
      </w:r>
      <w:r>
        <w:rPr/>
        <w:t>are much </w:t>
      </w:r>
      <w:r>
        <w:rPr>
          <w:spacing w:val="-4"/>
        </w:rPr>
        <w:t>higher, </w:t>
      </w:r>
      <w:r>
        <w:rPr/>
        <w:t>but it may well be the place where the first capture and storage occurs.</w:t>
      </w:r>
    </w:p>
    <w:p>
      <w:pPr>
        <w:pStyle w:val="BodyText"/>
        <w:spacing w:before="3"/>
        <w:rPr>
          <w:sz w:val="21"/>
        </w:rPr>
      </w:pPr>
    </w:p>
    <w:p>
      <w:pPr>
        <w:pStyle w:val="Heading2"/>
        <w:numPr>
          <w:ilvl w:val="2"/>
          <w:numId w:val="5"/>
        </w:numPr>
        <w:tabs>
          <w:tab w:pos="6660" w:val="left" w:leader="none"/>
          <w:tab w:pos="6661" w:val="left" w:leader="none"/>
        </w:tabs>
        <w:spacing w:line="240" w:lineRule="auto" w:before="0" w:after="0"/>
        <w:ind w:left="6660" w:right="0" w:hanging="821"/>
        <w:jc w:val="left"/>
        <w:rPr>
          <w:i/>
        </w:rPr>
      </w:pPr>
      <w:r>
        <w:rPr>
          <w:i/>
        </w:rPr>
        <w:t>Natural gas</w:t>
      </w:r>
      <w:r>
        <w:rPr>
          <w:i/>
          <w:spacing w:val="-2"/>
        </w:rPr>
        <w:t> </w:t>
      </w:r>
      <w:r>
        <w:rPr>
          <w:i/>
        </w:rPr>
        <w:t>sweetening</w:t>
      </w:r>
    </w:p>
    <w:p>
      <w:pPr>
        <w:pStyle w:val="BodyText"/>
        <w:spacing w:before="5"/>
        <w:rPr>
          <w:b/>
          <w:i/>
          <w:sz w:val="22"/>
        </w:rPr>
      </w:pPr>
    </w:p>
    <w:p>
      <w:pPr>
        <w:pStyle w:val="BodyText"/>
        <w:spacing w:line="225" w:lineRule="auto" w:before="1"/>
        <w:ind w:left="5840" w:right="734"/>
        <w:jc w:val="both"/>
      </w:pPr>
      <w:r>
        <w:rPr/>
        <w:pict>
          <v:shape style="position:absolute;margin-left:289.657593pt;margin-top:32.967594pt;width:7.25pt;height:4.350pt;mso-position-horizontal-relative:page;mso-position-vertical-relative:paragraph;z-index:251665408" type="#_x0000_t202" filled="false" stroked="false">
            <v:textbox inset="0,0,0,0" style="layout-flow:vertical;mso-layout-flow-alt:bottom-to-top">
              <w:txbxContent>
                <w:p>
                  <w:pPr>
                    <w:spacing w:before="5"/>
                    <w:ind w:left="20" w:right="0" w:firstLine="0"/>
                    <w:jc w:val="left"/>
                    <w:rPr>
                      <w:sz w:val="10"/>
                    </w:rPr>
                  </w:pPr>
                  <w:r>
                    <w:rPr>
                      <w:w w:val="104"/>
                      <w:sz w:val="10"/>
                    </w:rPr>
                    <w:t>a</w:t>
                  </w:r>
                </w:p>
              </w:txbxContent>
            </v:textbox>
            <w10:wrap type="none"/>
          </v:shape>
        </w:pict>
      </w:r>
      <w:r>
        <w:rPr/>
        <w:t>Natural gas contains different concentration levels of CO</w:t>
      </w:r>
      <w:r>
        <w:rPr>
          <w:position w:val="-6"/>
          <w:sz w:val="11"/>
        </w:rPr>
        <w:t>2</w:t>
      </w:r>
      <w:r>
        <w:rPr/>
        <w:t>, depending</w:t>
      </w:r>
      <w:r>
        <w:rPr>
          <w:spacing w:val="-16"/>
        </w:rPr>
        <w:t> </w:t>
      </w:r>
      <w:r>
        <w:rPr/>
        <w:t>on</w:t>
      </w:r>
      <w:r>
        <w:rPr>
          <w:spacing w:val="-14"/>
        </w:rPr>
        <w:t> </w:t>
      </w:r>
      <w:r>
        <w:rPr/>
        <w:t>its</w:t>
      </w:r>
      <w:r>
        <w:rPr>
          <w:spacing w:val="-15"/>
        </w:rPr>
        <w:t> </w:t>
      </w:r>
      <w:r>
        <w:rPr/>
        <w:t>source,</w:t>
      </w:r>
      <w:r>
        <w:rPr>
          <w:spacing w:val="-15"/>
        </w:rPr>
        <w:t> </w:t>
      </w:r>
      <w:r>
        <w:rPr/>
        <w:t>which</w:t>
      </w:r>
      <w:r>
        <w:rPr>
          <w:spacing w:val="-16"/>
        </w:rPr>
        <w:t> </w:t>
      </w:r>
      <w:r>
        <w:rPr/>
        <w:t>must</w:t>
      </w:r>
      <w:r>
        <w:rPr>
          <w:spacing w:val="-14"/>
        </w:rPr>
        <w:t> </w:t>
      </w:r>
      <w:r>
        <w:rPr/>
        <w:t>be</w:t>
      </w:r>
      <w:r>
        <w:rPr>
          <w:spacing w:val="-15"/>
        </w:rPr>
        <w:t> </w:t>
      </w:r>
      <w:r>
        <w:rPr/>
        <w:t>removed.</w:t>
      </w:r>
      <w:r>
        <w:rPr>
          <w:spacing w:val="-15"/>
        </w:rPr>
        <w:t> </w:t>
      </w:r>
      <w:r>
        <w:rPr/>
        <w:t>Often</w:t>
      </w:r>
      <w:r>
        <w:rPr>
          <w:spacing w:val="-16"/>
        </w:rPr>
        <w:t> </w:t>
      </w:r>
      <w:r>
        <w:rPr/>
        <w:t>pipeline specifications require that the CO</w:t>
      </w:r>
      <w:r>
        <w:rPr>
          <w:position w:val="-6"/>
          <w:sz w:val="11"/>
        </w:rPr>
        <w:t>2 </w:t>
      </w:r>
      <w:r>
        <w:rPr/>
        <w:t>concentration be lowered</w:t>
      </w:r>
      <w:r>
        <w:rPr>
          <w:spacing w:val="-1"/>
        </w:rPr>
        <w:t> </w:t>
      </w:r>
      <w:r>
        <w:rPr/>
        <w:t>to</w:t>
      </w:r>
    </w:p>
    <w:p>
      <w:pPr>
        <w:spacing w:after="0" w:line="225" w:lineRule="auto"/>
        <w:jc w:val="both"/>
        <w:sectPr>
          <w:pgSz w:w="12240" w:h="15840"/>
          <w:pgMar w:header="567" w:footer="0" w:top="800" w:bottom="280" w:left="620" w:right="0"/>
        </w:sectPr>
      </w:pPr>
    </w:p>
    <w:p>
      <w:pPr>
        <w:pStyle w:val="BodyText"/>
      </w:pPr>
    </w:p>
    <w:p>
      <w:pPr>
        <w:pStyle w:val="BodyText"/>
        <w:spacing w:before="9"/>
        <w:rPr>
          <w:sz w:val="16"/>
        </w:rPr>
      </w:pPr>
    </w:p>
    <w:p>
      <w:pPr>
        <w:spacing w:after="0"/>
        <w:rPr>
          <w:sz w:val="16"/>
        </w:rPr>
        <w:sectPr>
          <w:pgSz w:w="12240" w:h="15840"/>
          <w:pgMar w:header="567" w:footer="0" w:top="760" w:bottom="280" w:left="620" w:right="0"/>
        </w:sectPr>
      </w:pPr>
    </w:p>
    <w:p>
      <w:pPr>
        <w:pStyle w:val="BodyText"/>
        <w:spacing w:line="240" w:lineRule="exact" w:before="58"/>
        <w:ind w:left="117" w:right="38"/>
        <w:jc w:val="both"/>
      </w:pPr>
      <w:bookmarkStart w:name="3.2.3 Steel production" w:id="17"/>
      <w:bookmarkEnd w:id="17"/>
      <w:r>
        <w:rPr/>
      </w:r>
      <w:r>
        <w:rPr/>
        <w:t>around 2% by volume (although this amount varies in</w:t>
      </w:r>
      <w:r>
        <w:rPr>
          <w:spacing w:val="-13"/>
        </w:rPr>
        <w:t> </w:t>
      </w:r>
      <w:r>
        <w:rPr/>
        <w:t>different places) to prevent pipeline corrosion, to avoid excess </w:t>
      </w:r>
      <w:r>
        <w:rPr>
          <w:spacing w:val="-4"/>
        </w:rPr>
        <w:t>energy </w:t>
      </w:r>
      <w:r>
        <w:rPr/>
        <w:t>for transport and to increase the heating value of the </w:t>
      </w:r>
      <w:r>
        <w:rPr>
          <w:spacing w:val="-3"/>
        </w:rPr>
        <w:t>gas. </w:t>
      </w:r>
      <w:r>
        <w:rPr/>
        <w:t>Whilst accurate figures are published for annual worldwide natural gas production </w:t>
      </w:r>
      <w:r>
        <w:rPr>
          <w:spacing w:val="-6"/>
        </w:rPr>
        <w:t>(BP, </w:t>
      </w:r>
      <w:r>
        <w:rPr/>
        <w:t>2004), none seem to be published on how much of that gas may contain CO</w:t>
      </w:r>
      <w:r>
        <w:rPr>
          <w:position w:val="-6"/>
          <w:sz w:val="11"/>
        </w:rPr>
        <w:t>2</w:t>
      </w:r>
      <w:r>
        <w:rPr/>
        <w:t>. Nevertheless, a reasonable assumption is that about half of raw natural gas production contains CO</w:t>
      </w:r>
      <w:r>
        <w:rPr>
          <w:position w:val="-6"/>
          <w:sz w:val="11"/>
        </w:rPr>
        <w:t>2 </w:t>
      </w:r>
      <w:r>
        <w:rPr/>
        <w:t>at concentrations averaging at </w:t>
      </w:r>
      <w:r>
        <w:rPr>
          <w:spacing w:val="-3"/>
        </w:rPr>
        <w:t>least </w:t>
      </w:r>
      <w:r>
        <w:rPr/>
        <w:t>4% by volume. These figures can be used to illustrate  the scale of this CO</w:t>
      </w:r>
      <w:r>
        <w:rPr>
          <w:position w:val="-6"/>
          <w:sz w:val="11"/>
        </w:rPr>
        <w:t>2 </w:t>
      </w:r>
      <w:r>
        <w:rPr/>
        <w:t>capture and storage opportunity. If half of the worldwide production of 2618.5 billion m</w:t>
      </w:r>
      <w:r>
        <w:rPr>
          <w:position w:val="7"/>
          <w:sz w:val="11"/>
        </w:rPr>
        <w:t>3 </w:t>
      </w:r>
      <w:r>
        <w:rPr/>
        <w:t>of natural gas in 2003 is reduced in CO</w:t>
      </w:r>
      <w:r>
        <w:rPr>
          <w:position w:val="-6"/>
          <w:sz w:val="11"/>
        </w:rPr>
        <w:t>2 </w:t>
      </w:r>
      <w:r>
        <w:rPr/>
        <w:t>content from 4 to 2% mol, the</w:t>
      </w:r>
      <w:r>
        <w:rPr>
          <w:spacing w:val="-27"/>
        </w:rPr>
        <w:t> </w:t>
      </w:r>
      <w:r>
        <w:rPr/>
        <w:t>resultant</w:t>
      </w:r>
    </w:p>
    <w:p>
      <w:pPr>
        <w:pStyle w:val="BodyText"/>
        <w:spacing w:line="249" w:lineRule="auto" w:before="63"/>
        <w:ind w:left="117" w:right="1129"/>
        <w:jc w:val="both"/>
      </w:pPr>
      <w:r>
        <w:rPr/>
        <w:br w:type="column"/>
      </w:r>
      <w:r>
        <w:rPr/>
        <w:t>natural</w:t>
      </w:r>
      <w:r>
        <w:rPr>
          <w:spacing w:val="-7"/>
        </w:rPr>
        <w:t> </w:t>
      </w:r>
      <w:r>
        <w:rPr/>
        <w:t>gas</w:t>
      </w:r>
      <w:r>
        <w:rPr>
          <w:spacing w:val="-5"/>
        </w:rPr>
        <w:t> </w:t>
      </w:r>
      <w:r>
        <w:rPr/>
        <w:t>started</w:t>
      </w:r>
      <w:r>
        <w:rPr>
          <w:spacing w:val="-6"/>
        </w:rPr>
        <w:t> </w:t>
      </w:r>
      <w:r>
        <w:rPr/>
        <w:t>in</w:t>
      </w:r>
      <w:r>
        <w:rPr>
          <w:spacing w:val="-6"/>
        </w:rPr>
        <w:t> </w:t>
      </w:r>
      <w:r>
        <w:rPr/>
        <w:t>the</w:t>
      </w:r>
      <w:r>
        <w:rPr>
          <w:spacing w:val="-6"/>
        </w:rPr>
        <w:t> </w:t>
      </w:r>
      <w:r>
        <w:rPr/>
        <w:t>early</w:t>
      </w:r>
      <w:r>
        <w:rPr>
          <w:spacing w:val="-6"/>
        </w:rPr>
        <w:t> </w:t>
      </w:r>
      <w:r>
        <w:rPr/>
        <w:t>1980s</w:t>
      </w:r>
      <w:r>
        <w:rPr>
          <w:spacing w:val="-5"/>
        </w:rPr>
        <w:t> </w:t>
      </w:r>
      <w:r>
        <w:rPr/>
        <w:t>for</w:t>
      </w:r>
      <w:r>
        <w:rPr>
          <w:spacing w:val="-6"/>
        </w:rPr>
        <w:t> </w:t>
      </w:r>
      <w:r>
        <w:rPr/>
        <w:t>small</w:t>
      </w:r>
      <w:r>
        <w:rPr>
          <w:spacing w:val="-7"/>
        </w:rPr>
        <w:t> </w:t>
      </w:r>
      <w:r>
        <w:rPr/>
        <w:t>units,</w:t>
      </w:r>
      <w:r>
        <w:rPr>
          <w:spacing w:val="-6"/>
        </w:rPr>
        <w:t> </w:t>
      </w:r>
      <w:r>
        <w:rPr/>
        <w:t>with</w:t>
      </w:r>
      <w:r>
        <w:rPr>
          <w:spacing w:val="-6"/>
        </w:rPr>
        <w:t> </w:t>
      </w:r>
      <w:r>
        <w:rPr/>
        <w:t>many design parameters unknown (Noble and Stern, 1995). It is now a well-established and competitive technology with</w:t>
      </w:r>
      <w:r>
        <w:rPr>
          <w:spacing w:val="-32"/>
        </w:rPr>
        <w:t> </w:t>
      </w:r>
      <w:r>
        <w:rPr/>
        <w:t>advantages compared to other technologies,  including  amine  treatment in certain cases (Tabe-Mohammadi, 1999). These advantages include lower capital cost, ease of skid-mounted installation, lower</w:t>
      </w:r>
      <w:r>
        <w:rPr>
          <w:spacing w:val="-13"/>
        </w:rPr>
        <w:t> </w:t>
      </w:r>
      <w:r>
        <w:rPr/>
        <w:t>energy</w:t>
      </w:r>
      <w:r>
        <w:rPr>
          <w:spacing w:val="-12"/>
        </w:rPr>
        <w:t> </w:t>
      </w:r>
      <w:r>
        <w:rPr/>
        <w:t>consumption,</w:t>
      </w:r>
      <w:r>
        <w:rPr>
          <w:spacing w:val="-13"/>
        </w:rPr>
        <w:t> </w:t>
      </w:r>
      <w:r>
        <w:rPr/>
        <w:t>ability</w:t>
      </w:r>
      <w:r>
        <w:rPr>
          <w:spacing w:val="-12"/>
        </w:rPr>
        <w:t> </w:t>
      </w:r>
      <w:r>
        <w:rPr/>
        <w:t>to</w:t>
      </w:r>
      <w:r>
        <w:rPr>
          <w:spacing w:val="-13"/>
        </w:rPr>
        <w:t> </w:t>
      </w:r>
      <w:r>
        <w:rPr/>
        <w:t>be</w:t>
      </w:r>
      <w:r>
        <w:rPr>
          <w:spacing w:val="-12"/>
        </w:rPr>
        <w:t> </w:t>
      </w:r>
      <w:r>
        <w:rPr/>
        <w:t>applied</w:t>
      </w:r>
      <w:r>
        <w:rPr>
          <w:spacing w:val="-12"/>
        </w:rPr>
        <w:t> </w:t>
      </w:r>
      <w:r>
        <w:rPr/>
        <w:t>in</w:t>
      </w:r>
      <w:r>
        <w:rPr>
          <w:spacing w:val="-13"/>
        </w:rPr>
        <w:t> </w:t>
      </w:r>
      <w:r>
        <w:rPr/>
        <w:t>remote</w:t>
      </w:r>
      <w:r>
        <w:rPr>
          <w:spacing w:val="-12"/>
        </w:rPr>
        <w:t> </w:t>
      </w:r>
      <w:r>
        <w:rPr/>
        <w:t>areas, especially offshore and</w:t>
      </w:r>
      <w:r>
        <w:rPr>
          <w:spacing w:val="-3"/>
        </w:rPr>
        <w:t> </w:t>
      </w:r>
      <w:r>
        <w:rPr/>
        <w:t>flexibility.</w:t>
      </w:r>
    </w:p>
    <w:p>
      <w:pPr>
        <w:pStyle w:val="BodyText"/>
        <w:spacing w:before="5"/>
        <w:rPr>
          <w:sz w:val="21"/>
        </w:rPr>
      </w:pPr>
    </w:p>
    <w:p>
      <w:pPr>
        <w:pStyle w:val="Heading2"/>
        <w:numPr>
          <w:ilvl w:val="2"/>
          <w:numId w:val="5"/>
        </w:numPr>
        <w:tabs>
          <w:tab w:pos="936" w:val="left" w:leader="none"/>
          <w:tab w:pos="937" w:val="left" w:leader="none"/>
        </w:tabs>
        <w:spacing w:line="240" w:lineRule="auto" w:before="0" w:after="0"/>
        <w:ind w:left="937" w:right="0" w:hanging="820"/>
        <w:jc w:val="left"/>
        <w:rPr>
          <w:i/>
        </w:rPr>
      </w:pPr>
      <w:r>
        <w:rPr>
          <w:i/>
        </w:rPr>
        <w:t>Steel</w:t>
      </w:r>
      <w:r>
        <w:rPr>
          <w:i/>
          <w:spacing w:val="-2"/>
        </w:rPr>
        <w:t> </w:t>
      </w:r>
      <w:r>
        <w:rPr>
          <w:i/>
        </w:rPr>
        <w:t>production</w:t>
      </w:r>
    </w:p>
    <w:p>
      <w:pPr>
        <w:pStyle w:val="BodyText"/>
        <w:spacing w:before="9"/>
        <w:rPr>
          <w:b/>
          <w:i/>
          <w:sz w:val="21"/>
        </w:rPr>
      </w:pPr>
    </w:p>
    <w:p>
      <w:pPr>
        <w:pStyle w:val="BodyText"/>
        <w:ind w:left="117"/>
        <w:jc w:val="both"/>
      </w:pPr>
      <w:r>
        <w:rPr/>
        <w:t>The iron and steel industry is the largest energy-consuming</w:t>
      </w:r>
    </w:p>
    <w:p>
      <w:pPr>
        <w:spacing w:after="0"/>
        <w:jc w:val="both"/>
        <w:sectPr>
          <w:type w:val="continuous"/>
          <w:pgSz w:w="12240" w:h="15840"/>
          <w:pgMar w:top="480" w:bottom="280" w:left="620" w:right="0"/>
          <w:cols w:num="2" w:equalWidth="0">
            <w:col w:w="5202" w:space="124"/>
            <w:col w:w="6294"/>
          </w:cols>
        </w:sectPr>
      </w:pPr>
    </w:p>
    <w:p>
      <w:pPr>
        <w:pStyle w:val="BodyText"/>
        <w:spacing w:line="277" w:lineRule="exact" w:before="5"/>
        <w:ind w:left="117"/>
        <w:rPr>
          <w:sz w:val="11"/>
        </w:rPr>
      </w:pPr>
      <w:r>
        <w:rPr/>
        <w:pict>
          <v:shape style="position:absolute;margin-left:250.597107pt;margin-top:8.535937pt;width:2.9pt;height:5.8pt;mso-position-horizontal-relative:page;mso-position-vertical-relative:paragraph;z-index:-272459776"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t>amount of CO</w:t>
      </w:r>
      <w:r>
        <w:rPr>
          <w:position w:val="-6"/>
          <w:sz w:val="11"/>
        </w:rPr>
        <w:t>2</w:t>
      </w:r>
    </w:p>
    <w:p>
      <w:pPr>
        <w:pStyle w:val="BodyText"/>
        <w:spacing w:before="5"/>
        <w:ind w:left="16"/>
      </w:pPr>
      <w:r>
        <w:rPr/>
        <w:br w:type="column"/>
      </w:r>
      <w:r>
        <w:rPr/>
        <w:t>removed would be at least 50 Mt CO yr</w:t>
      </w:r>
      <w:r>
        <w:rPr>
          <w:position w:val="7"/>
          <w:sz w:val="11"/>
        </w:rPr>
        <w:t>-1</w:t>
      </w:r>
      <w:r>
        <w:rPr/>
        <w:t>. It is</w:t>
      </w:r>
    </w:p>
    <w:p>
      <w:pPr>
        <w:pStyle w:val="BodyText"/>
        <w:spacing w:before="5"/>
        <w:ind w:left="117"/>
      </w:pPr>
      <w:r>
        <w:rPr/>
        <w:br w:type="column"/>
      </w:r>
      <w:r>
        <w:rPr/>
        <w:t>manufacturing sector in the world, accounting for 10-15%</w:t>
      </w:r>
    </w:p>
    <w:p>
      <w:pPr>
        <w:spacing w:after="0"/>
        <w:sectPr>
          <w:type w:val="continuous"/>
          <w:pgSz w:w="12240" w:h="15840"/>
          <w:pgMar w:top="480" w:bottom="280" w:left="620" w:right="0"/>
          <w:cols w:num="3" w:equalWidth="0">
            <w:col w:w="1332" w:space="40"/>
            <w:col w:w="3829" w:space="126"/>
            <w:col w:w="6293"/>
          </w:cols>
        </w:sectPr>
      </w:pPr>
    </w:p>
    <w:p>
      <w:pPr>
        <w:pStyle w:val="BodyText"/>
        <w:spacing w:line="194" w:lineRule="exact"/>
        <w:ind w:left="117"/>
      </w:pPr>
      <w:r>
        <w:rPr/>
        <w:t>interesting</w:t>
      </w:r>
      <w:r>
        <w:rPr>
          <w:spacing w:val="-11"/>
        </w:rPr>
        <w:t> </w:t>
      </w:r>
      <w:r>
        <w:rPr/>
        <w:t>to</w:t>
      </w:r>
      <w:r>
        <w:rPr>
          <w:spacing w:val="-10"/>
        </w:rPr>
        <w:t> </w:t>
      </w:r>
      <w:r>
        <w:rPr/>
        <w:t>note</w:t>
      </w:r>
      <w:r>
        <w:rPr>
          <w:spacing w:val="-10"/>
        </w:rPr>
        <w:t> </w:t>
      </w:r>
      <w:r>
        <w:rPr/>
        <w:t>that</w:t>
      </w:r>
      <w:r>
        <w:rPr>
          <w:spacing w:val="-11"/>
        </w:rPr>
        <w:t> </w:t>
      </w:r>
      <w:r>
        <w:rPr/>
        <w:t>there</w:t>
      </w:r>
      <w:r>
        <w:rPr>
          <w:spacing w:val="-10"/>
        </w:rPr>
        <w:t> </w:t>
      </w:r>
      <w:r>
        <w:rPr/>
        <w:t>are</w:t>
      </w:r>
      <w:r>
        <w:rPr>
          <w:spacing w:val="-10"/>
        </w:rPr>
        <w:t> </w:t>
      </w:r>
      <w:r>
        <w:rPr/>
        <w:t>two</w:t>
      </w:r>
      <w:r>
        <w:rPr>
          <w:spacing w:val="-10"/>
        </w:rPr>
        <w:t> </w:t>
      </w:r>
      <w:r>
        <w:rPr/>
        <w:t>operating</w:t>
      </w:r>
      <w:r>
        <w:rPr>
          <w:spacing w:val="-11"/>
        </w:rPr>
        <w:t> </w:t>
      </w:r>
      <w:r>
        <w:rPr/>
        <w:t>natural</w:t>
      </w:r>
      <w:r>
        <w:rPr>
          <w:spacing w:val="-11"/>
        </w:rPr>
        <w:t> </w:t>
      </w:r>
      <w:r>
        <w:rPr/>
        <w:t>gas</w:t>
      </w:r>
      <w:r>
        <w:rPr>
          <w:spacing w:val="-10"/>
        </w:rPr>
        <w:t> </w:t>
      </w:r>
      <w:r>
        <w:rPr/>
        <w:t>plants</w:t>
      </w:r>
    </w:p>
    <w:p>
      <w:pPr>
        <w:pStyle w:val="BodyText"/>
        <w:spacing w:line="206" w:lineRule="auto" w:before="29"/>
        <w:ind w:left="117" w:right="39"/>
      </w:pPr>
      <w:r>
        <w:rPr/>
        <w:pict>
          <v:shape style="position:absolute;margin-left:249.310196pt;margin-top:32.782631pt;width:2.9pt;height:5.8pt;mso-position-horizontal-relative:page;mso-position-vertical-relative:paragraph;z-index:-272458752"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t>capturing and storing CO</w:t>
      </w:r>
      <w:r>
        <w:rPr>
          <w:position w:val="-6"/>
          <w:sz w:val="11"/>
        </w:rPr>
        <w:t>2</w:t>
      </w:r>
      <w:r>
        <w:rPr/>
        <w:t>, </w:t>
      </w:r>
      <w:r>
        <w:rPr>
          <w:spacing w:val="-3"/>
        </w:rPr>
        <w:t>BP’s </w:t>
      </w:r>
      <w:r>
        <w:rPr/>
        <w:t>In Salah plant in Algeria and a Statoil plant at Sleipner in the North Sea. Both capture</w:t>
      </w:r>
      <w:r>
        <w:rPr>
          <w:spacing w:val="18"/>
        </w:rPr>
        <w:t> </w:t>
      </w:r>
      <w:r>
        <w:rPr/>
        <w:t>about</w:t>
      </w:r>
    </w:p>
    <w:p>
      <w:pPr>
        <w:pStyle w:val="BodyText"/>
        <w:spacing w:line="194" w:lineRule="exact"/>
        <w:ind w:left="117"/>
      </w:pPr>
      <w:r>
        <w:rPr/>
        <w:br w:type="column"/>
      </w:r>
      <w:r>
        <w:rPr/>
        <w:t>of  total  industrial  energy  consumption  (IEA  GHG,</w:t>
      </w:r>
      <w:r>
        <w:rPr>
          <w:spacing w:val="42"/>
        </w:rPr>
        <w:t> </w:t>
      </w:r>
      <w:r>
        <w:rPr/>
        <w:t>2000a).</w:t>
      </w:r>
    </w:p>
    <w:p>
      <w:pPr>
        <w:pStyle w:val="BodyText"/>
        <w:spacing w:line="206" w:lineRule="auto" w:before="29"/>
        <w:ind w:left="117" w:right="1129"/>
      </w:pPr>
      <w:r>
        <w:rPr/>
        <w:t>Associated CO</w:t>
      </w:r>
      <w:r>
        <w:rPr>
          <w:position w:val="-6"/>
          <w:sz w:val="11"/>
        </w:rPr>
        <w:t>2 </w:t>
      </w:r>
      <w:r>
        <w:rPr/>
        <w:t>emissions were estimated at 1442 MtCO</w:t>
      </w:r>
      <w:r>
        <w:rPr>
          <w:position w:val="-6"/>
          <w:sz w:val="11"/>
        </w:rPr>
        <w:t>2 </w:t>
      </w:r>
      <w:r>
        <w:rPr/>
        <w:t>in 1995.</w:t>
      </w:r>
      <w:r>
        <w:rPr>
          <w:spacing w:val="3"/>
        </w:rPr>
        <w:t> </w:t>
      </w:r>
      <w:r>
        <w:rPr>
          <w:spacing w:val="-5"/>
        </w:rPr>
        <w:t>Two</w:t>
      </w:r>
      <w:r>
        <w:rPr>
          <w:spacing w:val="8"/>
        </w:rPr>
        <w:t> </w:t>
      </w:r>
      <w:r>
        <w:rPr/>
        <w:t>types</w:t>
      </w:r>
      <w:r>
        <w:rPr>
          <w:spacing w:val="8"/>
        </w:rPr>
        <w:t> </w:t>
      </w:r>
      <w:r>
        <w:rPr/>
        <w:t>of</w:t>
      </w:r>
      <w:r>
        <w:rPr>
          <w:spacing w:val="8"/>
        </w:rPr>
        <w:t> </w:t>
      </w:r>
      <w:r>
        <w:rPr/>
        <w:t>iron-</w:t>
      </w:r>
      <w:r>
        <w:rPr>
          <w:spacing w:val="7"/>
        </w:rPr>
        <w:t> </w:t>
      </w:r>
      <w:r>
        <w:rPr/>
        <w:t>and</w:t>
      </w:r>
      <w:r>
        <w:rPr>
          <w:spacing w:val="8"/>
        </w:rPr>
        <w:t> </w:t>
      </w:r>
      <w:r>
        <w:rPr/>
        <w:t>steel-making</w:t>
      </w:r>
      <w:r>
        <w:rPr>
          <w:spacing w:val="8"/>
        </w:rPr>
        <w:t> </w:t>
      </w:r>
      <w:r>
        <w:rPr/>
        <w:t>technologies</w:t>
      </w:r>
      <w:r>
        <w:rPr>
          <w:spacing w:val="8"/>
        </w:rPr>
        <w:t> </w:t>
      </w:r>
      <w:r>
        <w:rPr/>
        <w:t>are</w:t>
      </w:r>
      <w:r>
        <w:rPr>
          <w:spacing w:val="8"/>
        </w:rPr>
        <w:t> </w:t>
      </w:r>
      <w:r>
        <w:rPr/>
        <w:t>in</w:t>
      </w:r>
    </w:p>
    <w:p>
      <w:pPr>
        <w:spacing w:after="0" w:line="206" w:lineRule="auto"/>
        <w:sectPr>
          <w:type w:val="continuous"/>
          <w:pgSz w:w="12240" w:h="15840"/>
          <w:pgMar w:top="480" w:bottom="280" w:left="620" w:right="0"/>
          <w:cols w:num="2" w:equalWidth="0">
            <w:col w:w="5201" w:space="125"/>
            <w:col w:w="6294"/>
          </w:cols>
        </w:sectPr>
      </w:pPr>
    </w:p>
    <w:p>
      <w:pPr>
        <w:pStyle w:val="BodyText"/>
        <w:spacing w:line="274" w:lineRule="exact" w:before="15"/>
        <w:ind w:left="117"/>
        <w:rPr>
          <w:sz w:val="11"/>
        </w:rPr>
      </w:pPr>
      <w:r>
        <w:rPr/>
        <w:t>1 MtCO</w:t>
      </w:r>
      <w:r>
        <w:rPr>
          <w:position w:val="-6"/>
          <w:sz w:val="11"/>
        </w:rPr>
        <w:t>2</w:t>
      </w:r>
    </w:p>
    <w:p>
      <w:pPr>
        <w:pStyle w:val="BodyText"/>
        <w:spacing w:before="15"/>
        <w:ind w:left="15"/>
      </w:pPr>
      <w:r>
        <w:rPr/>
        <w:br w:type="column"/>
      </w:r>
      <w:r>
        <w:rPr/>
        <w:t>yr</w:t>
      </w:r>
      <w:r>
        <w:rPr>
          <w:position w:val="7"/>
          <w:sz w:val="11"/>
        </w:rPr>
        <w:t>-1 </w:t>
      </w:r>
      <w:r>
        <w:rPr/>
        <w:t>(see Chapter 5). About 6.5 million tCO yr</w:t>
      </w:r>
      <w:r>
        <w:rPr>
          <w:position w:val="7"/>
          <w:sz w:val="11"/>
        </w:rPr>
        <w:t>-1 </w:t>
      </w:r>
      <w:r>
        <w:rPr/>
        <w:t>from</w:t>
      </w:r>
    </w:p>
    <w:p>
      <w:pPr>
        <w:pStyle w:val="BodyText"/>
        <w:spacing w:before="15"/>
        <w:ind w:left="117"/>
      </w:pPr>
      <w:r>
        <w:rPr/>
        <w:br w:type="column"/>
      </w:r>
      <w:r>
        <w:rPr/>
        <w:t>operation today. The integrated steel plant has a typical capacity</w:t>
      </w:r>
    </w:p>
    <w:p>
      <w:pPr>
        <w:spacing w:after="0"/>
        <w:sectPr>
          <w:type w:val="continuous"/>
          <w:pgSz w:w="12240" w:h="15840"/>
          <w:pgMar w:top="480" w:bottom="280" w:left="620" w:right="0"/>
          <w:cols w:num="3" w:equalWidth="0">
            <w:col w:w="842" w:space="40"/>
            <w:col w:w="4319" w:space="126"/>
            <w:col w:w="6293"/>
          </w:cols>
        </w:sectPr>
      </w:pPr>
    </w:p>
    <w:p>
      <w:pPr>
        <w:pStyle w:val="BodyText"/>
        <w:spacing w:line="196" w:lineRule="exact"/>
        <w:ind w:left="117"/>
      </w:pPr>
      <w:r>
        <w:rPr/>
        <w:t>natural</w:t>
      </w:r>
      <w:r>
        <w:rPr>
          <w:spacing w:val="-5"/>
        </w:rPr>
        <w:t> </w:t>
      </w:r>
      <w:r>
        <w:rPr/>
        <w:t>gas</w:t>
      </w:r>
      <w:r>
        <w:rPr>
          <w:spacing w:val="-4"/>
        </w:rPr>
        <w:t> </w:t>
      </w:r>
      <w:r>
        <w:rPr/>
        <w:t>sweetening</w:t>
      </w:r>
      <w:r>
        <w:rPr>
          <w:spacing w:val="-5"/>
        </w:rPr>
        <w:t> </w:t>
      </w:r>
      <w:r>
        <w:rPr/>
        <w:t>is</w:t>
      </w:r>
      <w:r>
        <w:rPr>
          <w:spacing w:val="-5"/>
        </w:rPr>
        <w:t> </w:t>
      </w:r>
      <w:r>
        <w:rPr/>
        <w:t>also</w:t>
      </w:r>
      <w:r>
        <w:rPr>
          <w:spacing w:val="-4"/>
        </w:rPr>
        <w:t> </w:t>
      </w:r>
      <w:r>
        <w:rPr/>
        <w:t>currently</w:t>
      </w:r>
      <w:r>
        <w:rPr>
          <w:spacing w:val="-5"/>
        </w:rPr>
        <w:t> </w:t>
      </w:r>
      <w:r>
        <w:rPr/>
        <w:t>being</w:t>
      </w:r>
      <w:r>
        <w:rPr>
          <w:spacing w:val="-5"/>
        </w:rPr>
        <w:t> </w:t>
      </w:r>
      <w:r>
        <w:rPr/>
        <w:t>used</w:t>
      </w:r>
      <w:r>
        <w:rPr>
          <w:spacing w:val="-4"/>
        </w:rPr>
        <w:t> </w:t>
      </w:r>
      <w:r>
        <w:rPr/>
        <w:t>in</w:t>
      </w:r>
      <w:r>
        <w:rPr>
          <w:spacing w:val="-5"/>
        </w:rPr>
        <w:t> </w:t>
      </w:r>
      <w:r>
        <w:rPr/>
        <w:t>enhanced</w:t>
      </w:r>
    </w:p>
    <w:p>
      <w:pPr>
        <w:pStyle w:val="BodyText"/>
        <w:spacing w:line="249" w:lineRule="auto" w:before="10"/>
        <w:ind w:left="117"/>
      </w:pPr>
      <w:r>
        <w:rPr/>
        <w:t>oil recovery (EOR) in the United States (Beecy and Kuuskraa, 2005)</w:t>
      </w:r>
      <w:r>
        <w:rPr>
          <w:spacing w:val="-10"/>
        </w:rPr>
        <w:t> </w:t>
      </w:r>
      <w:r>
        <w:rPr/>
        <w:t>where</w:t>
      </w:r>
      <w:r>
        <w:rPr>
          <w:spacing w:val="-10"/>
        </w:rPr>
        <w:t> </w:t>
      </w:r>
      <w:r>
        <w:rPr/>
        <w:t>in</w:t>
      </w:r>
      <w:r>
        <w:rPr>
          <w:spacing w:val="-9"/>
        </w:rPr>
        <w:t> </w:t>
      </w:r>
      <w:r>
        <w:rPr/>
        <w:t>these</w:t>
      </w:r>
      <w:r>
        <w:rPr>
          <w:spacing w:val="-9"/>
        </w:rPr>
        <w:t> </w:t>
      </w:r>
      <w:r>
        <w:rPr/>
        <w:t>commercial</w:t>
      </w:r>
      <w:r>
        <w:rPr>
          <w:spacing w:val="-10"/>
        </w:rPr>
        <w:t> </w:t>
      </w:r>
      <w:r>
        <w:rPr/>
        <w:t>EOR</w:t>
      </w:r>
      <w:r>
        <w:rPr>
          <w:spacing w:val="-9"/>
        </w:rPr>
        <w:t> </w:t>
      </w:r>
      <w:r>
        <w:rPr/>
        <w:t>projects,</w:t>
      </w:r>
      <w:r>
        <w:rPr>
          <w:spacing w:val="-9"/>
        </w:rPr>
        <w:t> </w:t>
      </w:r>
      <w:r>
        <w:rPr/>
        <w:t>a</w:t>
      </w:r>
      <w:r>
        <w:rPr>
          <w:spacing w:val="-9"/>
        </w:rPr>
        <w:t> </w:t>
      </w:r>
      <w:r>
        <w:rPr/>
        <w:t>large</w:t>
      </w:r>
      <w:r>
        <w:rPr>
          <w:spacing w:val="-9"/>
        </w:rPr>
        <w:t> </w:t>
      </w:r>
      <w:r>
        <w:rPr/>
        <w:t>fraction</w:t>
      </w:r>
    </w:p>
    <w:p>
      <w:pPr>
        <w:pStyle w:val="BodyText"/>
        <w:spacing w:line="196" w:lineRule="exact"/>
        <w:ind w:left="117"/>
      </w:pPr>
      <w:r>
        <w:rPr/>
        <w:br w:type="column"/>
      </w:r>
      <w:r>
        <w:rPr/>
        <w:t>of 3-5 Mtonnes yr</w:t>
      </w:r>
      <w:r>
        <w:rPr>
          <w:position w:val="7"/>
          <w:sz w:val="11"/>
        </w:rPr>
        <w:t>-1  </w:t>
      </w:r>
      <w:r>
        <w:rPr/>
        <w:t>of steel and uses coal as its basic fuel</w:t>
      </w:r>
      <w:r>
        <w:rPr>
          <w:spacing w:val="-6"/>
        </w:rPr>
        <w:t> </w:t>
      </w:r>
      <w:r>
        <w:rPr/>
        <w:t>with,</w:t>
      </w:r>
    </w:p>
    <w:p>
      <w:pPr>
        <w:pStyle w:val="BodyText"/>
        <w:spacing w:line="249" w:lineRule="auto" w:before="10"/>
        <w:ind w:left="117" w:right="1129"/>
      </w:pPr>
      <w:r>
        <w:rPr/>
        <w:t>in many cases, additional natural gas and oil. The mini-mill uses</w:t>
      </w:r>
      <w:r>
        <w:rPr>
          <w:spacing w:val="-11"/>
        </w:rPr>
        <w:t> </w:t>
      </w:r>
      <w:r>
        <w:rPr/>
        <w:t>electric</w:t>
      </w:r>
      <w:r>
        <w:rPr>
          <w:spacing w:val="-11"/>
        </w:rPr>
        <w:t> </w:t>
      </w:r>
      <w:r>
        <w:rPr/>
        <w:t>arc</w:t>
      </w:r>
      <w:r>
        <w:rPr>
          <w:spacing w:val="-10"/>
        </w:rPr>
        <w:t> </w:t>
      </w:r>
      <w:r>
        <w:rPr/>
        <w:t>furnaces</w:t>
      </w:r>
      <w:r>
        <w:rPr>
          <w:spacing w:val="-11"/>
        </w:rPr>
        <w:t> </w:t>
      </w:r>
      <w:r>
        <w:rPr/>
        <w:t>to</w:t>
      </w:r>
      <w:r>
        <w:rPr>
          <w:spacing w:val="-10"/>
        </w:rPr>
        <w:t> </w:t>
      </w:r>
      <w:r>
        <w:rPr/>
        <w:t>melt</w:t>
      </w:r>
      <w:r>
        <w:rPr>
          <w:spacing w:val="-11"/>
        </w:rPr>
        <w:t> </w:t>
      </w:r>
      <w:r>
        <w:rPr/>
        <w:t>scrap</w:t>
      </w:r>
      <w:r>
        <w:rPr>
          <w:spacing w:val="-11"/>
        </w:rPr>
        <w:t> </w:t>
      </w:r>
      <w:r>
        <w:rPr/>
        <w:t>with</w:t>
      </w:r>
      <w:r>
        <w:rPr>
          <w:spacing w:val="-10"/>
        </w:rPr>
        <w:t> </w:t>
      </w:r>
      <w:r>
        <w:rPr/>
        <w:t>a</w:t>
      </w:r>
      <w:r>
        <w:rPr>
          <w:spacing w:val="-11"/>
        </w:rPr>
        <w:t> </w:t>
      </w:r>
      <w:r>
        <w:rPr/>
        <w:t>typical</w:t>
      </w:r>
      <w:r>
        <w:rPr>
          <w:spacing w:val="-10"/>
        </w:rPr>
        <w:t> </w:t>
      </w:r>
      <w:r>
        <w:rPr/>
        <w:t>output</w:t>
      </w:r>
      <w:r>
        <w:rPr>
          <w:spacing w:val="-11"/>
        </w:rPr>
        <w:t> </w:t>
      </w:r>
      <w:r>
        <w:rPr/>
        <w:t>of</w:t>
      </w:r>
      <w:r>
        <w:rPr>
          <w:spacing w:val="-10"/>
        </w:rPr>
        <w:t> </w:t>
      </w:r>
      <w:r>
        <w:rPr/>
        <w:t>1</w:t>
      </w:r>
    </w:p>
    <w:p>
      <w:pPr>
        <w:spacing w:after="0" w:line="249" w:lineRule="auto"/>
        <w:sectPr>
          <w:type w:val="continuous"/>
          <w:pgSz w:w="12240" w:h="15840"/>
          <w:pgMar w:top="480" w:bottom="280" w:left="620" w:right="0"/>
          <w:cols w:num="2" w:equalWidth="0">
            <w:col w:w="5201" w:space="125"/>
            <w:col w:w="6294"/>
          </w:cols>
        </w:sectPr>
      </w:pPr>
    </w:p>
    <w:p>
      <w:pPr>
        <w:pStyle w:val="BodyText"/>
        <w:spacing w:line="206" w:lineRule="auto" w:before="20"/>
        <w:ind w:left="117"/>
      </w:pPr>
      <w:r>
        <w:rPr/>
        <w:t>of the injected CO</w:t>
      </w:r>
      <w:r>
        <w:rPr>
          <w:position w:val="-6"/>
          <w:sz w:val="11"/>
        </w:rPr>
        <w:t>2</w:t>
      </w:r>
      <w:bookmarkStart w:name="_bookmark5" w:id="18"/>
      <w:bookmarkEnd w:id="18"/>
      <w:r>
        <w:rPr>
          <w:position w:val="-6"/>
          <w:sz w:val="11"/>
        </w:rPr>
      </w:r>
      <w:r>
        <w:rPr>
          <w:position w:val="-6"/>
          <w:sz w:val="11"/>
        </w:rPr>
        <w:t> </w:t>
      </w:r>
      <w:r>
        <w:rPr/>
        <w:t>5).</w:t>
      </w:r>
    </w:p>
    <w:p>
      <w:pPr>
        <w:pStyle w:val="BodyText"/>
        <w:spacing w:before="1"/>
        <w:ind w:left="25"/>
      </w:pPr>
      <w:r>
        <w:rPr/>
        <w:br w:type="column"/>
      </w:r>
      <w:r>
        <w:rPr/>
        <w:t>is also retained underground (see Chapter</w:t>
      </w:r>
    </w:p>
    <w:p>
      <w:pPr>
        <w:pStyle w:val="BodyText"/>
        <w:spacing w:line="249" w:lineRule="auto" w:before="1"/>
        <w:ind w:left="117" w:right="1117"/>
      </w:pPr>
      <w:r>
        <w:rPr/>
        <w:br w:type="column"/>
      </w:r>
      <w:r>
        <w:rPr/>
        <w:t>Mtonnes yr</w:t>
      </w:r>
      <w:r>
        <w:rPr>
          <w:position w:val="7"/>
          <w:sz w:val="11"/>
        </w:rPr>
        <w:t>-1 </w:t>
      </w:r>
      <w:r>
        <w:rPr/>
        <w:t>of steel and an electrical consumption of 300-350 kWh tonne</w:t>
      </w:r>
      <w:r>
        <w:rPr>
          <w:position w:val="7"/>
          <w:sz w:val="11"/>
        </w:rPr>
        <w:t>-1 </w:t>
      </w:r>
      <w:r>
        <w:rPr/>
        <w:t>steel. Increasingly mini-mills blend direct-reduced</w:t>
      </w:r>
    </w:p>
    <w:p>
      <w:pPr>
        <w:spacing w:after="0" w:line="249" w:lineRule="auto"/>
        <w:sectPr>
          <w:type w:val="continuous"/>
          <w:pgSz w:w="12240" w:h="15840"/>
          <w:pgMar w:top="480" w:bottom="280" w:left="620" w:right="0"/>
          <w:cols w:num="3" w:equalWidth="0">
            <w:col w:w="1694" w:space="40"/>
            <w:col w:w="3467" w:space="125"/>
            <w:col w:w="6294"/>
          </w:cols>
        </w:sectPr>
      </w:pPr>
    </w:p>
    <w:p>
      <w:pPr>
        <w:pStyle w:val="BodyText"/>
        <w:spacing w:line="206" w:lineRule="auto" w:before="21"/>
        <w:ind w:left="117" w:right="38" w:firstLine="283"/>
        <w:jc w:val="both"/>
      </w:pPr>
      <w:r>
        <w:rPr/>
        <w:t>Depending on the level of CO</w:t>
      </w:r>
      <w:r>
        <w:rPr>
          <w:position w:val="-6"/>
          <w:sz w:val="11"/>
        </w:rPr>
        <w:t>2 </w:t>
      </w:r>
      <w:r>
        <w:rPr/>
        <w:t>in natural gas, different processes for natural gas sweetening (i.e., H</w:t>
      </w:r>
      <w:r>
        <w:rPr>
          <w:position w:val="-6"/>
          <w:sz w:val="11"/>
        </w:rPr>
        <w:t>2</w:t>
      </w:r>
      <w:r>
        <w:rPr/>
        <w:t>S and CO</w:t>
      </w:r>
      <w:r>
        <w:rPr>
          <w:position w:val="-6"/>
          <w:sz w:val="11"/>
        </w:rPr>
        <w:t>2 </w:t>
      </w:r>
      <w:r>
        <w:rPr/>
        <w:t>removal) are available (Kohl and Nielsen, 1997 and Maddox</w:t>
      </w:r>
    </w:p>
    <w:p>
      <w:pPr>
        <w:pStyle w:val="BodyText"/>
        <w:spacing w:before="7"/>
        <w:ind w:left="117"/>
        <w:jc w:val="both"/>
      </w:pPr>
      <w:r>
        <w:rPr/>
        <w:t>and Morgan, 1998):</w:t>
      </w:r>
    </w:p>
    <w:p>
      <w:pPr>
        <w:pStyle w:val="ListParagraph"/>
        <w:numPr>
          <w:ilvl w:val="0"/>
          <w:numId w:val="3"/>
        </w:numPr>
        <w:tabs>
          <w:tab w:pos="400" w:val="left" w:leader="none"/>
          <w:tab w:pos="401" w:val="left" w:leader="none"/>
        </w:tabs>
        <w:spacing w:line="240" w:lineRule="auto" w:before="10" w:after="0"/>
        <w:ind w:left="400" w:right="0" w:hanging="284"/>
        <w:jc w:val="left"/>
        <w:rPr>
          <w:sz w:val="20"/>
        </w:rPr>
      </w:pPr>
      <w:r>
        <w:rPr>
          <w:sz w:val="20"/>
        </w:rPr>
        <w:t>Chemical</w:t>
      </w:r>
      <w:r>
        <w:rPr>
          <w:spacing w:val="-1"/>
          <w:sz w:val="20"/>
        </w:rPr>
        <w:t> </w:t>
      </w:r>
      <w:r>
        <w:rPr>
          <w:sz w:val="20"/>
        </w:rPr>
        <w:t>solvents</w:t>
      </w:r>
    </w:p>
    <w:p>
      <w:pPr>
        <w:pStyle w:val="ListParagraph"/>
        <w:numPr>
          <w:ilvl w:val="0"/>
          <w:numId w:val="3"/>
        </w:numPr>
        <w:tabs>
          <w:tab w:pos="400" w:val="left" w:leader="none"/>
          <w:tab w:pos="401" w:val="left" w:leader="none"/>
        </w:tabs>
        <w:spacing w:line="240" w:lineRule="auto" w:before="10" w:after="0"/>
        <w:ind w:left="400" w:right="0" w:hanging="284"/>
        <w:jc w:val="left"/>
        <w:rPr>
          <w:sz w:val="20"/>
        </w:rPr>
      </w:pPr>
      <w:r>
        <w:rPr>
          <w:sz w:val="20"/>
        </w:rPr>
        <w:t>Physical</w:t>
      </w:r>
      <w:r>
        <w:rPr>
          <w:spacing w:val="-2"/>
          <w:sz w:val="20"/>
        </w:rPr>
        <w:t> </w:t>
      </w:r>
      <w:r>
        <w:rPr>
          <w:sz w:val="20"/>
        </w:rPr>
        <w:t>solvents</w:t>
      </w:r>
    </w:p>
    <w:p>
      <w:pPr>
        <w:pStyle w:val="ListParagraph"/>
        <w:numPr>
          <w:ilvl w:val="0"/>
          <w:numId w:val="3"/>
        </w:numPr>
        <w:tabs>
          <w:tab w:pos="400" w:val="left" w:leader="none"/>
          <w:tab w:pos="401" w:val="left" w:leader="none"/>
        </w:tabs>
        <w:spacing w:line="240" w:lineRule="auto" w:before="10" w:after="0"/>
        <w:ind w:left="400" w:right="0" w:hanging="284"/>
        <w:jc w:val="left"/>
        <w:rPr>
          <w:sz w:val="20"/>
        </w:rPr>
      </w:pPr>
      <w:r>
        <w:rPr>
          <w:sz w:val="20"/>
        </w:rPr>
        <w:t>Membranes</w:t>
      </w:r>
    </w:p>
    <w:p>
      <w:pPr>
        <w:pStyle w:val="BodyText"/>
        <w:spacing w:before="3"/>
        <w:rPr>
          <w:sz w:val="21"/>
        </w:rPr>
      </w:pPr>
    </w:p>
    <w:p>
      <w:pPr>
        <w:pStyle w:val="BodyText"/>
        <w:spacing w:line="240" w:lineRule="exact"/>
        <w:ind w:left="117" w:right="38" w:firstLine="283"/>
        <w:jc w:val="both"/>
      </w:pPr>
      <w:r>
        <w:rPr/>
        <w:t>Natural</w:t>
      </w:r>
      <w:r>
        <w:rPr>
          <w:spacing w:val="-11"/>
        </w:rPr>
        <w:t> </w:t>
      </w:r>
      <w:r>
        <w:rPr/>
        <w:t>gas</w:t>
      </w:r>
      <w:r>
        <w:rPr>
          <w:spacing w:val="-10"/>
        </w:rPr>
        <w:t> </w:t>
      </w:r>
      <w:r>
        <w:rPr/>
        <w:t>sweetening</w:t>
      </w:r>
      <w:r>
        <w:rPr>
          <w:spacing w:val="-10"/>
        </w:rPr>
        <w:t> </w:t>
      </w:r>
      <w:r>
        <w:rPr/>
        <w:t>using</w:t>
      </w:r>
      <w:r>
        <w:rPr>
          <w:spacing w:val="-11"/>
        </w:rPr>
        <w:t> </w:t>
      </w:r>
      <w:r>
        <w:rPr/>
        <w:t>various</w:t>
      </w:r>
      <w:r>
        <w:rPr>
          <w:spacing w:val="-10"/>
        </w:rPr>
        <w:t> </w:t>
      </w:r>
      <w:r>
        <w:rPr/>
        <w:t>alkanolamines</w:t>
      </w:r>
      <w:r>
        <w:rPr>
          <w:spacing w:val="-10"/>
        </w:rPr>
        <w:t> </w:t>
      </w:r>
      <w:r>
        <w:rPr/>
        <w:t>(MEA, DEA, MDEA, etc.; See </w:t>
      </w:r>
      <w:r>
        <w:rPr>
          <w:spacing w:val="-3"/>
        </w:rPr>
        <w:t>Table </w:t>
      </w:r>
      <w:r>
        <w:rPr/>
        <w:t>3.2), or a mixture of them, is the most</w:t>
      </w:r>
      <w:r>
        <w:rPr>
          <w:spacing w:val="-20"/>
        </w:rPr>
        <w:t> </w:t>
      </w:r>
      <w:r>
        <w:rPr/>
        <w:t>commonly</w:t>
      </w:r>
      <w:r>
        <w:rPr>
          <w:spacing w:val="-19"/>
        </w:rPr>
        <w:t> </w:t>
      </w:r>
      <w:r>
        <w:rPr/>
        <w:t>used</w:t>
      </w:r>
      <w:r>
        <w:rPr>
          <w:spacing w:val="-19"/>
        </w:rPr>
        <w:t> </w:t>
      </w:r>
      <w:r>
        <w:rPr/>
        <w:t>method.</w:t>
      </w:r>
      <w:r>
        <w:rPr>
          <w:spacing w:val="-22"/>
        </w:rPr>
        <w:t> </w:t>
      </w:r>
      <w:r>
        <w:rPr/>
        <w:t>The</w:t>
      </w:r>
      <w:r>
        <w:rPr>
          <w:spacing w:val="-20"/>
        </w:rPr>
        <w:t> </w:t>
      </w:r>
      <w:r>
        <w:rPr/>
        <w:t>process</w:t>
      </w:r>
      <w:r>
        <w:rPr>
          <w:spacing w:val="-19"/>
        </w:rPr>
        <w:t> </w:t>
      </w:r>
      <w:r>
        <w:rPr/>
        <w:t>flow</w:t>
      </w:r>
      <w:r>
        <w:rPr>
          <w:spacing w:val="-19"/>
        </w:rPr>
        <w:t> </w:t>
      </w:r>
      <w:r>
        <w:rPr/>
        <w:t>diagram</w:t>
      </w:r>
      <w:r>
        <w:rPr>
          <w:spacing w:val="-20"/>
        </w:rPr>
        <w:t> </w:t>
      </w:r>
      <w:r>
        <w:rPr/>
        <w:t>for</w:t>
      </w:r>
      <w:r>
        <w:rPr>
          <w:spacing w:val="-19"/>
        </w:rPr>
        <w:t> </w:t>
      </w:r>
      <w:r>
        <w:rPr/>
        <w:t>CO</w:t>
      </w:r>
      <w:r>
        <w:rPr>
          <w:position w:val="-6"/>
          <w:sz w:val="11"/>
        </w:rPr>
        <w:t>2 </w:t>
      </w:r>
      <w:r>
        <w:rPr/>
        <w:t>recovery</w:t>
      </w:r>
      <w:r>
        <w:rPr>
          <w:spacing w:val="-11"/>
        </w:rPr>
        <w:t> </w:t>
      </w:r>
      <w:r>
        <w:rPr/>
        <w:t>from</w:t>
      </w:r>
      <w:r>
        <w:rPr>
          <w:spacing w:val="-10"/>
        </w:rPr>
        <w:t> </w:t>
      </w:r>
      <w:r>
        <w:rPr/>
        <w:t>natural</w:t>
      </w:r>
      <w:r>
        <w:rPr>
          <w:spacing w:val="-10"/>
        </w:rPr>
        <w:t> </w:t>
      </w:r>
      <w:r>
        <w:rPr/>
        <w:t>gas</w:t>
      </w:r>
      <w:r>
        <w:rPr>
          <w:spacing w:val="-10"/>
        </w:rPr>
        <w:t> </w:t>
      </w:r>
      <w:r>
        <w:rPr/>
        <w:t>is</w:t>
      </w:r>
      <w:r>
        <w:rPr>
          <w:spacing w:val="-10"/>
        </w:rPr>
        <w:t> </w:t>
      </w:r>
      <w:r>
        <w:rPr/>
        <w:t>similar</w:t>
      </w:r>
      <w:r>
        <w:rPr>
          <w:spacing w:val="-10"/>
        </w:rPr>
        <w:t> </w:t>
      </w:r>
      <w:r>
        <w:rPr/>
        <w:t>to</w:t>
      </w:r>
      <w:r>
        <w:rPr>
          <w:spacing w:val="-10"/>
        </w:rPr>
        <w:t> </w:t>
      </w:r>
      <w:r>
        <w:rPr/>
        <w:t>what</w:t>
      </w:r>
      <w:r>
        <w:rPr>
          <w:spacing w:val="-10"/>
        </w:rPr>
        <w:t> </w:t>
      </w:r>
      <w:r>
        <w:rPr/>
        <w:t>is</w:t>
      </w:r>
      <w:r>
        <w:rPr>
          <w:spacing w:val="-10"/>
        </w:rPr>
        <w:t> </w:t>
      </w:r>
      <w:r>
        <w:rPr/>
        <w:t>presented</w:t>
      </w:r>
      <w:r>
        <w:rPr>
          <w:spacing w:val="-10"/>
        </w:rPr>
        <w:t> </w:t>
      </w:r>
      <w:r>
        <w:rPr/>
        <w:t>for</w:t>
      </w:r>
      <w:r>
        <w:rPr>
          <w:spacing w:val="-10"/>
        </w:rPr>
        <w:t> </w:t>
      </w:r>
      <w:r>
        <w:rPr/>
        <w:t>flue gas treatment (see </w:t>
      </w:r>
      <w:hyperlink w:history="true" w:anchor="_bookmark7">
        <w:r>
          <w:rPr/>
          <w:t>Figure 3.4, </w:t>
        </w:r>
      </w:hyperlink>
      <w:r>
        <w:rPr/>
        <w:t>Section 3.3.2.1), except that in natural gas processing, absorption occurs at high pressure,</w:t>
      </w:r>
      <w:r>
        <w:rPr>
          <w:spacing w:val="-24"/>
        </w:rPr>
        <w:t> </w:t>
      </w:r>
      <w:r>
        <w:rPr>
          <w:spacing w:val="-4"/>
        </w:rPr>
        <w:t>with </w:t>
      </w:r>
      <w:r>
        <w:rPr/>
        <w:t>subsequent expansion before the stripper column, where CO</w:t>
      </w:r>
      <w:r>
        <w:rPr>
          <w:position w:val="-6"/>
          <w:sz w:val="11"/>
        </w:rPr>
        <w:t>2 </w:t>
      </w:r>
      <w:r>
        <w:rPr/>
        <w:t>will be flashed and separated. When the CO</w:t>
      </w:r>
      <w:r>
        <w:rPr>
          <w:position w:val="-6"/>
          <w:sz w:val="11"/>
        </w:rPr>
        <w:t>2 </w:t>
      </w:r>
      <w:r>
        <w:rPr/>
        <w:t>concentration in natural</w:t>
      </w:r>
      <w:r>
        <w:rPr>
          <w:spacing w:val="-19"/>
        </w:rPr>
        <w:t> </w:t>
      </w:r>
      <w:r>
        <w:rPr/>
        <w:t>gas</w:t>
      </w:r>
      <w:r>
        <w:rPr>
          <w:spacing w:val="-19"/>
        </w:rPr>
        <w:t> </w:t>
      </w:r>
      <w:r>
        <w:rPr/>
        <w:t>is</w:t>
      </w:r>
      <w:r>
        <w:rPr>
          <w:spacing w:val="-18"/>
        </w:rPr>
        <w:t> </w:t>
      </w:r>
      <w:r>
        <w:rPr/>
        <w:t>high,</w:t>
      </w:r>
      <w:r>
        <w:rPr>
          <w:spacing w:val="-19"/>
        </w:rPr>
        <w:t> </w:t>
      </w:r>
      <w:r>
        <w:rPr/>
        <w:t>membrane</w:t>
      </w:r>
      <w:r>
        <w:rPr>
          <w:spacing w:val="-19"/>
        </w:rPr>
        <w:t> </w:t>
      </w:r>
      <w:r>
        <w:rPr/>
        <w:t>systems</w:t>
      </w:r>
      <w:r>
        <w:rPr>
          <w:spacing w:val="-19"/>
        </w:rPr>
        <w:t> </w:t>
      </w:r>
      <w:r>
        <w:rPr/>
        <w:t>may</w:t>
      </w:r>
      <w:r>
        <w:rPr>
          <w:spacing w:val="-19"/>
        </w:rPr>
        <w:t> </w:t>
      </w:r>
      <w:r>
        <w:rPr/>
        <w:t>be</w:t>
      </w:r>
      <w:r>
        <w:rPr>
          <w:spacing w:val="-19"/>
        </w:rPr>
        <w:t> </w:t>
      </w:r>
      <w:r>
        <w:rPr/>
        <w:t>more</w:t>
      </w:r>
      <w:r>
        <w:rPr>
          <w:spacing w:val="-18"/>
        </w:rPr>
        <w:t> </w:t>
      </w:r>
      <w:r>
        <w:rPr/>
        <w:t>economical. Industrial</w:t>
      </w:r>
      <w:r>
        <w:rPr>
          <w:spacing w:val="9"/>
        </w:rPr>
        <w:t> </w:t>
      </w:r>
      <w:r>
        <w:rPr/>
        <w:t>application</w:t>
      </w:r>
      <w:r>
        <w:rPr>
          <w:spacing w:val="10"/>
        </w:rPr>
        <w:t> </w:t>
      </w:r>
      <w:r>
        <w:rPr/>
        <w:t>of</w:t>
      </w:r>
      <w:r>
        <w:rPr>
          <w:spacing w:val="9"/>
        </w:rPr>
        <w:t> </w:t>
      </w:r>
      <w:r>
        <w:rPr/>
        <w:t>membranes</w:t>
      </w:r>
      <w:r>
        <w:rPr>
          <w:spacing w:val="10"/>
        </w:rPr>
        <w:t> </w:t>
      </w:r>
      <w:r>
        <w:rPr/>
        <w:t>for</w:t>
      </w:r>
      <w:r>
        <w:rPr>
          <w:spacing w:val="10"/>
        </w:rPr>
        <w:t> </w:t>
      </w:r>
      <w:r>
        <w:rPr/>
        <w:t>recovery</w:t>
      </w:r>
      <w:r>
        <w:rPr>
          <w:spacing w:val="9"/>
        </w:rPr>
        <w:t> </w:t>
      </w:r>
      <w:r>
        <w:rPr/>
        <w:t>of</w:t>
      </w:r>
      <w:r>
        <w:rPr>
          <w:spacing w:val="10"/>
        </w:rPr>
        <w:t> </w:t>
      </w:r>
      <w:r>
        <w:rPr/>
        <w:t>CO</w:t>
      </w:r>
      <w:r>
        <w:rPr>
          <w:position w:val="-6"/>
          <w:sz w:val="11"/>
        </w:rPr>
        <w:t>2</w:t>
      </w:r>
      <w:r>
        <w:rPr>
          <w:spacing w:val="5"/>
          <w:position w:val="-6"/>
          <w:sz w:val="11"/>
        </w:rPr>
        <w:t> </w:t>
      </w:r>
      <w:r>
        <w:rPr>
          <w:spacing w:val="-4"/>
        </w:rPr>
        <w:t>from</w:t>
      </w:r>
    </w:p>
    <w:p>
      <w:pPr>
        <w:pStyle w:val="BodyText"/>
        <w:spacing w:line="249" w:lineRule="auto" w:before="2"/>
        <w:ind w:left="117" w:right="1131"/>
        <w:jc w:val="both"/>
      </w:pPr>
      <w:r>
        <w:rPr/>
        <w:br w:type="column"/>
      </w:r>
      <w:r>
        <w:rPr/>
        <w:t>iron (DRI) with scrap to increase steel quality. The production of direct-reduced iron involves reaction of high oxygen </w:t>
      </w:r>
      <w:r>
        <w:rPr>
          <w:spacing w:val="-3"/>
        </w:rPr>
        <w:t>content </w:t>
      </w:r>
      <w:r>
        <w:rPr/>
        <w:t>iron</w:t>
      </w:r>
      <w:r>
        <w:rPr>
          <w:spacing w:val="22"/>
        </w:rPr>
        <w:t> </w:t>
      </w:r>
      <w:r>
        <w:rPr/>
        <w:t>ore</w:t>
      </w:r>
      <w:r>
        <w:rPr>
          <w:spacing w:val="22"/>
        </w:rPr>
        <w:t> </w:t>
      </w:r>
      <w:r>
        <w:rPr/>
        <w:t>with</w:t>
      </w:r>
      <w:r>
        <w:rPr>
          <w:spacing w:val="22"/>
        </w:rPr>
        <w:t> </w:t>
      </w:r>
      <w:r>
        <w:rPr/>
        <w:t>H</w:t>
      </w:r>
      <w:r>
        <w:rPr>
          <w:position w:val="-6"/>
          <w:sz w:val="11"/>
        </w:rPr>
        <w:t>2 </w:t>
      </w:r>
      <w:r>
        <w:rPr>
          <w:spacing w:val="18"/>
          <w:position w:val="-6"/>
          <w:sz w:val="11"/>
        </w:rPr>
        <w:t> </w:t>
      </w:r>
      <w:r>
        <w:rPr/>
        <w:t>and</w:t>
      </w:r>
      <w:r>
        <w:rPr>
          <w:spacing w:val="22"/>
        </w:rPr>
        <w:t> </w:t>
      </w:r>
      <w:r>
        <w:rPr/>
        <w:t>CO</w:t>
      </w:r>
      <w:r>
        <w:rPr>
          <w:spacing w:val="22"/>
        </w:rPr>
        <w:t> </w:t>
      </w:r>
      <w:r>
        <w:rPr/>
        <w:t>to</w:t>
      </w:r>
      <w:r>
        <w:rPr>
          <w:spacing w:val="22"/>
        </w:rPr>
        <w:t> </w:t>
      </w:r>
      <w:r>
        <w:rPr/>
        <w:t>form</w:t>
      </w:r>
      <w:r>
        <w:rPr>
          <w:spacing w:val="22"/>
        </w:rPr>
        <w:t> </w:t>
      </w:r>
      <w:r>
        <w:rPr/>
        <w:t>reduced</w:t>
      </w:r>
      <w:r>
        <w:rPr>
          <w:spacing w:val="23"/>
        </w:rPr>
        <w:t> </w:t>
      </w:r>
      <w:r>
        <w:rPr/>
        <w:t>iron</w:t>
      </w:r>
      <w:r>
        <w:rPr>
          <w:spacing w:val="22"/>
        </w:rPr>
        <w:t> </w:t>
      </w:r>
      <w:r>
        <w:rPr/>
        <w:t>plus</w:t>
      </w:r>
      <w:r>
        <w:rPr>
          <w:spacing w:val="22"/>
        </w:rPr>
        <w:t> </w:t>
      </w:r>
      <w:r>
        <w:rPr/>
        <w:t>H</w:t>
      </w:r>
      <w:r>
        <w:rPr>
          <w:position w:val="-6"/>
          <w:sz w:val="11"/>
        </w:rPr>
        <w:t>2</w:t>
      </w:r>
      <w:r>
        <w:rPr/>
        <w:t>O</w:t>
      </w:r>
      <w:r>
        <w:rPr>
          <w:spacing w:val="22"/>
        </w:rPr>
        <w:t> </w:t>
      </w:r>
      <w:r>
        <w:rPr/>
        <w:t>and</w:t>
      </w:r>
    </w:p>
    <w:p>
      <w:pPr>
        <w:pStyle w:val="BodyText"/>
        <w:spacing w:line="177" w:lineRule="auto"/>
        <w:ind w:left="117"/>
        <w:jc w:val="both"/>
      </w:pPr>
      <w:r>
        <w:rPr/>
        <w:t>CO</w:t>
      </w:r>
      <w:r>
        <w:rPr>
          <w:position w:val="-6"/>
          <w:sz w:val="11"/>
        </w:rPr>
        <w:t>2</w:t>
      </w:r>
      <w:r>
        <w:rPr/>
        <w:t>.</w:t>
      </w:r>
      <w:r>
        <w:rPr>
          <w:spacing w:val="9"/>
        </w:rPr>
        <w:t> </w:t>
      </w:r>
      <w:r>
        <w:rPr/>
        <w:t>As</w:t>
      </w:r>
      <w:r>
        <w:rPr>
          <w:spacing w:val="20"/>
        </w:rPr>
        <w:t> </w:t>
      </w:r>
      <w:r>
        <w:rPr/>
        <w:t>a</w:t>
      </w:r>
      <w:r>
        <w:rPr>
          <w:spacing w:val="20"/>
        </w:rPr>
        <w:t> </w:t>
      </w:r>
      <w:r>
        <w:rPr/>
        <w:t>result,</w:t>
      </w:r>
      <w:r>
        <w:rPr>
          <w:spacing w:val="20"/>
        </w:rPr>
        <w:t> </w:t>
      </w:r>
      <w:r>
        <w:rPr/>
        <w:t>many</w:t>
      </w:r>
      <w:r>
        <w:rPr>
          <w:spacing w:val="20"/>
        </w:rPr>
        <w:t> </w:t>
      </w:r>
      <w:r>
        <w:rPr/>
        <w:t>of</w:t>
      </w:r>
      <w:r>
        <w:rPr>
          <w:spacing w:val="21"/>
        </w:rPr>
        <w:t> </w:t>
      </w:r>
      <w:r>
        <w:rPr/>
        <w:t>the</w:t>
      </w:r>
      <w:r>
        <w:rPr>
          <w:spacing w:val="20"/>
        </w:rPr>
        <w:t> </w:t>
      </w:r>
      <w:r>
        <w:rPr/>
        <w:t>direct</w:t>
      </w:r>
      <w:r>
        <w:rPr>
          <w:spacing w:val="20"/>
        </w:rPr>
        <w:t> </w:t>
      </w:r>
      <w:r>
        <w:rPr/>
        <w:t>reduction</w:t>
      </w:r>
      <w:r>
        <w:rPr>
          <w:spacing w:val="20"/>
        </w:rPr>
        <w:t> </w:t>
      </w:r>
      <w:r>
        <w:rPr/>
        <w:t>iron</w:t>
      </w:r>
      <w:r>
        <w:rPr>
          <w:spacing w:val="21"/>
        </w:rPr>
        <w:t> </w:t>
      </w:r>
      <w:r>
        <w:rPr/>
        <w:t>processes</w:t>
      </w:r>
    </w:p>
    <w:p>
      <w:pPr>
        <w:pStyle w:val="BodyText"/>
        <w:spacing w:line="244" w:lineRule="exact"/>
        <w:ind w:left="117"/>
        <w:jc w:val="both"/>
      </w:pPr>
      <w:r>
        <w:rPr/>
        <w:t>could capture a pure CO</w:t>
      </w:r>
      <w:r>
        <w:rPr>
          <w:position w:val="-6"/>
          <w:sz w:val="11"/>
        </w:rPr>
        <w:t>2 </w:t>
      </w:r>
      <w:r>
        <w:rPr/>
        <w:t>stream.</w:t>
      </w:r>
    </w:p>
    <w:p>
      <w:pPr>
        <w:pStyle w:val="BodyText"/>
        <w:spacing w:line="210" w:lineRule="exact"/>
        <w:ind w:left="400"/>
        <w:jc w:val="both"/>
      </w:pPr>
      <w:r>
        <w:rPr/>
        <w:t>An important and growing trend is the use of new iron-</w:t>
      </w:r>
    </w:p>
    <w:p>
      <w:pPr>
        <w:pStyle w:val="BodyText"/>
        <w:spacing w:line="240" w:lineRule="exact"/>
        <w:ind w:left="117" w:right="1130"/>
        <w:jc w:val="both"/>
      </w:pPr>
      <w:r>
        <w:rPr/>
        <w:t>making processes, which can use lower grade coal than the coking coals required for blast furnace operation. A </w:t>
      </w:r>
      <w:r>
        <w:rPr>
          <w:spacing w:val="-4"/>
        </w:rPr>
        <w:t>good </w:t>
      </w:r>
      <w:r>
        <w:rPr/>
        <w:t>example is the COREX process (von Bogdandy </w:t>
      </w:r>
      <w:r>
        <w:rPr>
          <w:i/>
        </w:rPr>
        <w:t>et. al</w:t>
      </w:r>
      <w:r>
        <w:rPr/>
        <w:t>, </w:t>
      </w:r>
      <w:r>
        <w:rPr>
          <w:spacing w:val="-3"/>
        </w:rPr>
        <w:t>1989), </w:t>
      </w:r>
      <w:r>
        <w:rPr/>
        <w:t>which produces a large additional quantity of N</w:t>
      </w:r>
      <w:r>
        <w:rPr>
          <w:position w:val="-6"/>
          <w:sz w:val="11"/>
        </w:rPr>
        <w:t>2</w:t>
      </w:r>
      <w:r>
        <w:rPr/>
        <w:t>-free fuel gas which can be used in a secondary operation to convert iron  ore to iron. Complete CO</w:t>
      </w:r>
      <w:r>
        <w:rPr>
          <w:position w:val="-6"/>
          <w:sz w:val="11"/>
        </w:rPr>
        <w:t>2 </w:t>
      </w:r>
      <w:r>
        <w:rPr/>
        <w:t>capture from this process should be possible with this arrangement since the CO</w:t>
      </w:r>
      <w:r>
        <w:rPr>
          <w:position w:val="-6"/>
          <w:sz w:val="11"/>
        </w:rPr>
        <w:t>2 </w:t>
      </w:r>
      <w:r>
        <w:rPr/>
        <w:t>and H</w:t>
      </w:r>
      <w:r>
        <w:rPr>
          <w:position w:val="-6"/>
          <w:sz w:val="11"/>
        </w:rPr>
        <w:t>2</w:t>
      </w:r>
      <w:r>
        <w:rPr/>
        <w:t>O present in the COREX top gas must be removed to allow the CO </w:t>
      </w:r>
      <w:r>
        <w:rPr>
          <w:spacing w:val="-4"/>
        </w:rPr>
        <w:t>plus </w:t>
      </w:r>
      <w:r>
        <w:rPr/>
        <w:t>H</w:t>
      </w:r>
      <w:r>
        <w:rPr>
          <w:position w:val="-6"/>
          <w:sz w:val="11"/>
        </w:rPr>
        <w:t>2 </w:t>
      </w:r>
      <w:r>
        <w:rPr/>
        <w:t>to be heated and used to reduce iron oxide to iron in the secondary shaft kiln. This process will produce a combination of molten iron and iron with high recovery of CO</w:t>
      </w:r>
      <w:r>
        <w:rPr>
          <w:position w:val="-6"/>
          <w:sz w:val="11"/>
        </w:rPr>
        <w:t>2 </w:t>
      </w:r>
      <w:r>
        <w:rPr/>
        <w:t>derived from the coal feed to the COREX process.</w:t>
      </w:r>
    </w:p>
    <w:p>
      <w:pPr>
        <w:spacing w:after="0" w:line="240" w:lineRule="exact"/>
        <w:jc w:val="both"/>
        <w:sectPr>
          <w:type w:val="continuous"/>
          <w:pgSz w:w="12240" w:h="15840"/>
          <w:pgMar w:top="480" w:bottom="280" w:left="620" w:right="0"/>
          <w:cols w:num="2" w:equalWidth="0">
            <w:col w:w="5201" w:space="125"/>
            <w:col w:w="6294"/>
          </w:cols>
        </w:sectPr>
      </w:pPr>
    </w:p>
    <w:p>
      <w:pPr>
        <w:pStyle w:val="BodyText"/>
        <w:spacing w:before="8"/>
        <w:rPr>
          <w:sz w:val="19"/>
        </w:rPr>
      </w:pPr>
    </w:p>
    <w:p>
      <w:pPr>
        <w:spacing w:before="67"/>
        <w:ind w:left="122" w:right="0" w:firstLine="0"/>
        <w:jc w:val="left"/>
        <w:rPr>
          <w:sz w:val="18"/>
        </w:rPr>
      </w:pPr>
      <w:r>
        <w:rPr>
          <w:b/>
          <w:spacing w:val="-17"/>
          <w:w w:val="200"/>
          <w:sz w:val="18"/>
        </w:rPr>
        <w:t>t</w:t>
      </w:r>
      <w:r>
        <w:rPr>
          <w:b/>
          <w:sz w:val="18"/>
        </w:rPr>
        <w:t>able</w:t>
      </w:r>
      <w:r>
        <w:rPr>
          <w:b/>
          <w:spacing w:val="4"/>
          <w:sz w:val="18"/>
        </w:rPr>
        <w:t> </w:t>
      </w:r>
      <w:r>
        <w:rPr>
          <w:b/>
          <w:sz w:val="18"/>
        </w:rPr>
        <w:t>3.2</w:t>
      </w:r>
      <w:r>
        <w:rPr>
          <w:b/>
          <w:spacing w:val="4"/>
          <w:sz w:val="18"/>
        </w:rPr>
        <w:t> </w:t>
      </w:r>
      <w:r>
        <w:rPr>
          <w:sz w:val="18"/>
        </w:rPr>
        <w:t>Common</w:t>
      </w:r>
      <w:r>
        <w:rPr>
          <w:spacing w:val="4"/>
          <w:sz w:val="18"/>
        </w:rPr>
        <w:t> </w:t>
      </w:r>
      <w:r>
        <w:rPr>
          <w:spacing w:val="-1"/>
          <w:sz w:val="18"/>
        </w:rPr>
        <w:t>solvent</w:t>
      </w:r>
      <w:r>
        <w:rPr>
          <w:sz w:val="18"/>
        </w:rPr>
        <w:t>s</w:t>
      </w:r>
      <w:r>
        <w:rPr>
          <w:spacing w:val="4"/>
          <w:sz w:val="18"/>
        </w:rPr>
        <w:t> </w:t>
      </w:r>
      <w:r>
        <w:rPr>
          <w:sz w:val="18"/>
        </w:rPr>
        <w:t>used</w:t>
      </w:r>
      <w:r>
        <w:rPr>
          <w:spacing w:val="4"/>
          <w:sz w:val="18"/>
        </w:rPr>
        <w:t> </w:t>
      </w:r>
      <w:r>
        <w:rPr>
          <w:sz w:val="18"/>
        </w:rPr>
        <w:t>for</w:t>
      </w:r>
      <w:r>
        <w:rPr>
          <w:spacing w:val="4"/>
          <w:sz w:val="18"/>
        </w:rPr>
        <w:t> </w:t>
      </w:r>
      <w:r>
        <w:rPr>
          <w:sz w:val="18"/>
        </w:rPr>
        <w:t>the</w:t>
      </w:r>
      <w:r>
        <w:rPr>
          <w:spacing w:val="4"/>
          <w:sz w:val="18"/>
        </w:rPr>
        <w:t> </w:t>
      </w:r>
      <w:r>
        <w:rPr>
          <w:sz w:val="18"/>
        </w:rPr>
        <w:t>removal</w:t>
      </w:r>
      <w:r>
        <w:rPr>
          <w:spacing w:val="4"/>
          <w:sz w:val="18"/>
        </w:rPr>
        <w:t> </w:t>
      </w:r>
      <w:r>
        <w:rPr>
          <w:sz w:val="18"/>
        </w:rPr>
        <w:t>of</w:t>
      </w:r>
      <w:r>
        <w:rPr>
          <w:spacing w:val="4"/>
          <w:sz w:val="18"/>
        </w:rPr>
        <w:t> </w:t>
      </w:r>
      <w:r>
        <w:rPr>
          <w:sz w:val="18"/>
        </w:rPr>
        <w:t>CO</w:t>
      </w:r>
      <w:r>
        <w:rPr>
          <w:w w:val="104"/>
          <w:position w:val="-5"/>
          <w:sz w:val="10"/>
        </w:rPr>
        <w:t>2</w:t>
      </w:r>
      <w:r>
        <w:rPr>
          <w:position w:val="-5"/>
          <w:sz w:val="10"/>
        </w:rPr>
        <w:t> </w:t>
      </w:r>
      <w:r>
        <w:rPr>
          <w:spacing w:val="-1"/>
          <w:position w:val="-5"/>
          <w:sz w:val="10"/>
        </w:rPr>
        <w:t> </w:t>
      </w:r>
      <w:r>
        <w:rPr>
          <w:sz w:val="18"/>
        </w:rPr>
        <w:t>from</w:t>
      </w:r>
      <w:r>
        <w:rPr>
          <w:spacing w:val="4"/>
          <w:sz w:val="18"/>
        </w:rPr>
        <w:t> </w:t>
      </w:r>
      <w:r>
        <w:rPr>
          <w:sz w:val="18"/>
        </w:rPr>
        <w:t>natural</w:t>
      </w:r>
      <w:r>
        <w:rPr>
          <w:spacing w:val="4"/>
          <w:sz w:val="18"/>
        </w:rPr>
        <w:t> </w:t>
      </w:r>
      <w:r>
        <w:rPr>
          <w:sz w:val="18"/>
        </w:rPr>
        <w:t>gas</w:t>
      </w:r>
      <w:r>
        <w:rPr>
          <w:spacing w:val="4"/>
          <w:sz w:val="18"/>
        </w:rPr>
        <w:t> </w:t>
      </w:r>
      <w:r>
        <w:rPr>
          <w:sz w:val="18"/>
        </w:rPr>
        <w:t>or</w:t>
      </w:r>
      <w:r>
        <w:rPr>
          <w:spacing w:val="4"/>
          <w:sz w:val="18"/>
        </w:rPr>
        <w:t> </w:t>
      </w:r>
      <w:r>
        <w:rPr>
          <w:spacing w:val="-1"/>
          <w:sz w:val="18"/>
        </w:rPr>
        <w:t>shifte</w:t>
      </w:r>
      <w:r>
        <w:rPr>
          <w:sz w:val="18"/>
        </w:rPr>
        <w:t>d</w:t>
      </w:r>
      <w:r>
        <w:rPr>
          <w:spacing w:val="4"/>
          <w:sz w:val="18"/>
        </w:rPr>
        <w:t> </w:t>
      </w:r>
      <w:r>
        <w:rPr>
          <w:spacing w:val="-1"/>
          <w:sz w:val="18"/>
        </w:rPr>
        <w:t>synga</w:t>
      </w:r>
      <w:r>
        <w:rPr>
          <w:sz w:val="18"/>
        </w:rPr>
        <w:t>s</w:t>
      </w:r>
      <w:r>
        <w:rPr>
          <w:spacing w:val="4"/>
          <w:sz w:val="18"/>
        </w:rPr>
        <w:t> </w:t>
      </w:r>
      <w:r>
        <w:rPr>
          <w:sz w:val="18"/>
        </w:rPr>
        <w:t>in</w:t>
      </w:r>
      <w:r>
        <w:rPr>
          <w:spacing w:val="4"/>
          <w:sz w:val="18"/>
        </w:rPr>
        <w:t> </w:t>
      </w:r>
      <w:r>
        <w:rPr>
          <w:sz w:val="18"/>
        </w:rPr>
        <w:t>pre-combustion</w:t>
      </w:r>
      <w:r>
        <w:rPr>
          <w:spacing w:val="4"/>
          <w:sz w:val="18"/>
        </w:rPr>
        <w:t> </w:t>
      </w:r>
      <w:r>
        <w:rPr>
          <w:sz w:val="18"/>
        </w:rPr>
        <w:t>capture</w:t>
      </w:r>
      <w:r>
        <w:rPr>
          <w:spacing w:val="4"/>
          <w:sz w:val="18"/>
        </w:rPr>
        <w:t> </w:t>
      </w:r>
      <w:r>
        <w:rPr>
          <w:sz w:val="18"/>
        </w:rPr>
        <w:t>processes.</w:t>
      </w:r>
    </w:p>
    <w:p>
      <w:pPr>
        <w:pStyle w:val="BodyText"/>
        <w:spacing w:line="20" w:lineRule="exact"/>
        <w:ind w:left="119"/>
        <w:rPr>
          <w:sz w:val="2"/>
        </w:rPr>
      </w:pPr>
      <w:r>
        <w:rPr>
          <w:sz w:val="2"/>
        </w:rPr>
        <w:pict>
          <v:group style="width:517.85pt;height:.3pt;mso-position-horizontal-relative:char;mso-position-vertical-relative:line" coordorigin="0,0" coordsize="10357,6">
            <v:line style="position:absolute" from="1726,3" to="3218,3" stroked="true" strokeweight=".3pt" strokecolor="#000000">
              <v:stroke dashstyle="solid"/>
            </v:line>
            <v:line style="position:absolute" from="3218,3" to="7251,3" stroked="true" strokeweight=".3pt" strokecolor="#000000">
              <v:stroke dashstyle="solid"/>
            </v:line>
            <v:line style="position:absolute" from="0,3" to="1726,3" stroked="true" strokeweight=".3pt" strokecolor="#000000">
              <v:stroke dashstyle="solid"/>
            </v:line>
            <v:line style="position:absolute" from="7251,3" to="10356,3" stroked="true" strokeweight=".3pt" strokecolor="#000000">
              <v:stroke dashstyle="solid"/>
            </v:line>
          </v:group>
        </w:pict>
      </w:r>
      <w:r>
        <w:rPr>
          <w:sz w:val="2"/>
        </w:rPr>
      </w: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3"/>
        <w:gridCol w:w="1435"/>
        <w:gridCol w:w="4236"/>
        <w:gridCol w:w="3224"/>
      </w:tblGrid>
      <w:tr>
        <w:trPr>
          <w:trHeight w:val="290" w:hRule="atLeast"/>
        </w:trPr>
        <w:tc>
          <w:tcPr>
            <w:tcW w:w="1463" w:type="dxa"/>
            <w:tcBorders>
              <w:bottom w:val="single" w:sz="4" w:space="0" w:color="000000"/>
            </w:tcBorders>
            <w:shd w:val="clear" w:color="auto" w:fill="E0EEE0"/>
          </w:tcPr>
          <w:p>
            <w:pPr>
              <w:pStyle w:val="TableParagraph"/>
              <w:spacing w:before="29"/>
              <w:ind w:left="79"/>
              <w:jc w:val="left"/>
              <w:rPr>
                <w:b/>
                <w:sz w:val="18"/>
              </w:rPr>
            </w:pPr>
            <w:r>
              <w:rPr>
                <w:b/>
                <w:sz w:val="18"/>
              </w:rPr>
              <w:t>Solvent name</w:t>
            </w:r>
          </w:p>
        </w:tc>
        <w:tc>
          <w:tcPr>
            <w:tcW w:w="1435" w:type="dxa"/>
            <w:tcBorders>
              <w:bottom w:val="single" w:sz="4" w:space="0" w:color="000000"/>
            </w:tcBorders>
            <w:shd w:val="clear" w:color="auto" w:fill="E0EEE0"/>
          </w:tcPr>
          <w:p>
            <w:pPr>
              <w:pStyle w:val="TableParagraph"/>
              <w:spacing w:before="29"/>
              <w:ind w:left="343"/>
              <w:jc w:val="left"/>
              <w:rPr>
                <w:b/>
                <w:sz w:val="18"/>
              </w:rPr>
            </w:pPr>
            <w:r>
              <w:rPr>
                <w:b/>
                <w:spacing w:val="-14"/>
                <w:w w:val="200"/>
                <w:sz w:val="18"/>
              </w:rPr>
              <w:t>t</w:t>
            </w:r>
            <w:r>
              <w:rPr>
                <w:b/>
                <w:sz w:val="18"/>
              </w:rPr>
              <w:t>ype</w:t>
            </w:r>
          </w:p>
        </w:tc>
        <w:tc>
          <w:tcPr>
            <w:tcW w:w="4236" w:type="dxa"/>
            <w:tcBorders>
              <w:bottom w:val="single" w:sz="4" w:space="0" w:color="000000"/>
            </w:tcBorders>
            <w:shd w:val="clear" w:color="auto" w:fill="E0EEE0"/>
          </w:tcPr>
          <w:p>
            <w:pPr>
              <w:pStyle w:val="TableParagraph"/>
              <w:spacing w:before="29"/>
              <w:ind w:left="400"/>
              <w:jc w:val="left"/>
              <w:rPr>
                <w:b/>
                <w:sz w:val="18"/>
              </w:rPr>
            </w:pPr>
            <w:r>
              <w:rPr>
                <w:b/>
                <w:sz w:val="18"/>
              </w:rPr>
              <w:t>Chemical name</w:t>
            </w:r>
          </w:p>
        </w:tc>
        <w:tc>
          <w:tcPr>
            <w:tcW w:w="3224" w:type="dxa"/>
            <w:tcBorders>
              <w:bottom w:val="single" w:sz="4" w:space="0" w:color="000000"/>
            </w:tcBorders>
            <w:shd w:val="clear" w:color="auto" w:fill="E0EEE0"/>
          </w:tcPr>
          <w:p>
            <w:pPr>
              <w:pStyle w:val="TableParagraph"/>
              <w:spacing w:before="29"/>
              <w:ind w:left="196"/>
              <w:jc w:val="left"/>
              <w:rPr>
                <w:b/>
                <w:sz w:val="18"/>
              </w:rPr>
            </w:pPr>
            <w:r>
              <w:rPr>
                <w:b/>
                <w:w w:val="105"/>
                <w:sz w:val="18"/>
              </w:rPr>
              <w:t>vendors</w:t>
            </w:r>
          </w:p>
        </w:tc>
      </w:tr>
      <w:tr>
        <w:trPr>
          <w:trHeight w:val="532" w:hRule="atLeast"/>
        </w:trPr>
        <w:tc>
          <w:tcPr>
            <w:tcW w:w="1463" w:type="dxa"/>
            <w:tcBorders>
              <w:top w:val="single" w:sz="4" w:space="0" w:color="000000"/>
            </w:tcBorders>
            <w:shd w:val="clear" w:color="auto" w:fill="F9FCF9"/>
          </w:tcPr>
          <w:p>
            <w:pPr>
              <w:pStyle w:val="TableParagraph"/>
              <w:spacing w:before="24"/>
              <w:ind w:left="79"/>
              <w:jc w:val="left"/>
              <w:rPr>
                <w:sz w:val="18"/>
              </w:rPr>
            </w:pPr>
            <w:r>
              <w:rPr>
                <w:sz w:val="18"/>
              </w:rPr>
              <w:t>Rectisol</w:t>
            </w:r>
          </w:p>
        </w:tc>
        <w:tc>
          <w:tcPr>
            <w:tcW w:w="1435" w:type="dxa"/>
            <w:tcBorders>
              <w:top w:val="single" w:sz="4" w:space="0" w:color="000000"/>
            </w:tcBorders>
            <w:shd w:val="clear" w:color="auto" w:fill="F9FCF9"/>
          </w:tcPr>
          <w:p>
            <w:pPr>
              <w:pStyle w:val="TableParagraph"/>
              <w:spacing w:before="24"/>
              <w:ind w:left="343"/>
              <w:jc w:val="left"/>
              <w:rPr>
                <w:sz w:val="18"/>
              </w:rPr>
            </w:pPr>
            <w:r>
              <w:rPr>
                <w:sz w:val="18"/>
              </w:rPr>
              <w:t>Physical</w:t>
            </w:r>
          </w:p>
        </w:tc>
        <w:tc>
          <w:tcPr>
            <w:tcW w:w="4236" w:type="dxa"/>
            <w:tcBorders>
              <w:top w:val="single" w:sz="4" w:space="0" w:color="000000"/>
            </w:tcBorders>
            <w:shd w:val="clear" w:color="auto" w:fill="F9FCF9"/>
          </w:tcPr>
          <w:p>
            <w:pPr>
              <w:pStyle w:val="TableParagraph"/>
              <w:spacing w:before="24"/>
              <w:ind w:left="400"/>
              <w:jc w:val="left"/>
              <w:rPr>
                <w:sz w:val="18"/>
              </w:rPr>
            </w:pPr>
            <w:r>
              <w:rPr>
                <w:sz w:val="18"/>
              </w:rPr>
              <w:t>Methanol</w:t>
            </w:r>
          </w:p>
        </w:tc>
        <w:tc>
          <w:tcPr>
            <w:tcW w:w="3224" w:type="dxa"/>
            <w:tcBorders>
              <w:top w:val="single" w:sz="4" w:space="0" w:color="000000"/>
            </w:tcBorders>
            <w:shd w:val="clear" w:color="auto" w:fill="F9FCF9"/>
          </w:tcPr>
          <w:p>
            <w:pPr>
              <w:pStyle w:val="TableParagraph"/>
              <w:spacing w:line="254" w:lineRule="auto" w:before="24"/>
              <w:ind w:left="196" w:right="1073"/>
              <w:jc w:val="left"/>
              <w:rPr>
                <w:sz w:val="18"/>
              </w:rPr>
            </w:pPr>
            <w:r>
              <w:rPr>
                <w:sz w:val="18"/>
              </w:rPr>
              <w:t>Lurgi and Linde, Germany Lotepro Corporation, USA</w:t>
            </w:r>
          </w:p>
        </w:tc>
      </w:tr>
      <w:tr>
        <w:trPr>
          <w:trHeight w:val="295" w:hRule="atLeast"/>
        </w:trPr>
        <w:tc>
          <w:tcPr>
            <w:tcW w:w="1463" w:type="dxa"/>
            <w:shd w:val="clear" w:color="auto" w:fill="F9FCF9"/>
          </w:tcPr>
          <w:p>
            <w:pPr>
              <w:pStyle w:val="TableParagraph"/>
              <w:spacing w:before="6"/>
              <w:ind w:left="79"/>
              <w:jc w:val="left"/>
              <w:rPr>
                <w:sz w:val="18"/>
              </w:rPr>
            </w:pPr>
            <w:r>
              <w:rPr>
                <w:sz w:val="18"/>
              </w:rPr>
              <w:t>Purisol</w:t>
            </w:r>
          </w:p>
        </w:tc>
        <w:tc>
          <w:tcPr>
            <w:tcW w:w="1435" w:type="dxa"/>
            <w:shd w:val="clear" w:color="auto" w:fill="F9FCF9"/>
          </w:tcPr>
          <w:p>
            <w:pPr>
              <w:pStyle w:val="TableParagraph"/>
              <w:spacing w:before="6"/>
              <w:ind w:left="343"/>
              <w:jc w:val="left"/>
              <w:rPr>
                <w:sz w:val="18"/>
              </w:rPr>
            </w:pPr>
            <w:r>
              <w:rPr>
                <w:sz w:val="18"/>
              </w:rPr>
              <w:t>Physical</w:t>
            </w:r>
          </w:p>
        </w:tc>
        <w:tc>
          <w:tcPr>
            <w:tcW w:w="4236" w:type="dxa"/>
            <w:shd w:val="clear" w:color="auto" w:fill="F9FCF9"/>
          </w:tcPr>
          <w:p>
            <w:pPr>
              <w:pStyle w:val="TableParagraph"/>
              <w:spacing w:before="6"/>
              <w:ind w:left="400"/>
              <w:jc w:val="left"/>
              <w:rPr>
                <w:sz w:val="18"/>
              </w:rPr>
            </w:pPr>
            <w:r>
              <w:rPr>
                <w:sz w:val="18"/>
              </w:rPr>
              <w:t>N-methyl-2-pyrolidone (NMP)</w:t>
            </w:r>
          </w:p>
        </w:tc>
        <w:tc>
          <w:tcPr>
            <w:tcW w:w="3224" w:type="dxa"/>
            <w:shd w:val="clear" w:color="auto" w:fill="F9FCF9"/>
          </w:tcPr>
          <w:p>
            <w:pPr>
              <w:pStyle w:val="TableParagraph"/>
              <w:spacing w:before="6"/>
              <w:ind w:left="196"/>
              <w:jc w:val="left"/>
              <w:rPr>
                <w:sz w:val="18"/>
              </w:rPr>
            </w:pPr>
            <w:r>
              <w:rPr>
                <w:sz w:val="18"/>
              </w:rPr>
              <w:t>Lurgi, Germany</w:t>
            </w:r>
          </w:p>
        </w:tc>
      </w:tr>
      <w:tr>
        <w:trPr>
          <w:trHeight w:val="295" w:hRule="atLeast"/>
        </w:trPr>
        <w:tc>
          <w:tcPr>
            <w:tcW w:w="1463" w:type="dxa"/>
            <w:shd w:val="clear" w:color="auto" w:fill="F9FCF9"/>
          </w:tcPr>
          <w:p>
            <w:pPr>
              <w:pStyle w:val="TableParagraph"/>
              <w:spacing w:before="6"/>
              <w:ind w:left="79"/>
              <w:jc w:val="left"/>
              <w:rPr>
                <w:sz w:val="18"/>
              </w:rPr>
            </w:pPr>
            <w:r>
              <w:rPr>
                <w:sz w:val="18"/>
              </w:rPr>
              <w:t>Selexol</w:t>
            </w:r>
          </w:p>
        </w:tc>
        <w:tc>
          <w:tcPr>
            <w:tcW w:w="1435" w:type="dxa"/>
            <w:shd w:val="clear" w:color="auto" w:fill="F9FCF9"/>
          </w:tcPr>
          <w:p>
            <w:pPr>
              <w:pStyle w:val="TableParagraph"/>
              <w:spacing w:before="6"/>
              <w:ind w:left="343"/>
              <w:jc w:val="left"/>
              <w:rPr>
                <w:sz w:val="18"/>
              </w:rPr>
            </w:pPr>
            <w:r>
              <w:rPr>
                <w:sz w:val="18"/>
              </w:rPr>
              <w:t>Physical</w:t>
            </w:r>
          </w:p>
        </w:tc>
        <w:tc>
          <w:tcPr>
            <w:tcW w:w="4236" w:type="dxa"/>
            <w:shd w:val="clear" w:color="auto" w:fill="F9FCF9"/>
          </w:tcPr>
          <w:p>
            <w:pPr>
              <w:pStyle w:val="TableParagraph"/>
              <w:spacing w:before="6"/>
              <w:ind w:left="400"/>
              <w:jc w:val="left"/>
              <w:rPr>
                <w:sz w:val="18"/>
              </w:rPr>
            </w:pPr>
            <w:r>
              <w:rPr>
                <w:sz w:val="18"/>
              </w:rPr>
              <w:t>Dimethyl ethers of polyethylene glycol (DMPEG)</w:t>
            </w:r>
          </w:p>
        </w:tc>
        <w:tc>
          <w:tcPr>
            <w:tcW w:w="3224" w:type="dxa"/>
            <w:shd w:val="clear" w:color="auto" w:fill="F9FCF9"/>
          </w:tcPr>
          <w:p>
            <w:pPr>
              <w:pStyle w:val="TableParagraph"/>
              <w:spacing w:before="6"/>
              <w:ind w:left="196"/>
              <w:jc w:val="left"/>
              <w:rPr>
                <w:sz w:val="18"/>
              </w:rPr>
            </w:pPr>
            <w:r>
              <w:rPr>
                <w:sz w:val="18"/>
              </w:rPr>
              <w:t>Union Carbide, USA</w:t>
            </w:r>
          </w:p>
        </w:tc>
      </w:tr>
      <w:tr>
        <w:trPr>
          <w:trHeight w:val="294" w:hRule="atLeast"/>
        </w:trPr>
        <w:tc>
          <w:tcPr>
            <w:tcW w:w="1463" w:type="dxa"/>
            <w:shd w:val="clear" w:color="auto" w:fill="F9FCF9"/>
          </w:tcPr>
          <w:p>
            <w:pPr>
              <w:pStyle w:val="TableParagraph"/>
              <w:spacing w:before="6"/>
              <w:ind w:left="79"/>
              <w:jc w:val="left"/>
              <w:rPr>
                <w:sz w:val="18"/>
              </w:rPr>
            </w:pPr>
            <w:r>
              <w:rPr>
                <w:sz w:val="18"/>
              </w:rPr>
              <w:t>Benfield</w:t>
            </w:r>
          </w:p>
        </w:tc>
        <w:tc>
          <w:tcPr>
            <w:tcW w:w="1435" w:type="dxa"/>
            <w:shd w:val="clear" w:color="auto" w:fill="F9FCF9"/>
          </w:tcPr>
          <w:p>
            <w:pPr>
              <w:pStyle w:val="TableParagraph"/>
              <w:spacing w:before="6"/>
              <w:ind w:left="343"/>
              <w:jc w:val="left"/>
              <w:rPr>
                <w:sz w:val="18"/>
              </w:rPr>
            </w:pPr>
            <w:r>
              <w:rPr>
                <w:sz w:val="18"/>
              </w:rPr>
              <w:t>Chemical</w:t>
            </w:r>
          </w:p>
        </w:tc>
        <w:tc>
          <w:tcPr>
            <w:tcW w:w="4236" w:type="dxa"/>
            <w:shd w:val="clear" w:color="auto" w:fill="F9FCF9"/>
          </w:tcPr>
          <w:p>
            <w:pPr>
              <w:pStyle w:val="TableParagraph"/>
              <w:spacing w:before="6"/>
              <w:ind w:left="400"/>
              <w:jc w:val="left"/>
              <w:rPr>
                <w:sz w:val="18"/>
              </w:rPr>
            </w:pPr>
            <w:r>
              <w:rPr>
                <w:sz w:val="18"/>
              </w:rPr>
              <w:t>Potassium carbonate</w:t>
            </w:r>
          </w:p>
        </w:tc>
        <w:tc>
          <w:tcPr>
            <w:tcW w:w="3224" w:type="dxa"/>
            <w:shd w:val="clear" w:color="auto" w:fill="F9FCF9"/>
          </w:tcPr>
          <w:p>
            <w:pPr>
              <w:pStyle w:val="TableParagraph"/>
              <w:spacing w:before="6"/>
              <w:ind w:left="196"/>
              <w:jc w:val="left"/>
              <w:rPr>
                <w:sz w:val="18"/>
              </w:rPr>
            </w:pPr>
            <w:r>
              <w:rPr>
                <w:sz w:val="18"/>
              </w:rPr>
              <w:t>UOP</w:t>
            </w:r>
          </w:p>
        </w:tc>
      </w:tr>
      <w:tr>
        <w:trPr>
          <w:trHeight w:val="295" w:hRule="atLeast"/>
        </w:trPr>
        <w:tc>
          <w:tcPr>
            <w:tcW w:w="1463" w:type="dxa"/>
            <w:shd w:val="clear" w:color="auto" w:fill="F9FCF9"/>
          </w:tcPr>
          <w:p>
            <w:pPr>
              <w:pStyle w:val="TableParagraph"/>
              <w:spacing w:before="6"/>
              <w:ind w:left="79"/>
              <w:jc w:val="left"/>
              <w:rPr>
                <w:sz w:val="18"/>
              </w:rPr>
            </w:pPr>
            <w:r>
              <w:rPr>
                <w:sz w:val="18"/>
              </w:rPr>
              <w:t>MEA</w:t>
            </w:r>
          </w:p>
        </w:tc>
        <w:tc>
          <w:tcPr>
            <w:tcW w:w="1435" w:type="dxa"/>
            <w:shd w:val="clear" w:color="auto" w:fill="F9FCF9"/>
          </w:tcPr>
          <w:p>
            <w:pPr>
              <w:pStyle w:val="TableParagraph"/>
              <w:spacing w:before="6"/>
              <w:ind w:left="343"/>
              <w:jc w:val="left"/>
              <w:rPr>
                <w:sz w:val="18"/>
              </w:rPr>
            </w:pPr>
            <w:r>
              <w:rPr>
                <w:sz w:val="18"/>
              </w:rPr>
              <w:t>Chemical</w:t>
            </w:r>
          </w:p>
        </w:tc>
        <w:tc>
          <w:tcPr>
            <w:tcW w:w="4236" w:type="dxa"/>
            <w:shd w:val="clear" w:color="auto" w:fill="F9FCF9"/>
          </w:tcPr>
          <w:p>
            <w:pPr>
              <w:pStyle w:val="TableParagraph"/>
              <w:spacing w:before="6"/>
              <w:ind w:left="400"/>
              <w:jc w:val="left"/>
              <w:rPr>
                <w:sz w:val="18"/>
              </w:rPr>
            </w:pPr>
            <w:r>
              <w:rPr>
                <w:sz w:val="18"/>
              </w:rPr>
              <w:t>Monoethanolamine</w:t>
            </w:r>
          </w:p>
        </w:tc>
        <w:tc>
          <w:tcPr>
            <w:tcW w:w="3224" w:type="dxa"/>
            <w:shd w:val="clear" w:color="auto" w:fill="F9FCF9"/>
          </w:tcPr>
          <w:p>
            <w:pPr>
              <w:pStyle w:val="TableParagraph"/>
              <w:spacing w:before="6"/>
              <w:ind w:left="196"/>
              <w:jc w:val="left"/>
              <w:rPr>
                <w:sz w:val="18"/>
              </w:rPr>
            </w:pPr>
            <w:r>
              <w:rPr>
                <w:sz w:val="18"/>
              </w:rPr>
              <w:t>Various</w:t>
            </w:r>
          </w:p>
        </w:tc>
      </w:tr>
      <w:tr>
        <w:trPr>
          <w:trHeight w:val="295" w:hRule="atLeast"/>
        </w:trPr>
        <w:tc>
          <w:tcPr>
            <w:tcW w:w="1463" w:type="dxa"/>
            <w:shd w:val="clear" w:color="auto" w:fill="F9FCF9"/>
          </w:tcPr>
          <w:p>
            <w:pPr>
              <w:pStyle w:val="TableParagraph"/>
              <w:spacing w:before="6"/>
              <w:ind w:left="79"/>
              <w:jc w:val="left"/>
              <w:rPr>
                <w:sz w:val="18"/>
              </w:rPr>
            </w:pPr>
            <w:r>
              <w:rPr>
                <w:sz w:val="18"/>
              </w:rPr>
              <w:t>MDEA</w:t>
            </w:r>
          </w:p>
        </w:tc>
        <w:tc>
          <w:tcPr>
            <w:tcW w:w="1435" w:type="dxa"/>
            <w:shd w:val="clear" w:color="auto" w:fill="F9FCF9"/>
          </w:tcPr>
          <w:p>
            <w:pPr>
              <w:pStyle w:val="TableParagraph"/>
              <w:spacing w:before="6"/>
              <w:ind w:left="343"/>
              <w:jc w:val="left"/>
              <w:rPr>
                <w:sz w:val="18"/>
              </w:rPr>
            </w:pPr>
            <w:r>
              <w:rPr>
                <w:sz w:val="18"/>
              </w:rPr>
              <w:t>Chemical</w:t>
            </w:r>
          </w:p>
        </w:tc>
        <w:tc>
          <w:tcPr>
            <w:tcW w:w="4236" w:type="dxa"/>
            <w:shd w:val="clear" w:color="auto" w:fill="F9FCF9"/>
          </w:tcPr>
          <w:p>
            <w:pPr>
              <w:pStyle w:val="TableParagraph"/>
              <w:spacing w:before="6"/>
              <w:ind w:left="400"/>
              <w:jc w:val="left"/>
              <w:rPr>
                <w:sz w:val="18"/>
              </w:rPr>
            </w:pPr>
            <w:r>
              <w:rPr>
                <w:sz w:val="18"/>
              </w:rPr>
              <w:t>Methyldiethylamine</w:t>
            </w:r>
          </w:p>
        </w:tc>
        <w:tc>
          <w:tcPr>
            <w:tcW w:w="3224" w:type="dxa"/>
            <w:shd w:val="clear" w:color="auto" w:fill="F9FCF9"/>
          </w:tcPr>
          <w:p>
            <w:pPr>
              <w:pStyle w:val="TableParagraph"/>
              <w:spacing w:before="6"/>
              <w:ind w:left="196"/>
              <w:jc w:val="left"/>
              <w:rPr>
                <w:sz w:val="18"/>
              </w:rPr>
            </w:pPr>
            <w:r>
              <w:rPr>
                <w:sz w:val="18"/>
              </w:rPr>
              <w:t>BASF and others</w:t>
            </w:r>
          </w:p>
        </w:tc>
      </w:tr>
      <w:tr>
        <w:trPr>
          <w:trHeight w:val="550" w:hRule="atLeast"/>
        </w:trPr>
        <w:tc>
          <w:tcPr>
            <w:tcW w:w="1463" w:type="dxa"/>
            <w:tcBorders>
              <w:bottom w:val="single" w:sz="4" w:space="0" w:color="000000"/>
            </w:tcBorders>
            <w:shd w:val="clear" w:color="auto" w:fill="F9FCF9"/>
          </w:tcPr>
          <w:p>
            <w:pPr>
              <w:pStyle w:val="TableParagraph"/>
              <w:spacing w:before="6"/>
              <w:ind w:left="79"/>
              <w:jc w:val="left"/>
              <w:rPr>
                <w:sz w:val="18"/>
              </w:rPr>
            </w:pPr>
            <w:r>
              <w:rPr>
                <w:sz w:val="18"/>
              </w:rPr>
              <w:t>Sulfinol</w:t>
            </w:r>
          </w:p>
        </w:tc>
        <w:tc>
          <w:tcPr>
            <w:tcW w:w="1435" w:type="dxa"/>
            <w:tcBorders>
              <w:bottom w:val="single" w:sz="4" w:space="0" w:color="000000"/>
            </w:tcBorders>
            <w:shd w:val="clear" w:color="auto" w:fill="F9FCF9"/>
          </w:tcPr>
          <w:p>
            <w:pPr>
              <w:pStyle w:val="TableParagraph"/>
              <w:spacing w:before="6"/>
              <w:ind w:left="343"/>
              <w:jc w:val="left"/>
              <w:rPr>
                <w:sz w:val="18"/>
              </w:rPr>
            </w:pPr>
            <w:r>
              <w:rPr>
                <w:sz w:val="18"/>
              </w:rPr>
              <w:t>Chemical</w:t>
            </w:r>
          </w:p>
        </w:tc>
        <w:tc>
          <w:tcPr>
            <w:tcW w:w="4236" w:type="dxa"/>
            <w:tcBorders>
              <w:bottom w:val="single" w:sz="4" w:space="0" w:color="000000"/>
            </w:tcBorders>
            <w:shd w:val="clear" w:color="auto" w:fill="F9FCF9"/>
          </w:tcPr>
          <w:p>
            <w:pPr>
              <w:pStyle w:val="TableParagraph"/>
              <w:spacing w:line="254" w:lineRule="auto" w:before="6"/>
              <w:ind w:left="400" w:right="407"/>
              <w:jc w:val="left"/>
              <w:rPr>
                <w:sz w:val="18"/>
              </w:rPr>
            </w:pPr>
            <w:r>
              <w:rPr>
                <w:sz w:val="18"/>
              </w:rPr>
              <w:t>Tetrahydrothiophene 1,1-dioxide (Sulfolane), an alkaloamine and water</w:t>
            </w:r>
          </w:p>
        </w:tc>
        <w:tc>
          <w:tcPr>
            <w:tcW w:w="3224" w:type="dxa"/>
            <w:tcBorders>
              <w:bottom w:val="single" w:sz="4" w:space="0" w:color="000000"/>
            </w:tcBorders>
            <w:shd w:val="clear" w:color="auto" w:fill="F9FCF9"/>
          </w:tcPr>
          <w:p>
            <w:pPr>
              <w:pStyle w:val="TableParagraph"/>
              <w:spacing w:before="6"/>
              <w:ind w:left="196"/>
              <w:jc w:val="left"/>
              <w:rPr>
                <w:sz w:val="18"/>
              </w:rPr>
            </w:pPr>
            <w:r>
              <w:rPr>
                <w:sz w:val="18"/>
              </w:rPr>
              <w:t>Shell</w:t>
            </w:r>
          </w:p>
        </w:tc>
      </w:tr>
    </w:tbl>
    <w:p>
      <w:pPr>
        <w:spacing w:after="0"/>
        <w:jc w:val="left"/>
        <w:rPr>
          <w:sz w:val="18"/>
        </w:rPr>
        <w:sectPr>
          <w:type w:val="continuous"/>
          <w:pgSz w:w="12240" w:h="15840"/>
          <w:pgMar w:top="480" w:bottom="280" w:left="620" w:right="0"/>
        </w:sectPr>
      </w:pPr>
    </w:p>
    <w:p>
      <w:pPr>
        <w:pStyle w:val="BodyText"/>
      </w:pPr>
    </w:p>
    <w:p>
      <w:pPr>
        <w:spacing w:after="0"/>
        <w:sectPr>
          <w:pgSz w:w="12240" w:h="15840"/>
          <w:pgMar w:header="567" w:footer="0" w:top="800" w:bottom="280" w:left="620" w:right="0"/>
        </w:sectPr>
      </w:pPr>
    </w:p>
    <w:p>
      <w:pPr>
        <w:pStyle w:val="BodyText"/>
      </w:pPr>
    </w:p>
    <w:p>
      <w:pPr>
        <w:pStyle w:val="BodyText"/>
        <w:spacing w:line="206" w:lineRule="auto"/>
        <w:ind w:left="513" w:firstLine="283"/>
        <w:jc w:val="both"/>
      </w:pPr>
      <w:bookmarkStart w:name="3.2.4 Cement production" w:id="19"/>
      <w:bookmarkEnd w:id="19"/>
      <w:r>
        <w:rPr/>
      </w:r>
      <w:bookmarkStart w:name="3.2.5 Ammonia production" w:id="20"/>
      <w:bookmarkEnd w:id="20"/>
      <w:r>
        <w:rPr/>
      </w:r>
      <w:bookmarkStart w:name="3.2.6 Status and outlook" w:id="21"/>
      <w:bookmarkEnd w:id="21"/>
      <w:r>
        <w:rPr/>
      </w:r>
      <w:r>
        <w:rPr/>
        <w:t>Early opportunities exist for the capture of CO</w:t>
      </w:r>
      <w:r>
        <w:rPr>
          <w:position w:val="-6"/>
          <w:sz w:val="11"/>
        </w:rPr>
        <w:t>2 </w:t>
      </w:r>
      <w:r>
        <w:rPr/>
        <w:t>emissions from the iron and steel industry, such as:</w:t>
      </w:r>
    </w:p>
    <w:p>
      <w:pPr>
        <w:pStyle w:val="ListParagraph"/>
        <w:numPr>
          <w:ilvl w:val="1"/>
          <w:numId w:val="3"/>
        </w:numPr>
        <w:tabs>
          <w:tab w:pos="798" w:val="left" w:leader="none"/>
        </w:tabs>
        <w:spacing w:line="225" w:lineRule="auto" w:before="23" w:after="0"/>
        <w:ind w:left="797" w:right="0" w:hanging="284"/>
        <w:jc w:val="both"/>
        <w:rPr>
          <w:sz w:val="20"/>
        </w:rPr>
      </w:pPr>
      <w:r>
        <w:rPr>
          <w:sz w:val="20"/>
        </w:rPr>
        <w:t>CO</w:t>
      </w:r>
      <w:r>
        <w:rPr>
          <w:position w:val="-6"/>
          <w:sz w:val="11"/>
        </w:rPr>
        <w:t>2</w:t>
      </w:r>
      <w:r>
        <w:rPr>
          <w:spacing w:val="15"/>
          <w:position w:val="-6"/>
          <w:sz w:val="11"/>
        </w:rPr>
        <w:t> </w:t>
      </w:r>
      <w:r>
        <w:rPr>
          <w:sz w:val="20"/>
        </w:rPr>
        <w:t>recovery</w:t>
      </w:r>
      <w:r>
        <w:rPr>
          <w:spacing w:val="-7"/>
          <w:sz w:val="20"/>
        </w:rPr>
        <w:t> </w:t>
      </w:r>
      <w:r>
        <w:rPr>
          <w:sz w:val="20"/>
        </w:rPr>
        <w:t>from</w:t>
      </w:r>
      <w:r>
        <w:rPr>
          <w:spacing w:val="-6"/>
          <w:sz w:val="20"/>
        </w:rPr>
        <w:t> </w:t>
      </w:r>
      <w:r>
        <w:rPr>
          <w:sz w:val="20"/>
        </w:rPr>
        <w:t>blast</w:t>
      </w:r>
      <w:r>
        <w:rPr>
          <w:spacing w:val="-7"/>
          <w:sz w:val="20"/>
        </w:rPr>
        <w:t> </w:t>
      </w:r>
      <w:r>
        <w:rPr>
          <w:sz w:val="20"/>
        </w:rPr>
        <w:t>furnace</w:t>
      </w:r>
      <w:r>
        <w:rPr>
          <w:spacing w:val="-7"/>
          <w:sz w:val="20"/>
        </w:rPr>
        <w:t> </w:t>
      </w:r>
      <w:r>
        <w:rPr>
          <w:sz w:val="20"/>
        </w:rPr>
        <w:t>gas</w:t>
      </w:r>
      <w:r>
        <w:rPr>
          <w:spacing w:val="-7"/>
          <w:sz w:val="20"/>
        </w:rPr>
        <w:t> </w:t>
      </w:r>
      <w:r>
        <w:rPr>
          <w:sz w:val="20"/>
        </w:rPr>
        <w:t>and</w:t>
      </w:r>
      <w:r>
        <w:rPr>
          <w:spacing w:val="-6"/>
          <w:sz w:val="20"/>
        </w:rPr>
        <w:t> </w:t>
      </w:r>
      <w:r>
        <w:rPr>
          <w:sz w:val="20"/>
        </w:rPr>
        <w:t>recycle</w:t>
      </w:r>
      <w:r>
        <w:rPr>
          <w:spacing w:val="-7"/>
          <w:sz w:val="20"/>
        </w:rPr>
        <w:t> </w:t>
      </w:r>
      <w:r>
        <w:rPr>
          <w:sz w:val="20"/>
        </w:rPr>
        <w:t>of</w:t>
      </w:r>
      <w:r>
        <w:rPr>
          <w:spacing w:val="-7"/>
          <w:sz w:val="20"/>
        </w:rPr>
        <w:t> </w:t>
      </w:r>
      <w:r>
        <w:rPr>
          <w:sz w:val="20"/>
        </w:rPr>
        <w:t>CO-rich</w:t>
      </w:r>
      <w:bookmarkStart w:name="3.3 Post-combustion capture systems" w:id="22"/>
      <w:bookmarkEnd w:id="22"/>
      <w:r>
        <w:rPr>
          <w:sz w:val="20"/>
        </w:rPr>
      </w:r>
      <w:bookmarkStart w:name="3.3.1 Introduction" w:id="23"/>
      <w:bookmarkEnd w:id="23"/>
      <w:r>
        <w:rPr>
          <w:sz w:val="20"/>
        </w:rPr>
      </w:r>
      <w:r>
        <w:rPr>
          <w:sz w:val="20"/>
        </w:rPr>
        <w:t> top gas to the furnace. A minimum quantity of coke is still required and the blast furnace is fed with a mixture of </w:t>
      </w:r>
      <w:r>
        <w:rPr>
          <w:spacing w:val="-4"/>
          <w:sz w:val="20"/>
        </w:rPr>
        <w:t>pure </w:t>
      </w:r>
      <w:r>
        <w:rPr>
          <w:sz w:val="20"/>
        </w:rPr>
        <w:t>O</w:t>
      </w:r>
      <w:r>
        <w:rPr>
          <w:position w:val="-6"/>
          <w:sz w:val="11"/>
        </w:rPr>
        <w:t>2 </w:t>
      </w:r>
      <w:r>
        <w:rPr>
          <w:sz w:val="20"/>
        </w:rPr>
        <w:t>and recycled top gas. The furnace is, in effect, converted from air firing to oxy-fuel firing with CO</w:t>
      </w:r>
      <w:r>
        <w:rPr>
          <w:position w:val="-6"/>
          <w:sz w:val="11"/>
        </w:rPr>
        <w:t>2 </w:t>
      </w:r>
      <w:r>
        <w:rPr>
          <w:sz w:val="20"/>
        </w:rPr>
        <w:t>capture (see Section 3.4). This would recover 70% of the CO</w:t>
      </w:r>
      <w:r>
        <w:rPr>
          <w:position w:val="-6"/>
          <w:sz w:val="11"/>
        </w:rPr>
        <w:t>2 </w:t>
      </w:r>
      <w:r>
        <w:rPr>
          <w:sz w:val="20"/>
        </w:rPr>
        <w:t>currently emitted</w:t>
      </w:r>
      <w:r>
        <w:rPr>
          <w:spacing w:val="-6"/>
          <w:sz w:val="20"/>
        </w:rPr>
        <w:t> </w:t>
      </w:r>
      <w:r>
        <w:rPr>
          <w:sz w:val="20"/>
        </w:rPr>
        <w:t>from</w:t>
      </w:r>
      <w:r>
        <w:rPr>
          <w:spacing w:val="-5"/>
          <w:sz w:val="20"/>
        </w:rPr>
        <w:t> </w:t>
      </w:r>
      <w:r>
        <w:rPr>
          <w:sz w:val="20"/>
        </w:rPr>
        <w:t>an</w:t>
      </w:r>
      <w:r>
        <w:rPr>
          <w:spacing w:val="-6"/>
          <w:sz w:val="20"/>
        </w:rPr>
        <w:t> </w:t>
      </w:r>
      <w:r>
        <w:rPr>
          <w:sz w:val="20"/>
        </w:rPr>
        <w:t>integrated</w:t>
      </w:r>
      <w:r>
        <w:rPr>
          <w:spacing w:val="-5"/>
          <w:sz w:val="20"/>
        </w:rPr>
        <w:t> </w:t>
      </w:r>
      <w:r>
        <w:rPr>
          <w:sz w:val="20"/>
        </w:rPr>
        <w:t>steel</w:t>
      </w:r>
      <w:r>
        <w:rPr>
          <w:spacing w:val="-6"/>
          <w:sz w:val="20"/>
        </w:rPr>
        <w:t> </w:t>
      </w:r>
      <w:r>
        <w:rPr>
          <w:sz w:val="20"/>
        </w:rPr>
        <w:t>plant</w:t>
      </w:r>
      <w:r>
        <w:rPr>
          <w:spacing w:val="-5"/>
          <w:sz w:val="20"/>
        </w:rPr>
        <w:t> </w:t>
      </w:r>
      <w:r>
        <w:rPr>
          <w:sz w:val="20"/>
        </w:rPr>
        <w:t>(Dongke</w:t>
      </w:r>
      <w:r>
        <w:rPr>
          <w:spacing w:val="-6"/>
          <w:sz w:val="20"/>
        </w:rPr>
        <w:t> </w:t>
      </w:r>
      <w:r>
        <w:rPr>
          <w:sz w:val="20"/>
        </w:rPr>
        <w:t>et</w:t>
      </w:r>
      <w:r>
        <w:rPr>
          <w:spacing w:val="-5"/>
          <w:sz w:val="20"/>
        </w:rPr>
        <w:t> </w:t>
      </w:r>
      <w:r>
        <w:rPr>
          <w:sz w:val="20"/>
        </w:rPr>
        <w:t>al.,</w:t>
      </w:r>
      <w:r>
        <w:rPr>
          <w:spacing w:val="-5"/>
          <w:sz w:val="20"/>
        </w:rPr>
        <w:t> </w:t>
      </w:r>
      <w:r>
        <w:rPr>
          <w:sz w:val="20"/>
        </w:rPr>
        <w:t>1988). It would be feasible to retrofit existing blast furnaces with this process.</w:t>
      </w:r>
    </w:p>
    <w:p>
      <w:pPr>
        <w:pStyle w:val="ListParagraph"/>
        <w:numPr>
          <w:ilvl w:val="1"/>
          <w:numId w:val="3"/>
        </w:numPr>
        <w:tabs>
          <w:tab w:pos="798" w:val="left" w:leader="none"/>
        </w:tabs>
        <w:spacing w:line="249" w:lineRule="auto" w:before="4" w:after="0"/>
        <w:ind w:left="797" w:right="0" w:hanging="284"/>
        <w:jc w:val="both"/>
        <w:rPr>
          <w:sz w:val="20"/>
        </w:rPr>
      </w:pPr>
      <w:r>
        <w:rPr>
          <w:sz w:val="20"/>
        </w:rPr>
        <w:t>Direct reduction of iron ore, using hydrogen derived from a fossil fuel in a pre-combustion capture step (see Section 3.5) (Duarte and Reich, 1998). Instead of the fuel </w:t>
      </w:r>
      <w:r>
        <w:rPr>
          <w:spacing w:val="-4"/>
          <w:sz w:val="20"/>
        </w:rPr>
        <w:t>being </w:t>
      </w:r>
      <w:r>
        <w:rPr>
          <w:sz w:val="20"/>
        </w:rPr>
        <w:t>burnt</w:t>
      </w:r>
      <w:r>
        <w:rPr>
          <w:spacing w:val="23"/>
          <w:sz w:val="20"/>
        </w:rPr>
        <w:t> </w:t>
      </w:r>
      <w:r>
        <w:rPr>
          <w:sz w:val="20"/>
        </w:rPr>
        <w:t>in</w:t>
      </w:r>
      <w:r>
        <w:rPr>
          <w:spacing w:val="24"/>
          <w:sz w:val="20"/>
        </w:rPr>
        <w:t> </w:t>
      </w:r>
      <w:r>
        <w:rPr>
          <w:sz w:val="20"/>
        </w:rPr>
        <w:t>the</w:t>
      </w:r>
      <w:r>
        <w:rPr>
          <w:spacing w:val="23"/>
          <w:sz w:val="20"/>
        </w:rPr>
        <w:t> </w:t>
      </w:r>
      <w:r>
        <w:rPr>
          <w:sz w:val="20"/>
        </w:rPr>
        <w:t>furnace</w:t>
      </w:r>
      <w:r>
        <w:rPr>
          <w:spacing w:val="23"/>
          <w:sz w:val="20"/>
        </w:rPr>
        <w:t> </w:t>
      </w:r>
      <w:r>
        <w:rPr>
          <w:sz w:val="20"/>
        </w:rPr>
        <w:t>and</w:t>
      </w:r>
      <w:r>
        <w:rPr>
          <w:spacing w:val="23"/>
          <w:sz w:val="20"/>
        </w:rPr>
        <w:t> </w:t>
      </w:r>
      <w:r>
        <w:rPr>
          <w:sz w:val="20"/>
        </w:rPr>
        <w:t>releasing</w:t>
      </w:r>
      <w:r>
        <w:rPr>
          <w:spacing w:val="23"/>
          <w:sz w:val="20"/>
        </w:rPr>
        <w:t> </w:t>
      </w:r>
      <w:r>
        <w:rPr>
          <w:sz w:val="20"/>
        </w:rPr>
        <w:t>its</w:t>
      </w:r>
      <w:r>
        <w:rPr>
          <w:spacing w:val="23"/>
          <w:sz w:val="20"/>
        </w:rPr>
        <w:t> </w:t>
      </w:r>
      <w:r>
        <w:rPr>
          <w:sz w:val="20"/>
        </w:rPr>
        <w:t>CO</w:t>
      </w:r>
      <w:r>
        <w:rPr>
          <w:position w:val="-6"/>
          <w:sz w:val="11"/>
        </w:rPr>
        <w:t>2</w:t>
      </w:r>
      <w:r>
        <w:rPr>
          <w:spacing w:val="18"/>
          <w:position w:val="-6"/>
          <w:sz w:val="11"/>
        </w:rPr>
        <w:t> </w:t>
      </w:r>
      <w:r>
        <w:rPr>
          <w:sz w:val="20"/>
        </w:rPr>
        <w:t>to</w:t>
      </w:r>
      <w:r>
        <w:rPr>
          <w:spacing w:val="24"/>
          <w:sz w:val="20"/>
        </w:rPr>
        <w:t> </w:t>
      </w:r>
      <w:r>
        <w:rPr>
          <w:sz w:val="20"/>
        </w:rPr>
        <w:t>atmosphere,</w:t>
      </w:r>
    </w:p>
    <w:p>
      <w:pPr>
        <w:pStyle w:val="BodyText"/>
        <w:spacing w:line="177" w:lineRule="auto"/>
        <w:ind w:left="797"/>
        <w:jc w:val="both"/>
      </w:pPr>
      <w:r>
        <w:rPr/>
        <w:t>the</w:t>
      </w:r>
      <w:r>
        <w:rPr>
          <w:spacing w:val="-5"/>
        </w:rPr>
        <w:t> </w:t>
      </w:r>
      <w:r>
        <w:rPr/>
        <w:t>fuel</w:t>
      </w:r>
      <w:r>
        <w:rPr>
          <w:spacing w:val="-5"/>
        </w:rPr>
        <w:t> </w:t>
      </w:r>
      <w:r>
        <w:rPr/>
        <w:t>would</w:t>
      </w:r>
      <w:r>
        <w:rPr>
          <w:spacing w:val="-5"/>
        </w:rPr>
        <w:t> </w:t>
      </w:r>
      <w:r>
        <w:rPr/>
        <w:t>be</w:t>
      </w:r>
      <w:r>
        <w:rPr>
          <w:spacing w:val="-4"/>
        </w:rPr>
        <w:t> </w:t>
      </w:r>
      <w:r>
        <w:rPr/>
        <w:t>converted</w:t>
      </w:r>
      <w:r>
        <w:rPr>
          <w:spacing w:val="-5"/>
        </w:rPr>
        <w:t> </w:t>
      </w:r>
      <w:r>
        <w:rPr/>
        <w:t>to</w:t>
      </w:r>
      <w:r>
        <w:rPr>
          <w:spacing w:val="-5"/>
        </w:rPr>
        <w:t> </w:t>
      </w:r>
      <w:r>
        <w:rPr/>
        <w:t>hydrogen</w:t>
      </w:r>
      <w:r>
        <w:rPr>
          <w:spacing w:val="-5"/>
        </w:rPr>
        <w:t> </w:t>
      </w:r>
      <w:r>
        <w:rPr/>
        <w:t>and</w:t>
      </w:r>
      <w:r>
        <w:rPr>
          <w:spacing w:val="-4"/>
        </w:rPr>
        <w:t> </w:t>
      </w:r>
      <w:r>
        <w:rPr/>
        <w:t>the</w:t>
      </w:r>
      <w:r>
        <w:rPr>
          <w:spacing w:val="-5"/>
        </w:rPr>
        <w:t> </w:t>
      </w:r>
      <w:r>
        <w:rPr/>
        <w:t>CO</w:t>
      </w:r>
      <w:r>
        <w:rPr>
          <w:position w:val="-6"/>
          <w:sz w:val="11"/>
        </w:rPr>
        <w:t>2</w:t>
      </w:r>
      <w:r>
        <w:rPr>
          <w:spacing w:val="-1"/>
          <w:position w:val="-6"/>
          <w:sz w:val="11"/>
        </w:rPr>
        <w:t> </w:t>
      </w:r>
      <w:r>
        <w:rPr/>
        <w:t>would</w:t>
      </w:r>
    </w:p>
    <w:p>
      <w:pPr>
        <w:pStyle w:val="BodyText"/>
        <w:spacing w:line="213" w:lineRule="exact"/>
        <w:ind w:left="797"/>
        <w:jc w:val="both"/>
      </w:pPr>
      <w:r>
        <w:rPr/>
        <w:t>be </w:t>
      </w:r>
      <w:r>
        <w:rPr>
          <w:spacing w:val="21"/>
        </w:rPr>
        <w:t> </w:t>
      </w:r>
      <w:r>
        <w:rPr/>
        <w:t>captured </w:t>
      </w:r>
      <w:r>
        <w:rPr>
          <w:spacing w:val="21"/>
        </w:rPr>
        <w:t> </w:t>
      </w:r>
      <w:r>
        <w:rPr/>
        <w:t>during </w:t>
      </w:r>
      <w:r>
        <w:rPr>
          <w:spacing w:val="21"/>
        </w:rPr>
        <w:t> </w:t>
      </w:r>
      <w:r>
        <w:rPr/>
        <w:t>that </w:t>
      </w:r>
      <w:r>
        <w:rPr>
          <w:spacing w:val="22"/>
        </w:rPr>
        <w:t> </w:t>
      </w:r>
      <w:r>
        <w:rPr/>
        <w:t>process. </w:t>
      </w:r>
      <w:r>
        <w:rPr>
          <w:spacing w:val="17"/>
        </w:rPr>
        <w:t> </w:t>
      </w:r>
      <w:r>
        <w:rPr/>
        <w:t>The </w:t>
      </w:r>
      <w:r>
        <w:rPr>
          <w:spacing w:val="21"/>
        </w:rPr>
        <w:t> </w:t>
      </w:r>
      <w:r>
        <w:rPr/>
        <w:t>hydrogen </w:t>
      </w:r>
      <w:r>
        <w:rPr>
          <w:spacing w:val="22"/>
        </w:rPr>
        <w:t> </w:t>
      </w:r>
      <w:r>
        <w:rPr>
          <w:spacing w:val="-4"/>
        </w:rPr>
        <w:t>would</w:t>
      </w:r>
    </w:p>
    <w:p>
      <w:pPr>
        <w:pStyle w:val="BodyText"/>
        <w:ind w:left="797"/>
        <w:jc w:val="both"/>
      </w:pPr>
      <w:r>
        <w:rPr/>
        <w:t>then</w:t>
      </w:r>
      <w:r>
        <w:rPr>
          <w:spacing w:val="9"/>
        </w:rPr>
        <w:t> </w:t>
      </w:r>
      <w:r>
        <w:rPr/>
        <w:t>be</w:t>
      </w:r>
      <w:r>
        <w:rPr>
          <w:spacing w:val="10"/>
        </w:rPr>
        <w:t> </w:t>
      </w:r>
      <w:r>
        <w:rPr/>
        <w:t>used</w:t>
      </w:r>
      <w:r>
        <w:rPr>
          <w:spacing w:val="10"/>
        </w:rPr>
        <w:t> </w:t>
      </w:r>
      <w:r>
        <w:rPr/>
        <w:t>as</w:t>
      </w:r>
      <w:r>
        <w:rPr>
          <w:spacing w:val="10"/>
        </w:rPr>
        <w:t> </w:t>
      </w:r>
      <w:r>
        <w:rPr/>
        <w:t>a</w:t>
      </w:r>
      <w:r>
        <w:rPr>
          <w:spacing w:val="10"/>
        </w:rPr>
        <w:t> </w:t>
      </w:r>
      <w:r>
        <w:rPr/>
        <w:t>reduction</w:t>
      </w:r>
      <w:r>
        <w:rPr>
          <w:spacing w:val="10"/>
        </w:rPr>
        <w:t> </w:t>
      </w:r>
      <w:r>
        <w:rPr/>
        <w:t>agent</w:t>
      </w:r>
      <w:r>
        <w:rPr>
          <w:spacing w:val="10"/>
        </w:rPr>
        <w:t> </w:t>
      </w:r>
      <w:r>
        <w:rPr/>
        <w:t>for</w:t>
      </w:r>
      <w:r>
        <w:rPr>
          <w:spacing w:val="10"/>
        </w:rPr>
        <w:t> </w:t>
      </w:r>
      <w:r>
        <w:rPr/>
        <w:t>the</w:t>
      </w:r>
      <w:r>
        <w:rPr>
          <w:spacing w:val="10"/>
        </w:rPr>
        <w:t> </w:t>
      </w:r>
      <w:r>
        <w:rPr/>
        <w:t>iron</w:t>
      </w:r>
      <w:r>
        <w:rPr>
          <w:spacing w:val="10"/>
        </w:rPr>
        <w:t> </w:t>
      </w:r>
      <w:r>
        <w:rPr/>
        <w:t>ore.</w:t>
      </w:r>
      <w:r>
        <w:rPr>
          <w:spacing w:val="9"/>
        </w:rPr>
        <w:t> </w:t>
      </w:r>
      <w:r>
        <w:rPr/>
        <w:t>Capture</w:t>
      </w:r>
    </w:p>
    <w:p>
      <w:pPr>
        <w:pStyle w:val="BodyText"/>
        <w:spacing w:before="4"/>
        <w:rPr>
          <w:sz w:val="18"/>
        </w:rPr>
      </w:pPr>
      <w:r>
        <w:rPr/>
        <w:br w:type="column"/>
      </w:r>
      <w:r>
        <w:rPr>
          <w:sz w:val="18"/>
        </w:rPr>
      </w:r>
    </w:p>
    <w:p>
      <w:pPr>
        <w:pStyle w:val="BodyText"/>
        <w:spacing w:line="249" w:lineRule="auto"/>
        <w:ind w:left="242" w:right="734"/>
        <w:jc w:val="both"/>
      </w:pPr>
      <w:r>
        <w:rPr/>
        <w:t>Around 85% of ammonia is made by processes in the steam methane reforming group and so a description of the process is useful. Although the processes vary in detail, they all comprise the following steps:</w:t>
      </w:r>
    </w:p>
    <w:p>
      <w:pPr>
        <w:pStyle w:val="BodyText"/>
        <w:spacing w:before="2"/>
        <w:rPr>
          <w:sz w:val="21"/>
        </w:rPr>
      </w:pPr>
    </w:p>
    <w:p>
      <w:pPr>
        <w:pStyle w:val="ListParagraph"/>
        <w:numPr>
          <w:ilvl w:val="0"/>
          <w:numId w:val="6"/>
        </w:numPr>
        <w:tabs>
          <w:tab w:pos="526" w:val="left" w:leader="none"/>
        </w:tabs>
        <w:spacing w:line="240" w:lineRule="auto" w:before="0" w:after="0"/>
        <w:ind w:left="525" w:right="0" w:hanging="284"/>
        <w:jc w:val="left"/>
        <w:rPr>
          <w:sz w:val="20"/>
        </w:rPr>
      </w:pPr>
      <w:r>
        <w:rPr>
          <w:sz w:val="20"/>
        </w:rPr>
        <w:t>Purification of the</w:t>
      </w:r>
      <w:r>
        <w:rPr>
          <w:spacing w:val="-2"/>
          <w:sz w:val="20"/>
        </w:rPr>
        <w:t> </w:t>
      </w:r>
      <w:r>
        <w:rPr>
          <w:sz w:val="20"/>
        </w:rPr>
        <w:t>feed;</w:t>
      </w:r>
    </w:p>
    <w:p>
      <w:pPr>
        <w:pStyle w:val="ListParagraph"/>
        <w:numPr>
          <w:ilvl w:val="0"/>
          <w:numId w:val="6"/>
        </w:numPr>
        <w:tabs>
          <w:tab w:pos="526" w:val="left" w:leader="none"/>
        </w:tabs>
        <w:spacing w:line="240" w:lineRule="auto" w:before="10" w:after="0"/>
        <w:ind w:left="525" w:right="0" w:hanging="284"/>
        <w:jc w:val="left"/>
        <w:rPr>
          <w:sz w:val="20"/>
        </w:rPr>
      </w:pPr>
      <w:r>
        <w:rPr>
          <w:sz w:val="20"/>
        </w:rPr>
        <w:t>Primary steam methane reforming (see Section</w:t>
      </w:r>
      <w:r>
        <w:rPr>
          <w:spacing w:val="-7"/>
          <w:sz w:val="20"/>
        </w:rPr>
        <w:t> </w:t>
      </w:r>
      <w:r>
        <w:rPr>
          <w:sz w:val="20"/>
        </w:rPr>
        <w:t>3.5.2.1);</w:t>
      </w:r>
    </w:p>
    <w:p>
      <w:pPr>
        <w:pStyle w:val="ListParagraph"/>
        <w:numPr>
          <w:ilvl w:val="0"/>
          <w:numId w:val="6"/>
        </w:numPr>
        <w:tabs>
          <w:tab w:pos="526" w:val="left" w:leader="none"/>
        </w:tabs>
        <w:spacing w:line="249" w:lineRule="auto" w:before="10" w:after="0"/>
        <w:ind w:left="526" w:right="735" w:hanging="284"/>
        <w:jc w:val="left"/>
        <w:rPr>
          <w:sz w:val="20"/>
        </w:rPr>
      </w:pPr>
      <w:r>
        <w:rPr>
          <w:sz w:val="20"/>
        </w:rPr>
        <w:t>Secondary reforming, with the addition of air, commonly called auto thermal reforming (see Section</w:t>
      </w:r>
      <w:r>
        <w:rPr>
          <w:spacing w:val="-3"/>
          <w:sz w:val="20"/>
        </w:rPr>
        <w:t> </w:t>
      </w:r>
      <w:r>
        <w:rPr>
          <w:sz w:val="20"/>
        </w:rPr>
        <w:t>3.5.2.3);</w:t>
      </w:r>
    </w:p>
    <w:p>
      <w:pPr>
        <w:pStyle w:val="ListParagraph"/>
        <w:numPr>
          <w:ilvl w:val="0"/>
          <w:numId w:val="6"/>
        </w:numPr>
        <w:tabs>
          <w:tab w:pos="526" w:val="left" w:leader="none"/>
        </w:tabs>
        <w:spacing w:line="260" w:lineRule="exact" w:before="2" w:after="0"/>
        <w:ind w:left="525" w:right="0" w:hanging="284"/>
        <w:jc w:val="left"/>
        <w:rPr>
          <w:sz w:val="20"/>
        </w:rPr>
      </w:pPr>
      <w:r>
        <w:rPr>
          <w:sz w:val="20"/>
        </w:rPr>
        <w:t>Shift conversion of CO and H</w:t>
      </w:r>
      <w:r>
        <w:rPr>
          <w:position w:val="-6"/>
          <w:sz w:val="11"/>
        </w:rPr>
        <w:t>2</w:t>
      </w:r>
      <w:r>
        <w:rPr>
          <w:sz w:val="20"/>
        </w:rPr>
        <w:t>O to CO</w:t>
      </w:r>
      <w:r>
        <w:rPr>
          <w:position w:val="-6"/>
          <w:sz w:val="11"/>
        </w:rPr>
        <w:t>2 </w:t>
      </w:r>
      <w:r>
        <w:rPr>
          <w:sz w:val="20"/>
        </w:rPr>
        <w:t>and</w:t>
      </w:r>
      <w:r>
        <w:rPr>
          <w:spacing w:val="-1"/>
          <w:sz w:val="20"/>
        </w:rPr>
        <w:t> </w:t>
      </w:r>
      <w:r>
        <w:rPr>
          <w:sz w:val="20"/>
        </w:rPr>
        <w:t>H</w:t>
      </w:r>
      <w:r>
        <w:rPr>
          <w:position w:val="-6"/>
          <w:sz w:val="11"/>
        </w:rPr>
        <w:t>2</w:t>
      </w:r>
      <w:r>
        <w:rPr>
          <w:sz w:val="20"/>
        </w:rPr>
        <w:t>;</w:t>
      </w:r>
    </w:p>
    <w:p>
      <w:pPr>
        <w:pStyle w:val="ListParagraph"/>
        <w:numPr>
          <w:ilvl w:val="0"/>
          <w:numId w:val="6"/>
        </w:numPr>
        <w:tabs>
          <w:tab w:pos="527" w:val="left" w:leader="none"/>
        </w:tabs>
        <w:spacing w:line="187" w:lineRule="auto" w:before="9" w:after="0"/>
        <w:ind w:left="526" w:right="0" w:hanging="285"/>
        <w:jc w:val="left"/>
        <w:rPr>
          <w:sz w:val="20"/>
        </w:rPr>
      </w:pPr>
      <w:r>
        <w:rPr>
          <w:sz w:val="20"/>
        </w:rPr>
        <w:t>Removal of CO</w:t>
      </w:r>
      <w:r>
        <w:rPr>
          <w:position w:val="-6"/>
          <w:sz w:val="11"/>
        </w:rPr>
        <w:t>2</w:t>
      </w:r>
      <w:r>
        <w:rPr>
          <w:sz w:val="20"/>
        </w:rPr>
        <w:t>;</w:t>
      </w:r>
    </w:p>
    <w:p>
      <w:pPr>
        <w:pStyle w:val="ListParagraph"/>
        <w:numPr>
          <w:ilvl w:val="0"/>
          <w:numId w:val="6"/>
        </w:numPr>
        <w:tabs>
          <w:tab w:pos="526" w:val="left" w:leader="none"/>
        </w:tabs>
        <w:spacing w:line="210" w:lineRule="exact" w:before="0" w:after="0"/>
        <w:ind w:left="525" w:right="0" w:hanging="284"/>
        <w:jc w:val="left"/>
        <w:rPr>
          <w:sz w:val="20"/>
        </w:rPr>
      </w:pPr>
      <w:r>
        <w:rPr>
          <w:sz w:val="20"/>
        </w:rPr>
        <w:t>Methanation</w:t>
      </w:r>
      <w:r>
        <w:rPr>
          <w:spacing w:val="23"/>
          <w:sz w:val="20"/>
        </w:rPr>
        <w:t> </w:t>
      </w:r>
      <w:r>
        <w:rPr>
          <w:sz w:val="20"/>
        </w:rPr>
        <w:t>(a</w:t>
      </w:r>
      <w:r>
        <w:rPr>
          <w:spacing w:val="23"/>
          <w:sz w:val="20"/>
        </w:rPr>
        <w:t> </w:t>
      </w:r>
      <w:r>
        <w:rPr>
          <w:sz w:val="20"/>
        </w:rPr>
        <w:t>process</w:t>
      </w:r>
      <w:r>
        <w:rPr>
          <w:spacing w:val="24"/>
          <w:sz w:val="20"/>
        </w:rPr>
        <w:t> </w:t>
      </w:r>
      <w:r>
        <w:rPr>
          <w:sz w:val="20"/>
        </w:rPr>
        <w:t>that</w:t>
      </w:r>
      <w:r>
        <w:rPr>
          <w:spacing w:val="23"/>
          <w:sz w:val="20"/>
        </w:rPr>
        <w:t> </w:t>
      </w:r>
      <w:r>
        <w:rPr>
          <w:sz w:val="20"/>
        </w:rPr>
        <w:t>reacts</w:t>
      </w:r>
      <w:r>
        <w:rPr>
          <w:spacing w:val="24"/>
          <w:sz w:val="20"/>
        </w:rPr>
        <w:t> </w:t>
      </w:r>
      <w:r>
        <w:rPr>
          <w:sz w:val="20"/>
        </w:rPr>
        <w:t>and</w:t>
      </w:r>
      <w:r>
        <w:rPr>
          <w:spacing w:val="23"/>
          <w:sz w:val="20"/>
        </w:rPr>
        <w:t> </w:t>
      </w:r>
      <w:r>
        <w:rPr>
          <w:sz w:val="20"/>
        </w:rPr>
        <w:t>removes</w:t>
      </w:r>
      <w:r>
        <w:rPr>
          <w:spacing w:val="24"/>
          <w:sz w:val="20"/>
        </w:rPr>
        <w:t> </w:t>
      </w:r>
      <w:r>
        <w:rPr>
          <w:sz w:val="20"/>
        </w:rPr>
        <w:t>trace</w:t>
      </w:r>
      <w:r>
        <w:rPr>
          <w:spacing w:val="23"/>
          <w:sz w:val="20"/>
        </w:rPr>
        <w:t> </w:t>
      </w:r>
      <w:r>
        <w:rPr>
          <w:sz w:val="20"/>
        </w:rPr>
        <w:t>CO</w:t>
      </w:r>
    </w:p>
    <w:p>
      <w:pPr>
        <w:pStyle w:val="BodyText"/>
        <w:spacing w:line="260" w:lineRule="exact" w:before="10"/>
        <w:ind w:left="526"/>
      </w:pPr>
      <w:r>
        <w:rPr/>
        <w:t>and CO</w:t>
      </w:r>
      <w:r>
        <w:rPr>
          <w:position w:val="-6"/>
          <w:sz w:val="11"/>
        </w:rPr>
        <w:t>2</w:t>
      </w:r>
      <w:r>
        <w:rPr/>
        <w:t>);</w:t>
      </w:r>
    </w:p>
    <w:p>
      <w:pPr>
        <w:pStyle w:val="ListParagraph"/>
        <w:numPr>
          <w:ilvl w:val="0"/>
          <w:numId w:val="6"/>
        </w:numPr>
        <w:tabs>
          <w:tab w:pos="526" w:val="left" w:leader="none"/>
        </w:tabs>
        <w:spacing w:line="210" w:lineRule="exact" w:before="0" w:after="0"/>
        <w:ind w:left="525" w:right="0" w:hanging="284"/>
        <w:jc w:val="left"/>
        <w:rPr>
          <w:sz w:val="20"/>
        </w:rPr>
      </w:pPr>
      <w:r>
        <w:rPr>
          <w:sz w:val="20"/>
        </w:rPr>
        <w:t>Ammonia</w:t>
      </w:r>
      <w:r>
        <w:rPr>
          <w:spacing w:val="-2"/>
          <w:sz w:val="20"/>
        </w:rPr>
        <w:t> </w:t>
      </w:r>
      <w:r>
        <w:rPr>
          <w:sz w:val="20"/>
        </w:rPr>
        <w:t>synthesis.</w:t>
      </w:r>
    </w:p>
    <w:p>
      <w:pPr>
        <w:pStyle w:val="BodyText"/>
        <w:spacing w:before="5"/>
        <w:rPr>
          <w:sz w:val="22"/>
        </w:rPr>
      </w:pPr>
    </w:p>
    <w:p>
      <w:pPr>
        <w:pStyle w:val="BodyText"/>
        <w:spacing w:line="225" w:lineRule="auto" w:before="1"/>
        <w:ind w:left="242" w:right="734"/>
        <w:jc w:val="both"/>
      </w:pPr>
      <w:r>
        <w:rPr/>
        <w:pict>
          <v:shape style="position:absolute;margin-left:445.673492pt;margin-top:43.92738pt;width:2.9pt;height:5.8pt;mso-position-horizontal-relative:page;mso-position-vertical-relative:paragraph;z-index:251672576"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t>The</w:t>
      </w:r>
      <w:r>
        <w:rPr>
          <w:spacing w:val="-8"/>
        </w:rPr>
        <w:t> </w:t>
      </w:r>
      <w:r>
        <w:rPr/>
        <w:t>removal</w:t>
      </w:r>
      <w:r>
        <w:rPr>
          <w:spacing w:val="-7"/>
        </w:rPr>
        <w:t> </w:t>
      </w:r>
      <w:r>
        <w:rPr/>
        <w:t>of</w:t>
      </w:r>
      <w:r>
        <w:rPr>
          <w:spacing w:val="-7"/>
        </w:rPr>
        <w:t> </w:t>
      </w:r>
      <w:r>
        <w:rPr/>
        <w:t>CO</w:t>
      </w:r>
      <w:r>
        <w:rPr>
          <w:position w:val="-6"/>
          <w:sz w:val="11"/>
        </w:rPr>
        <w:t>2</w:t>
      </w:r>
      <w:r>
        <w:rPr>
          <w:spacing w:val="15"/>
          <w:position w:val="-6"/>
          <w:sz w:val="11"/>
        </w:rPr>
        <w:t> </w:t>
      </w:r>
      <w:r>
        <w:rPr/>
        <w:t>as</w:t>
      </w:r>
      <w:r>
        <w:rPr>
          <w:spacing w:val="-7"/>
        </w:rPr>
        <w:t> </w:t>
      </w:r>
      <w:r>
        <w:rPr/>
        <w:t>a</w:t>
      </w:r>
      <w:r>
        <w:rPr>
          <w:spacing w:val="-7"/>
        </w:rPr>
        <w:t> </w:t>
      </w:r>
      <w:r>
        <w:rPr/>
        <w:t>pure</w:t>
      </w:r>
      <w:r>
        <w:rPr>
          <w:spacing w:val="-7"/>
        </w:rPr>
        <w:t> </w:t>
      </w:r>
      <w:r>
        <w:rPr/>
        <w:t>stream</w:t>
      </w:r>
      <w:r>
        <w:rPr>
          <w:spacing w:val="-7"/>
        </w:rPr>
        <w:t> </w:t>
      </w:r>
      <w:r>
        <w:rPr/>
        <w:t>is</w:t>
      </w:r>
      <w:r>
        <w:rPr>
          <w:spacing w:val="-7"/>
        </w:rPr>
        <w:t> </w:t>
      </w:r>
      <w:r>
        <w:rPr/>
        <w:t>of</w:t>
      </w:r>
      <w:r>
        <w:rPr>
          <w:spacing w:val="-7"/>
        </w:rPr>
        <w:t> </w:t>
      </w:r>
      <w:r>
        <w:rPr/>
        <w:t>interest</w:t>
      </w:r>
      <w:r>
        <w:rPr>
          <w:spacing w:val="-8"/>
        </w:rPr>
        <w:t> </w:t>
      </w:r>
      <w:r>
        <w:rPr/>
        <w:t>to</w:t>
      </w:r>
      <w:r>
        <w:rPr>
          <w:spacing w:val="-7"/>
        </w:rPr>
        <w:t> </w:t>
      </w:r>
      <w:r>
        <w:rPr/>
        <w:t>this</w:t>
      </w:r>
      <w:r>
        <w:rPr>
          <w:spacing w:val="-7"/>
        </w:rPr>
        <w:t> </w:t>
      </w:r>
      <w:r>
        <w:rPr/>
        <w:t>report. A typical modern plant will use the amine solvent process to treat</w:t>
      </w:r>
      <w:r>
        <w:rPr>
          <w:spacing w:val="10"/>
        </w:rPr>
        <w:t> </w:t>
      </w:r>
      <w:r>
        <w:rPr/>
        <w:t>200,000</w:t>
      </w:r>
      <w:r>
        <w:rPr>
          <w:spacing w:val="11"/>
        </w:rPr>
        <w:t> </w:t>
      </w:r>
      <w:r>
        <w:rPr/>
        <w:t>Nm</w:t>
      </w:r>
      <w:r>
        <w:rPr>
          <w:position w:val="7"/>
          <w:sz w:val="11"/>
        </w:rPr>
        <w:t>3</w:t>
      </w:r>
      <w:r>
        <w:rPr>
          <w:spacing w:val="6"/>
          <w:position w:val="7"/>
          <w:sz w:val="11"/>
        </w:rPr>
        <w:t> </w:t>
      </w:r>
      <w:r>
        <w:rPr/>
        <w:t>h</w:t>
      </w:r>
      <w:r>
        <w:rPr>
          <w:position w:val="7"/>
          <w:sz w:val="11"/>
        </w:rPr>
        <w:t>-1</w:t>
      </w:r>
      <w:r>
        <w:rPr>
          <w:spacing w:val="6"/>
          <w:position w:val="7"/>
          <w:sz w:val="11"/>
        </w:rPr>
        <w:t> </w:t>
      </w:r>
      <w:r>
        <w:rPr/>
        <w:t>of</w:t>
      </w:r>
      <w:r>
        <w:rPr>
          <w:spacing w:val="11"/>
        </w:rPr>
        <w:t> </w:t>
      </w:r>
      <w:r>
        <w:rPr/>
        <w:t>gas</w:t>
      </w:r>
      <w:r>
        <w:rPr>
          <w:spacing w:val="10"/>
        </w:rPr>
        <w:t> </w:t>
      </w:r>
      <w:r>
        <w:rPr/>
        <w:t>from</w:t>
      </w:r>
      <w:r>
        <w:rPr>
          <w:spacing w:val="11"/>
        </w:rPr>
        <w:t> </w:t>
      </w:r>
      <w:r>
        <w:rPr/>
        <w:t>the</w:t>
      </w:r>
      <w:r>
        <w:rPr>
          <w:spacing w:val="11"/>
        </w:rPr>
        <w:t> </w:t>
      </w:r>
      <w:r>
        <w:rPr/>
        <w:t>reformer,</w:t>
      </w:r>
      <w:r>
        <w:rPr>
          <w:spacing w:val="11"/>
        </w:rPr>
        <w:t> </w:t>
      </w:r>
      <w:r>
        <w:rPr/>
        <w:t>to</w:t>
      </w:r>
      <w:r>
        <w:rPr>
          <w:spacing w:val="11"/>
        </w:rPr>
        <w:t> </w:t>
      </w:r>
      <w:r>
        <w:rPr/>
        <w:t>produce</w:t>
      </w:r>
      <w:r>
        <w:rPr>
          <w:spacing w:val="11"/>
        </w:rPr>
        <w:t> </w:t>
      </w:r>
      <w:r>
        <w:rPr>
          <w:spacing w:val="-5"/>
        </w:rPr>
        <w:t>72</w:t>
      </w:r>
    </w:p>
    <w:p>
      <w:pPr>
        <w:spacing w:after="0" w:line="225" w:lineRule="auto"/>
        <w:jc w:val="both"/>
        <w:sectPr>
          <w:type w:val="continuous"/>
          <w:pgSz w:w="12240" w:h="15840"/>
          <w:pgMar w:top="480" w:bottom="280" w:left="620" w:right="0"/>
          <w:cols w:num="2" w:equalWidth="0">
            <w:col w:w="5558" w:space="40"/>
            <w:col w:w="6022"/>
          </w:cols>
        </w:sectPr>
      </w:pPr>
    </w:p>
    <w:p>
      <w:pPr>
        <w:pStyle w:val="BodyText"/>
        <w:spacing w:before="7"/>
        <w:ind w:left="797"/>
      </w:pPr>
      <w:r>
        <w:rPr/>
        <w:t>rates should be 90-95% according to the design of the pre-</w:t>
      </w:r>
    </w:p>
    <w:p>
      <w:pPr>
        <w:pStyle w:val="BodyText"/>
        <w:spacing w:before="7"/>
        <w:ind w:left="243"/>
      </w:pPr>
      <w:r>
        <w:rPr/>
        <w:br w:type="column"/>
      </w:r>
      <w:r>
        <w:rPr/>
        <w:t>tonnes h</w:t>
      </w:r>
      <w:r>
        <w:rPr>
          <w:position w:val="7"/>
          <w:sz w:val="11"/>
        </w:rPr>
        <w:t>-1 </w:t>
      </w:r>
      <w:r>
        <w:rPr/>
        <w:t>of concentrated CO</w:t>
      </w:r>
    </w:p>
    <w:p>
      <w:pPr>
        <w:pStyle w:val="BodyText"/>
        <w:spacing w:before="7"/>
        <w:ind w:left="84"/>
      </w:pPr>
      <w:r>
        <w:rPr/>
        <w:br w:type="column"/>
      </w:r>
      <w:r>
        <w:rPr/>
        <w:t>(Apple, 1997). The amount of</w:t>
      </w:r>
    </w:p>
    <w:p>
      <w:pPr>
        <w:spacing w:after="0"/>
        <w:sectPr>
          <w:type w:val="continuous"/>
          <w:pgSz w:w="12240" w:h="15840"/>
          <w:pgMar w:top="480" w:bottom="280" w:left="620" w:right="0"/>
          <w:cols w:num="3" w:equalWidth="0">
            <w:col w:w="5557" w:space="40"/>
            <w:col w:w="2698" w:space="39"/>
            <w:col w:w="3286"/>
          </w:cols>
        </w:sectPr>
      </w:pPr>
    </w:p>
    <w:p>
      <w:pPr>
        <w:pStyle w:val="BodyText"/>
        <w:spacing w:before="10"/>
        <w:ind w:left="797"/>
      </w:pPr>
      <w:r>
        <w:rPr/>
        <w:t>combustion capture technique (see Section 3.5).</w:t>
      </w:r>
    </w:p>
    <w:p>
      <w:pPr>
        <w:pStyle w:val="BodyText"/>
        <w:spacing w:line="274" w:lineRule="exact" w:before="10"/>
        <w:ind w:left="513"/>
      </w:pPr>
      <w:r>
        <w:rPr/>
        <w:t>Other</w:t>
      </w:r>
      <w:r>
        <w:rPr>
          <w:spacing w:val="-22"/>
        </w:rPr>
        <w:t> </w:t>
      </w:r>
      <w:r>
        <w:rPr/>
        <w:t>novel</w:t>
      </w:r>
      <w:r>
        <w:rPr>
          <w:spacing w:val="-22"/>
        </w:rPr>
        <w:t> </w:t>
      </w:r>
      <w:r>
        <w:rPr/>
        <w:t>process</w:t>
      </w:r>
      <w:r>
        <w:rPr>
          <w:spacing w:val="-22"/>
        </w:rPr>
        <w:t> </w:t>
      </w:r>
      <w:r>
        <w:rPr/>
        <w:t>routes</w:t>
      </w:r>
      <w:r>
        <w:rPr>
          <w:spacing w:val="-22"/>
        </w:rPr>
        <w:t> </w:t>
      </w:r>
      <w:r>
        <w:rPr/>
        <w:t>for</w:t>
      </w:r>
      <w:r>
        <w:rPr>
          <w:spacing w:val="-21"/>
        </w:rPr>
        <w:t> </w:t>
      </w:r>
      <w:r>
        <w:rPr/>
        <w:t>steel</w:t>
      </w:r>
      <w:r>
        <w:rPr>
          <w:spacing w:val="-22"/>
        </w:rPr>
        <w:t> </w:t>
      </w:r>
      <w:r>
        <w:rPr/>
        <w:t>making</w:t>
      </w:r>
      <w:r>
        <w:rPr>
          <w:spacing w:val="-22"/>
        </w:rPr>
        <w:t> </w:t>
      </w:r>
      <w:r>
        <w:rPr/>
        <w:t>to</w:t>
      </w:r>
      <w:r>
        <w:rPr>
          <w:spacing w:val="-22"/>
        </w:rPr>
        <w:t> </w:t>
      </w:r>
      <w:r>
        <w:rPr/>
        <w:t>which</w:t>
      </w:r>
      <w:r>
        <w:rPr>
          <w:spacing w:val="-21"/>
        </w:rPr>
        <w:t> </w:t>
      </w:r>
      <w:r>
        <w:rPr/>
        <w:t>CO</w:t>
      </w:r>
      <w:r>
        <w:rPr>
          <w:position w:val="-6"/>
          <w:sz w:val="11"/>
        </w:rPr>
        <w:t>2</w:t>
      </w:r>
      <w:r>
        <w:rPr>
          <w:spacing w:val="-12"/>
          <w:position w:val="-6"/>
          <w:sz w:val="11"/>
        </w:rPr>
        <w:t> </w:t>
      </w:r>
      <w:r>
        <w:rPr/>
        <w:t>capture</w:t>
      </w:r>
    </w:p>
    <w:p>
      <w:pPr>
        <w:pStyle w:val="BodyText"/>
        <w:spacing w:line="206" w:lineRule="auto" w:before="29"/>
        <w:ind w:left="243"/>
      </w:pPr>
      <w:r>
        <w:rPr/>
        <w:br w:type="column"/>
      </w:r>
      <w:r>
        <w:rPr/>
        <w:t>CO</w:t>
      </w:r>
      <w:r>
        <w:rPr>
          <w:position w:val="-6"/>
          <w:sz w:val="11"/>
        </w:rPr>
        <w:t>2 </w:t>
      </w:r>
      <w:r>
        <w:rPr/>
        <w:t>produced in modern plants from natural gas is about 1.27 tCO</w:t>
      </w:r>
      <w:r>
        <w:rPr>
          <w:position w:val="-6"/>
          <w:sz w:val="11"/>
        </w:rPr>
        <w:t>2</w:t>
      </w:r>
      <w:r>
        <w:rPr/>
        <w:t>/tNH</w:t>
      </w:r>
      <w:r>
        <w:rPr>
          <w:position w:val="-6"/>
          <w:sz w:val="11"/>
        </w:rPr>
        <w:t>3</w:t>
      </w:r>
      <w:r>
        <w:rPr/>
        <w:t>. Hence, with a world ammonia production of about</w:t>
      </w:r>
    </w:p>
    <w:p>
      <w:pPr>
        <w:spacing w:after="0" w:line="206" w:lineRule="auto"/>
        <w:sectPr>
          <w:type w:val="continuous"/>
          <w:pgSz w:w="12240" w:h="15840"/>
          <w:pgMar w:top="480" w:bottom="280" w:left="620" w:right="0"/>
          <w:cols w:num="2" w:equalWidth="0">
            <w:col w:w="5558" w:space="40"/>
            <w:col w:w="6022"/>
          </w:cols>
        </w:sectPr>
      </w:pPr>
    </w:p>
    <w:p>
      <w:pPr>
        <w:pStyle w:val="BodyText"/>
        <w:spacing w:line="195" w:lineRule="exact"/>
        <w:ind w:left="513"/>
      </w:pPr>
      <w:r>
        <w:rPr/>
        <w:pict>
          <v:shape style="position:absolute;margin-left:463.974213pt;margin-top:6.523607pt;width:2.9pt;height:5.8pt;mso-position-horizontal-relative:page;mso-position-vertical-relative:paragraph;z-index:-272456704"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t>can be applied are currently in the research and development</w:t>
      </w:r>
    </w:p>
    <w:p>
      <w:pPr>
        <w:pStyle w:val="BodyText"/>
        <w:spacing w:line="195" w:lineRule="exact"/>
        <w:ind w:left="242"/>
      </w:pPr>
      <w:r>
        <w:rPr/>
        <w:br w:type="column"/>
      </w:r>
      <w:r>
        <w:rPr/>
        <w:t>100 Mtonnes yr</w:t>
      </w:r>
      <w:r>
        <w:rPr>
          <w:position w:val="7"/>
          <w:sz w:val="11"/>
        </w:rPr>
        <w:t>-1</w:t>
      </w:r>
      <w:r>
        <w:rPr/>
        <w:t>, about 127 MtCO</w:t>
      </w:r>
    </w:p>
    <w:p>
      <w:pPr>
        <w:pStyle w:val="BodyText"/>
        <w:spacing w:line="195" w:lineRule="exact"/>
        <w:ind w:left="10"/>
      </w:pPr>
      <w:r>
        <w:rPr/>
        <w:br w:type="column"/>
      </w:r>
      <w:r>
        <w:rPr/>
        <w:t>yr</w:t>
      </w:r>
      <w:r>
        <w:rPr>
          <w:position w:val="7"/>
          <w:sz w:val="11"/>
        </w:rPr>
        <w:t>-1 </w:t>
      </w:r>
      <w:r>
        <w:rPr/>
        <w:t>is produced. However,</w:t>
      </w:r>
    </w:p>
    <w:p>
      <w:pPr>
        <w:spacing w:after="0" w:line="195" w:lineRule="exact"/>
        <w:sectPr>
          <w:type w:val="continuous"/>
          <w:pgSz w:w="12240" w:h="15840"/>
          <w:pgMar w:top="480" w:bottom="280" w:left="620" w:right="0"/>
          <w:cols w:num="3" w:equalWidth="0">
            <w:col w:w="5559" w:space="40"/>
            <w:col w:w="3120" w:space="39"/>
            <w:col w:w="2862"/>
          </w:cols>
        </w:sectPr>
      </w:pPr>
    </w:p>
    <w:p>
      <w:pPr>
        <w:pStyle w:val="BodyText"/>
        <w:spacing w:before="10"/>
        <w:ind w:left="513"/>
      </w:pPr>
      <w:r>
        <w:rPr/>
        <w:t>phase (Gielen, 2003; IEA, 2004)</w:t>
      </w:r>
    </w:p>
    <w:p>
      <w:pPr>
        <w:pStyle w:val="BodyText"/>
        <w:spacing w:before="8"/>
        <w:rPr>
          <w:sz w:val="21"/>
        </w:rPr>
      </w:pPr>
    </w:p>
    <w:p>
      <w:pPr>
        <w:pStyle w:val="Heading2"/>
        <w:numPr>
          <w:ilvl w:val="2"/>
          <w:numId w:val="5"/>
        </w:numPr>
        <w:tabs>
          <w:tab w:pos="1333" w:val="left" w:leader="none"/>
          <w:tab w:pos="1334" w:val="left" w:leader="none"/>
        </w:tabs>
        <w:spacing w:line="240" w:lineRule="auto" w:before="0" w:after="0"/>
        <w:ind w:left="1333" w:right="0" w:hanging="821"/>
        <w:jc w:val="left"/>
        <w:rPr>
          <w:i/>
        </w:rPr>
      </w:pPr>
      <w:r>
        <w:rPr>
          <w:i/>
        </w:rPr>
        <w:t>Cement production</w:t>
      </w:r>
    </w:p>
    <w:p>
      <w:pPr>
        <w:pStyle w:val="BodyText"/>
        <w:spacing w:line="249" w:lineRule="auto" w:before="10"/>
        <w:ind w:left="513" w:right="735"/>
        <w:jc w:val="both"/>
      </w:pPr>
      <w:r>
        <w:rPr/>
        <w:br w:type="column"/>
      </w:r>
      <w:r>
        <w:rPr/>
        <w:t>it should be noted that this is not all available for storage, as ammonia plants are frequently combined with urea plants, which are capable of utilizing 70-90% of the CO</w:t>
      </w:r>
      <w:r>
        <w:rPr>
          <w:position w:val="-6"/>
          <w:sz w:val="11"/>
        </w:rPr>
        <w:t>2</w:t>
      </w:r>
      <w:r>
        <w:rPr/>
        <w:t>. About 0.7</w:t>
      </w:r>
    </w:p>
    <w:p>
      <w:pPr>
        <w:spacing w:after="0" w:line="249" w:lineRule="auto"/>
        <w:jc w:val="both"/>
        <w:sectPr>
          <w:type w:val="continuous"/>
          <w:pgSz w:w="12240" w:h="15840"/>
          <w:pgMar w:top="480" w:bottom="280" w:left="620" w:right="0"/>
          <w:cols w:num="2" w:equalWidth="0">
            <w:col w:w="3165" w:space="2162"/>
            <w:col w:w="6293"/>
          </w:cols>
        </w:sectPr>
      </w:pPr>
    </w:p>
    <w:p>
      <w:pPr>
        <w:pStyle w:val="BodyText"/>
        <w:spacing w:line="177" w:lineRule="auto"/>
        <w:jc w:val="right"/>
        <w:rPr>
          <w:sz w:val="11"/>
        </w:rPr>
      </w:pPr>
      <w:r>
        <w:rPr/>
        <w:t>MtCO</w:t>
      </w:r>
      <w:r>
        <w:rPr>
          <w:position w:val="-6"/>
          <w:sz w:val="11"/>
        </w:rPr>
        <w:t>2</w:t>
      </w:r>
    </w:p>
    <w:p>
      <w:pPr>
        <w:pStyle w:val="BodyText"/>
        <w:spacing w:line="182" w:lineRule="exact"/>
        <w:ind w:left="58"/>
      </w:pPr>
      <w:r>
        <w:rPr/>
        <w:br w:type="column"/>
      </w:r>
      <w:r>
        <w:rPr/>
        <w:t>yr</w:t>
      </w:r>
      <w:r>
        <w:rPr>
          <w:position w:val="7"/>
          <w:sz w:val="11"/>
        </w:rPr>
        <w:t>-1</w:t>
      </w:r>
      <w:r>
        <w:rPr/>
        <w:t>captured from ammonia plants is currently used</w:t>
      </w:r>
    </w:p>
    <w:p>
      <w:pPr>
        <w:spacing w:after="0" w:line="182" w:lineRule="exact"/>
        <w:sectPr>
          <w:type w:val="continuous"/>
          <w:pgSz w:w="12240" w:h="15840"/>
          <w:pgMar w:top="480" w:bottom="280" w:left="620" w:right="0"/>
          <w:cols w:num="2" w:equalWidth="0">
            <w:col w:w="6410" w:space="40"/>
            <w:col w:w="5170"/>
          </w:cols>
        </w:sectPr>
      </w:pPr>
    </w:p>
    <w:p>
      <w:pPr>
        <w:pStyle w:val="BodyText"/>
        <w:spacing w:line="206" w:lineRule="auto"/>
        <w:ind w:left="513"/>
        <w:jc w:val="both"/>
      </w:pPr>
      <w:r>
        <w:rPr/>
        <w:t>Emissions of CO</w:t>
      </w:r>
      <w:r>
        <w:rPr>
          <w:position w:val="-6"/>
          <w:sz w:val="11"/>
        </w:rPr>
        <w:t>2 </w:t>
      </w:r>
      <w:r>
        <w:rPr/>
        <w:t>from the cement industry account for 6% </w:t>
      </w:r>
      <w:r>
        <w:rPr>
          <w:spacing w:val="-7"/>
        </w:rPr>
        <w:t>of </w:t>
      </w:r>
      <w:r>
        <w:rPr/>
        <w:t>the total emissions of CO</w:t>
      </w:r>
      <w:r>
        <w:rPr>
          <w:position w:val="-6"/>
          <w:sz w:val="11"/>
        </w:rPr>
        <w:t>2 </w:t>
      </w:r>
      <w:r>
        <w:rPr/>
        <w:t>from stationary sources (see</w:t>
      </w:r>
      <w:r>
        <w:rPr>
          <w:spacing w:val="-26"/>
        </w:rPr>
        <w:t> </w:t>
      </w:r>
      <w:r>
        <w:rPr/>
        <w:t>Chapter 2). Cement production requires large quantities of fuel to</w:t>
      </w:r>
      <w:r>
        <w:rPr>
          <w:spacing w:val="14"/>
        </w:rPr>
        <w:t> </w:t>
      </w:r>
      <w:r>
        <w:rPr/>
        <w:t>drive</w:t>
      </w:r>
    </w:p>
    <w:p>
      <w:pPr>
        <w:pStyle w:val="BodyText"/>
        <w:spacing w:line="249" w:lineRule="auto"/>
        <w:ind w:left="513"/>
        <w:jc w:val="both"/>
      </w:pPr>
      <w:r>
        <w:rPr/>
        <w:t>the high temperature, energy-intensive reactions associated with</w:t>
      </w:r>
      <w:r>
        <w:rPr>
          <w:spacing w:val="-9"/>
        </w:rPr>
        <w:t> </w:t>
      </w:r>
      <w:r>
        <w:rPr/>
        <w:t>the</w:t>
      </w:r>
      <w:r>
        <w:rPr>
          <w:spacing w:val="-8"/>
        </w:rPr>
        <w:t> </w:t>
      </w:r>
      <w:r>
        <w:rPr/>
        <w:t>calcination</w:t>
      </w:r>
      <w:r>
        <w:rPr>
          <w:spacing w:val="-8"/>
        </w:rPr>
        <w:t> </w:t>
      </w:r>
      <w:r>
        <w:rPr/>
        <w:t>of</w:t>
      </w:r>
      <w:r>
        <w:rPr>
          <w:spacing w:val="-9"/>
        </w:rPr>
        <w:t> </w:t>
      </w:r>
      <w:r>
        <w:rPr/>
        <w:t>the</w:t>
      </w:r>
      <w:r>
        <w:rPr>
          <w:spacing w:val="-8"/>
        </w:rPr>
        <w:t> </w:t>
      </w:r>
      <w:r>
        <w:rPr/>
        <w:t>limestone</w:t>
      </w:r>
      <w:r>
        <w:rPr>
          <w:spacing w:val="-8"/>
        </w:rPr>
        <w:t> </w:t>
      </w:r>
      <w:r>
        <w:rPr/>
        <w:t>–</w:t>
      </w:r>
      <w:r>
        <w:rPr>
          <w:spacing w:val="-9"/>
        </w:rPr>
        <w:t> </w:t>
      </w:r>
      <w:r>
        <w:rPr/>
        <w:t>that</w:t>
      </w:r>
      <w:r>
        <w:rPr>
          <w:spacing w:val="-8"/>
        </w:rPr>
        <w:t> </w:t>
      </w:r>
      <w:r>
        <w:rPr/>
        <w:t>is</w:t>
      </w:r>
      <w:r>
        <w:rPr>
          <w:spacing w:val="-8"/>
        </w:rPr>
        <w:t> </w:t>
      </w:r>
      <w:r>
        <w:rPr/>
        <w:t>calcium</w:t>
      </w:r>
      <w:r>
        <w:rPr>
          <w:spacing w:val="-9"/>
        </w:rPr>
        <w:t> </w:t>
      </w:r>
      <w:r>
        <w:rPr/>
        <w:t>carbonate being converted to calcium oxide with the evolution of</w:t>
      </w:r>
      <w:r>
        <w:rPr>
          <w:spacing w:val="-3"/>
        </w:rPr>
        <w:t> </w:t>
      </w:r>
      <w:r>
        <w:rPr/>
        <w:t>CO</w:t>
      </w:r>
      <w:r>
        <w:rPr>
          <w:position w:val="-6"/>
          <w:sz w:val="11"/>
        </w:rPr>
        <w:t>2</w:t>
      </w:r>
      <w:r>
        <w:rPr/>
        <w:t>.</w:t>
      </w:r>
    </w:p>
    <w:p>
      <w:pPr>
        <w:pStyle w:val="BodyText"/>
        <w:spacing w:line="177" w:lineRule="auto"/>
        <w:ind w:left="797"/>
        <w:jc w:val="both"/>
      </w:pPr>
      <w:r>
        <w:rPr/>
        <w:t>At</w:t>
      </w:r>
      <w:r>
        <w:rPr>
          <w:spacing w:val="35"/>
        </w:rPr>
        <w:t> </w:t>
      </w:r>
      <w:r>
        <w:rPr/>
        <w:t>present,</w:t>
      </w:r>
      <w:r>
        <w:rPr>
          <w:spacing w:val="36"/>
        </w:rPr>
        <w:t> </w:t>
      </w:r>
      <w:r>
        <w:rPr/>
        <w:t>CO</w:t>
      </w:r>
      <w:r>
        <w:rPr>
          <w:position w:val="-6"/>
          <w:sz w:val="11"/>
        </w:rPr>
        <w:t>2  </w:t>
      </w:r>
      <w:r>
        <w:rPr>
          <w:spacing w:val="2"/>
          <w:position w:val="-6"/>
          <w:sz w:val="11"/>
        </w:rPr>
        <w:t> </w:t>
      </w:r>
      <w:r>
        <w:rPr/>
        <w:t>is</w:t>
      </w:r>
      <w:r>
        <w:rPr>
          <w:spacing w:val="36"/>
        </w:rPr>
        <w:t> </w:t>
      </w:r>
      <w:r>
        <w:rPr/>
        <w:t>not</w:t>
      </w:r>
      <w:r>
        <w:rPr>
          <w:spacing w:val="35"/>
        </w:rPr>
        <w:t> </w:t>
      </w:r>
      <w:r>
        <w:rPr/>
        <w:t>captured</w:t>
      </w:r>
      <w:r>
        <w:rPr>
          <w:spacing w:val="36"/>
        </w:rPr>
        <w:t> </w:t>
      </w:r>
      <w:r>
        <w:rPr/>
        <w:t>from</w:t>
      </w:r>
      <w:r>
        <w:rPr>
          <w:spacing w:val="35"/>
        </w:rPr>
        <w:t> </w:t>
      </w:r>
      <w:r>
        <w:rPr/>
        <w:t>cement</w:t>
      </w:r>
      <w:r>
        <w:rPr>
          <w:spacing w:val="36"/>
        </w:rPr>
        <w:t> </w:t>
      </w:r>
      <w:r>
        <w:rPr/>
        <w:t>plants,</w:t>
      </w:r>
      <w:r>
        <w:rPr>
          <w:spacing w:val="35"/>
        </w:rPr>
        <w:t> </w:t>
      </w:r>
      <w:r>
        <w:rPr>
          <w:spacing w:val="-5"/>
        </w:rPr>
        <w:t>but</w:t>
      </w:r>
    </w:p>
    <w:p>
      <w:pPr>
        <w:pStyle w:val="BodyText"/>
        <w:spacing w:line="225" w:lineRule="auto"/>
        <w:ind w:left="513" w:right="1"/>
        <w:jc w:val="both"/>
      </w:pPr>
      <w:r>
        <w:rPr/>
        <w:t>possibilities</w:t>
      </w:r>
      <w:r>
        <w:rPr>
          <w:spacing w:val="-10"/>
        </w:rPr>
        <w:t> </w:t>
      </w:r>
      <w:r>
        <w:rPr/>
        <w:t>do</w:t>
      </w:r>
      <w:r>
        <w:rPr>
          <w:spacing w:val="-9"/>
        </w:rPr>
        <w:t> </w:t>
      </w:r>
      <w:r>
        <w:rPr/>
        <w:t>exist.</w:t>
      </w:r>
      <w:r>
        <w:rPr>
          <w:spacing w:val="-12"/>
        </w:rPr>
        <w:t> </w:t>
      </w:r>
      <w:r>
        <w:rPr/>
        <w:t>The</w:t>
      </w:r>
      <w:r>
        <w:rPr>
          <w:spacing w:val="-9"/>
        </w:rPr>
        <w:t> </w:t>
      </w:r>
      <w:r>
        <w:rPr/>
        <w:t>concentration</w:t>
      </w:r>
      <w:r>
        <w:rPr>
          <w:spacing w:val="-9"/>
        </w:rPr>
        <w:t> </w:t>
      </w:r>
      <w:r>
        <w:rPr/>
        <w:t>of</w:t>
      </w:r>
      <w:r>
        <w:rPr>
          <w:spacing w:val="-9"/>
        </w:rPr>
        <w:t> </w:t>
      </w:r>
      <w:r>
        <w:rPr/>
        <w:t>CO</w:t>
      </w:r>
      <w:r>
        <w:rPr>
          <w:position w:val="-6"/>
          <w:sz w:val="11"/>
        </w:rPr>
        <w:t>2</w:t>
      </w:r>
      <w:r>
        <w:rPr>
          <w:spacing w:val="13"/>
          <w:position w:val="-6"/>
          <w:sz w:val="11"/>
        </w:rPr>
        <w:t> </w:t>
      </w:r>
      <w:r>
        <w:rPr/>
        <w:t>in</w:t>
      </w:r>
      <w:r>
        <w:rPr>
          <w:spacing w:val="-9"/>
        </w:rPr>
        <w:t> </w:t>
      </w:r>
      <w:r>
        <w:rPr/>
        <w:t>the</w:t>
      </w:r>
      <w:r>
        <w:rPr>
          <w:spacing w:val="-9"/>
        </w:rPr>
        <w:t> </w:t>
      </w:r>
      <w:r>
        <w:rPr/>
        <w:t>flue</w:t>
      </w:r>
      <w:r>
        <w:rPr>
          <w:spacing w:val="-10"/>
        </w:rPr>
        <w:t> </w:t>
      </w:r>
      <w:r>
        <w:rPr/>
        <w:t>gases is between 15-30% by volume, which is higher than in flue gases from power and heat production (3-15% by volume).</w:t>
      </w:r>
      <w:r>
        <w:rPr>
          <w:spacing w:val="1"/>
        </w:rPr>
        <w:t> </w:t>
      </w:r>
      <w:r>
        <w:rPr>
          <w:spacing w:val="-5"/>
        </w:rPr>
        <w:t>So,</w:t>
      </w:r>
    </w:p>
    <w:p>
      <w:pPr>
        <w:pStyle w:val="BodyText"/>
        <w:spacing w:line="225" w:lineRule="auto"/>
        <w:ind w:left="513" w:right="1"/>
        <w:jc w:val="both"/>
      </w:pPr>
      <w:r>
        <w:rPr/>
        <w:t>in principle, the post-combustion technologies for CO</w:t>
      </w:r>
      <w:r>
        <w:rPr>
          <w:position w:val="-6"/>
          <w:sz w:val="11"/>
        </w:rPr>
        <w:t>2 </w:t>
      </w:r>
      <w:r>
        <w:rPr>
          <w:spacing w:val="-3"/>
        </w:rPr>
        <w:t>capture </w:t>
      </w:r>
      <w:r>
        <w:rPr/>
        <w:t>described in Section 3.3 could be applied to cement</w:t>
      </w:r>
      <w:r>
        <w:rPr>
          <w:spacing w:val="-11"/>
        </w:rPr>
        <w:t> </w:t>
      </w:r>
      <w:r>
        <w:rPr/>
        <w:t>production plants, but would require the additional generation of steam </w:t>
      </w:r>
      <w:r>
        <w:rPr>
          <w:spacing w:val="5"/>
        </w:rPr>
        <w:t> </w:t>
      </w:r>
      <w:r>
        <w:rPr/>
        <w:t>in</w:t>
      </w:r>
    </w:p>
    <w:p>
      <w:pPr>
        <w:pStyle w:val="BodyText"/>
        <w:spacing w:line="201" w:lineRule="exact"/>
        <w:ind w:left="241"/>
        <w:jc w:val="both"/>
      </w:pPr>
      <w:r>
        <w:rPr/>
        <w:br w:type="column"/>
      </w:r>
      <w:r>
        <w:rPr/>
        <w:t>for enhanced oil recovery in the United States (Beecy and</w:t>
      </w:r>
    </w:p>
    <w:p>
      <w:pPr>
        <w:pStyle w:val="BodyText"/>
        <w:spacing w:line="225" w:lineRule="auto" w:before="18"/>
        <w:ind w:left="241" w:right="734"/>
        <w:jc w:val="both"/>
      </w:pPr>
      <w:r>
        <w:rPr/>
        <w:t>Kuuskraa, 2005) with a large fraction of the injected</w:t>
      </w:r>
      <w:r>
        <w:rPr>
          <w:spacing w:val="-20"/>
        </w:rPr>
        <w:t> </w:t>
      </w:r>
      <w:r>
        <w:rPr/>
        <w:t>CO</w:t>
      </w:r>
      <w:r>
        <w:rPr>
          <w:position w:val="-6"/>
          <w:sz w:val="11"/>
        </w:rPr>
        <w:t>2 </w:t>
      </w:r>
      <w:r>
        <w:rPr/>
        <w:t>being retained</w:t>
      </w:r>
      <w:r>
        <w:rPr>
          <w:spacing w:val="-8"/>
        </w:rPr>
        <w:t> </w:t>
      </w:r>
      <w:r>
        <w:rPr/>
        <w:t>underground</w:t>
      </w:r>
      <w:r>
        <w:rPr>
          <w:spacing w:val="-7"/>
        </w:rPr>
        <w:t> </w:t>
      </w:r>
      <w:r>
        <w:rPr/>
        <w:t>(see</w:t>
      </w:r>
      <w:r>
        <w:rPr>
          <w:spacing w:val="-8"/>
        </w:rPr>
        <w:t> </w:t>
      </w:r>
      <w:r>
        <w:rPr/>
        <w:t>Chapter</w:t>
      </w:r>
      <w:r>
        <w:rPr>
          <w:spacing w:val="-7"/>
        </w:rPr>
        <w:t> </w:t>
      </w:r>
      <w:r>
        <w:rPr/>
        <w:t>5)</w:t>
      </w:r>
      <w:r>
        <w:rPr>
          <w:spacing w:val="-8"/>
        </w:rPr>
        <w:t> </w:t>
      </w:r>
      <w:r>
        <w:rPr/>
        <w:t>in</w:t>
      </w:r>
      <w:r>
        <w:rPr>
          <w:spacing w:val="-7"/>
        </w:rPr>
        <w:t> </w:t>
      </w:r>
      <w:r>
        <w:rPr/>
        <w:t>these</w:t>
      </w:r>
      <w:r>
        <w:rPr>
          <w:spacing w:val="-8"/>
        </w:rPr>
        <w:t> </w:t>
      </w:r>
      <w:r>
        <w:rPr/>
        <w:t>commercial</w:t>
      </w:r>
      <w:r>
        <w:rPr>
          <w:spacing w:val="-7"/>
        </w:rPr>
        <w:t> </w:t>
      </w:r>
      <w:r>
        <w:rPr>
          <w:spacing w:val="-4"/>
        </w:rPr>
        <w:t>EOR </w:t>
      </w:r>
      <w:r>
        <w:rPr/>
        <w:t>projects.</w:t>
      </w:r>
    </w:p>
    <w:p>
      <w:pPr>
        <w:pStyle w:val="BodyText"/>
        <w:spacing w:before="11"/>
        <w:rPr>
          <w:sz w:val="21"/>
        </w:rPr>
      </w:pPr>
    </w:p>
    <w:p>
      <w:pPr>
        <w:pStyle w:val="Heading2"/>
        <w:tabs>
          <w:tab w:pos="1061" w:val="left" w:leader="none"/>
        </w:tabs>
        <w:ind w:left="241" w:firstLine="0"/>
        <w:rPr>
          <w:i/>
        </w:rPr>
      </w:pPr>
      <w:r>
        <w:rPr>
          <w:i/>
        </w:rPr>
        <w:t>3.2.6</w:t>
        <w:tab/>
        <w:t>Status and</w:t>
      </w:r>
      <w:r>
        <w:rPr>
          <w:i/>
          <w:spacing w:val="-2"/>
        </w:rPr>
        <w:t> </w:t>
      </w:r>
      <w:r>
        <w:rPr>
          <w:i/>
        </w:rPr>
        <w:t>outlook</w:t>
      </w:r>
    </w:p>
    <w:p>
      <w:pPr>
        <w:pStyle w:val="BodyText"/>
        <w:spacing w:before="3"/>
        <w:rPr>
          <w:b/>
          <w:i/>
          <w:sz w:val="21"/>
        </w:rPr>
      </w:pPr>
    </w:p>
    <w:p>
      <w:pPr>
        <w:pStyle w:val="BodyText"/>
        <w:spacing w:line="240" w:lineRule="exact"/>
        <w:ind w:left="241" w:right="733"/>
        <w:jc w:val="both"/>
      </w:pPr>
      <w:r>
        <w:rPr>
          <w:spacing w:val="-8"/>
        </w:rPr>
        <w:t>We</w:t>
      </w:r>
      <w:r>
        <w:rPr>
          <w:spacing w:val="-19"/>
        </w:rPr>
        <w:t> </w:t>
      </w:r>
      <w:r>
        <w:rPr/>
        <w:t>have</w:t>
      </w:r>
      <w:r>
        <w:rPr>
          <w:spacing w:val="-19"/>
        </w:rPr>
        <w:t> </w:t>
      </w:r>
      <w:r>
        <w:rPr/>
        <w:t>reviewed</w:t>
      </w:r>
      <w:r>
        <w:rPr>
          <w:spacing w:val="-19"/>
        </w:rPr>
        <w:t> </w:t>
      </w:r>
      <w:r>
        <w:rPr/>
        <w:t>processes</w:t>
      </w:r>
      <w:r>
        <w:rPr>
          <w:spacing w:val="-19"/>
        </w:rPr>
        <w:t> </w:t>
      </w:r>
      <w:r>
        <w:rPr/>
        <w:t>–</w:t>
      </w:r>
      <w:r>
        <w:rPr>
          <w:spacing w:val="-19"/>
        </w:rPr>
        <w:t> </w:t>
      </w:r>
      <w:r>
        <w:rPr/>
        <w:t>current</w:t>
      </w:r>
      <w:r>
        <w:rPr>
          <w:spacing w:val="-19"/>
        </w:rPr>
        <w:t> </w:t>
      </w:r>
      <w:r>
        <w:rPr/>
        <w:t>and</w:t>
      </w:r>
      <w:r>
        <w:rPr>
          <w:spacing w:val="-19"/>
        </w:rPr>
        <w:t> </w:t>
      </w:r>
      <w:r>
        <w:rPr/>
        <w:t>potential</w:t>
      </w:r>
      <w:r>
        <w:rPr>
          <w:spacing w:val="-19"/>
        </w:rPr>
        <w:t> </w:t>
      </w:r>
      <w:r>
        <w:rPr/>
        <w:t>-</w:t>
      </w:r>
      <w:r>
        <w:rPr>
          <w:spacing w:val="-19"/>
        </w:rPr>
        <w:t> </w:t>
      </w:r>
      <w:r>
        <w:rPr/>
        <w:t>that</w:t>
      </w:r>
      <w:r>
        <w:rPr>
          <w:spacing w:val="-19"/>
        </w:rPr>
        <w:t> </w:t>
      </w:r>
      <w:r>
        <w:rPr/>
        <w:t>may</w:t>
      </w:r>
      <w:r>
        <w:rPr>
          <w:spacing w:val="-19"/>
        </w:rPr>
        <w:t> </w:t>
      </w:r>
      <w:r>
        <w:rPr/>
        <w:t>be used</w:t>
      </w:r>
      <w:r>
        <w:rPr>
          <w:spacing w:val="-14"/>
        </w:rPr>
        <w:t> </w:t>
      </w:r>
      <w:r>
        <w:rPr/>
        <w:t>to</w:t>
      </w:r>
      <w:r>
        <w:rPr>
          <w:spacing w:val="-13"/>
        </w:rPr>
        <w:t> </w:t>
      </w:r>
      <w:r>
        <w:rPr/>
        <w:t>separate</w:t>
      </w:r>
      <w:r>
        <w:rPr>
          <w:spacing w:val="-15"/>
        </w:rPr>
        <w:t> </w:t>
      </w:r>
      <w:r>
        <w:rPr/>
        <w:t>CO</w:t>
      </w:r>
      <w:r>
        <w:rPr>
          <w:position w:val="-6"/>
          <w:sz w:val="11"/>
        </w:rPr>
        <w:t>2</w:t>
      </w:r>
      <w:r>
        <w:rPr>
          <w:spacing w:val="9"/>
          <w:position w:val="-6"/>
          <w:sz w:val="11"/>
        </w:rPr>
        <w:t> </w:t>
      </w:r>
      <w:r>
        <w:rPr/>
        <w:t>in</w:t>
      </w:r>
      <w:r>
        <w:rPr>
          <w:spacing w:val="-13"/>
        </w:rPr>
        <w:t> </w:t>
      </w:r>
      <w:r>
        <w:rPr/>
        <w:t>the</w:t>
      </w:r>
      <w:r>
        <w:rPr>
          <w:spacing w:val="-14"/>
        </w:rPr>
        <w:t> </w:t>
      </w:r>
      <w:r>
        <w:rPr/>
        <w:t>course</w:t>
      </w:r>
      <w:r>
        <w:rPr>
          <w:spacing w:val="-13"/>
        </w:rPr>
        <w:t> </w:t>
      </w:r>
      <w:r>
        <w:rPr/>
        <w:t>of</w:t>
      </w:r>
      <w:r>
        <w:rPr>
          <w:spacing w:val="-14"/>
        </w:rPr>
        <w:t> </w:t>
      </w:r>
      <w:r>
        <w:rPr/>
        <w:t>producing</w:t>
      </w:r>
      <w:r>
        <w:rPr>
          <w:spacing w:val="-13"/>
        </w:rPr>
        <w:t> </w:t>
      </w:r>
      <w:r>
        <w:rPr/>
        <w:t>another</w:t>
      </w:r>
      <w:r>
        <w:rPr>
          <w:spacing w:val="-14"/>
        </w:rPr>
        <w:t> </w:t>
      </w:r>
      <w:r>
        <w:rPr/>
        <w:t>product. One</w:t>
      </w:r>
      <w:r>
        <w:rPr>
          <w:spacing w:val="-11"/>
        </w:rPr>
        <w:t> </w:t>
      </w:r>
      <w:r>
        <w:rPr/>
        <w:t>of</w:t>
      </w:r>
      <w:r>
        <w:rPr>
          <w:spacing w:val="-9"/>
        </w:rPr>
        <w:t> </w:t>
      </w:r>
      <w:r>
        <w:rPr/>
        <w:t>these</w:t>
      </w:r>
      <w:r>
        <w:rPr>
          <w:spacing w:val="-9"/>
        </w:rPr>
        <w:t> </w:t>
      </w:r>
      <w:r>
        <w:rPr/>
        <w:t>processes,</w:t>
      </w:r>
      <w:r>
        <w:rPr>
          <w:spacing w:val="-10"/>
        </w:rPr>
        <w:t> </w:t>
      </w:r>
      <w:r>
        <w:rPr/>
        <w:t>natural</w:t>
      </w:r>
      <w:r>
        <w:rPr>
          <w:spacing w:val="-10"/>
        </w:rPr>
        <w:t> </w:t>
      </w:r>
      <w:r>
        <w:rPr/>
        <w:t>gas</w:t>
      </w:r>
      <w:r>
        <w:rPr>
          <w:spacing w:val="-9"/>
        </w:rPr>
        <w:t> </w:t>
      </w:r>
      <w:r>
        <w:rPr/>
        <w:t>sweetening,</w:t>
      </w:r>
      <w:r>
        <w:rPr>
          <w:spacing w:val="-10"/>
        </w:rPr>
        <w:t> </w:t>
      </w:r>
      <w:r>
        <w:rPr/>
        <w:t>is</w:t>
      </w:r>
      <w:r>
        <w:rPr>
          <w:spacing w:val="-10"/>
        </w:rPr>
        <w:t> </w:t>
      </w:r>
      <w:r>
        <w:rPr/>
        <w:t>already</w:t>
      </w:r>
      <w:r>
        <w:rPr>
          <w:spacing w:val="-10"/>
        </w:rPr>
        <w:t> </w:t>
      </w:r>
      <w:r>
        <w:rPr/>
        <w:t>being used</w:t>
      </w:r>
      <w:r>
        <w:rPr>
          <w:spacing w:val="-10"/>
        </w:rPr>
        <w:t> </w:t>
      </w:r>
      <w:r>
        <w:rPr/>
        <w:t>in</w:t>
      </w:r>
      <w:r>
        <w:rPr>
          <w:spacing w:val="-9"/>
        </w:rPr>
        <w:t> </w:t>
      </w:r>
      <w:r>
        <w:rPr/>
        <w:t>two</w:t>
      </w:r>
      <w:r>
        <w:rPr>
          <w:spacing w:val="-10"/>
        </w:rPr>
        <w:t> </w:t>
      </w:r>
      <w:r>
        <w:rPr/>
        <w:t>industrial</w:t>
      </w:r>
      <w:r>
        <w:rPr>
          <w:spacing w:val="-9"/>
        </w:rPr>
        <w:t> </w:t>
      </w:r>
      <w:r>
        <w:rPr/>
        <w:t>plants</w:t>
      </w:r>
      <w:r>
        <w:rPr>
          <w:spacing w:val="-10"/>
        </w:rPr>
        <w:t> </w:t>
      </w:r>
      <w:r>
        <w:rPr/>
        <w:t>to</w:t>
      </w:r>
      <w:r>
        <w:rPr>
          <w:spacing w:val="-9"/>
        </w:rPr>
        <w:t> </w:t>
      </w:r>
      <w:r>
        <w:rPr/>
        <w:t>capture</w:t>
      </w:r>
      <w:r>
        <w:rPr>
          <w:spacing w:val="-10"/>
        </w:rPr>
        <w:t> </w:t>
      </w:r>
      <w:r>
        <w:rPr/>
        <w:t>and</w:t>
      </w:r>
      <w:r>
        <w:rPr>
          <w:spacing w:val="-9"/>
        </w:rPr>
        <w:t> </w:t>
      </w:r>
      <w:r>
        <w:rPr/>
        <w:t>store</w:t>
      </w:r>
      <w:r>
        <w:rPr>
          <w:spacing w:val="-10"/>
        </w:rPr>
        <w:t> </w:t>
      </w:r>
      <w:r>
        <w:rPr/>
        <w:t>about</w:t>
      </w:r>
      <w:r>
        <w:rPr>
          <w:spacing w:val="-10"/>
        </w:rPr>
        <w:t> </w:t>
      </w:r>
      <w:r>
        <w:rPr/>
        <w:t>2</w:t>
      </w:r>
      <w:r>
        <w:rPr>
          <w:spacing w:val="-9"/>
        </w:rPr>
        <w:t> </w:t>
      </w:r>
      <w:r>
        <w:rPr/>
        <w:t>MtCO</w:t>
      </w:r>
      <w:r>
        <w:rPr>
          <w:position w:val="-6"/>
          <w:sz w:val="11"/>
        </w:rPr>
        <w:t>2 </w:t>
      </w:r>
      <w:r>
        <w:rPr/>
        <w:t>yr</w:t>
      </w:r>
      <w:r>
        <w:rPr>
          <w:position w:val="7"/>
          <w:sz w:val="11"/>
        </w:rPr>
        <w:t>-1 </w:t>
      </w:r>
      <w:r>
        <w:rPr/>
        <w:t>for the purpose of climate change mitigation. In the case of ammonia</w:t>
      </w:r>
      <w:r>
        <w:rPr>
          <w:spacing w:val="-13"/>
        </w:rPr>
        <w:t> </w:t>
      </w:r>
      <w:r>
        <w:rPr/>
        <w:t>production,</w:t>
      </w:r>
      <w:r>
        <w:rPr>
          <w:spacing w:val="-12"/>
        </w:rPr>
        <w:t> </w:t>
      </w:r>
      <w:r>
        <w:rPr/>
        <w:t>pure</w:t>
      </w:r>
      <w:r>
        <w:rPr>
          <w:spacing w:val="-11"/>
        </w:rPr>
        <w:t> </w:t>
      </w:r>
      <w:r>
        <w:rPr/>
        <w:t>CO</w:t>
      </w:r>
      <w:r>
        <w:rPr>
          <w:position w:val="-6"/>
          <w:sz w:val="11"/>
        </w:rPr>
        <w:t>2</w:t>
      </w:r>
      <w:r>
        <w:rPr>
          <w:spacing w:val="10"/>
          <w:position w:val="-6"/>
          <w:sz w:val="11"/>
        </w:rPr>
        <w:t> </w:t>
      </w:r>
      <w:r>
        <w:rPr/>
        <w:t>is</w:t>
      </w:r>
      <w:r>
        <w:rPr>
          <w:spacing w:val="-11"/>
        </w:rPr>
        <w:t> </w:t>
      </w:r>
      <w:r>
        <w:rPr/>
        <w:t>already</w:t>
      </w:r>
      <w:r>
        <w:rPr>
          <w:spacing w:val="-12"/>
        </w:rPr>
        <w:t> </w:t>
      </w:r>
      <w:r>
        <w:rPr/>
        <w:t>being</w:t>
      </w:r>
      <w:r>
        <w:rPr>
          <w:spacing w:val="-12"/>
        </w:rPr>
        <w:t> </w:t>
      </w:r>
      <w:r>
        <w:rPr/>
        <w:t>separated.</w:t>
      </w:r>
      <w:r>
        <w:rPr>
          <w:spacing w:val="-13"/>
        </w:rPr>
        <w:t> </w:t>
      </w:r>
      <w:r>
        <w:rPr/>
        <w:t>Over</w:t>
      </w:r>
    </w:p>
    <w:p>
      <w:pPr>
        <w:spacing w:after="0" w:line="240" w:lineRule="exact"/>
        <w:jc w:val="both"/>
        <w:sectPr>
          <w:type w:val="continuous"/>
          <w:pgSz w:w="12240" w:h="15840"/>
          <w:pgMar w:top="480" w:bottom="280" w:left="620" w:right="0"/>
          <w:cols w:num="2" w:equalWidth="0">
            <w:col w:w="5559" w:space="40"/>
            <w:col w:w="6021"/>
          </w:cols>
        </w:sectPr>
      </w:pPr>
    </w:p>
    <w:p>
      <w:pPr>
        <w:pStyle w:val="BodyText"/>
        <w:spacing w:line="277" w:lineRule="exact" w:before="6"/>
        <w:ind w:left="513"/>
      </w:pPr>
      <w:r>
        <w:rPr/>
        <w:t>a cement plant to regenerate the solvent used to capture CO</w:t>
      </w:r>
      <w:r>
        <w:rPr>
          <w:position w:val="-6"/>
          <w:sz w:val="11"/>
        </w:rPr>
        <w:t>2</w:t>
      </w:r>
      <w:r>
        <w:rPr/>
        <w:t>.</w:t>
      </w:r>
    </w:p>
    <w:p>
      <w:pPr>
        <w:spacing w:line="277" w:lineRule="exact" w:before="6"/>
        <w:ind w:left="243" w:right="0" w:firstLine="0"/>
        <w:jc w:val="left"/>
        <w:rPr>
          <w:sz w:val="11"/>
        </w:rPr>
      </w:pPr>
      <w:r>
        <w:rPr/>
        <w:br w:type="column"/>
      </w:r>
      <w:r>
        <w:rPr>
          <w:sz w:val="20"/>
        </w:rPr>
        <w:t>7 MtCO</w:t>
      </w:r>
      <w:r>
        <w:rPr>
          <w:position w:val="-6"/>
          <w:sz w:val="11"/>
        </w:rPr>
        <w:t>2</w:t>
      </w:r>
    </w:p>
    <w:p>
      <w:pPr>
        <w:pStyle w:val="BodyText"/>
        <w:spacing w:before="6"/>
        <w:ind w:left="34"/>
      </w:pPr>
      <w:r>
        <w:rPr/>
        <w:br w:type="column"/>
      </w:r>
      <w:r>
        <w:rPr/>
        <w:t>yr</w:t>
      </w:r>
      <w:r>
        <w:rPr>
          <w:position w:val="7"/>
          <w:sz w:val="11"/>
        </w:rPr>
        <w:t>-1 </w:t>
      </w:r>
      <w:r>
        <w:rPr/>
        <w:t>captured from both natural gas sweetening and</w:t>
      </w:r>
    </w:p>
    <w:p>
      <w:pPr>
        <w:spacing w:after="0"/>
        <w:sectPr>
          <w:type w:val="continuous"/>
          <w:pgSz w:w="12240" w:h="15840"/>
          <w:pgMar w:top="480" w:bottom="280" w:left="620" w:right="0"/>
          <w:cols w:num="3" w:equalWidth="0">
            <w:col w:w="5557" w:space="40"/>
            <w:col w:w="988" w:space="39"/>
            <w:col w:w="4996"/>
          </w:cols>
        </w:sectPr>
      </w:pPr>
    </w:p>
    <w:p>
      <w:pPr>
        <w:pStyle w:val="BodyText"/>
        <w:spacing w:line="193" w:lineRule="exact"/>
        <w:ind w:left="513"/>
        <w:jc w:val="both"/>
      </w:pPr>
      <w:r>
        <w:rPr/>
        <w:t>Oxy-fuel combustion capture systems may also become a</w:t>
      </w:r>
    </w:p>
    <w:p>
      <w:pPr>
        <w:pStyle w:val="BodyText"/>
        <w:spacing w:line="240" w:lineRule="exact" w:before="4"/>
        <w:ind w:left="513"/>
        <w:jc w:val="both"/>
      </w:pPr>
      <w:r>
        <w:rPr/>
        <w:t>promising</w:t>
      </w:r>
      <w:r>
        <w:rPr>
          <w:spacing w:val="-11"/>
        </w:rPr>
        <w:t> </w:t>
      </w:r>
      <w:r>
        <w:rPr/>
        <w:t>technique</w:t>
      </w:r>
      <w:r>
        <w:rPr>
          <w:spacing w:val="-10"/>
        </w:rPr>
        <w:t> </w:t>
      </w:r>
      <w:r>
        <w:rPr/>
        <w:t>to</w:t>
      </w:r>
      <w:r>
        <w:rPr>
          <w:spacing w:val="-10"/>
        </w:rPr>
        <w:t> </w:t>
      </w:r>
      <w:r>
        <w:rPr/>
        <w:t>recover</w:t>
      </w:r>
      <w:r>
        <w:rPr>
          <w:spacing w:val="-10"/>
        </w:rPr>
        <w:t> </w:t>
      </w:r>
      <w:r>
        <w:rPr/>
        <w:t>CO</w:t>
      </w:r>
      <w:r>
        <w:rPr>
          <w:position w:val="-6"/>
          <w:sz w:val="11"/>
        </w:rPr>
        <w:t>2</w:t>
      </w:r>
      <w:r>
        <w:rPr>
          <w:spacing w:val="12"/>
          <w:position w:val="-6"/>
          <w:sz w:val="11"/>
        </w:rPr>
        <w:t> </w:t>
      </w:r>
      <w:r>
        <w:rPr/>
        <w:t>(IEA</w:t>
      </w:r>
      <w:r>
        <w:rPr>
          <w:spacing w:val="-20"/>
        </w:rPr>
        <w:t> </w:t>
      </w:r>
      <w:r>
        <w:rPr/>
        <w:t>GHG,</w:t>
      </w:r>
      <w:r>
        <w:rPr>
          <w:spacing w:val="-10"/>
        </w:rPr>
        <w:t> </w:t>
      </w:r>
      <w:r>
        <w:rPr/>
        <w:t>1999).</w:t>
      </w:r>
      <w:r>
        <w:rPr>
          <w:spacing w:val="-21"/>
        </w:rPr>
        <w:t> </w:t>
      </w:r>
      <w:r>
        <w:rPr/>
        <w:t>Another emerging option would be the use of calcium sorbents for CO</w:t>
      </w:r>
      <w:r>
        <w:rPr>
          <w:position w:val="-6"/>
          <w:sz w:val="11"/>
        </w:rPr>
        <w:t>2 </w:t>
      </w:r>
      <w:r>
        <w:rPr/>
        <w:t>capture (see Sections 3.3.3.4 and 3.5.3.5) as calcium carbonate (limestone) is a raw material already used in cement plants.</w:t>
      </w:r>
      <w:r>
        <w:rPr>
          <w:spacing w:val="-20"/>
        </w:rPr>
        <w:t> </w:t>
      </w:r>
      <w:r>
        <w:rPr>
          <w:spacing w:val="-5"/>
        </w:rPr>
        <w:t>All </w:t>
      </w:r>
      <w:r>
        <w:rPr/>
        <w:t>of these capture techniques could be applied to retrofit, or </w:t>
      </w:r>
      <w:r>
        <w:rPr>
          <w:spacing w:val="-5"/>
        </w:rPr>
        <w:t>new </w:t>
      </w:r>
      <w:r>
        <w:rPr/>
        <w:t>plant applications.</w:t>
      </w:r>
    </w:p>
    <w:p>
      <w:pPr>
        <w:pStyle w:val="BodyText"/>
        <w:spacing w:before="4"/>
        <w:rPr>
          <w:sz w:val="21"/>
        </w:rPr>
      </w:pPr>
    </w:p>
    <w:p>
      <w:pPr>
        <w:pStyle w:val="Heading2"/>
        <w:tabs>
          <w:tab w:pos="1333" w:val="left" w:leader="none"/>
        </w:tabs>
        <w:ind w:left="513" w:firstLine="0"/>
        <w:rPr>
          <w:i/>
        </w:rPr>
      </w:pPr>
      <w:r>
        <w:rPr>
          <w:i/>
        </w:rPr>
        <w:t>3.2.5</w:t>
        <w:tab/>
        <w:t>Ammonia production</w:t>
      </w:r>
    </w:p>
    <w:p>
      <w:pPr>
        <w:pStyle w:val="BodyText"/>
        <w:spacing w:before="5"/>
        <w:rPr>
          <w:b/>
          <w:i/>
          <w:sz w:val="23"/>
        </w:rPr>
      </w:pPr>
    </w:p>
    <w:p>
      <w:pPr>
        <w:pStyle w:val="BodyText"/>
        <w:spacing w:line="206" w:lineRule="auto"/>
        <w:ind w:left="513" w:right="-9"/>
      </w:pPr>
      <w:r>
        <w:rPr/>
        <w:t>CO</w:t>
      </w:r>
      <w:r>
        <w:rPr>
          <w:position w:val="-6"/>
          <w:sz w:val="11"/>
        </w:rPr>
        <w:t>2 </w:t>
      </w:r>
      <w:r>
        <w:rPr/>
        <w:t>is a byproduct of ammonia (NH</w:t>
      </w:r>
      <w:r>
        <w:rPr>
          <w:position w:val="-6"/>
          <w:sz w:val="11"/>
        </w:rPr>
        <w:t>3</w:t>
      </w:r>
      <w:r>
        <w:rPr/>
        <w:t>) production (Leites </w:t>
      </w:r>
      <w:r>
        <w:rPr>
          <w:i/>
        </w:rPr>
        <w:t>et </w:t>
      </w:r>
      <w:r>
        <w:rPr>
          <w:i/>
          <w:spacing w:val="-5"/>
        </w:rPr>
        <w:t>al.</w:t>
      </w:r>
      <w:r>
        <w:rPr>
          <w:spacing w:val="-5"/>
        </w:rPr>
        <w:t>, </w:t>
      </w:r>
      <w:r>
        <w:rPr/>
        <w:t>2003); </w:t>
      </w:r>
      <w:r>
        <w:rPr>
          <w:spacing w:val="-5"/>
        </w:rPr>
        <w:t>Two </w:t>
      </w:r>
      <w:r>
        <w:rPr/>
        <w:t>main groups of processes are used:</w:t>
      </w:r>
    </w:p>
    <w:p>
      <w:pPr>
        <w:pStyle w:val="ListParagraph"/>
        <w:numPr>
          <w:ilvl w:val="0"/>
          <w:numId w:val="7"/>
        </w:numPr>
        <w:tabs>
          <w:tab w:pos="797" w:val="left" w:leader="none"/>
          <w:tab w:pos="798" w:val="left" w:leader="none"/>
        </w:tabs>
        <w:spacing w:line="240" w:lineRule="auto" w:before="15" w:after="0"/>
        <w:ind w:left="797" w:right="0" w:hanging="285"/>
        <w:jc w:val="left"/>
        <w:rPr>
          <w:sz w:val="20"/>
        </w:rPr>
      </w:pPr>
      <w:r>
        <w:rPr>
          <w:sz w:val="20"/>
        </w:rPr>
        <w:t>Steam</w:t>
      </w:r>
      <w:r>
        <w:rPr>
          <w:spacing w:val="-26"/>
          <w:sz w:val="20"/>
        </w:rPr>
        <w:t> </w:t>
      </w:r>
      <w:r>
        <w:rPr>
          <w:sz w:val="20"/>
        </w:rPr>
        <w:t>reforming</w:t>
      </w:r>
      <w:r>
        <w:rPr>
          <w:spacing w:val="-25"/>
          <w:sz w:val="20"/>
        </w:rPr>
        <w:t> </w:t>
      </w:r>
      <w:r>
        <w:rPr>
          <w:sz w:val="20"/>
        </w:rPr>
        <w:t>of</w:t>
      </w:r>
      <w:r>
        <w:rPr>
          <w:spacing w:val="-26"/>
          <w:sz w:val="20"/>
        </w:rPr>
        <w:t> </w:t>
      </w:r>
      <w:r>
        <w:rPr>
          <w:sz w:val="20"/>
        </w:rPr>
        <w:t>light</w:t>
      </w:r>
      <w:r>
        <w:rPr>
          <w:spacing w:val="-25"/>
          <w:sz w:val="20"/>
        </w:rPr>
        <w:t> </w:t>
      </w:r>
      <w:r>
        <w:rPr>
          <w:sz w:val="20"/>
        </w:rPr>
        <w:t>hydrocarbons</w:t>
      </w:r>
      <w:r>
        <w:rPr>
          <w:spacing w:val="-25"/>
          <w:sz w:val="20"/>
        </w:rPr>
        <w:t> </w:t>
      </w:r>
      <w:r>
        <w:rPr>
          <w:sz w:val="20"/>
        </w:rPr>
        <w:t>(natural</w:t>
      </w:r>
      <w:r>
        <w:rPr>
          <w:spacing w:val="-26"/>
          <w:sz w:val="20"/>
        </w:rPr>
        <w:t> </w:t>
      </w:r>
      <w:r>
        <w:rPr>
          <w:sz w:val="20"/>
        </w:rPr>
        <w:t>gas,</w:t>
      </w:r>
      <w:r>
        <w:rPr>
          <w:spacing w:val="-25"/>
          <w:sz w:val="20"/>
        </w:rPr>
        <w:t> </w:t>
      </w:r>
      <w:r>
        <w:rPr>
          <w:sz w:val="20"/>
        </w:rPr>
        <w:t>liquefied</w:t>
      </w:r>
    </w:p>
    <w:p>
      <w:pPr>
        <w:pStyle w:val="BodyText"/>
        <w:spacing w:before="10"/>
        <w:ind w:left="797"/>
      </w:pPr>
      <w:r>
        <w:rPr/>
        <w:t>petroleum gas, naphtha)</w:t>
      </w:r>
    </w:p>
    <w:p>
      <w:pPr>
        <w:pStyle w:val="ListParagraph"/>
        <w:numPr>
          <w:ilvl w:val="0"/>
          <w:numId w:val="7"/>
        </w:numPr>
        <w:tabs>
          <w:tab w:pos="797" w:val="left" w:leader="none"/>
          <w:tab w:pos="798" w:val="left" w:leader="none"/>
        </w:tabs>
        <w:spacing w:line="240" w:lineRule="auto" w:before="10" w:after="0"/>
        <w:ind w:left="797" w:right="0" w:hanging="285"/>
        <w:jc w:val="left"/>
        <w:rPr>
          <w:sz w:val="20"/>
        </w:rPr>
      </w:pPr>
      <w:r>
        <w:rPr>
          <w:sz w:val="20"/>
        </w:rPr>
        <w:t>Partial oxidation or gasification of heavy</w:t>
      </w:r>
      <w:r>
        <w:rPr>
          <w:spacing w:val="4"/>
          <w:sz w:val="20"/>
        </w:rPr>
        <w:t> </w:t>
      </w:r>
      <w:r>
        <w:rPr>
          <w:spacing w:val="-2"/>
          <w:sz w:val="20"/>
        </w:rPr>
        <w:t>hydrocarbons</w:t>
      </w:r>
    </w:p>
    <w:p>
      <w:pPr>
        <w:pStyle w:val="BodyText"/>
        <w:spacing w:before="10"/>
        <w:ind w:left="797"/>
      </w:pPr>
      <w:r>
        <w:rPr/>
        <w:t>(coal, heavy fuel oil, vacuum residue).</w:t>
      </w:r>
    </w:p>
    <w:p>
      <w:pPr>
        <w:pStyle w:val="BodyText"/>
        <w:spacing w:line="193" w:lineRule="exact"/>
        <w:ind w:left="242"/>
        <w:jc w:val="both"/>
      </w:pPr>
      <w:r>
        <w:rPr/>
        <w:br w:type="column"/>
      </w:r>
      <w:r>
        <w:rPr/>
        <w:t>ammonia plants is currently being used in enhanced oil recovery</w:t>
      </w:r>
    </w:p>
    <w:p>
      <w:pPr>
        <w:pStyle w:val="BodyText"/>
        <w:spacing w:line="240" w:lineRule="exact" w:before="4"/>
        <w:ind w:left="242" w:right="733"/>
        <w:jc w:val="both"/>
      </w:pPr>
      <w:r>
        <w:rPr/>
        <w:t>with some storage (see also Chapter 5) of the injected CO</w:t>
      </w:r>
      <w:r>
        <w:rPr>
          <w:position w:val="-6"/>
          <w:sz w:val="11"/>
        </w:rPr>
        <w:t>2 </w:t>
      </w:r>
      <w:r>
        <w:rPr/>
        <w:t>in these</w:t>
      </w:r>
      <w:r>
        <w:rPr>
          <w:spacing w:val="-8"/>
        </w:rPr>
        <w:t> </w:t>
      </w:r>
      <w:r>
        <w:rPr/>
        <w:t>commercial</w:t>
      </w:r>
      <w:r>
        <w:rPr>
          <w:spacing w:val="-8"/>
        </w:rPr>
        <w:t> </w:t>
      </w:r>
      <w:r>
        <w:rPr/>
        <w:t>EOR</w:t>
      </w:r>
      <w:r>
        <w:rPr>
          <w:spacing w:val="-8"/>
        </w:rPr>
        <w:t> </w:t>
      </w:r>
      <w:r>
        <w:rPr/>
        <w:t>projects.</w:t>
      </w:r>
      <w:r>
        <w:rPr>
          <w:spacing w:val="-9"/>
        </w:rPr>
        <w:t> </w:t>
      </w:r>
      <w:r>
        <w:rPr/>
        <w:t>Several</w:t>
      </w:r>
      <w:r>
        <w:rPr>
          <w:spacing w:val="-8"/>
        </w:rPr>
        <w:t> </w:t>
      </w:r>
      <w:r>
        <w:rPr/>
        <w:t>potential</w:t>
      </w:r>
      <w:r>
        <w:rPr>
          <w:spacing w:val="-7"/>
        </w:rPr>
        <w:t> </w:t>
      </w:r>
      <w:r>
        <w:rPr/>
        <w:t>processes</w:t>
      </w:r>
      <w:r>
        <w:rPr>
          <w:spacing w:val="-8"/>
        </w:rPr>
        <w:t> </w:t>
      </w:r>
      <w:r>
        <w:rPr/>
        <w:t>for CO</w:t>
      </w:r>
      <w:r>
        <w:rPr>
          <w:position w:val="-6"/>
          <w:sz w:val="11"/>
        </w:rPr>
        <w:t>2</w:t>
      </w:r>
      <w:r>
        <w:rPr>
          <w:spacing w:val="13"/>
          <w:position w:val="-6"/>
          <w:sz w:val="11"/>
        </w:rPr>
        <w:t> </w:t>
      </w:r>
      <w:r>
        <w:rPr/>
        <w:t>capture</w:t>
      </w:r>
      <w:r>
        <w:rPr>
          <w:spacing w:val="-9"/>
        </w:rPr>
        <w:t> </w:t>
      </w:r>
      <w:r>
        <w:rPr/>
        <w:t>in</w:t>
      </w:r>
      <w:r>
        <w:rPr>
          <w:spacing w:val="-9"/>
        </w:rPr>
        <w:t> </w:t>
      </w:r>
      <w:r>
        <w:rPr/>
        <w:t>steel</w:t>
      </w:r>
      <w:r>
        <w:rPr>
          <w:spacing w:val="-9"/>
        </w:rPr>
        <w:t> </w:t>
      </w:r>
      <w:r>
        <w:rPr/>
        <w:t>and</w:t>
      </w:r>
      <w:r>
        <w:rPr>
          <w:spacing w:val="-9"/>
        </w:rPr>
        <w:t> </w:t>
      </w:r>
      <w:r>
        <w:rPr/>
        <w:t>cement</w:t>
      </w:r>
      <w:r>
        <w:rPr>
          <w:spacing w:val="-10"/>
        </w:rPr>
        <w:t> </w:t>
      </w:r>
      <w:r>
        <w:rPr/>
        <w:t>production</w:t>
      </w:r>
      <w:r>
        <w:rPr>
          <w:spacing w:val="-9"/>
        </w:rPr>
        <w:t> </w:t>
      </w:r>
      <w:r>
        <w:rPr/>
        <w:t>exist,</w:t>
      </w:r>
      <w:r>
        <w:rPr>
          <w:spacing w:val="-9"/>
        </w:rPr>
        <w:t> </w:t>
      </w:r>
      <w:r>
        <w:rPr/>
        <w:t>but</w:t>
      </w:r>
      <w:r>
        <w:rPr>
          <w:spacing w:val="-9"/>
        </w:rPr>
        <w:t> </w:t>
      </w:r>
      <w:r>
        <w:rPr/>
        <w:t>none</w:t>
      </w:r>
      <w:r>
        <w:rPr>
          <w:spacing w:val="-9"/>
        </w:rPr>
        <w:t> </w:t>
      </w:r>
      <w:r>
        <w:rPr/>
        <w:t>have yet been applied. Although the total amount of CO</w:t>
      </w:r>
      <w:r>
        <w:rPr>
          <w:position w:val="-6"/>
          <w:sz w:val="11"/>
        </w:rPr>
        <w:t>2 </w:t>
      </w:r>
      <w:r>
        <w:rPr/>
        <w:t>that may be captured from these industrial processes is insignificant in terms of the scale of the climate change challenge,</w:t>
      </w:r>
      <w:r>
        <w:rPr>
          <w:spacing w:val="-28"/>
        </w:rPr>
        <w:t> </w:t>
      </w:r>
      <w:r>
        <w:rPr/>
        <w:t>significance may arise in that their use could serve as early examples of solutions that can be applied on larger scale</w:t>
      </w:r>
      <w:r>
        <w:rPr>
          <w:spacing w:val="-8"/>
        </w:rPr>
        <w:t> </w:t>
      </w:r>
      <w:r>
        <w:rPr/>
        <w:t>elsewhere.</w:t>
      </w:r>
    </w:p>
    <w:p>
      <w:pPr>
        <w:pStyle w:val="BodyText"/>
        <w:spacing w:before="4"/>
        <w:rPr>
          <w:sz w:val="21"/>
        </w:rPr>
      </w:pPr>
    </w:p>
    <w:p>
      <w:pPr>
        <w:pStyle w:val="Heading1"/>
        <w:numPr>
          <w:ilvl w:val="1"/>
          <w:numId w:val="5"/>
        </w:numPr>
        <w:tabs>
          <w:tab w:pos="1062" w:val="left" w:leader="none"/>
          <w:tab w:pos="1063" w:val="left" w:leader="none"/>
        </w:tabs>
        <w:spacing w:line="240" w:lineRule="auto" w:before="0" w:after="0"/>
        <w:ind w:left="1062" w:right="0" w:hanging="821"/>
        <w:jc w:val="left"/>
      </w:pPr>
      <w:r>
        <w:rPr/>
        <w:t>Post-combustion capture</w:t>
      </w:r>
      <w:r>
        <w:rPr>
          <w:spacing w:val="-1"/>
        </w:rPr>
        <w:t> </w:t>
      </w:r>
      <w:r>
        <w:rPr/>
        <w:t>systems</w:t>
      </w:r>
    </w:p>
    <w:p>
      <w:pPr>
        <w:pStyle w:val="BodyText"/>
        <w:spacing w:before="9"/>
        <w:rPr>
          <w:b/>
          <w:sz w:val="21"/>
        </w:rPr>
      </w:pPr>
    </w:p>
    <w:p>
      <w:pPr>
        <w:pStyle w:val="Heading2"/>
        <w:numPr>
          <w:ilvl w:val="2"/>
          <w:numId w:val="5"/>
        </w:numPr>
        <w:tabs>
          <w:tab w:pos="1062" w:val="left" w:leader="none"/>
          <w:tab w:pos="1063" w:val="left" w:leader="none"/>
        </w:tabs>
        <w:spacing w:line="240" w:lineRule="auto" w:before="0" w:after="0"/>
        <w:ind w:left="1062" w:right="0" w:hanging="821"/>
        <w:jc w:val="left"/>
        <w:rPr>
          <w:i/>
        </w:rPr>
      </w:pPr>
      <w:r>
        <w:rPr>
          <w:i/>
        </w:rPr>
        <w:t>Introduction</w:t>
      </w:r>
    </w:p>
    <w:p>
      <w:pPr>
        <w:pStyle w:val="BodyText"/>
        <w:spacing w:before="4"/>
        <w:rPr>
          <w:b/>
          <w:i/>
          <w:sz w:val="23"/>
        </w:rPr>
      </w:pPr>
    </w:p>
    <w:p>
      <w:pPr>
        <w:pStyle w:val="BodyText"/>
        <w:spacing w:line="206" w:lineRule="auto"/>
        <w:ind w:left="242" w:right="734"/>
        <w:jc w:val="both"/>
      </w:pPr>
      <w:r>
        <w:rPr/>
        <w:t>Current anthropogenic CO</w:t>
      </w:r>
      <w:r>
        <w:rPr>
          <w:position w:val="-6"/>
          <w:sz w:val="11"/>
        </w:rPr>
        <w:t>2 </w:t>
      </w:r>
      <w:r>
        <w:rPr/>
        <w:t>emissions from stationary sources come mostly from combustion systems such as power plants,</w:t>
      </w:r>
    </w:p>
    <w:p>
      <w:pPr>
        <w:spacing w:after="0" w:line="206" w:lineRule="auto"/>
        <w:jc w:val="both"/>
        <w:sectPr>
          <w:type w:val="continuous"/>
          <w:pgSz w:w="12240" w:h="15840"/>
          <w:pgMar w:top="480" w:bottom="280" w:left="620" w:right="0"/>
          <w:cols w:num="2" w:equalWidth="0">
            <w:col w:w="5558" w:space="40"/>
            <w:col w:w="6022"/>
          </w:cols>
        </w:sectPr>
      </w:pPr>
    </w:p>
    <w:p>
      <w:pPr>
        <w:pStyle w:val="BodyText"/>
      </w:pPr>
    </w:p>
    <w:p>
      <w:pPr>
        <w:pStyle w:val="BodyText"/>
        <w:spacing w:before="9"/>
        <w:rPr>
          <w:sz w:val="16"/>
        </w:rPr>
      </w:pPr>
    </w:p>
    <w:p>
      <w:pPr>
        <w:spacing w:after="0"/>
        <w:rPr>
          <w:sz w:val="16"/>
        </w:rPr>
        <w:sectPr>
          <w:pgSz w:w="12240" w:h="15840"/>
          <w:pgMar w:header="567" w:footer="0" w:top="760" w:bottom="280" w:left="620" w:right="0"/>
        </w:sectPr>
      </w:pPr>
    </w:p>
    <w:p>
      <w:pPr>
        <w:pStyle w:val="BodyText"/>
        <w:spacing w:line="240" w:lineRule="exact" w:before="58"/>
        <w:ind w:left="116" w:right="38"/>
        <w:jc w:val="both"/>
      </w:pPr>
      <w:bookmarkStart w:name="3.3.2 Existing technologies" w:id="24"/>
      <w:bookmarkEnd w:id="24"/>
      <w:r>
        <w:rPr/>
      </w:r>
      <w:r>
        <w:rPr/>
        <w:t>cement</w:t>
      </w:r>
      <w:r>
        <w:rPr>
          <w:spacing w:val="-20"/>
        </w:rPr>
        <w:t> </w:t>
      </w:r>
      <w:r>
        <w:rPr/>
        <w:t>kilns,</w:t>
      </w:r>
      <w:r>
        <w:rPr>
          <w:spacing w:val="-19"/>
        </w:rPr>
        <w:t> </w:t>
      </w:r>
      <w:r>
        <w:rPr/>
        <w:t>furnaces</w:t>
      </w:r>
      <w:r>
        <w:rPr>
          <w:spacing w:val="-20"/>
        </w:rPr>
        <w:t> </w:t>
      </w:r>
      <w:r>
        <w:rPr/>
        <w:t>in</w:t>
      </w:r>
      <w:r>
        <w:rPr>
          <w:spacing w:val="-19"/>
        </w:rPr>
        <w:t> </w:t>
      </w:r>
      <w:r>
        <w:rPr/>
        <w:t>industries</w:t>
      </w:r>
      <w:r>
        <w:rPr>
          <w:spacing w:val="-20"/>
        </w:rPr>
        <w:t> </w:t>
      </w:r>
      <w:r>
        <w:rPr/>
        <w:t>and</w:t>
      </w:r>
      <w:r>
        <w:rPr>
          <w:spacing w:val="-19"/>
        </w:rPr>
        <w:t> </w:t>
      </w:r>
      <w:r>
        <w:rPr/>
        <w:t>iron</w:t>
      </w:r>
      <w:r>
        <w:rPr>
          <w:spacing w:val="-19"/>
        </w:rPr>
        <w:t> </w:t>
      </w:r>
      <w:r>
        <w:rPr/>
        <w:t>and</w:t>
      </w:r>
      <w:r>
        <w:rPr>
          <w:spacing w:val="-20"/>
        </w:rPr>
        <w:t> </w:t>
      </w:r>
      <w:r>
        <w:rPr/>
        <w:t>steel</w:t>
      </w:r>
      <w:r>
        <w:rPr>
          <w:spacing w:val="-19"/>
        </w:rPr>
        <w:t> </w:t>
      </w:r>
      <w:r>
        <w:rPr/>
        <w:t>production plants (see Chapter 2). In these large-scale processes, the</w:t>
      </w:r>
      <w:r>
        <w:rPr>
          <w:spacing w:val="-22"/>
        </w:rPr>
        <w:t> </w:t>
      </w:r>
      <w:r>
        <w:rPr/>
        <w:t>direct firing of fuel with air in a combustion chamber has been (for centuries,</w:t>
      </w:r>
      <w:r>
        <w:rPr>
          <w:spacing w:val="-18"/>
        </w:rPr>
        <w:t> </w:t>
      </w:r>
      <w:r>
        <w:rPr/>
        <w:t>as</w:t>
      </w:r>
      <w:r>
        <w:rPr>
          <w:spacing w:val="-16"/>
        </w:rPr>
        <w:t> </w:t>
      </w:r>
      <w:r>
        <w:rPr/>
        <w:t>it</w:t>
      </w:r>
      <w:r>
        <w:rPr>
          <w:spacing w:val="-16"/>
        </w:rPr>
        <w:t> </w:t>
      </w:r>
      <w:r>
        <w:rPr/>
        <w:t>is</w:t>
      </w:r>
      <w:r>
        <w:rPr>
          <w:spacing w:val="-16"/>
        </w:rPr>
        <w:t> </w:t>
      </w:r>
      <w:r>
        <w:rPr/>
        <w:t>today)</w:t>
      </w:r>
      <w:r>
        <w:rPr>
          <w:spacing w:val="-16"/>
        </w:rPr>
        <w:t> </w:t>
      </w:r>
      <w:r>
        <w:rPr/>
        <w:t>the</w:t>
      </w:r>
      <w:r>
        <w:rPr>
          <w:spacing w:val="-16"/>
        </w:rPr>
        <w:t> </w:t>
      </w:r>
      <w:r>
        <w:rPr/>
        <w:t>most</w:t>
      </w:r>
      <w:r>
        <w:rPr>
          <w:spacing w:val="-16"/>
        </w:rPr>
        <w:t> </w:t>
      </w:r>
      <w:r>
        <w:rPr/>
        <w:t>economic</w:t>
      </w:r>
      <w:r>
        <w:rPr>
          <w:spacing w:val="-17"/>
        </w:rPr>
        <w:t> </w:t>
      </w:r>
      <w:r>
        <w:rPr/>
        <w:t>technology</w:t>
      </w:r>
      <w:r>
        <w:rPr>
          <w:spacing w:val="-17"/>
        </w:rPr>
        <w:t> </w:t>
      </w:r>
      <w:r>
        <w:rPr/>
        <w:t>to</w:t>
      </w:r>
      <w:r>
        <w:rPr>
          <w:spacing w:val="-16"/>
        </w:rPr>
        <w:t> </w:t>
      </w:r>
      <w:r>
        <w:rPr/>
        <w:t>extract and</w:t>
      </w:r>
      <w:r>
        <w:rPr>
          <w:spacing w:val="-12"/>
        </w:rPr>
        <w:t> </w:t>
      </w:r>
      <w:r>
        <w:rPr/>
        <w:t>use</w:t>
      </w:r>
      <w:r>
        <w:rPr>
          <w:spacing w:val="-11"/>
        </w:rPr>
        <w:t> </w:t>
      </w:r>
      <w:r>
        <w:rPr/>
        <w:t>the</w:t>
      </w:r>
      <w:r>
        <w:rPr>
          <w:spacing w:val="-11"/>
        </w:rPr>
        <w:t> </w:t>
      </w:r>
      <w:r>
        <w:rPr/>
        <w:t>energy</w:t>
      </w:r>
      <w:r>
        <w:rPr>
          <w:spacing w:val="-11"/>
        </w:rPr>
        <w:t> </w:t>
      </w:r>
      <w:r>
        <w:rPr/>
        <w:t>contained</w:t>
      </w:r>
      <w:r>
        <w:rPr>
          <w:spacing w:val="-12"/>
        </w:rPr>
        <w:t> </w:t>
      </w:r>
      <w:r>
        <w:rPr/>
        <w:t>in</w:t>
      </w:r>
      <w:r>
        <w:rPr>
          <w:spacing w:val="-11"/>
        </w:rPr>
        <w:t> </w:t>
      </w:r>
      <w:r>
        <w:rPr/>
        <w:t>the</w:t>
      </w:r>
      <w:r>
        <w:rPr>
          <w:spacing w:val="-11"/>
        </w:rPr>
        <w:t> </w:t>
      </w:r>
      <w:r>
        <w:rPr/>
        <w:t>fuel.</w:t>
      </w:r>
      <w:r>
        <w:rPr>
          <w:spacing w:val="-14"/>
        </w:rPr>
        <w:t> </w:t>
      </w:r>
      <w:r>
        <w:rPr/>
        <w:t>Therefore,</w:t>
      </w:r>
      <w:r>
        <w:rPr>
          <w:spacing w:val="-12"/>
        </w:rPr>
        <w:t> </w:t>
      </w:r>
      <w:r>
        <w:rPr/>
        <w:t>the</w:t>
      </w:r>
      <w:r>
        <w:rPr>
          <w:spacing w:val="-11"/>
        </w:rPr>
        <w:t> </w:t>
      </w:r>
      <w:r>
        <w:rPr/>
        <w:t>strategic importance of post-combustion capture systems becomes evident when confronted with the reality of today’s sources of CO</w:t>
      </w:r>
      <w:r>
        <w:rPr>
          <w:position w:val="-6"/>
          <w:sz w:val="11"/>
        </w:rPr>
        <w:t>2 </w:t>
      </w:r>
      <w:r>
        <w:rPr/>
        <w:t>emissions. Chapter 2 shows that any attempt to mitigate CO</w:t>
      </w:r>
      <w:r>
        <w:rPr>
          <w:position w:val="-6"/>
          <w:sz w:val="11"/>
        </w:rPr>
        <w:t>2</w:t>
      </w:r>
      <w:r>
        <w:rPr>
          <w:spacing w:val="11"/>
          <w:position w:val="-6"/>
          <w:sz w:val="11"/>
        </w:rPr>
        <w:t> </w:t>
      </w:r>
      <w:r>
        <w:rPr/>
        <w:t>emissions</w:t>
      </w:r>
      <w:r>
        <w:rPr>
          <w:spacing w:val="-10"/>
        </w:rPr>
        <w:t> </w:t>
      </w:r>
      <w:r>
        <w:rPr/>
        <w:t>from</w:t>
      </w:r>
      <w:r>
        <w:rPr>
          <w:spacing w:val="-11"/>
        </w:rPr>
        <w:t> </w:t>
      </w:r>
      <w:r>
        <w:rPr/>
        <w:t>stationary</w:t>
      </w:r>
      <w:r>
        <w:rPr>
          <w:spacing w:val="-11"/>
        </w:rPr>
        <w:t> </w:t>
      </w:r>
      <w:r>
        <w:rPr/>
        <w:t>sources</w:t>
      </w:r>
      <w:r>
        <w:rPr>
          <w:spacing w:val="-10"/>
        </w:rPr>
        <w:t> </w:t>
      </w:r>
      <w:r>
        <w:rPr/>
        <w:t>on</w:t>
      </w:r>
      <w:r>
        <w:rPr>
          <w:spacing w:val="-11"/>
        </w:rPr>
        <w:t> </w:t>
      </w:r>
      <w:r>
        <w:rPr/>
        <w:t>a</w:t>
      </w:r>
      <w:r>
        <w:rPr>
          <w:spacing w:val="-10"/>
        </w:rPr>
        <w:t> </w:t>
      </w:r>
      <w:r>
        <w:rPr/>
        <w:t>relevant</w:t>
      </w:r>
      <w:r>
        <w:rPr>
          <w:spacing w:val="-11"/>
        </w:rPr>
        <w:t> </w:t>
      </w:r>
      <w:r>
        <w:rPr/>
        <w:t>scale</w:t>
      </w:r>
      <w:r>
        <w:rPr>
          <w:spacing w:val="-11"/>
        </w:rPr>
        <w:t> </w:t>
      </w:r>
      <w:r>
        <w:rPr/>
        <w:t>using CO</w:t>
      </w:r>
      <w:r>
        <w:rPr>
          <w:position w:val="-6"/>
          <w:sz w:val="11"/>
        </w:rPr>
        <w:t>2 </w:t>
      </w:r>
      <w:r>
        <w:rPr/>
        <w:t>capture and storage, will have to address CO</w:t>
      </w:r>
      <w:r>
        <w:rPr>
          <w:position w:val="-6"/>
          <w:sz w:val="11"/>
        </w:rPr>
        <w:t>2 </w:t>
      </w:r>
      <w:r>
        <w:rPr/>
        <w:t>capture from combustion systems. All the CO</w:t>
      </w:r>
      <w:r>
        <w:rPr>
          <w:position w:val="-6"/>
          <w:sz w:val="11"/>
        </w:rPr>
        <w:t>2 </w:t>
      </w:r>
      <w:r>
        <w:rPr/>
        <w:t>capture systems described in this section are aimed at the separation of CO</w:t>
      </w:r>
      <w:r>
        <w:rPr>
          <w:position w:val="-6"/>
          <w:sz w:val="11"/>
        </w:rPr>
        <w:t>2 </w:t>
      </w:r>
      <w:r>
        <w:rPr/>
        <w:t>from the flue gases generated in a large-scale combustion process fired with fossil fuels. Similar capture systems can also be applied to biomass fired combustion processes that tend to be used on a much smaller scale compared to those for fossil</w:t>
      </w:r>
      <w:r>
        <w:rPr>
          <w:spacing w:val="-6"/>
        </w:rPr>
        <w:t> </w:t>
      </w:r>
      <w:r>
        <w:rPr/>
        <w:t>fuels.</w:t>
      </w:r>
    </w:p>
    <w:p>
      <w:pPr>
        <w:pStyle w:val="BodyText"/>
        <w:spacing w:line="249" w:lineRule="auto" w:before="5"/>
        <w:ind w:left="117" w:right="40" w:firstLine="284"/>
        <w:jc w:val="both"/>
      </w:pPr>
      <w:r>
        <w:rPr/>
        <w:t>Flue gases or stack gases found in combustion systems are usually at atmospheric pressure. Because of the low pressure, the</w:t>
      </w:r>
      <w:r>
        <w:rPr>
          <w:spacing w:val="-7"/>
        </w:rPr>
        <w:t> </w:t>
      </w:r>
      <w:r>
        <w:rPr/>
        <w:t>large</w:t>
      </w:r>
      <w:r>
        <w:rPr>
          <w:spacing w:val="-7"/>
        </w:rPr>
        <w:t> </w:t>
      </w:r>
      <w:r>
        <w:rPr/>
        <w:t>presence</w:t>
      </w:r>
      <w:r>
        <w:rPr>
          <w:spacing w:val="-7"/>
        </w:rPr>
        <w:t> </w:t>
      </w:r>
      <w:r>
        <w:rPr/>
        <w:t>of</w:t>
      </w:r>
      <w:r>
        <w:rPr>
          <w:spacing w:val="-7"/>
        </w:rPr>
        <w:t> </w:t>
      </w:r>
      <w:r>
        <w:rPr/>
        <w:t>nitrogen</w:t>
      </w:r>
      <w:r>
        <w:rPr>
          <w:spacing w:val="-7"/>
        </w:rPr>
        <w:t> </w:t>
      </w:r>
      <w:r>
        <w:rPr/>
        <w:t>from</w:t>
      </w:r>
      <w:r>
        <w:rPr>
          <w:spacing w:val="-7"/>
        </w:rPr>
        <w:t> </w:t>
      </w:r>
      <w:r>
        <w:rPr/>
        <w:t>air</w:t>
      </w:r>
      <w:r>
        <w:rPr>
          <w:spacing w:val="-7"/>
        </w:rPr>
        <w:t> </w:t>
      </w:r>
      <w:r>
        <w:rPr/>
        <w:t>and</w:t>
      </w:r>
      <w:r>
        <w:rPr>
          <w:spacing w:val="-7"/>
        </w:rPr>
        <w:t> </w:t>
      </w:r>
      <w:r>
        <w:rPr/>
        <w:t>the</w:t>
      </w:r>
      <w:r>
        <w:rPr>
          <w:spacing w:val="-7"/>
        </w:rPr>
        <w:t> </w:t>
      </w:r>
      <w:r>
        <w:rPr/>
        <w:t>large</w:t>
      </w:r>
      <w:r>
        <w:rPr>
          <w:spacing w:val="-7"/>
        </w:rPr>
        <w:t> </w:t>
      </w:r>
      <w:r>
        <w:rPr/>
        <w:t>scale</w:t>
      </w:r>
      <w:r>
        <w:rPr>
          <w:spacing w:val="-8"/>
        </w:rPr>
        <w:t> </w:t>
      </w:r>
      <w:r>
        <w:rPr/>
        <w:t>of</w:t>
      </w:r>
      <w:r>
        <w:rPr>
          <w:spacing w:val="-7"/>
        </w:rPr>
        <w:t> </w:t>
      </w:r>
      <w:r>
        <w:rPr/>
        <w:t>the units, huge flows of gases are generated, the largest example of which may be the stack emissions coming from a natural gas</w:t>
      </w:r>
      <w:r>
        <w:rPr>
          <w:spacing w:val="-7"/>
        </w:rPr>
        <w:t> </w:t>
      </w:r>
      <w:r>
        <w:rPr/>
        <w:t>combined</w:t>
      </w:r>
      <w:r>
        <w:rPr>
          <w:spacing w:val="-7"/>
        </w:rPr>
        <w:t> </w:t>
      </w:r>
      <w:r>
        <w:rPr/>
        <w:t>cycle</w:t>
      </w:r>
      <w:r>
        <w:rPr>
          <w:spacing w:val="-7"/>
        </w:rPr>
        <w:t> </w:t>
      </w:r>
      <w:r>
        <w:rPr/>
        <w:t>power</w:t>
      </w:r>
      <w:r>
        <w:rPr>
          <w:spacing w:val="-7"/>
        </w:rPr>
        <w:t> </w:t>
      </w:r>
      <w:r>
        <w:rPr/>
        <w:t>plant</w:t>
      </w:r>
      <w:r>
        <w:rPr>
          <w:spacing w:val="-7"/>
        </w:rPr>
        <w:t> </w:t>
      </w:r>
      <w:r>
        <w:rPr/>
        <w:t>having</w:t>
      </w:r>
      <w:r>
        <w:rPr>
          <w:spacing w:val="-7"/>
        </w:rPr>
        <w:t> </w:t>
      </w:r>
      <w:r>
        <w:rPr/>
        <w:t>a</w:t>
      </w:r>
      <w:r>
        <w:rPr>
          <w:spacing w:val="-7"/>
        </w:rPr>
        <w:t> </w:t>
      </w:r>
      <w:r>
        <w:rPr/>
        <w:t>maximum</w:t>
      </w:r>
      <w:r>
        <w:rPr>
          <w:spacing w:val="-7"/>
        </w:rPr>
        <w:t> </w:t>
      </w:r>
      <w:r>
        <w:rPr/>
        <w:t>capacity</w:t>
      </w:r>
      <w:r>
        <w:rPr>
          <w:spacing w:val="-6"/>
        </w:rPr>
        <w:t> </w:t>
      </w:r>
      <w:r>
        <w:rPr>
          <w:spacing w:val="-8"/>
        </w:rPr>
        <w:t>of</w:t>
      </w:r>
    </w:p>
    <w:p>
      <w:pPr>
        <w:pStyle w:val="BodyText"/>
        <w:spacing w:line="240" w:lineRule="exact" w:before="58"/>
        <w:ind w:left="116" w:right="1131"/>
        <w:jc w:val="both"/>
      </w:pPr>
      <w:r>
        <w:rPr/>
        <w:br w:type="column"/>
      </w:r>
      <w:r>
        <w:rPr/>
        <w:t>in an absorption-based process. Although capture of CO</w:t>
      </w:r>
      <w:r>
        <w:rPr>
          <w:position w:val="-6"/>
          <w:sz w:val="11"/>
        </w:rPr>
        <w:t>2 </w:t>
      </w:r>
      <w:r>
        <w:rPr/>
        <w:t>in these flue gases is in principle more problematic and energy intensive than from other gas streams, commercial experience is available at a sufficiently large scale (see Section 3.3.2) to provide the basis for cost estimates for post-combustion </w:t>
      </w:r>
      <w:r>
        <w:rPr>
          <w:spacing w:val="-6"/>
        </w:rPr>
        <w:t>CO</w:t>
      </w:r>
      <w:r>
        <w:rPr>
          <w:spacing w:val="-6"/>
          <w:position w:val="-6"/>
          <w:sz w:val="11"/>
        </w:rPr>
        <w:t>2 </w:t>
      </w:r>
      <w:r>
        <w:rPr/>
        <w:t>capture systems (see Section 3.7). Also, a large R&amp;D effort is being</w:t>
      </w:r>
      <w:r>
        <w:rPr>
          <w:spacing w:val="-22"/>
        </w:rPr>
        <w:t> </w:t>
      </w:r>
      <w:r>
        <w:rPr/>
        <w:t>undertaken</w:t>
      </w:r>
      <w:r>
        <w:rPr>
          <w:spacing w:val="-21"/>
        </w:rPr>
        <w:t> </w:t>
      </w:r>
      <w:r>
        <w:rPr/>
        <w:t>worldwide</w:t>
      </w:r>
      <w:r>
        <w:rPr>
          <w:spacing w:val="-20"/>
        </w:rPr>
        <w:t> </w:t>
      </w:r>
      <w:r>
        <w:rPr/>
        <w:t>to</w:t>
      </w:r>
      <w:r>
        <w:rPr>
          <w:spacing w:val="-20"/>
        </w:rPr>
        <w:t> </w:t>
      </w:r>
      <w:r>
        <w:rPr/>
        <w:t>develop</w:t>
      </w:r>
      <w:r>
        <w:rPr>
          <w:spacing w:val="-22"/>
        </w:rPr>
        <w:t> </w:t>
      </w:r>
      <w:r>
        <w:rPr/>
        <w:t>more</w:t>
      </w:r>
      <w:r>
        <w:rPr>
          <w:spacing w:val="-21"/>
        </w:rPr>
        <w:t> </w:t>
      </w:r>
      <w:r>
        <w:rPr/>
        <w:t>efficient</w:t>
      </w:r>
      <w:r>
        <w:rPr>
          <w:spacing w:val="-21"/>
        </w:rPr>
        <w:t> </w:t>
      </w:r>
      <w:r>
        <w:rPr/>
        <w:t>and</w:t>
      </w:r>
      <w:r>
        <w:rPr>
          <w:spacing w:val="-21"/>
        </w:rPr>
        <w:t> </w:t>
      </w:r>
      <w:r>
        <w:rPr/>
        <w:t>lower cost post-combustion systems (see Section 3.3.3), following</w:t>
      </w:r>
      <w:r>
        <w:rPr>
          <w:spacing w:val="-26"/>
        </w:rPr>
        <w:t> </w:t>
      </w:r>
      <w:r>
        <w:rPr/>
        <w:t>all possible</w:t>
      </w:r>
      <w:r>
        <w:rPr>
          <w:spacing w:val="-14"/>
        </w:rPr>
        <w:t> </w:t>
      </w:r>
      <w:r>
        <w:rPr/>
        <w:t>approaches</w:t>
      </w:r>
      <w:r>
        <w:rPr>
          <w:spacing w:val="-13"/>
        </w:rPr>
        <w:t> </w:t>
      </w:r>
      <w:r>
        <w:rPr/>
        <w:t>for</w:t>
      </w:r>
      <w:r>
        <w:rPr>
          <w:spacing w:val="-13"/>
        </w:rPr>
        <w:t> </w:t>
      </w:r>
      <w:r>
        <w:rPr/>
        <w:t>the</w:t>
      </w:r>
      <w:r>
        <w:rPr>
          <w:spacing w:val="-13"/>
        </w:rPr>
        <w:t> </w:t>
      </w:r>
      <w:r>
        <w:rPr/>
        <w:t>CO</w:t>
      </w:r>
      <w:r>
        <w:rPr>
          <w:position w:val="-6"/>
          <w:sz w:val="11"/>
        </w:rPr>
        <w:t>2</w:t>
      </w:r>
      <w:r>
        <w:rPr>
          <w:spacing w:val="9"/>
          <w:position w:val="-6"/>
          <w:sz w:val="11"/>
        </w:rPr>
        <w:t> </w:t>
      </w:r>
      <w:r>
        <w:rPr/>
        <w:t>separation</w:t>
      </w:r>
      <w:r>
        <w:rPr>
          <w:spacing w:val="-14"/>
        </w:rPr>
        <w:t> </w:t>
      </w:r>
      <w:r>
        <w:rPr/>
        <w:t>step</w:t>
      </w:r>
      <w:r>
        <w:rPr>
          <w:spacing w:val="-14"/>
        </w:rPr>
        <w:t> </w:t>
      </w:r>
      <w:r>
        <w:rPr/>
        <w:t>(using</w:t>
      </w:r>
      <w:r>
        <w:rPr>
          <w:spacing w:val="-13"/>
        </w:rPr>
        <w:t> </w:t>
      </w:r>
      <w:r>
        <w:rPr/>
        <w:t>sorbents, membranes or cryogenics; see Section</w:t>
      </w:r>
      <w:r>
        <w:rPr>
          <w:spacing w:val="-4"/>
        </w:rPr>
        <w:t> </w:t>
      </w:r>
      <w:r>
        <w:rPr/>
        <w:t>3.1.3).</w:t>
      </w:r>
    </w:p>
    <w:p>
      <w:pPr>
        <w:pStyle w:val="BodyText"/>
        <w:spacing w:before="3"/>
        <w:rPr>
          <w:sz w:val="21"/>
        </w:rPr>
      </w:pPr>
    </w:p>
    <w:p>
      <w:pPr>
        <w:pStyle w:val="Heading2"/>
        <w:numPr>
          <w:ilvl w:val="2"/>
          <w:numId w:val="5"/>
        </w:numPr>
        <w:tabs>
          <w:tab w:pos="825" w:val="left" w:leader="none"/>
          <w:tab w:pos="826" w:val="left" w:leader="none"/>
        </w:tabs>
        <w:spacing w:line="240" w:lineRule="auto" w:before="1" w:after="0"/>
        <w:ind w:left="825" w:right="0" w:hanging="710"/>
        <w:jc w:val="left"/>
        <w:rPr>
          <w:i/>
        </w:rPr>
      </w:pPr>
      <w:r>
        <w:rPr>
          <w:i/>
        </w:rPr>
        <w:t>Existing technologies</w:t>
      </w:r>
    </w:p>
    <w:p>
      <w:pPr>
        <w:pStyle w:val="BodyText"/>
        <w:spacing w:before="3"/>
        <w:rPr>
          <w:b/>
          <w:i/>
          <w:sz w:val="21"/>
        </w:rPr>
      </w:pPr>
    </w:p>
    <w:p>
      <w:pPr>
        <w:pStyle w:val="BodyText"/>
        <w:spacing w:line="240" w:lineRule="exact"/>
        <w:ind w:left="116" w:right="1130"/>
        <w:jc w:val="both"/>
      </w:pPr>
      <w:r>
        <w:rPr/>
        <w:t>There are several commercially available process technologies which can in principle be used for CO</w:t>
      </w:r>
      <w:r>
        <w:rPr>
          <w:position w:val="-6"/>
          <w:sz w:val="11"/>
        </w:rPr>
        <w:t>2 </w:t>
      </w:r>
      <w:r>
        <w:rPr/>
        <w:t>capture from flue</w:t>
      </w:r>
      <w:r>
        <w:rPr>
          <w:spacing w:val="-25"/>
        </w:rPr>
        <w:t> </w:t>
      </w:r>
      <w:r>
        <w:rPr/>
        <w:t>gases. However, comparative assessment studies (Hendriks, 1994; Riemer</w:t>
      </w:r>
      <w:r>
        <w:rPr>
          <w:spacing w:val="-12"/>
        </w:rPr>
        <w:t> </w:t>
      </w:r>
      <w:r>
        <w:rPr/>
        <w:t>and</w:t>
      </w:r>
      <w:r>
        <w:rPr>
          <w:spacing w:val="-11"/>
        </w:rPr>
        <w:t> </w:t>
      </w:r>
      <w:r>
        <w:rPr/>
        <w:t>Ormerod,</w:t>
      </w:r>
      <w:r>
        <w:rPr>
          <w:spacing w:val="-12"/>
        </w:rPr>
        <w:t> </w:t>
      </w:r>
      <w:r>
        <w:rPr/>
        <w:t>1995;</w:t>
      </w:r>
      <w:r>
        <w:rPr>
          <w:spacing w:val="-11"/>
        </w:rPr>
        <w:t> </w:t>
      </w:r>
      <w:r>
        <w:rPr/>
        <w:t>IEA</w:t>
      </w:r>
      <w:r>
        <w:rPr>
          <w:spacing w:val="-23"/>
        </w:rPr>
        <w:t> </w:t>
      </w:r>
      <w:r>
        <w:rPr/>
        <w:t>GHG,</w:t>
      </w:r>
      <w:r>
        <w:rPr>
          <w:spacing w:val="-11"/>
        </w:rPr>
        <w:t> </w:t>
      </w:r>
      <w:r>
        <w:rPr/>
        <w:t>2000b)</w:t>
      </w:r>
      <w:r>
        <w:rPr>
          <w:spacing w:val="-12"/>
        </w:rPr>
        <w:t> </w:t>
      </w:r>
      <w:r>
        <w:rPr/>
        <w:t>have</w:t>
      </w:r>
      <w:r>
        <w:rPr>
          <w:spacing w:val="-11"/>
        </w:rPr>
        <w:t> </w:t>
      </w:r>
      <w:r>
        <w:rPr/>
        <w:t>shown</w:t>
      </w:r>
      <w:r>
        <w:rPr>
          <w:spacing w:val="-12"/>
        </w:rPr>
        <w:t> </w:t>
      </w:r>
      <w:r>
        <w:rPr/>
        <w:t>that absorption processes based on chemical solvents are currently the preferred option for post-combustion CO</w:t>
      </w:r>
      <w:r>
        <w:rPr>
          <w:position w:val="-6"/>
          <w:sz w:val="11"/>
        </w:rPr>
        <w:t>2 </w:t>
      </w:r>
      <w:r>
        <w:rPr/>
        <w:t>capture. At </w:t>
      </w:r>
      <w:r>
        <w:rPr>
          <w:spacing w:val="-3"/>
        </w:rPr>
        <w:t>this </w:t>
      </w:r>
      <w:r>
        <w:rPr/>
        <w:t>point in time, they offer high capture efficiency and</w:t>
      </w:r>
      <w:r>
        <w:rPr>
          <w:spacing w:val="-31"/>
        </w:rPr>
        <w:t> </w:t>
      </w:r>
      <w:r>
        <w:rPr/>
        <w:t>selectivity, and the lowest energy use and costs when compared  with other</w:t>
      </w:r>
      <w:r>
        <w:rPr>
          <w:spacing w:val="22"/>
        </w:rPr>
        <w:t> </w:t>
      </w:r>
      <w:r>
        <w:rPr/>
        <w:t>existing</w:t>
      </w:r>
      <w:r>
        <w:rPr>
          <w:spacing w:val="22"/>
        </w:rPr>
        <w:t> </w:t>
      </w:r>
      <w:r>
        <w:rPr/>
        <w:t>post-combustion</w:t>
      </w:r>
      <w:r>
        <w:rPr>
          <w:spacing w:val="22"/>
        </w:rPr>
        <w:t> </w:t>
      </w:r>
      <w:r>
        <w:rPr/>
        <w:t>capture</w:t>
      </w:r>
      <w:r>
        <w:rPr>
          <w:spacing w:val="22"/>
        </w:rPr>
        <w:t> </w:t>
      </w:r>
      <w:r>
        <w:rPr/>
        <w:t>processes.</w:t>
      </w:r>
      <w:r>
        <w:rPr>
          <w:spacing w:val="11"/>
        </w:rPr>
        <w:t> </w:t>
      </w:r>
      <w:r>
        <w:rPr/>
        <w:t>Absorption</w:t>
      </w:r>
    </w:p>
    <w:p>
      <w:pPr>
        <w:spacing w:after="0" w:line="240" w:lineRule="exact"/>
        <w:jc w:val="both"/>
        <w:sectPr>
          <w:type w:val="continuous"/>
          <w:pgSz w:w="12240" w:h="15840"/>
          <w:pgMar w:top="480" w:bottom="280" w:left="620" w:right="0"/>
          <w:cols w:num="2" w:equalWidth="0">
            <w:col w:w="5203" w:space="123"/>
            <w:col w:w="6294"/>
          </w:cols>
        </w:sectPr>
      </w:pPr>
    </w:p>
    <w:p>
      <w:pPr>
        <w:pStyle w:val="BodyText"/>
        <w:spacing w:before="5"/>
        <w:ind w:left="117"/>
      </w:pPr>
      <w:r>
        <w:rPr/>
        <w:pict>
          <v:shape style="position:absolute;margin-left:178.066803pt;margin-top:8.535937pt;width:2.9pt;height:5.8pt;mso-position-horizontal-relative:page;mso-position-vertical-relative:paragraph;z-index:-272455680"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t>around 5 million normal m</w:t>
      </w:r>
      <w:r>
        <w:rPr>
          <w:position w:val="7"/>
          <w:sz w:val="11"/>
        </w:rPr>
        <w:t>3 </w:t>
      </w:r>
      <w:r>
        <w:rPr/>
        <w:t>h</w:t>
      </w:r>
      <w:r>
        <w:rPr>
          <w:position w:val="7"/>
          <w:sz w:val="11"/>
        </w:rPr>
        <w:t>-1</w:t>
      </w:r>
      <w:r>
        <w:rPr/>
        <w:t>. CO</w:t>
      </w:r>
    </w:p>
    <w:p>
      <w:pPr>
        <w:pStyle w:val="BodyText"/>
        <w:spacing w:before="5"/>
        <w:ind w:left="65"/>
      </w:pPr>
      <w:r>
        <w:rPr/>
        <w:br w:type="column"/>
      </w:r>
      <w:r>
        <w:rPr/>
        <w:t>contents of flue gases vary</w:t>
      </w:r>
    </w:p>
    <w:p>
      <w:pPr>
        <w:pStyle w:val="BodyText"/>
        <w:spacing w:before="5"/>
        <w:ind w:left="117"/>
      </w:pPr>
      <w:r>
        <w:rPr/>
        <w:br w:type="column"/>
      </w:r>
      <w:r>
        <w:rPr/>
        <w:t>processes have reached the commercial stage of operation for</w:t>
      </w:r>
    </w:p>
    <w:p>
      <w:pPr>
        <w:spacing w:after="0"/>
        <w:sectPr>
          <w:type w:val="continuous"/>
          <w:pgSz w:w="12240" w:h="15840"/>
          <w:pgMar w:top="480" w:bottom="280" w:left="620" w:right="0"/>
          <w:cols w:num="3" w:equalWidth="0">
            <w:col w:w="2942" w:space="40"/>
            <w:col w:w="2219" w:space="125"/>
            <w:col w:w="6294"/>
          </w:cols>
        </w:sectPr>
      </w:pPr>
    </w:p>
    <w:p>
      <w:pPr>
        <w:pStyle w:val="BodyText"/>
        <w:spacing w:line="240" w:lineRule="exact" w:before="5"/>
        <w:ind w:left="117" w:right="38"/>
        <w:jc w:val="both"/>
      </w:pPr>
      <w:bookmarkStart w:name="_bookmark6" w:id="25"/>
      <w:bookmarkEnd w:id="25"/>
      <w:r>
        <w:rPr/>
      </w:r>
      <w:r>
        <w:rPr/>
        <w:t>depending on the type of fuel used (between 3% for a natural gas</w:t>
      </w:r>
      <w:r>
        <w:rPr>
          <w:spacing w:val="-6"/>
        </w:rPr>
        <w:t> </w:t>
      </w:r>
      <w:r>
        <w:rPr/>
        <w:t>combined</w:t>
      </w:r>
      <w:r>
        <w:rPr>
          <w:spacing w:val="-6"/>
        </w:rPr>
        <w:t> </w:t>
      </w:r>
      <w:r>
        <w:rPr/>
        <w:t>cycle</w:t>
      </w:r>
      <w:r>
        <w:rPr>
          <w:spacing w:val="-6"/>
        </w:rPr>
        <w:t> </w:t>
      </w:r>
      <w:r>
        <w:rPr/>
        <w:t>to</w:t>
      </w:r>
      <w:r>
        <w:rPr>
          <w:spacing w:val="-6"/>
        </w:rPr>
        <w:t> </w:t>
      </w:r>
      <w:r>
        <w:rPr/>
        <w:t>less</w:t>
      </w:r>
      <w:r>
        <w:rPr>
          <w:spacing w:val="-6"/>
        </w:rPr>
        <w:t> </w:t>
      </w:r>
      <w:r>
        <w:rPr/>
        <w:t>than</w:t>
      </w:r>
      <w:r>
        <w:rPr>
          <w:spacing w:val="-6"/>
        </w:rPr>
        <w:t> </w:t>
      </w:r>
      <w:r>
        <w:rPr/>
        <w:t>15%</w:t>
      </w:r>
      <w:r>
        <w:rPr>
          <w:spacing w:val="-6"/>
        </w:rPr>
        <w:t> </w:t>
      </w:r>
      <w:r>
        <w:rPr/>
        <w:t>by</w:t>
      </w:r>
      <w:r>
        <w:rPr>
          <w:spacing w:val="-6"/>
        </w:rPr>
        <w:t> </w:t>
      </w:r>
      <w:r>
        <w:rPr/>
        <w:t>volume</w:t>
      </w:r>
      <w:r>
        <w:rPr>
          <w:spacing w:val="-6"/>
        </w:rPr>
        <w:t> </w:t>
      </w:r>
      <w:r>
        <w:rPr/>
        <w:t>for</w:t>
      </w:r>
      <w:r>
        <w:rPr>
          <w:spacing w:val="-6"/>
        </w:rPr>
        <w:t> </w:t>
      </w:r>
      <w:r>
        <w:rPr/>
        <w:t>a</w:t>
      </w:r>
      <w:r>
        <w:rPr>
          <w:spacing w:val="-6"/>
        </w:rPr>
        <w:t> </w:t>
      </w:r>
      <w:r>
        <w:rPr/>
        <w:t>coal-fired combustion plant See </w:t>
      </w:r>
      <w:r>
        <w:rPr>
          <w:spacing w:val="-3"/>
        </w:rPr>
        <w:t>Table </w:t>
      </w:r>
      <w:r>
        <w:rPr/>
        <w:t>2.1). In principle post-combustion capture systems can be applied to flue gases produced from the combustion of any type of fuel. However, the impurities  in the fuel are very important for the design and costing of   the complete plant (Rao and Rubin, 2002). Flue gases coming from coal combustion will contain not only CO</w:t>
      </w:r>
      <w:r>
        <w:rPr>
          <w:position w:val="-6"/>
          <w:sz w:val="11"/>
        </w:rPr>
        <w:t>2</w:t>
      </w:r>
      <w:r>
        <w:rPr/>
        <w:t>, N</w:t>
      </w:r>
      <w:r>
        <w:rPr>
          <w:position w:val="-6"/>
          <w:sz w:val="11"/>
        </w:rPr>
        <w:t>2</w:t>
      </w:r>
      <w:r>
        <w:rPr/>
        <w:t>, O</w:t>
      </w:r>
      <w:r>
        <w:rPr>
          <w:position w:val="-6"/>
          <w:sz w:val="11"/>
        </w:rPr>
        <w:t>2 </w:t>
      </w:r>
      <w:r>
        <w:rPr/>
        <w:t>and H</w:t>
      </w:r>
      <w:r>
        <w:rPr>
          <w:position w:val="-6"/>
          <w:sz w:val="11"/>
        </w:rPr>
        <w:t>2</w:t>
      </w:r>
      <w:r>
        <w:rPr/>
        <w:t>O, but also air pollutants such as SO</w:t>
      </w:r>
      <w:r>
        <w:rPr>
          <w:position w:val="-6"/>
          <w:sz w:val="11"/>
        </w:rPr>
        <w:t>x</w:t>
      </w:r>
      <w:r>
        <w:rPr/>
        <w:t>, NO</w:t>
      </w:r>
      <w:r>
        <w:rPr>
          <w:position w:val="-6"/>
          <w:sz w:val="11"/>
        </w:rPr>
        <w:t>x</w:t>
      </w:r>
      <w:r>
        <w:rPr/>
        <w:t>, particulates, HCl, </w:t>
      </w:r>
      <w:r>
        <w:rPr>
          <w:spacing w:val="-6"/>
        </w:rPr>
        <w:t>HF, </w:t>
      </w:r>
      <w:r>
        <w:rPr/>
        <w:t>mercury, other metals and other trace organic and inorganic contaminants. Figure 3.3 shows a general schematic of a coal-fired power plant in which additional unit operations are</w:t>
      </w:r>
      <w:r>
        <w:rPr>
          <w:spacing w:val="9"/>
        </w:rPr>
        <w:t> </w:t>
      </w:r>
      <w:r>
        <w:rPr/>
        <w:t>deployed</w:t>
      </w:r>
      <w:r>
        <w:rPr>
          <w:spacing w:val="9"/>
        </w:rPr>
        <w:t> </w:t>
      </w:r>
      <w:r>
        <w:rPr/>
        <w:t>to</w:t>
      </w:r>
      <w:r>
        <w:rPr>
          <w:spacing w:val="9"/>
        </w:rPr>
        <w:t> </w:t>
      </w:r>
      <w:r>
        <w:rPr/>
        <w:t>remove</w:t>
      </w:r>
      <w:r>
        <w:rPr>
          <w:spacing w:val="9"/>
        </w:rPr>
        <w:t> </w:t>
      </w:r>
      <w:r>
        <w:rPr/>
        <w:t>the</w:t>
      </w:r>
      <w:r>
        <w:rPr>
          <w:spacing w:val="9"/>
        </w:rPr>
        <w:t> </w:t>
      </w:r>
      <w:r>
        <w:rPr/>
        <w:t>air</w:t>
      </w:r>
      <w:r>
        <w:rPr>
          <w:spacing w:val="10"/>
        </w:rPr>
        <w:t> </w:t>
      </w:r>
      <w:r>
        <w:rPr/>
        <w:t>pollutants</w:t>
      </w:r>
      <w:r>
        <w:rPr>
          <w:spacing w:val="9"/>
        </w:rPr>
        <w:t> </w:t>
      </w:r>
      <w:r>
        <w:rPr/>
        <w:t>prior</w:t>
      </w:r>
      <w:r>
        <w:rPr>
          <w:spacing w:val="9"/>
        </w:rPr>
        <w:t> </w:t>
      </w:r>
      <w:r>
        <w:rPr/>
        <w:t>to</w:t>
      </w:r>
      <w:r>
        <w:rPr>
          <w:spacing w:val="9"/>
        </w:rPr>
        <w:t> </w:t>
      </w:r>
      <w:r>
        <w:rPr/>
        <w:t>CO</w:t>
      </w:r>
      <w:r>
        <w:rPr>
          <w:position w:val="-6"/>
          <w:sz w:val="11"/>
        </w:rPr>
        <w:t>2</w:t>
      </w:r>
      <w:r>
        <w:rPr>
          <w:spacing w:val="4"/>
          <w:position w:val="-6"/>
          <w:sz w:val="11"/>
        </w:rPr>
        <w:t> </w:t>
      </w:r>
      <w:r>
        <w:rPr/>
        <w:t>capture</w:t>
      </w:r>
    </w:p>
    <w:p>
      <w:pPr>
        <w:pStyle w:val="BodyText"/>
        <w:spacing w:line="240" w:lineRule="exact" w:before="5"/>
        <w:ind w:left="117" w:right="1129"/>
        <w:jc w:val="both"/>
      </w:pPr>
      <w:r>
        <w:rPr/>
        <w:br w:type="column"/>
      </w:r>
      <w:r>
        <w:rPr/>
        <w:t>post-combustion CO</w:t>
      </w:r>
      <w:r>
        <w:rPr>
          <w:position w:val="-6"/>
          <w:sz w:val="11"/>
        </w:rPr>
        <w:t>2 </w:t>
      </w:r>
      <w:r>
        <w:rPr/>
        <w:t>capture systems, albeit not on the scale required for power plant flue gases. Therefore, the following paragraphs are devoted to  a  review  of  existing  knowledge of the technology and the key technical and environmental issues relevant to the application of this currently leading commercial option for CO</w:t>
      </w:r>
      <w:r>
        <w:rPr>
          <w:position w:val="-6"/>
          <w:sz w:val="11"/>
        </w:rPr>
        <w:t>2 </w:t>
      </w:r>
      <w:r>
        <w:rPr/>
        <w:t>capture. The fundamentals of </w:t>
      </w:r>
      <w:r>
        <w:rPr>
          <w:spacing w:val="-4"/>
        </w:rPr>
        <w:t>the </w:t>
      </w:r>
      <w:r>
        <w:rPr/>
        <w:t>CO</w:t>
      </w:r>
      <w:r>
        <w:rPr>
          <w:position w:val="-6"/>
          <w:sz w:val="11"/>
        </w:rPr>
        <w:t>2 </w:t>
      </w:r>
      <w:r>
        <w:rPr/>
        <w:t>separation step using commercial chemical absorption processes are discussed first. The requirements of flue gas pretreatment (removal of pollutants other than CO</w:t>
      </w:r>
      <w:r>
        <w:rPr>
          <w:position w:val="-6"/>
          <w:sz w:val="11"/>
        </w:rPr>
        <w:t>2</w:t>
      </w:r>
      <w:r>
        <w:rPr/>
        <w:t>) and </w:t>
      </w:r>
      <w:r>
        <w:rPr>
          <w:spacing w:val="-4"/>
        </w:rPr>
        <w:t>the </w:t>
      </w:r>
      <w:r>
        <w:rPr/>
        <w:t>energy requirements for regeneration of the chemical solvent follow.</w:t>
      </w:r>
    </w:p>
    <w:p>
      <w:pPr>
        <w:pStyle w:val="BodyText"/>
        <w:spacing w:before="3"/>
        <w:rPr>
          <w:sz w:val="21"/>
        </w:rPr>
      </w:pPr>
    </w:p>
    <w:p>
      <w:pPr>
        <w:pStyle w:val="ListParagraph"/>
        <w:numPr>
          <w:ilvl w:val="3"/>
          <w:numId w:val="5"/>
        </w:numPr>
        <w:tabs>
          <w:tab w:pos="937" w:val="left" w:leader="none"/>
          <w:tab w:pos="938" w:val="left" w:leader="none"/>
        </w:tabs>
        <w:spacing w:line="240" w:lineRule="auto" w:before="1" w:after="0"/>
        <w:ind w:left="937" w:right="0" w:hanging="821"/>
        <w:jc w:val="left"/>
        <w:rPr>
          <w:i/>
          <w:sz w:val="20"/>
        </w:rPr>
      </w:pPr>
      <w:r>
        <w:rPr>
          <w:i/>
          <w:sz w:val="20"/>
        </w:rPr>
        <w:t>Absorption</w:t>
      </w:r>
      <w:r>
        <w:rPr>
          <w:i/>
          <w:spacing w:val="-1"/>
          <w:sz w:val="20"/>
        </w:rPr>
        <w:t> </w:t>
      </w:r>
      <w:r>
        <w:rPr>
          <w:i/>
          <w:sz w:val="20"/>
        </w:rPr>
        <w:t>processes</w:t>
      </w:r>
    </w:p>
    <w:p>
      <w:pPr>
        <w:spacing w:after="0" w:line="240" w:lineRule="auto"/>
        <w:jc w:val="left"/>
        <w:rPr>
          <w:sz w:val="20"/>
        </w:rPr>
        <w:sectPr>
          <w:type w:val="continuous"/>
          <w:pgSz w:w="12240" w:h="15840"/>
          <w:pgMar w:top="480" w:bottom="280" w:left="620" w:right="0"/>
          <w:cols w:num="2" w:equalWidth="0">
            <w:col w:w="5202" w:space="124"/>
            <w:col w:w="6294"/>
          </w:cols>
        </w:sectPr>
      </w:pPr>
    </w:p>
    <w:p>
      <w:pPr>
        <w:pStyle w:val="BodyText"/>
        <w:spacing w:before="10"/>
        <w:rPr>
          <w:i/>
          <w:sz w:val="18"/>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63"/>
      </w:tblGrid>
      <w:tr>
        <w:trPr>
          <w:trHeight w:val="4246" w:hRule="atLeast"/>
        </w:trPr>
        <w:tc>
          <w:tcPr>
            <w:tcW w:w="10363" w:type="dxa"/>
          </w:tcPr>
          <w:p>
            <w:pPr>
              <w:pStyle w:val="TableParagraph"/>
              <w:spacing w:before="3"/>
              <w:jc w:val="left"/>
              <w:rPr>
                <w:i/>
                <w:sz w:val="8"/>
              </w:rPr>
            </w:pPr>
          </w:p>
          <w:p>
            <w:pPr>
              <w:pStyle w:val="TableParagraph"/>
              <w:ind w:left="1154"/>
              <w:jc w:val="left"/>
              <w:rPr>
                <w:sz w:val="20"/>
              </w:rPr>
            </w:pPr>
            <w:r>
              <w:rPr>
                <w:sz w:val="20"/>
              </w:rPr>
              <w:drawing>
                <wp:inline distT="0" distB="0" distL="0" distR="0">
                  <wp:extent cx="5135432" cy="2542031"/>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5135432" cy="2542031"/>
                          </a:xfrm>
                          <a:prstGeom prst="rect">
                            <a:avLst/>
                          </a:prstGeom>
                        </pic:spPr>
                      </pic:pic>
                    </a:graphicData>
                  </a:graphic>
                </wp:inline>
              </w:drawing>
            </w:r>
            <w:r>
              <w:rPr>
                <w:sz w:val="20"/>
              </w:rPr>
            </w:r>
          </w:p>
        </w:tc>
      </w:tr>
    </w:tbl>
    <w:p>
      <w:pPr>
        <w:spacing w:before="100"/>
        <w:ind w:left="117" w:right="0" w:firstLine="0"/>
        <w:jc w:val="left"/>
        <w:rPr>
          <w:sz w:val="18"/>
        </w:rPr>
      </w:pPr>
      <w:r>
        <w:rPr>
          <w:b/>
          <w:sz w:val="18"/>
        </w:rPr>
        <w:t>Figure 3.3 </w:t>
      </w:r>
      <w:r>
        <w:rPr>
          <w:sz w:val="18"/>
        </w:rPr>
        <w:t>Schematic of a pulverized coal-fired power plant with an amine-based CO</w:t>
      </w:r>
      <w:r>
        <w:rPr>
          <w:position w:val="-5"/>
          <w:sz w:val="10"/>
        </w:rPr>
        <w:t>2 </w:t>
      </w:r>
      <w:r>
        <w:rPr>
          <w:sz w:val="18"/>
        </w:rPr>
        <w:t>capture system and other emission controls.</w:t>
      </w:r>
    </w:p>
    <w:p>
      <w:pPr>
        <w:spacing w:after="0"/>
        <w:jc w:val="left"/>
        <w:rPr>
          <w:sz w:val="18"/>
        </w:rPr>
        <w:sectPr>
          <w:type w:val="continuous"/>
          <w:pgSz w:w="12240" w:h="15840"/>
          <w:pgMar w:top="480" w:bottom="280" w:left="620" w:right="0"/>
        </w:sectPr>
      </w:pPr>
    </w:p>
    <w:p>
      <w:pPr>
        <w:pStyle w:val="BodyText"/>
      </w:pPr>
    </w:p>
    <w:p>
      <w:pPr>
        <w:spacing w:after="0"/>
        <w:sectPr>
          <w:pgSz w:w="12240" w:h="15840"/>
          <w:pgMar w:header="567" w:footer="0" w:top="800" w:bottom="280" w:left="620" w:right="0"/>
        </w:sectPr>
      </w:pPr>
    </w:p>
    <w:p>
      <w:pPr>
        <w:pStyle w:val="BodyText"/>
        <w:spacing w:before="10"/>
        <w:rPr>
          <w:sz w:val="17"/>
        </w:rPr>
      </w:pPr>
    </w:p>
    <w:p>
      <w:pPr>
        <w:pStyle w:val="BodyText"/>
        <w:spacing w:line="240" w:lineRule="exact"/>
        <w:ind w:left="513"/>
        <w:jc w:val="both"/>
      </w:pPr>
      <w:r>
        <w:rPr/>
        <w:pict>
          <v:shape style="position:absolute;margin-left:295.7901pt;margin-top:92.550003pt;width:2.9pt;height:5.8pt;mso-position-horizontal-relative:page;mso-position-vertical-relative:paragraph;z-index:-272454656"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t>Absorption processes in post-combustion capture make use of the reversible nature of the chemical reaction of an </w:t>
      </w:r>
      <w:r>
        <w:rPr>
          <w:spacing w:val="-3"/>
        </w:rPr>
        <w:t>aqueous </w:t>
      </w:r>
      <w:r>
        <w:rPr/>
        <w:t>alkaline solvent, usually an amine, with an acid or sour gas. The</w:t>
      </w:r>
      <w:r>
        <w:rPr>
          <w:spacing w:val="-10"/>
        </w:rPr>
        <w:t> </w:t>
      </w:r>
      <w:r>
        <w:rPr/>
        <w:t>process</w:t>
      </w:r>
      <w:r>
        <w:rPr>
          <w:spacing w:val="-9"/>
        </w:rPr>
        <w:t> </w:t>
      </w:r>
      <w:r>
        <w:rPr/>
        <w:t>flow</w:t>
      </w:r>
      <w:r>
        <w:rPr>
          <w:spacing w:val="-9"/>
        </w:rPr>
        <w:t> </w:t>
      </w:r>
      <w:r>
        <w:rPr/>
        <w:t>diagram</w:t>
      </w:r>
      <w:r>
        <w:rPr>
          <w:spacing w:val="-9"/>
        </w:rPr>
        <w:t> </w:t>
      </w:r>
      <w:r>
        <w:rPr/>
        <w:t>of</w:t>
      </w:r>
      <w:r>
        <w:rPr>
          <w:spacing w:val="-9"/>
        </w:rPr>
        <w:t> </w:t>
      </w:r>
      <w:r>
        <w:rPr/>
        <w:t>a</w:t>
      </w:r>
      <w:r>
        <w:rPr>
          <w:spacing w:val="-9"/>
        </w:rPr>
        <w:t> </w:t>
      </w:r>
      <w:r>
        <w:rPr/>
        <w:t>commercial</w:t>
      </w:r>
      <w:r>
        <w:rPr>
          <w:spacing w:val="-10"/>
        </w:rPr>
        <w:t> </w:t>
      </w:r>
      <w:r>
        <w:rPr/>
        <w:t>absorption</w:t>
      </w:r>
      <w:r>
        <w:rPr>
          <w:spacing w:val="-10"/>
        </w:rPr>
        <w:t> </w:t>
      </w:r>
      <w:r>
        <w:rPr/>
        <w:t>system</w:t>
      </w:r>
      <w:r>
        <w:rPr>
          <w:spacing w:val="-9"/>
        </w:rPr>
        <w:t> </w:t>
      </w:r>
      <w:r>
        <w:rPr/>
        <w:t>is presented in </w:t>
      </w:r>
      <w:hyperlink w:history="true" w:anchor="_bookmark8">
        <w:r>
          <w:rPr/>
          <w:t>Figure 3.4. </w:t>
        </w:r>
      </w:hyperlink>
      <w:r>
        <w:rPr/>
        <w:t>After cooling the flue gas, it is</w:t>
      </w:r>
      <w:r>
        <w:rPr>
          <w:spacing w:val="-30"/>
        </w:rPr>
        <w:t> </w:t>
      </w:r>
      <w:r>
        <w:rPr/>
        <w:t>brought into contact with the solvent in the absorber. A blower is required</w:t>
      </w:r>
      <w:r>
        <w:rPr>
          <w:spacing w:val="-11"/>
        </w:rPr>
        <w:t> </w:t>
      </w:r>
      <w:r>
        <w:rPr/>
        <w:t>to</w:t>
      </w:r>
      <w:r>
        <w:rPr>
          <w:spacing w:val="-10"/>
        </w:rPr>
        <w:t> </w:t>
      </w:r>
      <w:r>
        <w:rPr/>
        <w:t>overcome</w:t>
      </w:r>
      <w:r>
        <w:rPr>
          <w:spacing w:val="-10"/>
        </w:rPr>
        <w:t> </w:t>
      </w:r>
      <w:r>
        <w:rPr/>
        <w:t>the</w:t>
      </w:r>
      <w:r>
        <w:rPr>
          <w:spacing w:val="-10"/>
        </w:rPr>
        <w:t> </w:t>
      </w:r>
      <w:r>
        <w:rPr/>
        <w:t>pressure</w:t>
      </w:r>
      <w:r>
        <w:rPr>
          <w:spacing w:val="-10"/>
        </w:rPr>
        <w:t> </w:t>
      </w:r>
      <w:r>
        <w:rPr/>
        <w:t>drop</w:t>
      </w:r>
      <w:r>
        <w:rPr>
          <w:spacing w:val="-11"/>
        </w:rPr>
        <w:t> </w:t>
      </w:r>
      <w:r>
        <w:rPr/>
        <w:t>through</w:t>
      </w:r>
      <w:r>
        <w:rPr>
          <w:spacing w:val="-10"/>
        </w:rPr>
        <w:t> </w:t>
      </w:r>
      <w:r>
        <w:rPr/>
        <w:t>the</w:t>
      </w:r>
      <w:r>
        <w:rPr>
          <w:spacing w:val="-10"/>
        </w:rPr>
        <w:t> </w:t>
      </w:r>
      <w:r>
        <w:rPr/>
        <w:t>absorber.</w:t>
      </w:r>
      <w:r>
        <w:rPr>
          <w:spacing w:val="-21"/>
        </w:rPr>
        <w:t> </w:t>
      </w:r>
      <w:r>
        <w:rPr>
          <w:spacing w:val="-7"/>
        </w:rPr>
        <w:t>At </w:t>
      </w:r>
      <w:r>
        <w:rPr/>
        <w:t>absorber temperatures typically between 40 and 60</w:t>
      </w:r>
      <w:r>
        <w:rPr>
          <w:position w:val="7"/>
          <w:sz w:val="11"/>
        </w:rPr>
        <w:t>o</w:t>
      </w:r>
      <w:r>
        <w:rPr/>
        <w:t>C, CO </w:t>
      </w:r>
      <w:r>
        <w:rPr>
          <w:spacing w:val="-6"/>
        </w:rPr>
        <w:t>is </w:t>
      </w:r>
      <w:r>
        <w:rPr/>
        <w:t>bound</w:t>
      </w:r>
      <w:r>
        <w:rPr>
          <w:spacing w:val="-12"/>
        </w:rPr>
        <w:t> </w:t>
      </w:r>
      <w:r>
        <w:rPr/>
        <w:t>by</w:t>
      </w:r>
      <w:r>
        <w:rPr>
          <w:spacing w:val="-12"/>
        </w:rPr>
        <w:t> </w:t>
      </w:r>
      <w:r>
        <w:rPr/>
        <w:t>the</w:t>
      </w:r>
      <w:r>
        <w:rPr>
          <w:spacing w:val="-12"/>
        </w:rPr>
        <w:t> </w:t>
      </w:r>
      <w:r>
        <w:rPr/>
        <w:t>chemical</w:t>
      </w:r>
      <w:r>
        <w:rPr>
          <w:spacing w:val="-11"/>
        </w:rPr>
        <w:t> </w:t>
      </w:r>
      <w:r>
        <w:rPr/>
        <w:t>solvent</w:t>
      </w:r>
      <w:r>
        <w:rPr>
          <w:spacing w:val="-12"/>
        </w:rPr>
        <w:t> </w:t>
      </w:r>
      <w:r>
        <w:rPr/>
        <w:t>in</w:t>
      </w:r>
      <w:r>
        <w:rPr>
          <w:spacing w:val="-12"/>
        </w:rPr>
        <w:t> </w:t>
      </w:r>
      <w:r>
        <w:rPr/>
        <w:t>the</w:t>
      </w:r>
      <w:r>
        <w:rPr>
          <w:spacing w:val="-12"/>
        </w:rPr>
        <w:t> </w:t>
      </w:r>
      <w:r>
        <w:rPr/>
        <w:t>absorber.</w:t>
      </w:r>
      <w:r>
        <w:rPr>
          <w:spacing w:val="-15"/>
        </w:rPr>
        <w:t> </w:t>
      </w:r>
      <w:r>
        <w:rPr/>
        <w:t>The</w:t>
      </w:r>
      <w:r>
        <w:rPr>
          <w:spacing w:val="-12"/>
        </w:rPr>
        <w:t> </w:t>
      </w:r>
      <w:r>
        <w:rPr/>
        <w:t>flue</w:t>
      </w:r>
      <w:r>
        <w:rPr>
          <w:spacing w:val="-12"/>
        </w:rPr>
        <w:t> </w:t>
      </w:r>
      <w:r>
        <w:rPr/>
        <w:t>gas</w:t>
      </w:r>
      <w:r>
        <w:rPr>
          <w:spacing w:val="-11"/>
        </w:rPr>
        <w:t> </w:t>
      </w:r>
      <w:r>
        <w:rPr/>
        <w:t>then undergoes a water wash section to balance water in the system and to remove any solvent droplets or solvent vapour carried over, and then it leaves the absorber. It is possible to </w:t>
      </w:r>
      <w:r>
        <w:rPr>
          <w:spacing w:val="-3"/>
        </w:rPr>
        <w:t>reduce </w:t>
      </w:r>
      <w:r>
        <w:rPr/>
        <w:t>CO</w:t>
      </w:r>
      <w:r>
        <w:rPr>
          <w:position w:val="-6"/>
          <w:sz w:val="11"/>
        </w:rPr>
        <w:t>2 </w:t>
      </w:r>
      <w:r>
        <w:rPr/>
        <w:t>concentration in the exit gas down to very low values, as  a result of the chemical reaction in the solvent, but lower exit concentrations tend to increase the height of the absorption vessel.</w:t>
      </w:r>
      <w:r>
        <w:rPr>
          <w:spacing w:val="-11"/>
        </w:rPr>
        <w:t> </w:t>
      </w:r>
      <w:r>
        <w:rPr/>
        <w:t>The</w:t>
      </w:r>
      <w:r>
        <w:rPr>
          <w:spacing w:val="-6"/>
        </w:rPr>
        <w:t> </w:t>
      </w:r>
      <w:r>
        <w:rPr/>
        <w:t>‘rich’</w:t>
      </w:r>
      <w:r>
        <w:rPr>
          <w:spacing w:val="-21"/>
        </w:rPr>
        <w:t> </w:t>
      </w:r>
      <w:r>
        <w:rPr/>
        <w:t>solvent,</w:t>
      </w:r>
      <w:r>
        <w:rPr>
          <w:spacing w:val="-6"/>
        </w:rPr>
        <w:t> </w:t>
      </w:r>
      <w:r>
        <w:rPr/>
        <w:t>which</w:t>
      </w:r>
      <w:r>
        <w:rPr>
          <w:spacing w:val="-7"/>
        </w:rPr>
        <w:t> </w:t>
      </w:r>
      <w:r>
        <w:rPr/>
        <w:t>contains</w:t>
      </w:r>
      <w:r>
        <w:rPr>
          <w:spacing w:val="-6"/>
        </w:rPr>
        <w:t> </w:t>
      </w:r>
      <w:r>
        <w:rPr/>
        <w:t>the</w:t>
      </w:r>
      <w:r>
        <w:rPr>
          <w:spacing w:val="-7"/>
        </w:rPr>
        <w:t> </w:t>
      </w:r>
      <w:r>
        <w:rPr/>
        <w:t>chemically</w:t>
      </w:r>
      <w:r>
        <w:rPr>
          <w:spacing w:val="-6"/>
        </w:rPr>
        <w:t> </w:t>
      </w:r>
      <w:r>
        <w:rPr/>
        <w:t>bound CO</w:t>
      </w:r>
      <w:r>
        <w:rPr>
          <w:position w:val="-6"/>
          <w:sz w:val="11"/>
        </w:rPr>
        <w:t>2 </w:t>
      </w:r>
      <w:r>
        <w:rPr/>
        <w:t>is then pumped to the top of a stripper (or regeneration vessel), via a heat exchanger. The regeneration of the chemical solvent is carried out in the stripper at elevated temperatures (100</w:t>
      </w:r>
      <w:r>
        <w:rPr>
          <w:position w:val="7"/>
          <w:sz w:val="11"/>
        </w:rPr>
        <w:t>o</w:t>
      </w:r>
      <w:r>
        <w:rPr/>
        <w:t>C–140</w:t>
      </w:r>
      <w:r>
        <w:rPr>
          <w:position w:val="7"/>
          <w:sz w:val="11"/>
        </w:rPr>
        <w:t>o</w:t>
      </w:r>
      <w:r>
        <w:rPr/>
        <w:t>C) and pressures not very much higher </w:t>
      </w:r>
      <w:r>
        <w:rPr>
          <w:spacing w:val="-4"/>
        </w:rPr>
        <w:t>than </w:t>
      </w:r>
      <w:r>
        <w:rPr/>
        <w:t>atmospheric pressure. Heat is supplied to the reboiler to maintain the regeneration conditions. This leads to a thermal energy penalty as a result of heating up the solvent, providing the required desorption heat for removing the chemically bound CO</w:t>
      </w:r>
      <w:r>
        <w:rPr>
          <w:position w:val="-6"/>
          <w:sz w:val="11"/>
        </w:rPr>
        <w:t>2 </w:t>
      </w:r>
      <w:r>
        <w:rPr/>
        <w:t>and for steam production which acts as a stripping gas. Steam is recovered in the condenser and fed back to </w:t>
      </w:r>
      <w:r>
        <w:rPr>
          <w:spacing w:val="-4"/>
        </w:rPr>
        <w:t>the </w:t>
      </w:r>
      <w:r>
        <w:rPr/>
        <w:t>stripper, whereas the CO</w:t>
      </w:r>
      <w:r>
        <w:rPr>
          <w:position w:val="-6"/>
          <w:sz w:val="11"/>
        </w:rPr>
        <w:t>2 </w:t>
      </w:r>
      <w:r>
        <w:rPr/>
        <w:t>product gas leaves the </w:t>
      </w:r>
      <w:r>
        <w:rPr>
          <w:spacing w:val="-3"/>
        </w:rPr>
        <w:t>stripper. </w:t>
      </w:r>
      <w:r>
        <w:rPr/>
        <w:t>The ‘lean’ solvent, containing far less CO</w:t>
      </w:r>
      <w:r>
        <w:rPr>
          <w:position w:val="-6"/>
          <w:sz w:val="11"/>
        </w:rPr>
        <w:t>2 </w:t>
      </w:r>
      <w:r>
        <w:rPr/>
        <w:t>is then pumped back to the absorber via the lean-rich heat exchanger and a cooler </w:t>
      </w:r>
      <w:r>
        <w:rPr>
          <w:spacing w:val="-8"/>
        </w:rPr>
        <w:t>to </w:t>
      </w:r>
      <w:r>
        <w:rPr/>
        <w:t>bring it down to the absorber temperature level.</w:t>
      </w:r>
    </w:p>
    <w:p>
      <w:pPr>
        <w:pStyle w:val="BodyText"/>
        <w:spacing w:line="249" w:lineRule="auto" w:before="6"/>
        <w:ind w:left="513" w:right="1" w:firstLine="284"/>
        <w:jc w:val="both"/>
      </w:pPr>
      <w:r>
        <w:rPr/>
        <w:t>Figure 3.4 also shows some additional equipment needed to</w:t>
      </w:r>
      <w:r>
        <w:rPr>
          <w:spacing w:val="10"/>
        </w:rPr>
        <w:t> </w:t>
      </w:r>
      <w:r>
        <w:rPr/>
        <w:t>maintain</w:t>
      </w:r>
      <w:r>
        <w:rPr>
          <w:spacing w:val="10"/>
        </w:rPr>
        <w:t> </w:t>
      </w:r>
      <w:r>
        <w:rPr/>
        <w:t>the</w:t>
      </w:r>
      <w:r>
        <w:rPr>
          <w:spacing w:val="11"/>
        </w:rPr>
        <w:t> </w:t>
      </w:r>
      <w:r>
        <w:rPr/>
        <w:t>solution</w:t>
      </w:r>
      <w:r>
        <w:rPr>
          <w:spacing w:val="10"/>
        </w:rPr>
        <w:t> </w:t>
      </w:r>
      <w:r>
        <w:rPr/>
        <w:t>quality</w:t>
      </w:r>
      <w:r>
        <w:rPr>
          <w:spacing w:val="10"/>
        </w:rPr>
        <w:t> </w:t>
      </w:r>
      <w:r>
        <w:rPr/>
        <w:t>as</w:t>
      </w:r>
      <w:r>
        <w:rPr>
          <w:spacing w:val="11"/>
        </w:rPr>
        <w:t> </w:t>
      </w:r>
      <w:r>
        <w:rPr/>
        <w:t>a</w:t>
      </w:r>
      <w:r>
        <w:rPr>
          <w:spacing w:val="10"/>
        </w:rPr>
        <w:t> </w:t>
      </w:r>
      <w:r>
        <w:rPr/>
        <w:t>result</w:t>
      </w:r>
      <w:r>
        <w:rPr>
          <w:spacing w:val="11"/>
        </w:rPr>
        <w:t> </w:t>
      </w:r>
      <w:r>
        <w:rPr/>
        <w:t>of</w:t>
      </w:r>
      <w:r>
        <w:rPr>
          <w:spacing w:val="10"/>
        </w:rPr>
        <w:t> </w:t>
      </w:r>
      <w:r>
        <w:rPr/>
        <w:t>the</w:t>
      </w:r>
      <w:r>
        <w:rPr>
          <w:spacing w:val="10"/>
        </w:rPr>
        <w:t> </w:t>
      </w:r>
      <w:r>
        <w:rPr/>
        <w:t>formation</w:t>
      </w:r>
      <w:r>
        <w:rPr>
          <w:spacing w:val="11"/>
        </w:rPr>
        <w:t> </w:t>
      </w:r>
      <w:r>
        <w:rPr/>
        <w:t>of</w:t>
      </w:r>
    </w:p>
    <w:p>
      <w:pPr>
        <w:pStyle w:val="BodyText"/>
        <w:spacing w:before="4"/>
        <w:rPr>
          <w:sz w:val="18"/>
        </w:rPr>
      </w:pPr>
      <w:r>
        <w:rPr/>
        <w:br w:type="column"/>
      </w:r>
      <w:r>
        <w:rPr>
          <w:sz w:val="18"/>
        </w:rPr>
      </w:r>
    </w:p>
    <w:p>
      <w:pPr>
        <w:pStyle w:val="BodyText"/>
        <w:spacing w:line="249" w:lineRule="auto"/>
        <w:ind w:left="241" w:right="733"/>
        <w:jc w:val="both"/>
      </w:pPr>
      <w:r>
        <w:rPr/>
        <w:t>degradation products, corrosion products and the presence of particles. This is generally done using filters, carbon beds and a thermally operated reclaimer. Control of degradation </w:t>
      </w:r>
      <w:r>
        <w:rPr>
          <w:spacing w:val="-5"/>
        </w:rPr>
        <w:t>and </w:t>
      </w:r>
      <w:r>
        <w:rPr/>
        <w:t>corrosion</w:t>
      </w:r>
      <w:r>
        <w:rPr>
          <w:spacing w:val="-22"/>
        </w:rPr>
        <w:t> </w:t>
      </w:r>
      <w:r>
        <w:rPr/>
        <w:t>has</w:t>
      </w:r>
      <w:r>
        <w:rPr>
          <w:spacing w:val="-22"/>
        </w:rPr>
        <w:t> </w:t>
      </w:r>
      <w:r>
        <w:rPr/>
        <w:t>in</w:t>
      </w:r>
      <w:r>
        <w:rPr>
          <w:spacing w:val="-22"/>
        </w:rPr>
        <w:t> </w:t>
      </w:r>
      <w:r>
        <w:rPr/>
        <w:t>fact</w:t>
      </w:r>
      <w:r>
        <w:rPr>
          <w:spacing w:val="-22"/>
        </w:rPr>
        <w:t> </w:t>
      </w:r>
      <w:r>
        <w:rPr/>
        <w:t>been</w:t>
      </w:r>
      <w:r>
        <w:rPr>
          <w:spacing w:val="-22"/>
        </w:rPr>
        <w:t> </w:t>
      </w:r>
      <w:r>
        <w:rPr/>
        <w:t>an</w:t>
      </w:r>
      <w:r>
        <w:rPr>
          <w:spacing w:val="-22"/>
        </w:rPr>
        <w:t> </w:t>
      </w:r>
      <w:r>
        <w:rPr/>
        <w:t>important</w:t>
      </w:r>
      <w:r>
        <w:rPr>
          <w:spacing w:val="-22"/>
        </w:rPr>
        <w:t> </w:t>
      </w:r>
      <w:r>
        <w:rPr/>
        <w:t>aspect</w:t>
      </w:r>
      <w:r>
        <w:rPr>
          <w:spacing w:val="-22"/>
        </w:rPr>
        <w:t> </w:t>
      </w:r>
      <w:r>
        <w:rPr/>
        <w:t>in</w:t>
      </w:r>
      <w:r>
        <w:rPr>
          <w:spacing w:val="-22"/>
        </w:rPr>
        <w:t> </w:t>
      </w:r>
      <w:r>
        <w:rPr/>
        <w:t>the</w:t>
      </w:r>
      <w:r>
        <w:rPr>
          <w:spacing w:val="-22"/>
        </w:rPr>
        <w:t> </w:t>
      </w:r>
      <w:r>
        <w:rPr/>
        <w:t>development of absorption processes over the past few decades.</w:t>
      </w:r>
    </w:p>
    <w:p>
      <w:pPr>
        <w:pStyle w:val="BodyText"/>
        <w:spacing w:line="249" w:lineRule="auto" w:before="4"/>
        <w:ind w:left="241" w:right="734" w:firstLine="284"/>
        <w:jc w:val="both"/>
      </w:pPr>
      <w:r>
        <w:rPr/>
        <w:t>The</w:t>
      </w:r>
      <w:r>
        <w:rPr>
          <w:spacing w:val="-12"/>
        </w:rPr>
        <w:t> </w:t>
      </w:r>
      <w:r>
        <w:rPr/>
        <w:t>key</w:t>
      </w:r>
      <w:r>
        <w:rPr>
          <w:spacing w:val="-12"/>
        </w:rPr>
        <w:t> </w:t>
      </w:r>
      <w:r>
        <w:rPr/>
        <w:t>parameters</w:t>
      </w:r>
      <w:r>
        <w:rPr>
          <w:spacing w:val="-12"/>
        </w:rPr>
        <w:t> </w:t>
      </w:r>
      <w:r>
        <w:rPr/>
        <w:t>determining</w:t>
      </w:r>
      <w:r>
        <w:rPr>
          <w:spacing w:val="-12"/>
        </w:rPr>
        <w:t> </w:t>
      </w:r>
      <w:r>
        <w:rPr/>
        <w:t>the</w:t>
      </w:r>
      <w:r>
        <w:rPr>
          <w:spacing w:val="-11"/>
        </w:rPr>
        <w:t> </w:t>
      </w:r>
      <w:r>
        <w:rPr/>
        <w:t>technical</w:t>
      </w:r>
      <w:r>
        <w:rPr>
          <w:spacing w:val="-12"/>
        </w:rPr>
        <w:t> </w:t>
      </w:r>
      <w:r>
        <w:rPr/>
        <w:t>and</w:t>
      </w:r>
      <w:r>
        <w:rPr>
          <w:spacing w:val="-12"/>
        </w:rPr>
        <w:t> </w:t>
      </w:r>
      <w:r>
        <w:rPr/>
        <w:t>economic operation of a CO</w:t>
      </w:r>
      <w:r>
        <w:rPr>
          <w:position w:val="-6"/>
          <w:sz w:val="11"/>
        </w:rPr>
        <w:t>2 </w:t>
      </w:r>
      <w:r>
        <w:rPr/>
        <w:t>absorption system</w:t>
      </w:r>
      <w:r>
        <w:rPr>
          <w:spacing w:val="-7"/>
        </w:rPr>
        <w:t> </w:t>
      </w:r>
      <w:r>
        <w:rPr/>
        <w:t>are:</w:t>
      </w:r>
    </w:p>
    <w:p>
      <w:pPr>
        <w:pStyle w:val="ListParagraph"/>
        <w:numPr>
          <w:ilvl w:val="4"/>
          <w:numId w:val="5"/>
        </w:numPr>
        <w:tabs>
          <w:tab w:pos="525" w:val="left" w:leader="none"/>
        </w:tabs>
        <w:spacing w:line="181" w:lineRule="exact" w:before="0" w:after="0"/>
        <w:ind w:left="524" w:right="0" w:hanging="284"/>
        <w:jc w:val="both"/>
        <w:rPr>
          <w:sz w:val="20"/>
        </w:rPr>
      </w:pPr>
      <w:r>
        <w:rPr>
          <w:i/>
          <w:sz w:val="20"/>
        </w:rPr>
        <w:t>Flue</w:t>
      </w:r>
      <w:r>
        <w:rPr>
          <w:i/>
          <w:spacing w:val="-10"/>
          <w:sz w:val="20"/>
        </w:rPr>
        <w:t> </w:t>
      </w:r>
      <w:r>
        <w:rPr>
          <w:i/>
          <w:sz w:val="20"/>
        </w:rPr>
        <w:t>gas</w:t>
      </w:r>
      <w:r>
        <w:rPr>
          <w:i/>
          <w:spacing w:val="-10"/>
          <w:sz w:val="20"/>
        </w:rPr>
        <w:t> </w:t>
      </w:r>
      <w:r>
        <w:rPr>
          <w:i/>
          <w:sz w:val="20"/>
        </w:rPr>
        <w:t>flow</w:t>
      </w:r>
      <w:r>
        <w:rPr>
          <w:i/>
          <w:spacing w:val="-9"/>
          <w:sz w:val="20"/>
        </w:rPr>
        <w:t> </w:t>
      </w:r>
      <w:r>
        <w:rPr>
          <w:i/>
          <w:sz w:val="20"/>
        </w:rPr>
        <w:t>rate</w:t>
      </w:r>
      <w:r>
        <w:rPr>
          <w:i/>
          <w:spacing w:val="-10"/>
          <w:sz w:val="20"/>
        </w:rPr>
        <w:t> </w:t>
      </w:r>
      <w:r>
        <w:rPr>
          <w:sz w:val="20"/>
        </w:rPr>
        <w:t>-</w:t>
      </w:r>
      <w:r>
        <w:rPr>
          <w:spacing w:val="-13"/>
          <w:sz w:val="20"/>
        </w:rPr>
        <w:t> </w:t>
      </w:r>
      <w:r>
        <w:rPr>
          <w:sz w:val="20"/>
        </w:rPr>
        <w:t>The</w:t>
      </w:r>
      <w:r>
        <w:rPr>
          <w:spacing w:val="-9"/>
          <w:sz w:val="20"/>
        </w:rPr>
        <w:t> </w:t>
      </w:r>
      <w:r>
        <w:rPr>
          <w:sz w:val="20"/>
        </w:rPr>
        <w:t>flue</w:t>
      </w:r>
      <w:r>
        <w:rPr>
          <w:spacing w:val="-10"/>
          <w:sz w:val="20"/>
        </w:rPr>
        <w:t> </w:t>
      </w:r>
      <w:r>
        <w:rPr>
          <w:sz w:val="20"/>
        </w:rPr>
        <w:t>gas</w:t>
      </w:r>
      <w:r>
        <w:rPr>
          <w:spacing w:val="-9"/>
          <w:sz w:val="20"/>
        </w:rPr>
        <w:t> </w:t>
      </w:r>
      <w:r>
        <w:rPr>
          <w:sz w:val="20"/>
        </w:rPr>
        <w:t>flow</w:t>
      </w:r>
      <w:r>
        <w:rPr>
          <w:spacing w:val="-10"/>
          <w:sz w:val="20"/>
        </w:rPr>
        <w:t> </w:t>
      </w:r>
      <w:r>
        <w:rPr>
          <w:sz w:val="20"/>
        </w:rPr>
        <w:t>rate</w:t>
      </w:r>
      <w:r>
        <w:rPr>
          <w:spacing w:val="-9"/>
          <w:sz w:val="20"/>
        </w:rPr>
        <w:t> </w:t>
      </w:r>
      <w:r>
        <w:rPr>
          <w:sz w:val="20"/>
        </w:rPr>
        <w:t>will</w:t>
      </w:r>
      <w:r>
        <w:rPr>
          <w:spacing w:val="-10"/>
          <w:sz w:val="20"/>
        </w:rPr>
        <w:t> </w:t>
      </w:r>
      <w:r>
        <w:rPr>
          <w:sz w:val="20"/>
        </w:rPr>
        <w:t>determine</w:t>
      </w:r>
      <w:r>
        <w:rPr>
          <w:spacing w:val="-9"/>
          <w:sz w:val="20"/>
        </w:rPr>
        <w:t> </w:t>
      </w:r>
      <w:r>
        <w:rPr>
          <w:sz w:val="20"/>
        </w:rPr>
        <w:t>the</w:t>
      </w:r>
    </w:p>
    <w:p>
      <w:pPr>
        <w:pStyle w:val="BodyText"/>
        <w:spacing w:line="249" w:lineRule="auto" w:before="10"/>
        <w:ind w:left="524" w:right="734"/>
        <w:jc w:val="both"/>
      </w:pPr>
      <w:r>
        <w:rPr/>
        <w:t>size of the absorber and the absorber represents a sizeable contribution to the overall cost.</w:t>
      </w:r>
    </w:p>
    <w:p>
      <w:pPr>
        <w:pStyle w:val="ListParagraph"/>
        <w:numPr>
          <w:ilvl w:val="4"/>
          <w:numId w:val="5"/>
        </w:numPr>
        <w:tabs>
          <w:tab w:pos="525" w:val="left" w:leader="none"/>
        </w:tabs>
        <w:spacing w:line="206" w:lineRule="auto" w:before="21" w:after="0"/>
        <w:ind w:left="524" w:right="733" w:hanging="284"/>
        <w:jc w:val="both"/>
        <w:rPr>
          <w:sz w:val="20"/>
        </w:rPr>
      </w:pPr>
      <w:r>
        <w:rPr>
          <w:i/>
          <w:sz w:val="20"/>
        </w:rPr>
        <w:t>CO</w:t>
      </w:r>
      <w:r>
        <w:rPr>
          <w:i/>
          <w:position w:val="-6"/>
          <w:sz w:val="11"/>
        </w:rPr>
        <w:t>2 </w:t>
      </w:r>
      <w:r>
        <w:rPr>
          <w:i/>
          <w:sz w:val="20"/>
        </w:rPr>
        <w:t>content in flue gas </w:t>
      </w:r>
      <w:r>
        <w:rPr>
          <w:sz w:val="20"/>
        </w:rPr>
        <w:t>- Since flue gas is usually at atmospheric pressure, the partial pressure of CO</w:t>
      </w:r>
      <w:r>
        <w:rPr>
          <w:position w:val="-6"/>
          <w:sz w:val="11"/>
        </w:rPr>
        <w:t>2  </w:t>
      </w:r>
      <w:r>
        <w:rPr>
          <w:sz w:val="20"/>
        </w:rPr>
        <w:t>will be  as low as 3-15 kPa. Under these low CO</w:t>
      </w:r>
      <w:r>
        <w:rPr>
          <w:position w:val="-6"/>
          <w:sz w:val="11"/>
        </w:rPr>
        <w:t>2 </w:t>
      </w:r>
      <w:r>
        <w:rPr>
          <w:sz w:val="20"/>
        </w:rPr>
        <w:t>partial pressure conditions,</w:t>
      </w:r>
      <w:r>
        <w:rPr>
          <w:spacing w:val="-14"/>
          <w:sz w:val="20"/>
        </w:rPr>
        <w:t> </w:t>
      </w:r>
      <w:r>
        <w:rPr>
          <w:sz w:val="20"/>
        </w:rPr>
        <w:t>aqueous</w:t>
      </w:r>
      <w:r>
        <w:rPr>
          <w:spacing w:val="-13"/>
          <w:sz w:val="20"/>
        </w:rPr>
        <w:t> </w:t>
      </w:r>
      <w:r>
        <w:rPr>
          <w:sz w:val="20"/>
        </w:rPr>
        <w:t>amines</w:t>
      </w:r>
      <w:r>
        <w:rPr>
          <w:spacing w:val="-13"/>
          <w:sz w:val="20"/>
        </w:rPr>
        <w:t> </w:t>
      </w:r>
      <w:r>
        <w:rPr>
          <w:sz w:val="20"/>
        </w:rPr>
        <w:t>(chemical</w:t>
      </w:r>
      <w:r>
        <w:rPr>
          <w:spacing w:val="-14"/>
          <w:sz w:val="20"/>
        </w:rPr>
        <w:t> </w:t>
      </w:r>
      <w:r>
        <w:rPr>
          <w:sz w:val="20"/>
        </w:rPr>
        <w:t>solvents)</w:t>
      </w:r>
      <w:r>
        <w:rPr>
          <w:spacing w:val="-14"/>
          <w:sz w:val="20"/>
        </w:rPr>
        <w:t> </w:t>
      </w:r>
      <w:r>
        <w:rPr>
          <w:sz w:val="20"/>
        </w:rPr>
        <w:t>are</w:t>
      </w:r>
      <w:r>
        <w:rPr>
          <w:spacing w:val="-13"/>
          <w:sz w:val="20"/>
        </w:rPr>
        <w:t> </w:t>
      </w:r>
      <w:r>
        <w:rPr>
          <w:sz w:val="20"/>
        </w:rPr>
        <w:t>the</w:t>
      </w:r>
      <w:r>
        <w:rPr>
          <w:spacing w:val="-13"/>
          <w:sz w:val="20"/>
        </w:rPr>
        <w:t> </w:t>
      </w:r>
      <w:r>
        <w:rPr>
          <w:sz w:val="20"/>
        </w:rPr>
        <w:t>most</w:t>
      </w:r>
    </w:p>
    <w:p>
      <w:pPr>
        <w:pStyle w:val="BodyText"/>
        <w:spacing w:line="228" w:lineRule="exact"/>
        <w:ind w:left="524"/>
        <w:jc w:val="both"/>
      </w:pPr>
      <w:r>
        <w:rPr/>
        <w:t>suitable absorption solvents (Kohl and Nielsen, 1997).</w:t>
      </w:r>
    </w:p>
    <w:p>
      <w:pPr>
        <w:pStyle w:val="ListParagraph"/>
        <w:numPr>
          <w:ilvl w:val="4"/>
          <w:numId w:val="5"/>
        </w:numPr>
        <w:tabs>
          <w:tab w:pos="525" w:val="left" w:leader="none"/>
        </w:tabs>
        <w:spacing w:line="240" w:lineRule="exact" w:before="5" w:after="0"/>
        <w:ind w:left="524" w:right="733" w:hanging="284"/>
        <w:jc w:val="both"/>
        <w:rPr>
          <w:sz w:val="20"/>
        </w:rPr>
      </w:pPr>
      <w:r>
        <w:rPr>
          <w:i/>
          <w:sz w:val="20"/>
        </w:rPr>
        <w:t>CO</w:t>
      </w:r>
      <w:r>
        <w:rPr>
          <w:i/>
          <w:position w:val="-6"/>
          <w:sz w:val="11"/>
        </w:rPr>
        <w:t>2</w:t>
      </w:r>
      <w:r>
        <w:rPr>
          <w:i/>
          <w:spacing w:val="-2"/>
          <w:position w:val="-6"/>
          <w:sz w:val="11"/>
        </w:rPr>
        <w:t> </w:t>
      </w:r>
      <w:r>
        <w:rPr>
          <w:i/>
          <w:sz w:val="20"/>
        </w:rPr>
        <w:t>removal</w:t>
      </w:r>
      <w:r>
        <w:rPr>
          <w:i/>
          <w:spacing w:val="-23"/>
          <w:sz w:val="20"/>
        </w:rPr>
        <w:t> </w:t>
      </w:r>
      <w:r>
        <w:rPr>
          <w:sz w:val="20"/>
        </w:rPr>
        <w:t>-</w:t>
      </w:r>
      <w:r>
        <w:rPr>
          <w:spacing w:val="-23"/>
          <w:sz w:val="20"/>
        </w:rPr>
        <w:t> </w:t>
      </w:r>
      <w:r>
        <w:rPr>
          <w:sz w:val="20"/>
        </w:rPr>
        <w:t>In</w:t>
      </w:r>
      <w:r>
        <w:rPr>
          <w:spacing w:val="-23"/>
          <w:sz w:val="20"/>
        </w:rPr>
        <w:t> </w:t>
      </w:r>
      <w:r>
        <w:rPr>
          <w:sz w:val="20"/>
        </w:rPr>
        <w:t>practice,</w:t>
      </w:r>
      <w:r>
        <w:rPr>
          <w:spacing w:val="-24"/>
          <w:sz w:val="20"/>
        </w:rPr>
        <w:t> </w:t>
      </w:r>
      <w:r>
        <w:rPr>
          <w:sz w:val="20"/>
        </w:rPr>
        <w:t>typical</w:t>
      </w:r>
      <w:r>
        <w:rPr>
          <w:spacing w:val="-23"/>
          <w:sz w:val="20"/>
        </w:rPr>
        <w:t> </w:t>
      </w:r>
      <w:r>
        <w:rPr>
          <w:sz w:val="20"/>
        </w:rPr>
        <w:t>CO</w:t>
      </w:r>
      <w:r>
        <w:rPr>
          <w:position w:val="-6"/>
          <w:sz w:val="11"/>
        </w:rPr>
        <w:t>2</w:t>
      </w:r>
      <w:r>
        <w:rPr>
          <w:spacing w:val="-1"/>
          <w:position w:val="-6"/>
          <w:sz w:val="11"/>
        </w:rPr>
        <w:t> </w:t>
      </w:r>
      <w:r>
        <w:rPr>
          <w:sz w:val="20"/>
        </w:rPr>
        <w:t>recoveries</w:t>
      </w:r>
      <w:r>
        <w:rPr>
          <w:spacing w:val="-23"/>
          <w:sz w:val="20"/>
        </w:rPr>
        <w:t> </w:t>
      </w:r>
      <w:r>
        <w:rPr>
          <w:sz w:val="20"/>
        </w:rPr>
        <w:t>are</w:t>
      </w:r>
      <w:r>
        <w:rPr>
          <w:spacing w:val="-23"/>
          <w:sz w:val="20"/>
        </w:rPr>
        <w:t> </w:t>
      </w:r>
      <w:r>
        <w:rPr>
          <w:sz w:val="20"/>
        </w:rPr>
        <w:t>between 80% and 95%. The exact recovery choice is an economic trade-off, a higher recovery will lead to a taller absorption column, higher energy penalties and hence increased</w:t>
      </w:r>
      <w:r>
        <w:rPr>
          <w:spacing w:val="-4"/>
          <w:sz w:val="20"/>
        </w:rPr>
        <w:t> </w:t>
      </w:r>
      <w:r>
        <w:rPr>
          <w:sz w:val="20"/>
        </w:rPr>
        <w:t>costs.</w:t>
      </w:r>
    </w:p>
    <w:p>
      <w:pPr>
        <w:pStyle w:val="ListParagraph"/>
        <w:numPr>
          <w:ilvl w:val="4"/>
          <w:numId w:val="5"/>
        </w:numPr>
        <w:tabs>
          <w:tab w:pos="525" w:val="left" w:leader="none"/>
        </w:tabs>
        <w:spacing w:line="240" w:lineRule="exact" w:before="0" w:after="0"/>
        <w:ind w:left="524" w:right="734" w:hanging="284"/>
        <w:jc w:val="both"/>
        <w:rPr>
          <w:sz w:val="20"/>
        </w:rPr>
      </w:pPr>
      <w:r>
        <w:rPr>
          <w:i/>
          <w:sz w:val="20"/>
        </w:rPr>
        <w:t>Solvent flow rate </w:t>
      </w:r>
      <w:r>
        <w:rPr>
          <w:sz w:val="20"/>
        </w:rPr>
        <w:t>- The solvent flow rate will determine  the size of most equipment apart from the absorber. For a given solvent, the flow rate will be fixed by the previous parameters and also the chosen CO</w:t>
      </w:r>
      <w:r>
        <w:rPr>
          <w:position w:val="-6"/>
          <w:sz w:val="11"/>
        </w:rPr>
        <w:t>2 </w:t>
      </w:r>
      <w:r>
        <w:rPr>
          <w:sz w:val="20"/>
        </w:rPr>
        <w:t>concentrations within the lean and the rich</w:t>
      </w:r>
      <w:r>
        <w:rPr>
          <w:spacing w:val="-1"/>
          <w:sz w:val="20"/>
        </w:rPr>
        <w:t> </w:t>
      </w:r>
      <w:r>
        <w:rPr>
          <w:sz w:val="20"/>
        </w:rPr>
        <w:t>solutions.</w:t>
      </w:r>
    </w:p>
    <w:p>
      <w:pPr>
        <w:pStyle w:val="ListParagraph"/>
        <w:numPr>
          <w:ilvl w:val="4"/>
          <w:numId w:val="5"/>
        </w:numPr>
        <w:tabs>
          <w:tab w:pos="525" w:val="left" w:leader="none"/>
        </w:tabs>
        <w:spacing w:line="240" w:lineRule="exact" w:before="0" w:after="0"/>
        <w:ind w:left="524" w:right="734" w:hanging="284"/>
        <w:jc w:val="both"/>
        <w:rPr>
          <w:sz w:val="20"/>
        </w:rPr>
      </w:pPr>
      <w:r>
        <w:rPr>
          <w:i/>
          <w:sz w:val="20"/>
        </w:rPr>
        <w:t>Energy</w:t>
      </w:r>
      <w:r>
        <w:rPr>
          <w:i/>
          <w:spacing w:val="-21"/>
          <w:sz w:val="20"/>
        </w:rPr>
        <w:t> </w:t>
      </w:r>
      <w:r>
        <w:rPr>
          <w:i/>
          <w:sz w:val="20"/>
        </w:rPr>
        <w:t>requirement</w:t>
      </w:r>
      <w:r>
        <w:rPr>
          <w:i/>
          <w:spacing w:val="-20"/>
          <w:sz w:val="20"/>
        </w:rPr>
        <w:t> </w:t>
      </w:r>
      <w:r>
        <w:rPr>
          <w:sz w:val="20"/>
        </w:rPr>
        <w:t>-</w:t>
      </w:r>
      <w:r>
        <w:rPr>
          <w:spacing w:val="-23"/>
          <w:sz w:val="20"/>
        </w:rPr>
        <w:t> </w:t>
      </w:r>
      <w:r>
        <w:rPr>
          <w:sz w:val="20"/>
        </w:rPr>
        <w:t>The</w:t>
      </w:r>
      <w:r>
        <w:rPr>
          <w:spacing w:val="-21"/>
          <w:sz w:val="20"/>
        </w:rPr>
        <w:t> </w:t>
      </w:r>
      <w:r>
        <w:rPr>
          <w:sz w:val="20"/>
        </w:rPr>
        <w:t>energy</w:t>
      </w:r>
      <w:r>
        <w:rPr>
          <w:spacing w:val="-20"/>
          <w:sz w:val="20"/>
        </w:rPr>
        <w:t> </w:t>
      </w:r>
      <w:r>
        <w:rPr>
          <w:sz w:val="20"/>
        </w:rPr>
        <w:t>consumption</w:t>
      </w:r>
      <w:r>
        <w:rPr>
          <w:spacing w:val="-21"/>
          <w:sz w:val="20"/>
        </w:rPr>
        <w:t> </w:t>
      </w:r>
      <w:r>
        <w:rPr>
          <w:sz w:val="20"/>
        </w:rPr>
        <w:t>of</w:t>
      </w:r>
      <w:r>
        <w:rPr>
          <w:spacing w:val="-20"/>
          <w:sz w:val="20"/>
        </w:rPr>
        <w:t> </w:t>
      </w:r>
      <w:r>
        <w:rPr>
          <w:sz w:val="20"/>
        </w:rPr>
        <w:t>the</w:t>
      </w:r>
      <w:r>
        <w:rPr>
          <w:spacing w:val="-21"/>
          <w:sz w:val="20"/>
        </w:rPr>
        <w:t> </w:t>
      </w:r>
      <w:r>
        <w:rPr>
          <w:sz w:val="20"/>
        </w:rPr>
        <w:t>process is the sum of the thermal energy needed to regenerate the solvents and the electrical energy required to operate liquid pumps</w:t>
      </w:r>
      <w:r>
        <w:rPr>
          <w:spacing w:val="-16"/>
          <w:sz w:val="20"/>
        </w:rPr>
        <w:t> </w:t>
      </w:r>
      <w:r>
        <w:rPr>
          <w:sz w:val="20"/>
        </w:rPr>
        <w:t>and</w:t>
      </w:r>
      <w:r>
        <w:rPr>
          <w:spacing w:val="-16"/>
          <w:sz w:val="20"/>
        </w:rPr>
        <w:t> </w:t>
      </w:r>
      <w:r>
        <w:rPr>
          <w:sz w:val="20"/>
        </w:rPr>
        <w:t>the</w:t>
      </w:r>
      <w:r>
        <w:rPr>
          <w:spacing w:val="-15"/>
          <w:sz w:val="20"/>
        </w:rPr>
        <w:t> </w:t>
      </w:r>
      <w:r>
        <w:rPr>
          <w:sz w:val="20"/>
        </w:rPr>
        <w:t>flue</w:t>
      </w:r>
      <w:r>
        <w:rPr>
          <w:spacing w:val="-16"/>
          <w:sz w:val="20"/>
        </w:rPr>
        <w:t> </w:t>
      </w:r>
      <w:r>
        <w:rPr>
          <w:sz w:val="20"/>
        </w:rPr>
        <w:t>gas</w:t>
      </w:r>
      <w:r>
        <w:rPr>
          <w:spacing w:val="-15"/>
          <w:sz w:val="20"/>
        </w:rPr>
        <w:t> </w:t>
      </w:r>
      <w:r>
        <w:rPr>
          <w:sz w:val="20"/>
        </w:rPr>
        <w:t>blower</w:t>
      </w:r>
      <w:r>
        <w:rPr>
          <w:spacing w:val="-16"/>
          <w:sz w:val="20"/>
        </w:rPr>
        <w:t> </w:t>
      </w:r>
      <w:r>
        <w:rPr>
          <w:sz w:val="20"/>
        </w:rPr>
        <w:t>or</w:t>
      </w:r>
      <w:r>
        <w:rPr>
          <w:spacing w:val="-16"/>
          <w:sz w:val="20"/>
        </w:rPr>
        <w:t> </w:t>
      </w:r>
      <w:r>
        <w:rPr>
          <w:sz w:val="20"/>
        </w:rPr>
        <w:t>fan.</w:t>
      </w:r>
      <w:r>
        <w:rPr>
          <w:spacing w:val="-15"/>
          <w:sz w:val="20"/>
        </w:rPr>
        <w:t> </w:t>
      </w:r>
      <w:r>
        <w:rPr>
          <w:sz w:val="20"/>
        </w:rPr>
        <w:t>Energy</w:t>
      </w:r>
      <w:r>
        <w:rPr>
          <w:spacing w:val="-16"/>
          <w:sz w:val="20"/>
        </w:rPr>
        <w:t> </w:t>
      </w:r>
      <w:r>
        <w:rPr>
          <w:sz w:val="20"/>
        </w:rPr>
        <w:t>is</w:t>
      </w:r>
      <w:r>
        <w:rPr>
          <w:spacing w:val="-15"/>
          <w:sz w:val="20"/>
        </w:rPr>
        <w:t> </w:t>
      </w:r>
      <w:r>
        <w:rPr>
          <w:sz w:val="20"/>
        </w:rPr>
        <w:t>also</w:t>
      </w:r>
      <w:r>
        <w:rPr>
          <w:spacing w:val="-16"/>
          <w:sz w:val="20"/>
        </w:rPr>
        <w:t> </w:t>
      </w:r>
      <w:r>
        <w:rPr>
          <w:sz w:val="20"/>
        </w:rPr>
        <w:t>required to</w:t>
      </w:r>
      <w:r>
        <w:rPr>
          <w:spacing w:val="-9"/>
          <w:sz w:val="20"/>
        </w:rPr>
        <w:t> </w:t>
      </w:r>
      <w:r>
        <w:rPr>
          <w:sz w:val="20"/>
        </w:rPr>
        <w:t>compress</w:t>
      </w:r>
      <w:r>
        <w:rPr>
          <w:spacing w:val="-8"/>
          <w:sz w:val="20"/>
        </w:rPr>
        <w:t> </w:t>
      </w:r>
      <w:r>
        <w:rPr>
          <w:sz w:val="20"/>
        </w:rPr>
        <w:t>the</w:t>
      </w:r>
      <w:r>
        <w:rPr>
          <w:spacing w:val="-9"/>
          <w:sz w:val="20"/>
        </w:rPr>
        <w:t> </w:t>
      </w:r>
      <w:r>
        <w:rPr>
          <w:sz w:val="20"/>
        </w:rPr>
        <w:t>CO</w:t>
      </w:r>
      <w:r>
        <w:rPr>
          <w:position w:val="-6"/>
          <w:sz w:val="11"/>
        </w:rPr>
        <w:t>2</w:t>
      </w:r>
      <w:r>
        <w:rPr>
          <w:spacing w:val="14"/>
          <w:position w:val="-6"/>
          <w:sz w:val="11"/>
        </w:rPr>
        <w:t> </w:t>
      </w:r>
      <w:r>
        <w:rPr>
          <w:sz w:val="20"/>
        </w:rPr>
        <w:t>recovered</w:t>
      </w:r>
      <w:r>
        <w:rPr>
          <w:spacing w:val="-8"/>
          <w:sz w:val="20"/>
        </w:rPr>
        <w:t> </w:t>
      </w:r>
      <w:r>
        <w:rPr>
          <w:sz w:val="20"/>
        </w:rPr>
        <w:t>to</w:t>
      </w:r>
      <w:r>
        <w:rPr>
          <w:spacing w:val="-8"/>
          <w:sz w:val="20"/>
        </w:rPr>
        <w:t> </w:t>
      </w:r>
      <w:r>
        <w:rPr>
          <w:sz w:val="20"/>
        </w:rPr>
        <w:t>the</w:t>
      </w:r>
      <w:r>
        <w:rPr>
          <w:spacing w:val="-9"/>
          <w:sz w:val="20"/>
        </w:rPr>
        <w:t> </w:t>
      </w:r>
      <w:r>
        <w:rPr>
          <w:sz w:val="20"/>
        </w:rPr>
        <w:t>final</w:t>
      </w:r>
      <w:r>
        <w:rPr>
          <w:spacing w:val="-8"/>
          <w:sz w:val="20"/>
        </w:rPr>
        <w:t> </w:t>
      </w:r>
      <w:r>
        <w:rPr>
          <w:sz w:val="20"/>
        </w:rPr>
        <w:t>pressure</w:t>
      </w:r>
      <w:r>
        <w:rPr>
          <w:spacing w:val="-8"/>
          <w:sz w:val="20"/>
        </w:rPr>
        <w:t> </w:t>
      </w:r>
      <w:r>
        <w:rPr>
          <w:sz w:val="20"/>
        </w:rPr>
        <w:t>required for transport and</w:t>
      </w:r>
      <w:r>
        <w:rPr>
          <w:spacing w:val="-1"/>
          <w:sz w:val="20"/>
        </w:rPr>
        <w:t> </w:t>
      </w:r>
      <w:r>
        <w:rPr>
          <w:sz w:val="20"/>
        </w:rPr>
        <w:t>storage.</w:t>
      </w:r>
    </w:p>
    <w:p>
      <w:pPr>
        <w:spacing w:after="0" w:line="240" w:lineRule="exact"/>
        <w:jc w:val="both"/>
        <w:rPr>
          <w:sz w:val="20"/>
        </w:rPr>
        <w:sectPr>
          <w:type w:val="continuous"/>
          <w:pgSz w:w="12240" w:h="15840"/>
          <w:pgMar w:top="480" w:bottom="280" w:left="620" w:right="0"/>
          <w:cols w:num="2" w:equalWidth="0">
            <w:col w:w="5559" w:space="40"/>
            <w:col w:w="6021"/>
          </w:cols>
        </w:sectPr>
      </w:pPr>
    </w:p>
    <w:p>
      <w:pPr>
        <w:pStyle w:val="BodyText"/>
      </w:pPr>
    </w:p>
    <w:p>
      <w:pPr>
        <w:pStyle w:val="BodyText"/>
        <w:spacing w:before="9"/>
        <w:rPr>
          <w:sz w:val="10"/>
        </w:rPr>
      </w:pPr>
    </w:p>
    <w:p>
      <w:pPr>
        <w:pStyle w:val="BodyText"/>
        <w:ind w:left="1703"/>
      </w:pPr>
      <w:r>
        <w:rPr/>
        <w:drawing>
          <wp:inline distT="0" distB="0" distL="0" distR="0">
            <wp:extent cx="5110262" cy="320040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5110262" cy="3200400"/>
                    </a:xfrm>
                    <a:prstGeom prst="rect">
                      <a:avLst/>
                    </a:prstGeom>
                  </pic:spPr>
                </pic:pic>
              </a:graphicData>
            </a:graphic>
          </wp:inline>
        </w:drawing>
      </w:r>
      <w:r>
        <w:rPr/>
      </w:r>
    </w:p>
    <w:p>
      <w:pPr>
        <w:pStyle w:val="BodyText"/>
        <w:spacing w:before="9"/>
        <w:rPr>
          <w:sz w:val="6"/>
        </w:rPr>
      </w:pPr>
    </w:p>
    <w:p>
      <w:pPr>
        <w:spacing w:before="67"/>
        <w:ind w:left="513" w:right="0" w:firstLine="0"/>
        <w:jc w:val="left"/>
        <w:rPr>
          <w:sz w:val="18"/>
        </w:rPr>
      </w:pPr>
      <w:bookmarkStart w:name="_bookmark7" w:id="26"/>
      <w:bookmarkEnd w:id="26"/>
      <w:r>
        <w:rPr/>
      </w:r>
      <w:bookmarkStart w:name="_bookmark8" w:id="27"/>
      <w:bookmarkEnd w:id="27"/>
      <w:r>
        <w:rPr/>
      </w:r>
      <w:bookmarkStart w:name="_bookmark9" w:id="28"/>
      <w:bookmarkEnd w:id="28"/>
      <w:r>
        <w:rPr/>
      </w:r>
      <w:r>
        <w:rPr>
          <w:b/>
          <w:sz w:val="18"/>
        </w:rPr>
        <w:t>Figure 3.4 </w:t>
      </w:r>
      <w:r>
        <w:rPr>
          <w:sz w:val="18"/>
        </w:rPr>
        <w:t>Process flow diagram for CO</w:t>
      </w:r>
      <w:r>
        <w:rPr>
          <w:position w:val="-5"/>
          <w:sz w:val="10"/>
        </w:rPr>
        <w:t>2 </w:t>
      </w:r>
      <w:r>
        <w:rPr>
          <w:sz w:val="18"/>
        </w:rPr>
        <w:t>recovery from flue gas by chemical absorption.</w:t>
      </w:r>
    </w:p>
    <w:p>
      <w:pPr>
        <w:spacing w:after="0"/>
        <w:jc w:val="left"/>
        <w:rPr>
          <w:sz w:val="18"/>
        </w:rPr>
        <w:sectPr>
          <w:type w:val="continuous"/>
          <w:pgSz w:w="12240" w:h="15840"/>
          <w:pgMar w:top="480" w:bottom="280" w:left="620" w:right="0"/>
        </w:sectPr>
      </w:pPr>
    </w:p>
    <w:p>
      <w:pPr>
        <w:pStyle w:val="BodyText"/>
      </w:pPr>
    </w:p>
    <w:p>
      <w:pPr>
        <w:pStyle w:val="BodyText"/>
        <w:spacing w:before="9"/>
        <w:rPr>
          <w:sz w:val="16"/>
        </w:rPr>
      </w:pPr>
    </w:p>
    <w:p>
      <w:pPr>
        <w:spacing w:after="0"/>
        <w:rPr>
          <w:sz w:val="16"/>
        </w:rPr>
        <w:sectPr>
          <w:pgSz w:w="12240" w:h="15840"/>
          <w:pgMar w:header="567" w:footer="0" w:top="760" w:bottom="280" w:left="620" w:right="0"/>
        </w:sectPr>
      </w:pPr>
    </w:p>
    <w:p>
      <w:pPr>
        <w:pStyle w:val="ListParagraph"/>
        <w:numPr>
          <w:ilvl w:val="0"/>
          <w:numId w:val="3"/>
        </w:numPr>
        <w:tabs>
          <w:tab w:pos="401" w:val="left" w:leader="none"/>
        </w:tabs>
        <w:spacing w:line="249" w:lineRule="auto" w:before="63" w:after="0"/>
        <w:ind w:left="400" w:right="38" w:hanging="284"/>
        <w:jc w:val="both"/>
        <w:rPr>
          <w:sz w:val="20"/>
        </w:rPr>
      </w:pPr>
      <w:r>
        <w:rPr>
          <w:sz w:val="20"/>
        </w:rPr>
        <w:t>Cooling requirement - Cooling is needed to bring the flue gas and solvent temperatures down to temperature levels required for efficient absorption of CO</w:t>
      </w:r>
      <w:r>
        <w:rPr>
          <w:position w:val="-6"/>
          <w:sz w:val="11"/>
        </w:rPr>
        <w:t>2</w:t>
      </w:r>
      <w:r>
        <w:rPr>
          <w:sz w:val="20"/>
        </w:rPr>
        <w:t>. Also, the</w:t>
      </w:r>
      <w:r>
        <w:rPr>
          <w:spacing w:val="8"/>
          <w:sz w:val="20"/>
        </w:rPr>
        <w:t> </w:t>
      </w:r>
      <w:r>
        <w:rPr>
          <w:sz w:val="20"/>
        </w:rPr>
        <w:t>product</w:t>
      </w:r>
    </w:p>
    <w:p>
      <w:pPr>
        <w:pStyle w:val="BodyText"/>
        <w:spacing w:line="206" w:lineRule="auto" w:before="82"/>
        <w:ind w:left="117" w:right="1131" w:hanging="1"/>
        <w:jc w:val="both"/>
      </w:pPr>
      <w:r>
        <w:rPr/>
        <w:br w:type="column"/>
      </w:r>
      <w:r>
        <w:rPr/>
        <w:t>coal-fired boilers, delivering CO</w:t>
      </w:r>
      <w:r>
        <w:rPr>
          <w:position w:val="-6"/>
          <w:sz w:val="11"/>
        </w:rPr>
        <w:t>2 </w:t>
      </w:r>
      <w:r>
        <w:rPr/>
        <w:t>for soda ash and liquid CO</w:t>
      </w:r>
      <w:r>
        <w:rPr>
          <w:position w:val="-6"/>
          <w:sz w:val="11"/>
        </w:rPr>
        <w:t>2 </w:t>
      </w:r>
      <w:r>
        <w:rPr/>
        <w:t>preparations. It uses a 15-20% by weight aqueous MEA (Mono-Ethanolamine) solution. The largest capacity</w:t>
      </w:r>
    </w:p>
    <w:p>
      <w:pPr>
        <w:spacing w:after="0" w:line="206" w:lineRule="auto"/>
        <w:jc w:val="both"/>
        <w:sectPr>
          <w:type w:val="continuous"/>
          <w:pgSz w:w="12240" w:h="15840"/>
          <w:pgMar w:top="480" w:bottom="280" w:left="620" w:right="0"/>
          <w:cols w:num="2" w:equalWidth="0">
            <w:col w:w="5202" w:space="408"/>
            <w:col w:w="6010"/>
          </w:cols>
        </w:sectPr>
      </w:pPr>
    </w:p>
    <w:p>
      <w:pPr>
        <w:pStyle w:val="BodyText"/>
        <w:spacing w:line="182" w:lineRule="exact"/>
        <w:ind w:left="400"/>
      </w:pPr>
      <w:r>
        <w:rPr/>
        <w:t>from the stripper will require cooling to recover steam from</w:t>
      </w:r>
    </w:p>
    <w:p>
      <w:pPr>
        <w:pStyle w:val="BodyText"/>
        <w:spacing w:line="177" w:lineRule="auto"/>
        <w:ind w:left="400"/>
        <w:rPr>
          <w:sz w:val="11"/>
        </w:rPr>
      </w:pPr>
      <w:r>
        <w:rPr/>
        <w:br w:type="column"/>
      </w:r>
      <w:r>
        <w:rPr/>
        <w:t>experienced for this process is 800 tCO</w:t>
      </w:r>
      <w:r>
        <w:rPr>
          <w:position w:val="-6"/>
          <w:sz w:val="11"/>
        </w:rPr>
        <w:t>2</w:t>
      </w:r>
    </w:p>
    <w:p>
      <w:pPr>
        <w:pStyle w:val="ListParagraph"/>
        <w:numPr>
          <w:ilvl w:val="0"/>
          <w:numId w:val="8"/>
        </w:numPr>
        <w:tabs>
          <w:tab w:pos="186" w:val="left" w:leader="none"/>
        </w:tabs>
        <w:spacing w:line="182" w:lineRule="exact" w:before="0" w:after="0"/>
        <w:ind w:left="185" w:right="0" w:hanging="141"/>
        <w:jc w:val="left"/>
        <w:rPr>
          <w:sz w:val="20"/>
        </w:rPr>
      </w:pPr>
      <w:r>
        <w:rPr>
          <w:w w:val="105"/>
          <w:position w:val="7"/>
          <w:sz w:val="11"/>
        </w:rPr>
        <w:br w:type="column"/>
      </w:r>
      <w:r>
        <w:rPr>
          <w:position w:val="7"/>
          <w:sz w:val="11"/>
        </w:rPr>
        <w:t>1</w:t>
      </w:r>
      <w:r>
        <w:rPr>
          <w:sz w:val="20"/>
        </w:rPr>
        <w:t>utilizing</w:t>
      </w:r>
      <w:r>
        <w:rPr>
          <w:spacing w:val="35"/>
          <w:sz w:val="20"/>
        </w:rPr>
        <w:t> </w:t>
      </w:r>
      <w:r>
        <w:rPr>
          <w:sz w:val="20"/>
        </w:rPr>
        <w:t>two</w:t>
      </w:r>
    </w:p>
    <w:p>
      <w:pPr>
        <w:spacing w:after="0" w:line="182" w:lineRule="exact"/>
        <w:jc w:val="left"/>
        <w:rPr>
          <w:sz w:val="20"/>
        </w:rPr>
        <w:sectPr>
          <w:type w:val="continuous"/>
          <w:pgSz w:w="12240" w:h="15840"/>
          <w:pgMar w:top="480" w:bottom="280" w:left="620" w:right="0"/>
          <w:cols w:num="3" w:equalWidth="0">
            <w:col w:w="5199" w:space="127"/>
            <w:col w:w="3826" w:space="40"/>
            <w:col w:w="2428"/>
          </w:cols>
        </w:sectPr>
      </w:pPr>
    </w:p>
    <w:p>
      <w:pPr>
        <w:pStyle w:val="BodyText"/>
        <w:spacing w:line="202" w:lineRule="exact"/>
        <w:ind w:left="400"/>
        <w:jc w:val="both"/>
      </w:pPr>
      <w:r>
        <w:rPr/>
        <w:t>the stripping process.</w:t>
      </w:r>
    </w:p>
    <w:p>
      <w:pPr>
        <w:pStyle w:val="BodyText"/>
        <w:spacing w:line="225" w:lineRule="auto" w:before="18"/>
        <w:ind w:left="117" w:right="38"/>
        <w:jc w:val="both"/>
      </w:pPr>
      <w:r>
        <w:rPr/>
        <w:t>The purity and pressure of CO</w:t>
      </w:r>
      <w:r>
        <w:rPr>
          <w:position w:val="-6"/>
          <w:sz w:val="11"/>
        </w:rPr>
        <w:t>2 </w:t>
      </w:r>
      <w:r>
        <w:rPr/>
        <w:t>typically recovered from </w:t>
      </w:r>
      <w:r>
        <w:rPr>
          <w:spacing w:val="-7"/>
        </w:rPr>
        <w:t>an </w:t>
      </w:r>
      <w:r>
        <w:rPr/>
        <w:t>amine-based</w:t>
      </w:r>
      <w:r>
        <w:rPr>
          <w:spacing w:val="-19"/>
        </w:rPr>
        <w:t> </w:t>
      </w:r>
      <w:r>
        <w:rPr/>
        <w:t>chemical</w:t>
      </w:r>
      <w:r>
        <w:rPr>
          <w:spacing w:val="-19"/>
        </w:rPr>
        <w:t> </w:t>
      </w:r>
      <w:r>
        <w:rPr/>
        <w:t>absorption</w:t>
      </w:r>
      <w:r>
        <w:rPr>
          <w:spacing w:val="-19"/>
        </w:rPr>
        <w:t> </w:t>
      </w:r>
      <w:r>
        <w:rPr/>
        <w:t>process</w:t>
      </w:r>
      <w:r>
        <w:rPr>
          <w:spacing w:val="-19"/>
        </w:rPr>
        <w:t> </w:t>
      </w:r>
      <w:r>
        <w:rPr/>
        <w:t>are</w:t>
      </w:r>
      <w:r>
        <w:rPr>
          <w:spacing w:val="-18"/>
        </w:rPr>
        <w:t> </w:t>
      </w:r>
      <w:r>
        <w:rPr/>
        <w:t>as</w:t>
      </w:r>
      <w:r>
        <w:rPr>
          <w:spacing w:val="-19"/>
        </w:rPr>
        <w:t> </w:t>
      </w:r>
      <w:r>
        <w:rPr/>
        <w:t>follows</w:t>
      </w:r>
      <w:r>
        <w:rPr>
          <w:spacing w:val="-19"/>
        </w:rPr>
        <w:t> </w:t>
      </w:r>
      <w:r>
        <w:rPr/>
        <w:t>(Sander and Mariz,</w:t>
      </w:r>
      <w:r>
        <w:rPr>
          <w:spacing w:val="-2"/>
        </w:rPr>
        <w:t> </w:t>
      </w:r>
      <w:r>
        <w:rPr/>
        <w:t>1992):</w:t>
      </w:r>
    </w:p>
    <w:p>
      <w:pPr>
        <w:pStyle w:val="ListParagraph"/>
        <w:numPr>
          <w:ilvl w:val="0"/>
          <w:numId w:val="9"/>
        </w:numPr>
        <w:tabs>
          <w:tab w:pos="401" w:val="left" w:leader="none"/>
        </w:tabs>
        <w:spacing w:line="206" w:lineRule="auto" w:before="32" w:after="0"/>
        <w:ind w:left="400" w:right="403" w:hanging="284"/>
        <w:jc w:val="both"/>
        <w:rPr>
          <w:sz w:val="20"/>
        </w:rPr>
      </w:pPr>
      <w:r>
        <w:rPr>
          <w:sz w:val="20"/>
        </w:rPr>
        <w:t>CO</w:t>
      </w:r>
      <w:r>
        <w:rPr>
          <w:position w:val="-6"/>
          <w:sz w:val="11"/>
        </w:rPr>
        <w:t>2 </w:t>
      </w:r>
      <w:r>
        <w:rPr>
          <w:sz w:val="20"/>
        </w:rPr>
        <w:t>purity: 99.9% by volume or more (water saturated conditions)</w:t>
      </w:r>
    </w:p>
    <w:p>
      <w:pPr>
        <w:pStyle w:val="ListParagraph"/>
        <w:numPr>
          <w:ilvl w:val="0"/>
          <w:numId w:val="9"/>
        </w:numPr>
        <w:tabs>
          <w:tab w:pos="401" w:val="left" w:leader="none"/>
        </w:tabs>
        <w:spacing w:line="240" w:lineRule="auto" w:before="15" w:after="0"/>
        <w:ind w:left="400" w:right="0" w:hanging="284"/>
        <w:jc w:val="both"/>
        <w:rPr>
          <w:sz w:val="20"/>
        </w:rPr>
      </w:pPr>
      <w:r>
        <w:rPr>
          <w:sz w:val="20"/>
        </w:rPr>
        <w:t>CO</w:t>
      </w:r>
      <w:r>
        <w:rPr>
          <w:position w:val="-6"/>
          <w:sz w:val="11"/>
        </w:rPr>
        <w:t>2 </w:t>
      </w:r>
      <w:r>
        <w:rPr>
          <w:sz w:val="20"/>
        </w:rPr>
        <w:t>pressure: 50 kPa</w:t>
      </w:r>
      <w:r>
        <w:rPr>
          <w:spacing w:val="-5"/>
          <w:sz w:val="20"/>
        </w:rPr>
        <w:t> </w:t>
      </w:r>
      <w:r>
        <w:rPr>
          <w:sz w:val="20"/>
        </w:rPr>
        <w:t>(gauge)</w:t>
      </w:r>
    </w:p>
    <w:p>
      <w:pPr>
        <w:pStyle w:val="BodyText"/>
        <w:spacing w:line="202" w:lineRule="exact"/>
        <w:ind w:left="400"/>
      </w:pPr>
      <w:r>
        <w:rPr/>
        <w:br w:type="column"/>
      </w:r>
      <w:r>
        <w:rPr/>
        <w:t>parallel trains (Arnold </w:t>
      </w:r>
      <w:r>
        <w:rPr>
          <w:i/>
        </w:rPr>
        <w:t>et al.</w:t>
      </w:r>
      <w:r>
        <w:rPr/>
        <w:t>,</w:t>
      </w:r>
      <w:r>
        <w:rPr>
          <w:spacing w:val="-2"/>
        </w:rPr>
        <w:t> </w:t>
      </w:r>
      <w:r>
        <w:rPr/>
        <w:t>1982).</w:t>
      </w:r>
    </w:p>
    <w:p>
      <w:pPr>
        <w:pStyle w:val="ListParagraph"/>
        <w:numPr>
          <w:ilvl w:val="0"/>
          <w:numId w:val="9"/>
        </w:numPr>
        <w:tabs>
          <w:tab w:pos="401" w:val="left" w:leader="none"/>
        </w:tabs>
        <w:spacing w:line="249" w:lineRule="auto" w:before="10" w:after="0"/>
        <w:ind w:left="400" w:right="1130" w:hanging="284"/>
        <w:jc w:val="both"/>
        <w:rPr>
          <w:sz w:val="20"/>
        </w:rPr>
      </w:pPr>
      <w:r>
        <w:rPr>
          <w:sz w:val="20"/>
        </w:rPr>
        <w:t>The Fluor Daniel ® ECONAMINE™ Process (Sander and Mariz,</w:t>
      </w:r>
      <w:r>
        <w:rPr>
          <w:spacing w:val="-19"/>
          <w:sz w:val="20"/>
        </w:rPr>
        <w:t> </w:t>
      </w:r>
      <w:r>
        <w:rPr>
          <w:sz w:val="20"/>
        </w:rPr>
        <w:t>1992,</w:t>
      </w:r>
      <w:r>
        <w:rPr>
          <w:spacing w:val="-18"/>
          <w:sz w:val="20"/>
        </w:rPr>
        <w:t> </w:t>
      </w:r>
      <w:r>
        <w:rPr>
          <w:sz w:val="20"/>
        </w:rPr>
        <w:t>Chapel</w:t>
      </w:r>
      <w:r>
        <w:rPr>
          <w:spacing w:val="-18"/>
          <w:sz w:val="20"/>
        </w:rPr>
        <w:t> </w:t>
      </w:r>
      <w:r>
        <w:rPr>
          <w:i/>
          <w:sz w:val="20"/>
        </w:rPr>
        <w:t>et</w:t>
      </w:r>
      <w:r>
        <w:rPr>
          <w:i/>
          <w:spacing w:val="-18"/>
          <w:sz w:val="20"/>
        </w:rPr>
        <w:t> </w:t>
      </w:r>
      <w:r>
        <w:rPr>
          <w:i/>
          <w:sz w:val="20"/>
        </w:rPr>
        <w:t>al.</w:t>
      </w:r>
      <w:r>
        <w:rPr>
          <w:sz w:val="20"/>
        </w:rPr>
        <w:t>,</w:t>
      </w:r>
      <w:r>
        <w:rPr>
          <w:spacing w:val="-17"/>
          <w:sz w:val="20"/>
        </w:rPr>
        <w:t> </w:t>
      </w:r>
      <w:r>
        <w:rPr>
          <w:sz w:val="20"/>
        </w:rPr>
        <w:t>1999)</w:t>
      </w:r>
      <w:r>
        <w:rPr>
          <w:spacing w:val="-18"/>
          <w:sz w:val="20"/>
        </w:rPr>
        <w:t> </w:t>
      </w:r>
      <w:r>
        <w:rPr>
          <w:sz w:val="20"/>
        </w:rPr>
        <w:t>-</w:t>
      </w:r>
      <w:r>
        <w:rPr>
          <w:spacing w:val="-22"/>
          <w:sz w:val="20"/>
        </w:rPr>
        <w:t> </w:t>
      </w:r>
      <w:r>
        <w:rPr>
          <w:sz w:val="20"/>
        </w:rPr>
        <w:t>This</w:t>
      </w:r>
      <w:r>
        <w:rPr>
          <w:spacing w:val="-18"/>
          <w:sz w:val="20"/>
        </w:rPr>
        <w:t> </w:t>
      </w:r>
      <w:r>
        <w:rPr>
          <w:sz w:val="20"/>
        </w:rPr>
        <w:t>process</w:t>
      </w:r>
      <w:r>
        <w:rPr>
          <w:spacing w:val="-17"/>
          <w:sz w:val="20"/>
        </w:rPr>
        <w:t> </w:t>
      </w:r>
      <w:r>
        <w:rPr>
          <w:sz w:val="20"/>
        </w:rPr>
        <w:t>was</w:t>
      </w:r>
      <w:r>
        <w:rPr>
          <w:spacing w:val="-18"/>
          <w:sz w:val="20"/>
        </w:rPr>
        <w:t> </w:t>
      </w:r>
      <w:r>
        <w:rPr>
          <w:sz w:val="20"/>
        </w:rPr>
        <w:t>acquired by</w:t>
      </w:r>
      <w:r>
        <w:rPr>
          <w:spacing w:val="-12"/>
          <w:sz w:val="20"/>
        </w:rPr>
        <w:t> </w:t>
      </w:r>
      <w:r>
        <w:rPr>
          <w:sz w:val="20"/>
        </w:rPr>
        <w:t>Fluor</w:t>
      </w:r>
      <w:r>
        <w:rPr>
          <w:spacing w:val="-12"/>
          <w:sz w:val="20"/>
        </w:rPr>
        <w:t> </w:t>
      </w:r>
      <w:r>
        <w:rPr>
          <w:sz w:val="20"/>
        </w:rPr>
        <w:t>Daniel</w:t>
      </w:r>
      <w:r>
        <w:rPr>
          <w:spacing w:val="-12"/>
          <w:sz w:val="20"/>
        </w:rPr>
        <w:t> </w:t>
      </w:r>
      <w:r>
        <w:rPr>
          <w:sz w:val="20"/>
        </w:rPr>
        <w:t>Inc.</w:t>
      </w:r>
      <w:r>
        <w:rPr>
          <w:spacing w:val="-11"/>
          <w:sz w:val="20"/>
        </w:rPr>
        <w:t> </w:t>
      </w:r>
      <w:r>
        <w:rPr>
          <w:sz w:val="20"/>
        </w:rPr>
        <w:t>from</w:t>
      </w:r>
      <w:r>
        <w:rPr>
          <w:spacing w:val="-11"/>
          <w:sz w:val="20"/>
        </w:rPr>
        <w:t> </w:t>
      </w:r>
      <w:r>
        <w:rPr>
          <w:sz w:val="20"/>
        </w:rPr>
        <w:t>Dow</w:t>
      </w:r>
      <w:r>
        <w:rPr>
          <w:spacing w:val="-12"/>
          <w:sz w:val="20"/>
        </w:rPr>
        <w:t> </w:t>
      </w:r>
      <w:r>
        <w:rPr>
          <w:sz w:val="20"/>
        </w:rPr>
        <w:t>Chemical</w:t>
      </w:r>
      <w:r>
        <w:rPr>
          <w:spacing w:val="-13"/>
          <w:sz w:val="20"/>
        </w:rPr>
        <w:t> </w:t>
      </w:r>
      <w:r>
        <w:rPr>
          <w:sz w:val="20"/>
        </w:rPr>
        <w:t>Company</w:t>
      </w:r>
      <w:r>
        <w:rPr>
          <w:spacing w:val="-11"/>
          <w:sz w:val="20"/>
        </w:rPr>
        <w:t> </w:t>
      </w:r>
      <w:r>
        <w:rPr>
          <w:sz w:val="20"/>
        </w:rPr>
        <w:t>in</w:t>
      </w:r>
      <w:r>
        <w:rPr>
          <w:spacing w:val="-11"/>
          <w:sz w:val="20"/>
        </w:rPr>
        <w:t> </w:t>
      </w:r>
      <w:r>
        <w:rPr>
          <w:sz w:val="20"/>
        </w:rPr>
        <w:t>1989. It</w:t>
      </w:r>
      <w:r>
        <w:rPr>
          <w:spacing w:val="-20"/>
          <w:sz w:val="20"/>
        </w:rPr>
        <w:t> </w:t>
      </w:r>
      <w:r>
        <w:rPr>
          <w:sz w:val="20"/>
        </w:rPr>
        <w:t>is</w:t>
      </w:r>
      <w:r>
        <w:rPr>
          <w:spacing w:val="-19"/>
          <w:sz w:val="20"/>
        </w:rPr>
        <w:t> </w:t>
      </w:r>
      <w:r>
        <w:rPr>
          <w:sz w:val="20"/>
        </w:rPr>
        <w:t>a</w:t>
      </w:r>
      <w:r>
        <w:rPr>
          <w:spacing w:val="-19"/>
          <w:sz w:val="20"/>
        </w:rPr>
        <w:t> </w:t>
      </w:r>
      <w:r>
        <w:rPr>
          <w:sz w:val="20"/>
        </w:rPr>
        <w:t>MEA-based</w:t>
      </w:r>
      <w:r>
        <w:rPr>
          <w:spacing w:val="-19"/>
          <w:sz w:val="20"/>
        </w:rPr>
        <w:t> </w:t>
      </w:r>
      <w:r>
        <w:rPr>
          <w:sz w:val="20"/>
        </w:rPr>
        <w:t>process</w:t>
      </w:r>
      <w:r>
        <w:rPr>
          <w:spacing w:val="-19"/>
          <w:sz w:val="20"/>
        </w:rPr>
        <w:t> </w:t>
      </w:r>
      <w:r>
        <w:rPr>
          <w:sz w:val="20"/>
        </w:rPr>
        <w:t>(30%</w:t>
      </w:r>
      <w:r>
        <w:rPr>
          <w:spacing w:val="-20"/>
          <w:sz w:val="20"/>
        </w:rPr>
        <w:t> </w:t>
      </w:r>
      <w:r>
        <w:rPr>
          <w:sz w:val="20"/>
        </w:rPr>
        <w:t>by</w:t>
      </w:r>
      <w:r>
        <w:rPr>
          <w:spacing w:val="-19"/>
          <w:sz w:val="20"/>
        </w:rPr>
        <w:t> </w:t>
      </w:r>
      <w:r>
        <w:rPr>
          <w:sz w:val="20"/>
        </w:rPr>
        <w:t>weight</w:t>
      </w:r>
      <w:r>
        <w:rPr>
          <w:spacing w:val="-19"/>
          <w:sz w:val="20"/>
        </w:rPr>
        <w:t> </w:t>
      </w:r>
      <w:r>
        <w:rPr>
          <w:sz w:val="20"/>
        </w:rPr>
        <w:t>aqueous</w:t>
      </w:r>
      <w:r>
        <w:rPr>
          <w:spacing w:val="-19"/>
          <w:sz w:val="20"/>
        </w:rPr>
        <w:t> </w:t>
      </w:r>
      <w:r>
        <w:rPr>
          <w:sz w:val="20"/>
        </w:rPr>
        <w:t>solution) with an inhibitor to resist carbon steel corrosion and is specifically tailored for oxygen-containing gas streams. It has</w:t>
      </w:r>
      <w:r>
        <w:rPr>
          <w:spacing w:val="16"/>
          <w:sz w:val="20"/>
        </w:rPr>
        <w:t> </w:t>
      </w:r>
      <w:r>
        <w:rPr>
          <w:sz w:val="20"/>
        </w:rPr>
        <w:t>been</w:t>
      </w:r>
      <w:r>
        <w:rPr>
          <w:spacing w:val="16"/>
          <w:sz w:val="20"/>
        </w:rPr>
        <w:t> </w:t>
      </w:r>
      <w:r>
        <w:rPr>
          <w:sz w:val="20"/>
        </w:rPr>
        <w:t>used</w:t>
      </w:r>
      <w:r>
        <w:rPr>
          <w:spacing w:val="16"/>
          <w:sz w:val="20"/>
        </w:rPr>
        <w:t> </w:t>
      </w:r>
      <w:r>
        <w:rPr>
          <w:sz w:val="20"/>
        </w:rPr>
        <w:t>in</w:t>
      </w:r>
      <w:r>
        <w:rPr>
          <w:spacing w:val="16"/>
          <w:sz w:val="20"/>
        </w:rPr>
        <w:t> </w:t>
      </w:r>
      <w:r>
        <w:rPr>
          <w:sz w:val="20"/>
        </w:rPr>
        <w:t>many</w:t>
      </w:r>
      <w:r>
        <w:rPr>
          <w:spacing w:val="16"/>
          <w:sz w:val="20"/>
        </w:rPr>
        <w:t> </w:t>
      </w:r>
      <w:r>
        <w:rPr>
          <w:sz w:val="20"/>
        </w:rPr>
        <w:t>plants</w:t>
      </w:r>
      <w:r>
        <w:rPr>
          <w:spacing w:val="16"/>
          <w:sz w:val="20"/>
        </w:rPr>
        <w:t> </w:t>
      </w:r>
      <w:r>
        <w:rPr>
          <w:sz w:val="20"/>
        </w:rPr>
        <w:t>worldwide</w:t>
      </w:r>
      <w:r>
        <w:rPr>
          <w:spacing w:val="16"/>
          <w:sz w:val="20"/>
        </w:rPr>
        <w:t> </w:t>
      </w:r>
      <w:r>
        <w:rPr>
          <w:sz w:val="20"/>
        </w:rPr>
        <w:t>recovering</w:t>
      </w:r>
      <w:r>
        <w:rPr>
          <w:spacing w:val="16"/>
          <w:sz w:val="20"/>
        </w:rPr>
        <w:t> </w:t>
      </w:r>
      <w:r>
        <w:rPr>
          <w:sz w:val="20"/>
        </w:rPr>
        <w:t>up</w:t>
      </w:r>
      <w:r>
        <w:rPr>
          <w:spacing w:val="17"/>
          <w:sz w:val="20"/>
        </w:rPr>
        <w:t> </w:t>
      </w:r>
      <w:r>
        <w:rPr>
          <w:sz w:val="20"/>
        </w:rPr>
        <w:t>to</w:t>
      </w:r>
    </w:p>
    <w:p>
      <w:pPr>
        <w:spacing w:after="0" w:line="249" w:lineRule="auto"/>
        <w:jc w:val="both"/>
        <w:rPr>
          <w:sz w:val="20"/>
        </w:rPr>
        <w:sectPr>
          <w:type w:val="continuous"/>
          <w:pgSz w:w="12240" w:h="15840"/>
          <w:pgMar w:top="480" w:bottom="280" w:left="620" w:right="0"/>
          <w:cols w:num="2" w:equalWidth="0">
            <w:col w:w="5202" w:space="124"/>
            <w:col w:w="6294"/>
          </w:cols>
        </w:sectPr>
      </w:pPr>
    </w:p>
    <w:p>
      <w:pPr>
        <w:pStyle w:val="BodyText"/>
        <w:spacing w:line="277" w:lineRule="exact" w:before="5"/>
        <w:ind w:left="117"/>
        <w:rPr>
          <w:sz w:val="11"/>
        </w:rPr>
      </w:pPr>
      <w:r>
        <w:rPr/>
        <w:t>A further CO</w:t>
      </w:r>
      <w:r>
        <w:rPr>
          <w:position w:val="-6"/>
          <w:sz w:val="11"/>
        </w:rPr>
        <w:t>2</w:t>
      </w:r>
    </w:p>
    <w:p>
      <w:pPr>
        <w:pStyle w:val="BodyText"/>
        <w:spacing w:before="5"/>
        <w:ind w:left="28"/>
      </w:pPr>
      <w:r>
        <w:rPr/>
        <w:br w:type="column"/>
      </w:r>
      <w:r>
        <w:rPr/>
        <w:t>purification step makes it possible to bring the</w:t>
      </w:r>
    </w:p>
    <w:p>
      <w:pPr>
        <w:spacing w:line="277" w:lineRule="exact" w:before="5"/>
        <w:ind w:left="117" w:right="0" w:firstLine="0"/>
        <w:jc w:val="left"/>
        <w:rPr>
          <w:sz w:val="11"/>
        </w:rPr>
      </w:pPr>
      <w:r>
        <w:rPr/>
        <w:br w:type="column"/>
      </w:r>
      <w:r>
        <w:rPr>
          <w:sz w:val="20"/>
        </w:rPr>
        <w:t>320 tCO</w:t>
      </w:r>
      <w:r>
        <w:rPr>
          <w:position w:val="-6"/>
          <w:sz w:val="11"/>
        </w:rPr>
        <w:t>2</w:t>
      </w:r>
    </w:p>
    <w:p>
      <w:pPr>
        <w:pStyle w:val="ListParagraph"/>
        <w:numPr>
          <w:ilvl w:val="1"/>
          <w:numId w:val="8"/>
        </w:numPr>
        <w:tabs>
          <w:tab w:pos="263" w:val="left" w:leader="none"/>
        </w:tabs>
        <w:spacing w:line="240" w:lineRule="auto" w:before="5" w:after="0"/>
        <w:ind w:left="262" w:right="0" w:hanging="237"/>
        <w:jc w:val="left"/>
        <w:rPr>
          <w:sz w:val="20"/>
        </w:rPr>
      </w:pPr>
      <w:r>
        <w:rPr>
          <w:sz w:val="20"/>
        </w:rPr>
        <w:br w:type="column"/>
        <w:t>in</w:t>
      </w:r>
      <w:r>
        <w:rPr>
          <w:spacing w:val="15"/>
          <w:sz w:val="20"/>
        </w:rPr>
        <w:t> </w:t>
      </w:r>
      <w:r>
        <w:rPr>
          <w:sz w:val="20"/>
        </w:rPr>
        <w:t>a</w:t>
      </w:r>
      <w:r>
        <w:rPr>
          <w:spacing w:val="16"/>
          <w:sz w:val="20"/>
        </w:rPr>
        <w:t> </w:t>
      </w:r>
      <w:r>
        <w:rPr>
          <w:sz w:val="20"/>
        </w:rPr>
        <w:t>single</w:t>
      </w:r>
      <w:r>
        <w:rPr>
          <w:spacing w:val="16"/>
          <w:sz w:val="20"/>
        </w:rPr>
        <w:t> </w:t>
      </w:r>
      <w:r>
        <w:rPr>
          <w:sz w:val="20"/>
        </w:rPr>
        <w:t>train</w:t>
      </w:r>
      <w:r>
        <w:rPr>
          <w:spacing w:val="16"/>
          <w:sz w:val="20"/>
        </w:rPr>
        <w:t> </w:t>
      </w:r>
      <w:r>
        <w:rPr>
          <w:sz w:val="20"/>
        </w:rPr>
        <w:t>for</w:t>
      </w:r>
      <w:r>
        <w:rPr>
          <w:spacing w:val="16"/>
          <w:sz w:val="20"/>
        </w:rPr>
        <w:t> </w:t>
      </w:r>
      <w:r>
        <w:rPr>
          <w:sz w:val="20"/>
        </w:rPr>
        <w:t>use</w:t>
      </w:r>
      <w:r>
        <w:rPr>
          <w:spacing w:val="15"/>
          <w:sz w:val="20"/>
        </w:rPr>
        <w:t> </w:t>
      </w:r>
      <w:r>
        <w:rPr>
          <w:sz w:val="20"/>
        </w:rPr>
        <w:t>in</w:t>
      </w:r>
      <w:r>
        <w:rPr>
          <w:spacing w:val="16"/>
          <w:sz w:val="20"/>
        </w:rPr>
        <w:t> </w:t>
      </w:r>
      <w:r>
        <w:rPr>
          <w:sz w:val="20"/>
        </w:rPr>
        <w:t>beverage</w:t>
      </w:r>
      <w:r>
        <w:rPr>
          <w:spacing w:val="16"/>
          <w:sz w:val="20"/>
        </w:rPr>
        <w:t> </w:t>
      </w:r>
      <w:r>
        <w:rPr>
          <w:sz w:val="20"/>
        </w:rPr>
        <w:t>and</w:t>
      </w:r>
      <w:r>
        <w:rPr>
          <w:spacing w:val="16"/>
          <w:sz w:val="20"/>
        </w:rPr>
        <w:t> </w:t>
      </w:r>
      <w:r>
        <w:rPr>
          <w:sz w:val="20"/>
        </w:rPr>
        <w:t>urea</w:t>
      </w:r>
    </w:p>
    <w:p>
      <w:pPr>
        <w:spacing w:after="0" w:line="240" w:lineRule="auto"/>
        <w:jc w:val="left"/>
        <w:rPr>
          <w:sz w:val="20"/>
        </w:rPr>
        <w:sectPr>
          <w:type w:val="continuous"/>
          <w:pgSz w:w="12240" w:h="15840"/>
          <w:pgMar w:top="480" w:bottom="280" w:left="620" w:right="0"/>
          <w:cols w:num="4" w:equalWidth="0">
            <w:col w:w="1268" w:space="40"/>
            <w:col w:w="3893" w:space="409"/>
            <w:col w:w="876" w:space="39"/>
            <w:col w:w="5095"/>
          </w:cols>
        </w:sectPr>
      </w:pPr>
    </w:p>
    <w:p>
      <w:pPr>
        <w:pStyle w:val="BodyText"/>
        <w:spacing w:line="187" w:lineRule="auto"/>
        <w:ind w:left="117"/>
        <w:jc w:val="both"/>
      </w:pPr>
      <w:r>
        <w:rPr/>
        <w:t>CO</w:t>
      </w:r>
      <w:r>
        <w:rPr>
          <w:position w:val="-6"/>
          <w:sz w:val="11"/>
        </w:rPr>
        <w:t>2</w:t>
      </w:r>
      <w:r>
        <w:rPr/>
        <w:t>-quality up to food-grade standard. This is required for use</w:t>
      </w:r>
    </w:p>
    <w:p>
      <w:pPr>
        <w:pStyle w:val="BodyText"/>
        <w:spacing w:line="210" w:lineRule="exact"/>
        <w:ind w:left="117"/>
        <w:jc w:val="both"/>
      </w:pPr>
      <w:r>
        <w:rPr/>
        <w:t>in beverages and packaging.</w:t>
      </w:r>
    </w:p>
    <w:p>
      <w:pPr>
        <w:pStyle w:val="BodyText"/>
        <w:spacing w:line="240" w:lineRule="exact"/>
        <w:ind w:left="117" w:right="38" w:firstLine="284"/>
        <w:jc w:val="both"/>
      </w:pPr>
      <w:r>
        <w:rPr/>
        <w:t>Since combustion flue gases are generally at atmospheric pressure and the CO</w:t>
      </w:r>
      <w:r>
        <w:rPr>
          <w:position w:val="-6"/>
          <w:sz w:val="11"/>
        </w:rPr>
        <w:t>2 </w:t>
      </w:r>
      <w:r>
        <w:rPr/>
        <w:t>is diluted, the CO</w:t>
      </w:r>
      <w:r>
        <w:rPr>
          <w:position w:val="-6"/>
          <w:sz w:val="11"/>
        </w:rPr>
        <w:t>2 </w:t>
      </w:r>
      <w:r>
        <w:rPr/>
        <w:t>partial pressure is  very </w:t>
      </w:r>
      <w:r>
        <w:rPr>
          <w:spacing w:val="-4"/>
        </w:rPr>
        <w:t>low. </w:t>
      </w:r>
      <w:r>
        <w:rPr/>
        <w:t>Also, flue gas contains oxygen and other impurities; therefore</w:t>
      </w:r>
      <w:r>
        <w:rPr>
          <w:spacing w:val="-6"/>
        </w:rPr>
        <w:t> </w:t>
      </w:r>
      <w:r>
        <w:rPr/>
        <w:t>an</w:t>
      </w:r>
      <w:r>
        <w:rPr>
          <w:spacing w:val="-6"/>
        </w:rPr>
        <w:t> </w:t>
      </w:r>
      <w:r>
        <w:rPr/>
        <w:t>important</w:t>
      </w:r>
      <w:r>
        <w:rPr>
          <w:spacing w:val="-6"/>
        </w:rPr>
        <w:t> </w:t>
      </w:r>
      <w:r>
        <w:rPr/>
        <w:t>characteristic</w:t>
      </w:r>
      <w:r>
        <w:rPr>
          <w:spacing w:val="-6"/>
        </w:rPr>
        <w:t> </w:t>
      </w:r>
      <w:r>
        <w:rPr/>
        <w:t>of</w:t>
      </w:r>
      <w:r>
        <w:rPr>
          <w:spacing w:val="-6"/>
        </w:rPr>
        <w:t> </w:t>
      </w:r>
      <w:r>
        <w:rPr/>
        <w:t>an</w:t>
      </w:r>
      <w:r>
        <w:rPr>
          <w:spacing w:val="-6"/>
        </w:rPr>
        <w:t> </w:t>
      </w:r>
      <w:r>
        <w:rPr/>
        <w:t>absorption</w:t>
      </w:r>
      <w:r>
        <w:rPr>
          <w:spacing w:val="-6"/>
        </w:rPr>
        <w:t> </w:t>
      </w:r>
      <w:r>
        <w:rPr/>
        <w:t>process</w:t>
      </w:r>
      <w:r>
        <w:rPr>
          <w:spacing w:val="-6"/>
        </w:rPr>
        <w:t> is </w:t>
      </w:r>
      <w:r>
        <w:rPr/>
        <w:t>in the proper choice of solvent for the given process </w:t>
      </w:r>
      <w:r>
        <w:rPr>
          <w:spacing w:val="-3"/>
        </w:rPr>
        <w:t>duty.</w:t>
      </w:r>
      <w:r>
        <w:rPr>
          <w:spacing w:val="-20"/>
        </w:rPr>
        <w:t> </w:t>
      </w:r>
      <w:r>
        <w:rPr/>
        <w:t>High CO</w:t>
      </w:r>
      <w:r>
        <w:rPr>
          <w:position w:val="-6"/>
          <w:sz w:val="11"/>
        </w:rPr>
        <w:t>2 </w:t>
      </w:r>
      <w:r>
        <w:rPr/>
        <w:t>loading and low heat of desorption energy are essential for atmospheric flue gas CO</w:t>
      </w:r>
      <w:r>
        <w:rPr>
          <w:position w:val="-6"/>
          <w:sz w:val="11"/>
        </w:rPr>
        <w:t>2 </w:t>
      </w:r>
      <w:r>
        <w:rPr/>
        <w:t>recovery. The solvents must</w:t>
      </w:r>
      <w:r>
        <w:rPr>
          <w:spacing w:val="25"/>
        </w:rPr>
        <w:t> </w:t>
      </w:r>
      <w:r>
        <w:rPr/>
        <w:t>also</w:t>
      </w:r>
    </w:p>
    <w:p>
      <w:pPr>
        <w:pStyle w:val="BodyText"/>
        <w:spacing w:line="194" w:lineRule="exact"/>
        <w:ind w:left="400"/>
      </w:pPr>
      <w:r>
        <w:rPr/>
        <w:br w:type="column"/>
      </w:r>
      <w:r>
        <w:rPr/>
        <w:t>production.</w:t>
      </w:r>
    </w:p>
    <w:p>
      <w:pPr>
        <w:pStyle w:val="ListParagraph"/>
        <w:numPr>
          <w:ilvl w:val="2"/>
          <w:numId w:val="8"/>
        </w:numPr>
        <w:tabs>
          <w:tab w:pos="401" w:val="left" w:leader="none"/>
        </w:tabs>
        <w:spacing w:line="249" w:lineRule="auto" w:before="10" w:after="0"/>
        <w:ind w:left="400" w:right="1130" w:hanging="284"/>
        <w:jc w:val="both"/>
        <w:rPr>
          <w:sz w:val="20"/>
        </w:rPr>
      </w:pPr>
      <w:r>
        <w:rPr>
          <w:sz w:val="20"/>
        </w:rPr>
        <w:t>The Kansai Electric Power Co., Mitsubishi Heavy Industries,</w:t>
      </w:r>
      <w:r>
        <w:rPr>
          <w:spacing w:val="-7"/>
          <w:sz w:val="20"/>
        </w:rPr>
        <w:t> </w:t>
      </w:r>
      <w:r>
        <w:rPr>
          <w:sz w:val="20"/>
        </w:rPr>
        <w:t>Ltd.,</w:t>
      </w:r>
      <w:r>
        <w:rPr>
          <w:spacing w:val="-7"/>
          <w:sz w:val="20"/>
        </w:rPr>
        <w:t> </w:t>
      </w:r>
      <w:r>
        <w:rPr>
          <w:sz w:val="20"/>
        </w:rPr>
        <w:t>KEPCO/MHI</w:t>
      </w:r>
      <w:r>
        <w:rPr>
          <w:spacing w:val="-7"/>
          <w:sz w:val="20"/>
        </w:rPr>
        <w:t> </w:t>
      </w:r>
      <w:r>
        <w:rPr>
          <w:sz w:val="20"/>
        </w:rPr>
        <w:t>Process</w:t>
      </w:r>
      <w:r>
        <w:rPr>
          <w:spacing w:val="-7"/>
          <w:sz w:val="20"/>
        </w:rPr>
        <w:t> </w:t>
      </w:r>
      <w:r>
        <w:rPr>
          <w:sz w:val="20"/>
        </w:rPr>
        <w:t>(Mimura</w:t>
      </w:r>
      <w:r>
        <w:rPr>
          <w:spacing w:val="-6"/>
          <w:sz w:val="20"/>
        </w:rPr>
        <w:t> </w:t>
      </w:r>
      <w:r>
        <w:rPr>
          <w:i/>
          <w:sz w:val="20"/>
        </w:rPr>
        <w:t>et</w:t>
      </w:r>
      <w:r>
        <w:rPr>
          <w:i/>
          <w:spacing w:val="-7"/>
          <w:sz w:val="20"/>
        </w:rPr>
        <w:t> </w:t>
      </w:r>
      <w:r>
        <w:rPr>
          <w:i/>
          <w:sz w:val="20"/>
        </w:rPr>
        <w:t>al.</w:t>
      </w:r>
      <w:r>
        <w:rPr>
          <w:sz w:val="20"/>
        </w:rPr>
        <w:t>,</w:t>
      </w:r>
      <w:r>
        <w:rPr>
          <w:spacing w:val="-7"/>
          <w:sz w:val="20"/>
        </w:rPr>
        <w:t> </w:t>
      </w:r>
      <w:r>
        <w:rPr>
          <w:sz w:val="20"/>
        </w:rPr>
        <w:t>1999 and 2003) - The process is based upon sterically-hindered amines and already three solvents (KS-1, KS-2 and KS-3) have been developed. KS-1 was commercialized in a urea production application. In this process, low amine </w:t>
      </w:r>
      <w:r>
        <w:rPr>
          <w:spacing w:val="-3"/>
          <w:sz w:val="20"/>
        </w:rPr>
        <w:t>losses </w:t>
      </w:r>
      <w:r>
        <w:rPr>
          <w:sz w:val="20"/>
        </w:rPr>
        <w:t>and low solvent degradation have been noted without the use</w:t>
      </w:r>
      <w:r>
        <w:rPr>
          <w:spacing w:val="15"/>
          <w:sz w:val="20"/>
        </w:rPr>
        <w:t> </w:t>
      </w:r>
      <w:r>
        <w:rPr>
          <w:sz w:val="20"/>
        </w:rPr>
        <w:t>of</w:t>
      </w:r>
      <w:r>
        <w:rPr>
          <w:spacing w:val="15"/>
          <w:sz w:val="20"/>
        </w:rPr>
        <w:t> </w:t>
      </w:r>
      <w:r>
        <w:rPr>
          <w:sz w:val="20"/>
        </w:rPr>
        <w:t>inhibitors</w:t>
      </w:r>
      <w:r>
        <w:rPr>
          <w:spacing w:val="15"/>
          <w:sz w:val="20"/>
        </w:rPr>
        <w:t> </w:t>
      </w:r>
      <w:r>
        <w:rPr>
          <w:sz w:val="20"/>
        </w:rPr>
        <w:t>or</w:t>
      </w:r>
      <w:r>
        <w:rPr>
          <w:spacing w:val="15"/>
          <w:sz w:val="20"/>
        </w:rPr>
        <w:t> </w:t>
      </w:r>
      <w:r>
        <w:rPr>
          <w:sz w:val="20"/>
        </w:rPr>
        <w:t>additives.</w:t>
      </w:r>
      <w:r>
        <w:rPr>
          <w:spacing w:val="4"/>
          <w:sz w:val="20"/>
        </w:rPr>
        <w:t> </w:t>
      </w:r>
      <w:r>
        <w:rPr>
          <w:sz w:val="20"/>
        </w:rPr>
        <w:t>As</w:t>
      </w:r>
      <w:r>
        <w:rPr>
          <w:spacing w:val="15"/>
          <w:sz w:val="20"/>
        </w:rPr>
        <w:t> </w:t>
      </w:r>
      <w:r>
        <w:rPr>
          <w:sz w:val="20"/>
        </w:rPr>
        <w:t>shown</w:t>
      </w:r>
      <w:r>
        <w:rPr>
          <w:spacing w:val="15"/>
          <w:sz w:val="20"/>
        </w:rPr>
        <w:t> </w:t>
      </w:r>
      <w:r>
        <w:rPr>
          <w:sz w:val="20"/>
        </w:rPr>
        <w:t>in</w:t>
      </w:r>
      <w:r>
        <w:rPr>
          <w:spacing w:val="15"/>
          <w:sz w:val="20"/>
        </w:rPr>
        <w:t> </w:t>
      </w:r>
      <w:r>
        <w:rPr>
          <w:sz w:val="20"/>
        </w:rPr>
        <w:t>Figure</w:t>
      </w:r>
      <w:r>
        <w:rPr>
          <w:spacing w:val="15"/>
          <w:sz w:val="20"/>
        </w:rPr>
        <w:t> </w:t>
      </w:r>
      <w:r>
        <w:rPr>
          <w:sz w:val="20"/>
        </w:rPr>
        <w:t>3.5,</w:t>
      </w:r>
      <w:r>
        <w:rPr>
          <w:spacing w:val="15"/>
          <w:sz w:val="20"/>
        </w:rPr>
        <w:t> </w:t>
      </w:r>
      <w:r>
        <w:rPr>
          <w:sz w:val="20"/>
        </w:rPr>
        <w:t>the</w:t>
      </w:r>
    </w:p>
    <w:p>
      <w:pPr>
        <w:spacing w:after="0" w:line="249" w:lineRule="auto"/>
        <w:jc w:val="both"/>
        <w:rPr>
          <w:sz w:val="20"/>
        </w:rPr>
        <w:sectPr>
          <w:type w:val="continuous"/>
          <w:pgSz w:w="12240" w:h="15840"/>
          <w:pgMar w:top="480" w:bottom="280" w:left="620" w:right="0"/>
          <w:cols w:num="2" w:equalWidth="0">
            <w:col w:w="5202" w:space="124"/>
            <w:col w:w="6294"/>
          </w:cols>
        </w:sectPr>
      </w:pPr>
    </w:p>
    <w:p>
      <w:pPr>
        <w:pStyle w:val="BodyText"/>
        <w:spacing w:before="4"/>
        <w:ind w:left="117"/>
      </w:pPr>
      <w:r>
        <w:rPr/>
        <w:t>have low byproduct formation and low decomposition rates, to</w:t>
      </w:r>
    </w:p>
    <w:p>
      <w:pPr>
        <w:pStyle w:val="BodyText"/>
        <w:spacing w:line="277" w:lineRule="exact" w:before="4"/>
        <w:ind w:left="117"/>
        <w:rPr>
          <w:sz w:val="11"/>
        </w:rPr>
      </w:pPr>
      <w:r>
        <w:rPr/>
        <w:br w:type="column"/>
      </w:r>
      <w:r>
        <w:rPr/>
        <w:t>first commercial plant at 200 </w:t>
      </w:r>
      <w:r>
        <w:rPr>
          <w:spacing w:val="-4"/>
        </w:rPr>
        <w:t>tCO</w:t>
      </w:r>
      <w:r>
        <w:rPr>
          <w:spacing w:val="-4"/>
          <w:position w:val="-6"/>
          <w:sz w:val="11"/>
        </w:rPr>
        <w:t>2</w:t>
      </w:r>
    </w:p>
    <w:p>
      <w:pPr>
        <w:pStyle w:val="ListParagraph"/>
        <w:numPr>
          <w:ilvl w:val="1"/>
          <w:numId w:val="10"/>
        </w:numPr>
        <w:tabs>
          <w:tab w:pos="255" w:val="left" w:leader="none"/>
        </w:tabs>
        <w:spacing w:line="240" w:lineRule="auto" w:before="4" w:after="0"/>
        <w:ind w:left="254" w:right="0" w:hanging="234"/>
        <w:jc w:val="left"/>
        <w:rPr>
          <w:sz w:val="20"/>
        </w:rPr>
      </w:pPr>
      <w:r>
        <w:rPr>
          <w:sz w:val="20"/>
        </w:rPr>
        <w:br w:type="column"/>
        <w:t>recovery from a</w:t>
      </w:r>
      <w:r>
        <w:rPr>
          <w:spacing w:val="33"/>
          <w:sz w:val="20"/>
        </w:rPr>
        <w:t> </w:t>
      </w:r>
      <w:r>
        <w:rPr>
          <w:sz w:val="20"/>
        </w:rPr>
        <w:t>flue</w:t>
      </w:r>
    </w:p>
    <w:p>
      <w:pPr>
        <w:spacing w:after="0" w:line="240" w:lineRule="auto"/>
        <w:jc w:val="left"/>
        <w:rPr>
          <w:sz w:val="20"/>
        </w:rPr>
        <w:sectPr>
          <w:type w:val="continuous"/>
          <w:pgSz w:w="12240" w:h="15840"/>
          <w:pgMar w:top="480" w:bottom="280" w:left="620" w:right="0"/>
          <w:cols w:num="3" w:equalWidth="0">
            <w:col w:w="5200" w:space="409"/>
            <w:col w:w="2919" w:space="40"/>
            <w:col w:w="3052"/>
          </w:cols>
        </w:sectPr>
      </w:pPr>
    </w:p>
    <w:p>
      <w:pPr>
        <w:pStyle w:val="BodyText"/>
        <w:spacing w:line="193" w:lineRule="exact"/>
        <w:ind w:left="117"/>
      </w:pPr>
      <w:r>
        <w:rPr/>
        <w:t>maintain solvent performance and to limit the amount of waste</w:t>
      </w:r>
    </w:p>
    <w:p>
      <w:pPr>
        <w:pStyle w:val="BodyText"/>
        <w:spacing w:line="249" w:lineRule="auto" w:before="10"/>
        <w:ind w:left="117"/>
      </w:pPr>
      <w:r>
        <w:rPr/>
        <w:t>materials produced. The important effect of other contaminants on the solvent is discussed in Section 3.3.2.2.</w:t>
      </w:r>
    </w:p>
    <w:p>
      <w:pPr>
        <w:pStyle w:val="BodyText"/>
        <w:spacing w:line="249" w:lineRule="auto" w:before="1"/>
        <w:ind w:left="117" w:firstLine="284"/>
      </w:pPr>
      <w:r>
        <w:rPr/>
        <w:t>The following three absorption processes are commercially available for CO</w:t>
      </w:r>
      <w:r>
        <w:rPr>
          <w:position w:val="-6"/>
          <w:sz w:val="11"/>
        </w:rPr>
        <w:t>2 </w:t>
      </w:r>
      <w:r>
        <w:rPr/>
        <w:t>capture in post-combustion systems:</w:t>
      </w:r>
    </w:p>
    <w:p>
      <w:pPr>
        <w:pStyle w:val="ListParagraph"/>
        <w:numPr>
          <w:ilvl w:val="2"/>
          <w:numId w:val="10"/>
        </w:numPr>
        <w:tabs>
          <w:tab w:pos="400" w:val="left" w:leader="none"/>
          <w:tab w:pos="401" w:val="left" w:leader="none"/>
        </w:tabs>
        <w:spacing w:line="181" w:lineRule="exact" w:before="0" w:after="0"/>
        <w:ind w:left="400" w:right="0" w:hanging="284"/>
        <w:jc w:val="left"/>
        <w:rPr>
          <w:sz w:val="20"/>
        </w:rPr>
      </w:pPr>
      <w:r>
        <w:rPr>
          <w:sz w:val="20"/>
        </w:rPr>
        <w:t>The</w:t>
      </w:r>
      <w:r>
        <w:rPr>
          <w:spacing w:val="-16"/>
          <w:sz w:val="20"/>
        </w:rPr>
        <w:t> </w:t>
      </w:r>
      <w:r>
        <w:rPr>
          <w:sz w:val="20"/>
        </w:rPr>
        <w:t>Kerr-McGee/ABB</w:t>
      </w:r>
      <w:r>
        <w:rPr>
          <w:spacing w:val="-16"/>
          <w:sz w:val="20"/>
        </w:rPr>
        <w:t> </w:t>
      </w:r>
      <w:r>
        <w:rPr>
          <w:sz w:val="20"/>
        </w:rPr>
        <w:t>Lummus</w:t>
      </w:r>
      <w:r>
        <w:rPr>
          <w:spacing w:val="-16"/>
          <w:sz w:val="20"/>
        </w:rPr>
        <w:t> </w:t>
      </w:r>
      <w:r>
        <w:rPr>
          <w:sz w:val="20"/>
        </w:rPr>
        <w:t>Crest</w:t>
      </w:r>
      <w:r>
        <w:rPr>
          <w:spacing w:val="-16"/>
          <w:sz w:val="20"/>
        </w:rPr>
        <w:t> </w:t>
      </w:r>
      <w:r>
        <w:rPr>
          <w:sz w:val="20"/>
        </w:rPr>
        <w:t>Process</w:t>
      </w:r>
      <w:r>
        <w:rPr>
          <w:spacing w:val="-16"/>
          <w:sz w:val="20"/>
        </w:rPr>
        <w:t> </w:t>
      </w:r>
      <w:r>
        <w:rPr>
          <w:sz w:val="20"/>
        </w:rPr>
        <w:t>(Barchas</w:t>
      </w:r>
      <w:r>
        <w:rPr>
          <w:spacing w:val="-16"/>
          <w:sz w:val="20"/>
        </w:rPr>
        <w:t> </w:t>
      </w:r>
      <w:r>
        <w:rPr>
          <w:sz w:val="20"/>
        </w:rPr>
        <w:t>and</w:t>
      </w:r>
    </w:p>
    <w:p>
      <w:pPr>
        <w:pStyle w:val="BodyText"/>
        <w:spacing w:before="10"/>
        <w:ind w:left="400"/>
      </w:pPr>
      <w:r>
        <w:rPr/>
        <w:pict>
          <v:shape style="position:absolute;margin-left:90.437302pt;margin-top:307.845642pt;width:2.65pt;height:5.25pt;mso-position-horizontal-relative:page;mso-position-vertical-relative:paragraph;z-index:-272452608"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t>Davis, 1992) - This process recovers CO</w:t>
      </w:r>
      <w:r>
        <w:rPr>
          <w:position w:val="-6"/>
          <w:sz w:val="11"/>
        </w:rPr>
        <w:t>2 </w:t>
      </w:r>
      <w:r>
        <w:rPr/>
        <w:t>from coke and</w:t>
      </w:r>
    </w:p>
    <w:p>
      <w:pPr>
        <w:pStyle w:val="BodyText"/>
        <w:spacing w:before="10"/>
        <w:rPr>
          <w:sz w:val="21"/>
        </w:rPr>
      </w:pPr>
      <w:r>
        <w:rPr/>
        <w:drawing>
          <wp:anchor distT="0" distB="0" distL="0" distR="0" allowOverlap="1" layoutInCell="1" locked="0" behindDoc="0" simplePos="0" relativeHeight="18">
            <wp:simplePos x="0" y="0"/>
            <wp:positionH relativeFrom="page">
              <wp:posOffset>772176</wp:posOffset>
            </wp:positionH>
            <wp:positionV relativeFrom="paragraph">
              <wp:posOffset>184814</wp:posOffset>
            </wp:positionV>
            <wp:extent cx="2593848" cy="3310128"/>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2593848" cy="3310128"/>
                    </a:xfrm>
                    <a:prstGeom prst="rect">
                      <a:avLst/>
                    </a:prstGeom>
                  </pic:spPr>
                </pic:pic>
              </a:graphicData>
            </a:graphic>
          </wp:anchor>
        </w:drawing>
      </w:r>
    </w:p>
    <w:p>
      <w:pPr>
        <w:spacing w:line="254" w:lineRule="auto" w:before="185"/>
        <w:ind w:left="117" w:right="360" w:firstLine="0"/>
        <w:jc w:val="left"/>
        <w:rPr>
          <w:sz w:val="18"/>
        </w:rPr>
      </w:pPr>
      <w:r>
        <w:rPr>
          <w:b/>
          <w:sz w:val="18"/>
        </w:rPr>
        <w:t>Figure 3.5 </w:t>
      </w:r>
      <w:r>
        <w:rPr>
          <w:sz w:val="18"/>
        </w:rPr>
        <w:t>CO capture plant in Malaysia using a 200 tonne d</w:t>
      </w:r>
      <w:r>
        <w:rPr>
          <w:position w:val="6"/>
          <w:sz w:val="10"/>
        </w:rPr>
        <w:t>−1 </w:t>
      </w:r>
      <w:r>
        <w:rPr>
          <w:sz w:val="18"/>
        </w:rPr>
        <w:t>KEPCO/MHI chemical solvent process (Courtesy of Mitsubishi).</w:t>
      </w:r>
    </w:p>
    <w:p>
      <w:pPr>
        <w:pStyle w:val="BodyText"/>
        <w:spacing w:line="193" w:lineRule="exact"/>
        <w:ind w:left="400"/>
      </w:pPr>
      <w:r>
        <w:rPr/>
        <w:br w:type="column"/>
      </w:r>
      <w:r>
        <w:rPr/>
        <w:t>gas</w:t>
      </w:r>
      <w:r>
        <w:rPr>
          <w:spacing w:val="17"/>
        </w:rPr>
        <w:t> </w:t>
      </w:r>
      <w:r>
        <w:rPr/>
        <w:t>stream</w:t>
      </w:r>
      <w:r>
        <w:rPr>
          <w:spacing w:val="17"/>
        </w:rPr>
        <w:t> </w:t>
      </w:r>
      <w:r>
        <w:rPr/>
        <w:t>has</w:t>
      </w:r>
      <w:r>
        <w:rPr>
          <w:spacing w:val="17"/>
        </w:rPr>
        <w:t> </w:t>
      </w:r>
      <w:r>
        <w:rPr/>
        <w:t>been</w:t>
      </w:r>
      <w:r>
        <w:rPr>
          <w:spacing w:val="17"/>
        </w:rPr>
        <w:t> </w:t>
      </w:r>
      <w:r>
        <w:rPr/>
        <w:t>operating</w:t>
      </w:r>
      <w:r>
        <w:rPr>
          <w:spacing w:val="18"/>
        </w:rPr>
        <w:t> </w:t>
      </w:r>
      <w:r>
        <w:rPr/>
        <w:t>in</w:t>
      </w:r>
      <w:r>
        <w:rPr>
          <w:spacing w:val="17"/>
        </w:rPr>
        <w:t> </w:t>
      </w:r>
      <w:r>
        <w:rPr/>
        <w:t>Malaysia</w:t>
      </w:r>
      <w:r>
        <w:rPr>
          <w:spacing w:val="17"/>
        </w:rPr>
        <w:t> </w:t>
      </w:r>
      <w:r>
        <w:rPr/>
        <w:t>since</w:t>
      </w:r>
      <w:r>
        <w:rPr>
          <w:spacing w:val="17"/>
        </w:rPr>
        <w:t> </w:t>
      </w:r>
      <w:r>
        <w:rPr/>
        <w:t>1999</w:t>
      </w:r>
      <w:r>
        <w:rPr>
          <w:spacing w:val="18"/>
        </w:rPr>
        <w:t> </w:t>
      </w:r>
      <w:r>
        <w:rPr/>
        <w:t>for</w:t>
      </w:r>
    </w:p>
    <w:p>
      <w:pPr>
        <w:pStyle w:val="BodyText"/>
        <w:spacing w:before="10"/>
        <w:ind w:left="400"/>
      </w:pPr>
      <w:r>
        <w:rPr/>
        <w:t>urea</w:t>
      </w:r>
      <w:r>
        <w:rPr>
          <w:spacing w:val="-11"/>
        </w:rPr>
        <w:t> </w:t>
      </w:r>
      <w:r>
        <w:rPr/>
        <w:t>production</w:t>
      </w:r>
      <w:r>
        <w:rPr>
          <w:spacing w:val="-10"/>
        </w:rPr>
        <w:t> </w:t>
      </w:r>
      <w:r>
        <w:rPr/>
        <w:t>(equivalent</w:t>
      </w:r>
      <w:r>
        <w:rPr>
          <w:spacing w:val="-11"/>
        </w:rPr>
        <w:t> </w:t>
      </w:r>
      <w:r>
        <w:rPr/>
        <w:t>to</w:t>
      </w:r>
      <w:r>
        <w:rPr>
          <w:spacing w:val="-11"/>
        </w:rPr>
        <w:t> </w:t>
      </w:r>
      <w:r>
        <w:rPr/>
        <w:t>the</w:t>
      </w:r>
      <w:r>
        <w:rPr>
          <w:spacing w:val="-10"/>
        </w:rPr>
        <w:t> </w:t>
      </w:r>
      <w:r>
        <w:rPr/>
        <w:t>emissions</w:t>
      </w:r>
      <w:r>
        <w:rPr>
          <w:spacing w:val="-10"/>
        </w:rPr>
        <w:t> </w:t>
      </w:r>
      <w:r>
        <w:rPr/>
        <w:t>from</w:t>
      </w:r>
      <w:r>
        <w:rPr>
          <w:spacing w:val="-11"/>
        </w:rPr>
        <w:t> </w:t>
      </w:r>
      <w:r>
        <w:rPr/>
        <w:t>a</w:t>
      </w:r>
      <w:r>
        <w:rPr>
          <w:spacing w:val="-10"/>
        </w:rPr>
        <w:t> </w:t>
      </w:r>
      <w:r>
        <w:rPr/>
        <w:t>10</w:t>
      </w:r>
      <w:r>
        <w:rPr>
          <w:spacing w:val="-10"/>
        </w:rPr>
        <w:t> </w:t>
      </w:r>
      <w:r>
        <w:rPr/>
        <w:t>MWt</w:t>
      </w:r>
    </w:p>
    <w:p>
      <w:pPr>
        <w:pStyle w:val="BodyText"/>
        <w:spacing w:before="10"/>
        <w:ind w:left="400"/>
      </w:pPr>
      <w:r>
        <w:rPr/>
        <w:t>coal-fired power plant)</w:t>
      </w:r>
    </w:p>
    <w:p>
      <w:pPr>
        <w:pStyle w:val="BodyText"/>
        <w:spacing w:before="8"/>
        <w:rPr>
          <w:sz w:val="21"/>
        </w:rPr>
      </w:pPr>
    </w:p>
    <w:p>
      <w:pPr>
        <w:pStyle w:val="BodyText"/>
        <w:spacing w:line="249" w:lineRule="auto"/>
        <w:ind w:left="117" w:right="1130"/>
        <w:jc w:val="both"/>
      </w:pPr>
      <w:r>
        <w:rPr/>
        <w:t>The performance of the chemical solvent in the operation is maintained by replacement, filtering and reclaiming, which leads to a consumables requirement. Typical values for </w:t>
      </w:r>
      <w:r>
        <w:rPr>
          <w:spacing w:val="-4"/>
        </w:rPr>
        <w:t>the </w:t>
      </w:r>
      <w:r>
        <w:rPr/>
        <w:t>solvent consumption are between 0.2 and 1.6 kg/tCO2. In addition, chemicals are needed to reclaim  the  amine  </w:t>
      </w:r>
      <w:r>
        <w:rPr>
          <w:spacing w:val="-4"/>
        </w:rPr>
        <w:t>from  </w:t>
      </w:r>
      <w:r>
        <w:rPr/>
        <w:t>the heat stable salt (typically 0.03–0.13 kg NaOH/tCO2) and to remove decomposition products (typically 0.03-0.06 </w:t>
      </w:r>
      <w:r>
        <w:rPr>
          <w:spacing w:val="-6"/>
        </w:rPr>
        <w:t>kg </w:t>
      </w:r>
      <w:r>
        <w:rPr/>
        <w:t>activated carbon/tCO2). The ranges are primarily dependent</w:t>
      </w:r>
      <w:r>
        <w:rPr>
          <w:spacing w:val="-25"/>
        </w:rPr>
        <w:t> </w:t>
      </w:r>
      <w:r>
        <w:rPr>
          <w:spacing w:val="-7"/>
        </w:rPr>
        <w:t>on </w:t>
      </w:r>
      <w:r>
        <w:rPr/>
        <w:t>the absorption process, with KS-1 being at the low end of the range and ECONAMINE ™ at the high end.</w:t>
      </w:r>
    </w:p>
    <w:p>
      <w:pPr>
        <w:pStyle w:val="BodyText"/>
        <w:spacing w:before="7"/>
        <w:rPr>
          <w:sz w:val="21"/>
        </w:rPr>
      </w:pPr>
    </w:p>
    <w:p>
      <w:pPr>
        <w:spacing w:before="0"/>
        <w:ind w:left="117" w:right="0" w:firstLine="0"/>
        <w:jc w:val="both"/>
        <w:rPr>
          <w:i/>
          <w:sz w:val="20"/>
        </w:rPr>
      </w:pPr>
      <w:r>
        <w:rPr>
          <w:i/>
          <w:sz w:val="20"/>
        </w:rPr>
        <w:t>3.3.2.2. Flue gas pretreatment</w:t>
      </w:r>
    </w:p>
    <w:p>
      <w:pPr>
        <w:pStyle w:val="BodyText"/>
        <w:spacing w:line="247" w:lineRule="auto" w:before="10"/>
        <w:ind w:left="117" w:right="1129"/>
        <w:jc w:val="both"/>
      </w:pPr>
      <w:r>
        <w:rPr/>
        <w:t>Flue gases from a combustion power plant are usually above 100</w:t>
      </w:r>
      <w:r>
        <w:rPr>
          <w:rFonts w:ascii="Symbol" w:hAnsi="Symbol"/>
        </w:rPr>
        <w:t></w:t>
      </w:r>
      <w:r>
        <w:rPr/>
        <w:t>C, which means that they need to be cooled down to the temperature</w:t>
      </w:r>
      <w:r>
        <w:rPr>
          <w:spacing w:val="-6"/>
        </w:rPr>
        <w:t> </w:t>
      </w:r>
      <w:r>
        <w:rPr/>
        <w:t>levels</w:t>
      </w:r>
      <w:r>
        <w:rPr>
          <w:spacing w:val="-6"/>
        </w:rPr>
        <w:t> </w:t>
      </w:r>
      <w:r>
        <w:rPr/>
        <w:t>required</w:t>
      </w:r>
      <w:r>
        <w:rPr>
          <w:spacing w:val="-6"/>
        </w:rPr>
        <w:t> </w:t>
      </w:r>
      <w:r>
        <w:rPr/>
        <w:t>for</w:t>
      </w:r>
      <w:r>
        <w:rPr>
          <w:spacing w:val="-5"/>
        </w:rPr>
        <w:t> </w:t>
      </w:r>
      <w:r>
        <w:rPr/>
        <w:t>the</w:t>
      </w:r>
      <w:r>
        <w:rPr>
          <w:spacing w:val="-6"/>
        </w:rPr>
        <w:t> </w:t>
      </w:r>
      <w:r>
        <w:rPr/>
        <w:t>absorption</w:t>
      </w:r>
      <w:r>
        <w:rPr>
          <w:spacing w:val="-6"/>
        </w:rPr>
        <w:t> </w:t>
      </w:r>
      <w:r>
        <w:rPr/>
        <w:t>process.</w:t>
      </w:r>
      <w:r>
        <w:rPr>
          <w:spacing w:val="-10"/>
        </w:rPr>
        <w:t> </w:t>
      </w:r>
      <w:r>
        <w:rPr/>
        <w:t>This</w:t>
      </w:r>
      <w:r>
        <w:rPr>
          <w:spacing w:val="-6"/>
        </w:rPr>
        <w:t> </w:t>
      </w:r>
      <w:r>
        <w:rPr>
          <w:spacing w:val="-5"/>
        </w:rPr>
        <w:t>can </w:t>
      </w:r>
      <w:r>
        <w:rPr/>
        <w:t>be</w:t>
      </w:r>
      <w:r>
        <w:rPr>
          <w:spacing w:val="-6"/>
        </w:rPr>
        <w:t> </w:t>
      </w:r>
      <w:r>
        <w:rPr/>
        <w:t>done</w:t>
      </w:r>
      <w:r>
        <w:rPr>
          <w:spacing w:val="-6"/>
        </w:rPr>
        <w:t> </w:t>
      </w:r>
      <w:r>
        <w:rPr/>
        <w:t>in</w:t>
      </w:r>
      <w:r>
        <w:rPr>
          <w:spacing w:val="-6"/>
        </w:rPr>
        <w:t> </w:t>
      </w:r>
      <w:r>
        <w:rPr/>
        <w:t>a</w:t>
      </w:r>
      <w:r>
        <w:rPr>
          <w:spacing w:val="-6"/>
        </w:rPr>
        <w:t> </w:t>
      </w:r>
      <w:r>
        <w:rPr/>
        <w:t>cooler</w:t>
      </w:r>
      <w:r>
        <w:rPr>
          <w:spacing w:val="-6"/>
        </w:rPr>
        <w:t> </w:t>
      </w:r>
      <w:r>
        <w:rPr/>
        <w:t>with</w:t>
      </w:r>
      <w:r>
        <w:rPr>
          <w:spacing w:val="-6"/>
        </w:rPr>
        <w:t> </w:t>
      </w:r>
      <w:r>
        <w:rPr/>
        <w:t>direct</w:t>
      </w:r>
      <w:r>
        <w:rPr>
          <w:spacing w:val="-6"/>
        </w:rPr>
        <w:t> </w:t>
      </w:r>
      <w:r>
        <w:rPr/>
        <w:t>water</w:t>
      </w:r>
      <w:r>
        <w:rPr>
          <w:spacing w:val="-5"/>
        </w:rPr>
        <w:t> </w:t>
      </w:r>
      <w:r>
        <w:rPr/>
        <w:t>contact,</w:t>
      </w:r>
      <w:r>
        <w:rPr>
          <w:spacing w:val="-6"/>
        </w:rPr>
        <w:t> </w:t>
      </w:r>
      <w:r>
        <w:rPr/>
        <w:t>which</w:t>
      </w:r>
      <w:r>
        <w:rPr>
          <w:spacing w:val="-6"/>
        </w:rPr>
        <w:t> </w:t>
      </w:r>
      <w:r>
        <w:rPr/>
        <w:t>also</w:t>
      </w:r>
      <w:r>
        <w:rPr>
          <w:spacing w:val="-6"/>
        </w:rPr>
        <w:t> </w:t>
      </w:r>
      <w:r>
        <w:rPr/>
        <w:t>acts</w:t>
      </w:r>
      <w:r>
        <w:rPr>
          <w:spacing w:val="-6"/>
        </w:rPr>
        <w:t> </w:t>
      </w:r>
      <w:r>
        <w:rPr/>
        <w:t>as a flue gas wash with additional removal of fine</w:t>
      </w:r>
      <w:r>
        <w:rPr>
          <w:spacing w:val="-25"/>
        </w:rPr>
        <w:t> </w:t>
      </w:r>
      <w:r>
        <w:rPr/>
        <w:t>particulates.</w:t>
      </w:r>
    </w:p>
    <w:p>
      <w:pPr>
        <w:pStyle w:val="BodyText"/>
        <w:spacing w:line="225" w:lineRule="auto" w:before="11"/>
        <w:ind w:left="117" w:right="1131" w:firstLine="283"/>
        <w:jc w:val="both"/>
      </w:pPr>
      <w:r>
        <w:rPr/>
        <w:t>In</w:t>
      </w:r>
      <w:r>
        <w:rPr>
          <w:spacing w:val="-5"/>
        </w:rPr>
        <w:t> </w:t>
      </w:r>
      <w:r>
        <w:rPr/>
        <w:t>addition</w:t>
      </w:r>
      <w:r>
        <w:rPr>
          <w:spacing w:val="-5"/>
        </w:rPr>
        <w:t> </w:t>
      </w:r>
      <w:r>
        <w:rPr/>
        <w:t>to</w:t>
      </w:r>
      <w:r>
        <w:rPr>
          <w:spacing w:val="-5"/>
        </w:rPr>
        <w:t> </w:t>
      </w:r>
      <w:r>
        <w:rPr/>
        <w:t>the</w:t>
      </w:r>
      <w:r>
        <w:rPr>
          <w:spacing w:val="-4"/>
        </w:rPr>
        <w:t> </w:t>
      </w:r>
      <w:r>
        <w:rPr/>
        <w:t>above,</w:t>
      </w:r>
      <w:r>
        <w:rPr>
          <w:spacing w:val="-5"/>
        </w:rPr>
        <w:t> </w:t>
      </w:r>
      <w:r>
        <w:rPr/>
        <w:t>flue</w:t>
      </w:r>
      <w:r>
        <w:rPr>
          <w:spacing w:val="-5"/>
        </w:rPr>
        <w:t> </w:t>
      </w:r>
      <w:r>
        <w:rPr/>
        <w:t>gas</w:t>
      </w:r>
      <w:r>
        <w:rPr>
          <w:spacing w:val="-5"/>
        </w:rPr>
        <w:t> </w:t>
      </w:r>
      <w:r>
        <w:rPr/>
        <w:t>from</w:t>
      </w:r>
      <w:r>
        <w:rPr>
          <w:spacing w:val="-4"/>
        </w:rPr>
        <w:t> </w:t>
      </w:r>
      <w:r>
        <w:rPr/>
        <w:t>coal</w:t>
      </w:r>
      <w:r>
        <w:rPr>
          <w:spacing w:val="-5"/>
        </w:rPr>
        <w:t> </w:t>
      </w:r>
      <w:r>
        <w:rPr/>
        <w:t>combustion</w:t>
      </w:r>
      <w:r>
        <w:rPr>
          <w:spacing w:val="-5"/>
        </w:rPr>
        <w:t> </w:t>
      </w:r>
      <w:r>
        <w:rPr/>
        <w:t>will contain other acid gas components such as NO</w:t>
      </w:r>
      <w:r>
        <w:rPr>
          <w:position w:val="-6"/>
          <w:sz w:val="11"/>
        </w:rPr>
        <w:t>x </w:t>
      </w:r>
      <w:r>
        <w:rPr/>
        <w:t>and SO</w:t>
      </w:r>
      <w:r>
        <w:rPr>
          <w:position w:val="-6"/>
          <w:sz w:val="11"/>
        </w:rPr>
        <w:t>x</w:t>
      </w:r>
      <w:r>
        <w:rPr/>
        <w:t>. Flue gases</w:t>
      </w:r>
      <w:r>
        <w:rPr>
          <w:spacing w:val="9"/>
        </w:rPr>
        <w:t> </w:t>
      </w:r>
      <w:r>
        <w:rPr/>
        <w:t>from</w:t>
      </w:r>
      <w:r>
        <w:rPr>
          <w:spacing w:val="9"/>
        </w:rPr>
        <w:t> </w:t>
      </w:r>
      <w:r>
        <w:rPr/>
        <w:t>natural</w:t>
      </w:r>
      <w:r>
        <w:rPr>
          <w:spacing w:val="8"/>
        </w:rPr>
        <w:t> </w:t>
      </w:r>
      <w:r>
        <w:rPr/>
        <w:t>gas</w:t>
      </w:r>
      <w:r>
        <w:rPr>
          <w:spacing w:val="10"/>
        </w:rPr>
        <w:t> </w:t>
      </w:r>
      <w:r>
        <w:rPr/>
        <w:t>combustion</w:t>
      </w:r>
      <w:r>
        <w:rPr>
          <w:spacing w:val="9"/>
        </w:rPr>
        <w:t> </w:t>
      </w:r>
      <w:r>
        <w:rPr/>
        <w:t>will</w:t>
      </w:r>
      <w:r>
        <w:rPr>
          <w:spacing w:val="8"/>
        </w:rPr>
        <w:t> </w:t>
      </w:r>
      <w:r>
        <w:rPr/>
        <w:t>normally</w:t>
      </w:r>
      <w:r>
        <w:rPr>
          <w:spacing w:val="8"/>
        </w:rPr>
        <w:t> </w:t>
      </w:r>
      <w:r>
        <w:rPr/>
        <w:t>only</w:t>
      </w:r>
      <w:r>
        <w:rPr>
          <w:spacing w:val="10"/>
        </w:rPr>
        <w:t> </w:t>
      </w:r>
      <w:r>
        <w:rPr/>
        <w:t>contain</w:t>
      </w:r>
    </w:p>
    <w:p>
      <w:pPr>
        <w:pStyle w:val="BodyText"/>
        <w:spacing w:line="240" w:lineRule="exact" w:before="5"/>
        <w:ind w:left="117" w:right="1130"/>
        <w:jc w:val="both"/>
        <w:rPr>
          <w:sz w:val="11"/>
        </w:rPr>
      </w:pPr>
      <w:r>
        <w:rPr/>
        <w:t>NO</w:t>
      </w:r>
      <w:r>
        <w:rPr>
          <w:position w:val="-6"/>
          <w:sz w:val="11"/>
        </w:rPr>
        <w:t>x</w:t>
      </w:r>
      <w:r>
        <w:rPr/>
        <w:t>. These acidic gas components will, similar to CO</w:t>
      </w:r>
      <w:r>
        <w:rPr>
          <w:position w:val="-6"/>
          <w:sz w:val="11"/>
        </w:rPr>
        <w:t>2</w:t>
      </w:r>
      <w:r>
        <w:rPr/>
        <w:t>, have  a chemical interaction with the alkaline solvent. This is not desirable as the irreversible nature of this interaction leads </w:t>
      </w:r>
      <w:r>
        <w:rPr>
          <w:spacing w:val="-8"/>
        </w:rPr>
        <w:t>to </w:t>
      </w:r>
      <w:r>
        <w:rPr/>
        <w:t>the formation of heat stable salts and hence a loss in</w:t>
      </w:r>
      <w:r>
        <w:rPr>
          <w:spacing w:val="-31"/>
        </w:rPr>
        <w:t> </w:t>
      </w:r>
      <w:r>
        <w:rPr/>
        <w:t>absorption capacity</w:t>
      </w:r>
      <w:r>
        <w:rPr>
          <w:spacing w:val="-4"/>
        </w:rPr>
        <w:t> </w:t>
      </w:r>
      <w:r>
        <w:rPr/>
        <w:t>of</w:t>
      </w:r>
      <w:r>
        <w:rPr>
          <w:spacing w:val="-4"/>
        </w:rPr>
        <w:t> </w:t>
      </w:r>
      <w:r>
        <w:rPr/>
        <w:t>the</w:t>
      </w:r>
      <w:r>
        <w:rPr>
          <w:spacing w:val="-4"/>
        </w:rPr>
        <w:t> </w:t>
      </w:r>
      <w:r>
        <w:rPr/>
        <w:t>solvent</w:t>
      </w:r>
      <w:r>
        <w:rPr>
          <w:spacing w:val="-4"/>
        </w:rPr>
        <w:t> </w:t>
      </w:r>
      <w:r>
        <w:rPr/>
        <w:t>and</w:t>
      </w:r>
      <w:r>
        <w:rPr>
          <w:spacing w:val="-4"/>
        </w:rPr>
        <w:t> </w:t>
      </w:r>
      <w:r>
        <w:rPr/>
        <w:t>the</w:t>
      </w:r>
      <w:r>
        <w:rPr>
          <w:spacing w:val="-4"/>
        </w:rPr>
        <w:t> </w:t>
      </w:r>
      <w:r>
        <w:rPr/>
        <w:t>risk</w:t>
      </w:r>
      <w:r>
        <w:rPr>
          <w:spacing w:val="-4"/>
        </w:rPr>
        <w:t> </w:t>
      </w:r>
      <w:r>
        <w:rPr/>
        <w:t>of</w:t>
      </w:r>
      <w:r>
        <w:rPr>
          <w:spacing w:val="-4"/>
        </w:rPr>
        <w:t> </w:t>
      </w:r>
      <w:r>
        <w:rPr/>
        <w:t>formation</w:t>
      </w:r>
      <w:r>
        <w:rPr>
          <w:spacing w:val="-3"/>
        </w:rPr>
        <w:t> </w:t>
      </w:r>
      <w:r>
        <w:rPr/>
        <w:t>of</w:t>
      </w:r>
      <w:r>
        <w:rPr>
          <w:spacing w:val="-4"/>
        </w:rPr>
        <w:t> </w:t>
      </w:r>
      <w:r>
        <w:rPr/>
        <w:t>solids</w:t>
      </w:r>
      <w:r>
        <w:rPr>
          <w:spacing w:val="-4"/>
        </w:rPr>
        <w:t> </w:t>
      </w:r>
      <w:r>
        <w:rPr/>
        <w:t>in</w:t>
      </w:r>
      <w:r>
        <w:rPr>
          <w:spacing w:val="-4"/>
        </w:rPr>
        <w:t> </w:t>
      </w:r>
      <w:r>
        <w:rPr/>
        <w:t>the solution. It also results in an extra consumption of chemicals to regenerate the solvent and the production of a waste stream such as sodium sulphate or sodium nitrate. Therefore, the pre-removal</w:t>
      </w:r>
      <w:r>
        <w:rPr>
          <w:spacing w:val="28"/>
        </w:rPr>
        <w:t> </w:t>
      </w:r>
      <w:r>
        <w:rPr/>
        <w:t>of</w:t>
      </w:r>
      <w:r>
        <w:rPr>
          <w:spacing w:val="29"/>
        </w:rPr>
        <w:t> </w:t>
      </w:r>
      <w:r>
        <w:rPr/>
        <w:t>NO</w:t>
      </w:r>
      <w:r>
        <w:rPr>
          <w:position w:val="-6"/>
          <w:sz w:val="11"/>
        </w:rPr>
        <w:t>x </w:t>
      </w:r>
      <w:r>
        <w:rPr>
          <w:spacing w:val="23"/>
          <w:position w:val="-6"/>
          <w:sz w:val="11"/>
        </w:rPr>
        <w:t> </w:t>
      </w:r>
      <w:r>
        <w:rPr/>
        <w:t>and</w:t>
      </w:r>
      <w:r>
        <w:rPr>
          <w:spacing w:val="29"/>
        </w:rPr>
        <w:t> </w:t>
      </w:r>
      <w:r>
        <w:rPr/>
        <w:t>SO</w:t>
      </w:r>
      <w:r>
        <w:rPr>
          <w:position w:val="-6"/>
          <w:sz w:val="11"/>
        </w:rPr>
        <w:t>x </w:t>
      </w:r>
      <w:r>
        <w:rPr>
          <w:spacing w:val="23"/>
          <w:position w:val="-6"/>
          <w:sz w:val="11"/>
        </w:rPr>
        <w:t> </w:t>
      </w:r>
      <w:r>
        <w:rPr/>
        <w:t>to</w:t>
      </w:r>
      <w:r>
        <w:rPr>
          <w:spacing w:val="29"/>
        </w:rPr>
        <w:t> </w:t>
      </w:r>
      <w:r>
        <w:rPr/>
        <w:t>very</w:t>
      </w:r>
      <w:r>
        <w:rPr>
          <w:spacing w:val="28"/>
        </w:rPr>
        <w:t> </w:t>
      </w:r>
      <w:r>
        <w:rPr/>
        <w:t>low</w:t>
      </w:r>
      <w:r>
        <w:rPr>
          <w:spacing w:val="29"/>
        </w:rPr>
        <w:t> </w:t>
      </w:r>
      <w:r>
        <w:rPr/>
        <w:t>values</w:t>
      </w:r>
      <w:r>
        <w:rPr>
          <w:spacing w:val="29"/>
        </w:rPr>
        <w:t> </w:t>
      </w:r>
      <w:r>
        <w:rPr/>
        <w:t>before</w:t>
      </w:r>
      <w:r>
        <w:rPr>
          <w:spacing w:val="29"/>
        </w:rPr>
        <w:t> </w:t>
      </w:r>
      <w:r>
        <w:rPr>
          <w:spacing w:val="-4"/>
        </w:rPr>
        <w:t>CO</w:t>
      </w:r>
      <w:r>
        <w:rPr>
          <w:spacing w:val="-4"/>
          <w:position w:val="-6"/>
          <w:sz w:val="11"/>
        </w:rPr>
        <w:t>2</w:t>
      </w:r>
    </w:p>
    <w:p>
      <w:pPr>
        <w:spacing w:after="0" w:line="240" w:lineRule="exact"/>
        <w:jc w:val="both"/>
        <w:rPr>
          <w:sz w:val="11"/>
        </w:rPr>
        <w:sectPr>
          <w:type w:val="continuous"/>
          <w:pgSz w:w="12240" w:h="15840"/>
          <w:pgMar w:top="480" w:bottom="280" w:left="620" w:right="0"/>
          <w:cols w:num="2" w:equalWidth="0">
            <w:col w:w="5202" w:space="124"/>
            <w:col w:w="6294"/>
          </w:cols>
        </w:sectPr>
      </w:pPr>
    </w:p>
    <w:p>
      <w:pPr>
        <w:pStyle w:val="BodyText"/>
      </w:pPr>
    </w:p>
    <w:p>
      <w:pPr>
        <w:spacing w:after="0"/>
        <w:sectPr>
          <w:pgSz w:w="12240" w:h="15840"/>
          <w:pgMar w:header="567" w:footer="0" w:top="800" w:bottom="280" w:left="620" w:right="0"/>
        </w:sectPr>
      </w:pPr>
    </w:p>
    <w:p>
      <w:pPr>
        <w:pStyle w:val="BodyText"/>
        <w:spacing w:before="10"/>
        <w:rPr>
          <w:sz w:val="17"/>
        </w:rPr>
      </w:pPr>
    </w:p>
    <w:p>
      <w:pPr>
        <w:pStyle w:val="BodyText"/>
        <w:spacing w:line="240" w:lineRule="exact"/>
        <w:ind w:left="513" w:right="9"/>
        <w:jc w:val="both"/>
      </w:pPr>
      <w:r>
        <w:rPr/>
        <w:t>recovery becomes essential. For NO</w:t>
      </w:r>
      <w:r>
        <w:rPr>
          <w:position w:val="-6"/>
          <w:sz w:val="11"/>
        </w:rPr>
        <w:t>x </w:t>
      </w:r>
      <w:r>
        <w:rPr/>
        <w:t>it is the NO</w:t>
      </w:r>
      <w:r>
        <w:rPr>
          <w:position w:val="-6"/>
          <w:sz w:val="11"/>
        </w:rPr>
        <w:t>2 </w:t>
      </w:r>
      <w:r>
        <w:rPr/>
        <w:t>which leads to the formation of heat stable salts. Fortunately, the level of NO</w:t>
      </w:r>
      <w:r>
        <w:rPr>
          <w:position w:val="-6"/>
          <w:sz w:val="11"/>
        </w:rPr>
        <w:t>2</w:t>
      </w:r>
      <w:r>
        <w:rPr>
          <w:spacing w:val="14"/>
          <w:position w:val="-6"/>
          <w:sz w:val="11"/>
        </w:rPr>
        <w:t> </w:t>
      </w:r>
      <w:r>
        <w:rPr/>
        <w:t>is</w:t>
      </w:r>
      <w:r>
        <w:rPr>
          <w:spacing w:val="-8"/>
        </w:rPr>
        <w:t> </w:t>
      </w:r>
      <w:r>
        <w:rPr/>
        <w:t>mostly</w:t>
      </w:r>
      <w:r>
        <w:rPr>
          <w:spacing w:val="-8"/>
        </w:rPr>
        <w:t> </w:t>
      </w:r>
      <w:r>
        <w:rPr/>
        <w:t>less</w:t>
      </w:r>
      <w:r>
        <w:rPr>
          <w:spacing w:val="-8"/>
        </w:rPr>
        <w:t> </w:t>
      </w:r>
      <w:r>
        <w:rPr/>
        <w:t>than</w:t>
      </w:r>
      <w:r>
        <w:rPr>
          <w:spacing w:val="-7"/>
        </w:rPr>
        <w:t> </w:t>
      </w:r>
      <w:r>
        <w:rPr/>
        <w:t>10%</w:t>
      </w:r>
      <w:r>
        <w:rPr>
          <w:spacing w:val="-8"/>
        </w:rPr>
        <w:t> </w:t>
      </w:r>
      <w:r>
        <w:rPr/>
        <w:t>of</w:t>
      </w:r>
      <w:r>
        <w:rPr>
          <w:spacing w:val="-8"/>
        </w:rPr>
        <w:t> </w:t>
      </w:r>
      <w:r>
        <w:rPr/>
        <w:t>the</w:t>
      </w:r>
      <w:r>
        <w:rPr>
          <w:spacing w:val="-8"/>
        </w:rPr>
        <w:t> </w:t>
      </w:r>
      <w:r>
        <w:rPr/>
        <w:t>overall</w:t>
      </w:r>
      <w:r>
        <w:rPr>
          <w:spacing w:val="-8"/>
        </w:rPr>
        <w:t> </w:t>
      </w:r>
      <w:r>
        <w:rPr/>
        <w:t>NO</w:t>
      </w:r>
      <w:r>
        <w:rPr>
          <w:position w:val="-6"/>
          <w:sz w:val="11"/>
        </w:rPr>
        <w:t>x</w:t>
      </w:r>
      <w:r>
        <w:rPr>
          <w:spacing w:val="15"/>
          <w:position w:val="-6"/>
          <w:sz w:val="11"/>
        </w:rPr>
        <w:t> </w:t>
      </w:r>
      <w:r>
        <w:rPr/>
        <w:t>content</w:t>
      </w:r>
      <w:r>
        <w:rPr>
          <w:spacing w:val="-9"/>
        </w:rPr>
        <w:t> </w:t>
      </w:r>
      <w:r>
        <w:rPr/>
        <w:t>in</w:t>
      </w:r>
      <w:r>
        <w:rPr>
          <w:spacing w:val="-8"/>
        </w:rPr>
        <w:t> </w:t>
      </w:r>
      <w:r>
        <w:rPr/>
        <w:t>a</w:t>
      </w:r>
      <w:r>
        <w:rPr>
          <w:spacing w:val="-8"/>
        </w:rPr>
        <w:t> </w:t>
      </w:r>
      <w:r>
        <w:rPr/>
        <w:t>flue gas (Chapel </w:t>
      </w:r>
      <w:r>
        <w:rPr>
          <w:i/>
        </w:rPr>
        <w:t>et al.</w:t>
      </w:r>
      <w:r>
        <w:rPr/>
        <w:t>,</w:t>
      </w:r>
      <w:r>
        <w:rPr>
          <w:spacing w:val="-1"/>
        </w:rPr>
        <w:t> </w:t>
      </w:r>
      <w:r>
        <w:rPr/>
        <w:t>1999).</w:t>
      </w:r>
    </w:p>
    <w:p>
      <w:pPr>
        <w:pStyle w:val="BodyText"/>
        <w:spacing w:line="240" w:lineRule="exact"/>
        <w:ind w:left="513" w:firstLine="283"/>
        <w:jc w:val="both"/>
      </w:pPr>
      <w:r>
        <w:rPr/>
        <w:t>The allowable SO</w:t>
      </w:r>
      <w:r>
        <w:rPr>
          <w:position w:val="-6"/>
          <w:sz w:val="11"/>
        </w:rPr>
        <w:t>x </w:t>
      </w:r>
      <w:r>
        <w:rPr/>
        <w:t>content in the flue gas is primarily determined by the cost of the solvent - as this is consumed    by reaction with SO</w:t>
      </w:r>
      <w:r>
        <w:rPr>
          <w:position w:val="-6"/>
          <w:sz w:val="11"/>
        </w:rPr>
        <w:t>x</w:t>
      </w:r>
      <w:r>
        <w:rPr/>
        <w:t>. SO</w:t>
      </w:r>
      <w:r>
        <w:rPr>
          <w:position w:val="-6"/>
          <w:sz w:val="11"/>
        </w:rPr>
        <w:t>2 </w:t>
      </w:r>
      <w:r>
        <w:rPr/>
        <w:t>concentrations in the flue gas are typically around 300-5000 ppm. Commercially available SO</w:t>
      </w:r>
      <w:r>
        <w:rPr>
          <w:position w:val="-6"/>
          <w:sz w:val="11"/>
        </w:rPr>
        <w:t>2</w:t>
      </w:r>
      <w:r>
        <w:rPr/>
        <w:t>-removal plants will remove up to 98-99%. Amines are relatively</w:t>
      </w:r>
      <w:r>
        <w:rPr>
          <w:spacing w:val="8"/>
        </w:rPr>
        <w:t> </w:t>
      </w:r>
      <w:r>
        <w:rPr/>
        <w:t>cheap</w:t>
      </w:r>
      <w:r>
        <w:rPr>
          <w:spacing w:val="9"/>
        </w:rPr>
        <w:t> </w:t>
      </w:r>
      <w:r>
        <w:rPr/>
        <w:t>chemicals,</w:t>
      </w:r>
      <w:r>
        <w:rPr>
          <w:spacing w:val="9"/>
        </w:rPr>
        <w:t> </w:t>
      </w:r>
      <w:r>
        <w:rPr/>
        <w:t>but</w:t>
      </w:r>
      <w:r>
        <w:rPr>
          <w:spacing w:val="9"/>
        </w:rPr>
        <w:t> </w:t>
      </w:r>
      <w:r>
        <w:rPr/>
        <w:t>even</w:t>
      </w:r>
      <w:r>
        <w:rPr>
          <w:spacing w:val="8"/>
        </w:rPr>
        <w:t> </w:t>
      </w:r>
      <w:r>
        <w:rPr/>
        <w:t>cheap</w:t>
      </w:r>
      <w:r>
        <w:rPr>
          <w:spacing w:val="9"/>
        </w:rPr>
        <w:t> </w:t>
      </w:r>
      <w:r>
        <w:rPr/>
        <w:t>solvents</w:t>
      </w:r>
      <w:r>
        <w:rPr>
          <w:spacing w:val="9"/>
        </w:rPr>
        <w:t> </w:t>
      </w:r>
      <w:r>
        <w:rPr/>
        <w:t>like</w:t>
      </w:r>
      <w:r>
        <w:rPr>
          <w:spacing w:val="9"/>
        </w:rPr>
        <w:t> </w:t>
      </w:r>
      <w:r>
        <w:rPr/>
        <w:t>MEA</w:t>
      </w:r>
    </w:p>
    <w:p>
      <w:pPr>
        <w:pStyle w:val="BodyText"/>
        <w:spacing w:line="249" w:lineRule="auto" w:before="211"/>
        <w:ind w:left="231" w:right="733"/>
        <w:jc w:val="both"/>
      </w:pPr>
      <w:r>
        <w:rPr/>
        <w:br w:type="column"/>
      </w:r>
      <w:r>
        <w:rPr/>
        <w:t>reboiler.</w:t>
      </w:r>
      <w:r>
        <w:rPr>
          <w:spacing w:val="-13"/>
        </w:rPr>
        <w:t> </w:t>
      </w:r>
      <w:r>
        <w:rPr/>
        <w:t>The</w:t>
      </w:r>
      <w:r>
        <w:rPr>
          <w:spacing w:val="-9"/>
        </w:rPr>
        <w:t> </w:t>
      </w:r>
      <w:r>
        <w:rPr/>
        <w:t>steam</w:t>
      </w:r>
      <w:r>
        <w:rPr>
          <w:spacing w:val="-9"/>
        </w:rPr>
        <w:t> </w:t>
      </w:r>
      <w:r>
        <w:rPr/>
        <w:t>required</w:t>
      </w:r>
      <w:r>
        <w:rPr>
          <w:spacing w:val="-9"/>
        </w:rPr>
        <w:t> </w:t>
      </w:r>
      <w:r>
        <w:rPr/>
        <w:t>for</w:t>
      </w:r>
      <w:r>
        <w:rPr>
          <w:spacing w:val="-9"/>
        </w:rPr>
        <w:t> </w:t>
      </w:r>
      <w:r>
        <w:rPr/>
        <w:t>the</w:t>
      </w:r>
      <w:r>
        <w:rPr>
          <w:spacing w:val="-8"/>
        </w:rPr>
        <w:t> </w:t>
      </w:r>
      <w:r>
        <w:rPr/>
        <w:t>regeneration</w:t>
      </w:r>
      <w:r>
        <w:rPr>
          <w:spacing w:val="-10"/>
        </w:rPr>
        <w:t> </w:t>
      </w:r>
      <w:r>
        <w:rPr/>
        <w:t>process</w:t>
      </w:r>
      <w:r>
        <w:rPr>
          <w:spacing w:val="-8"/>
        </w:rPr>
        <w:t> </w:t>
      </w:r>
      <w:r>
        <w:rPr/>
        <w:t>is</w:t>
      </w:r>
      <w:r>
        <w:rPr>
          <w:spacing w:val="-9"/>
        </w:rPr>
        <w:t> </w:t>
      </w:r>
      <w:r>
        <w:rPr/>
        <w:t>then extracted from the steam cycle in the power plant. For a coal- fired power station, low-pressure steam will be extracted prior to the last expansion stage of the steam turbine. For a natural gas fired combined cycle, low-pressure steam will be extracted from the last stage in the heat recovery steam generator. Some of this heat can be recovered by preheating the boiler </w:t>
      </w:r>
      <w:r>
        <w:rPr>
          <w:spacing w:val="-4"/>
        </w:rPr>
        <w:t>feed </w:t>
      </w:r>
      <w:r>
        <w:rPr/>
        <w:t>water (Hendriks, 1994). </w:t>
      </w:r>
      <w:r>
        <w:rPr>
          <w:spacing w:val="-4"/>
        </w:rPr>
        <w:t>Values </w:t>
      </w:r>
      <w:r>
        <w:rPr/>
        <w:t>for the heat requirement for the leading absorption technologies are between 2.7 and 3.3 GJ/ tCO</w:t>
      </w:r>
      <w:r>
        <w:rPr>
          <w:position w:val="-6"/>
          <w:sz w:val="11"/>
        </w:rPr>
        <w:t>2</w:t>
      </w:r>
      <w:r>
        <w:rPr/>
        <w:t>, depending on the solvent process. Typical values for</w:t>
      </w:r>
      <w:r>
        <w:rPr>
          <w:spacing w:val="41"/>
        </w:rPr>
        <w:t> </w:t>
      </w:r>
      <w:r>
        <w:rPr/>
        <w:t>the</w:t>
      </w:r>
    </w:p>
    <w:p>
      <w:pPr>
        <w:spacing w:after="0" w:line="249" w:lineRule="auto"/>
        <w:jc w:val="both"/>
        <w:sectPr>
          <w:type w:val="continuous"/>
          <w:pgSz w:w="12240" w:h="15840"/>
          <w:pgMar w:top="480" w:bottom="280" w:left="620" w:right="0"/>
          <w:cols w:num="2" w:equalWidth="0">
            <w:col w:w="5569" w:space="40"/>
            <w:col w:w="6011"/>
          </w:cols>
        </w:sectPr>
      </w:pPr>
    </w:p>
    <w:p>
      <w:pPr>
        <w:pStyle w:val="BodyText"/>
        <w:spacing w:line="188" w:lineRule="exact"/>
        <w:ind w:left="513"/>
      </w:pPr>
      <w:r>
        <w:rPr/>
        <w:t>(with a price around 1.25 US$ kg</w:t>
      </w:r>
      <w:r>
        <w:rPr>
          <w:position w:val="7"/>
          <w:sz w:val="11"/>
        </w:rPr>
        <w:t>-1 </w:t>
      </w:r>
      <w:r>
        <w:rPr/>
        <w:t>(Rao and Rubin, 2002) may</w:t>
      </w:r>
    </w:p>
    <w:p>
      <w:pPr>
        <w:pStyle w:val="BodyText"/>
        <w:spacing w:line="184" w:lineRule="auto"/>
        <w:ind w:left="243"/>
        <w:rPr>
          <w:sz w:val="11"/>
        </w:rPr>
      </w:pPr>
      <w:r>
        <w:rPr/>
        <w:br w:type="column"/>
      </w:r>
      <w:r>
        <w:rPr/>
        <w:t>electricity requirement are between 0.06 and 0.11 GJ/tCO</w:t>
      </w:r>
      <w:r>
        <w:rPr>
          <w:position w:val="-6"/>
          <w:sz w:val="11"/>
        </w:rPr>
        <w:t>2</w:t>
      </w:r>
    </w:p>
    <w:p>
      <w:pPr>
        <w:spacing w:line="188" w:lineRule="exact" w:before="0"/>
        <w:ind w:left="20" w:right="0" w:firstLine="0"/>
        <w:jc w:val="left"/>
        <w:rPr>
          <w:sz w:val="20"/>
        </w:rPr>
      </w:pPr>
      <w:r>
        <w:rPr/>
        <w:br w:type="column"/>
      </w:r>
      <w:r>
        <w:rPr>
          <w:sz w:val="20"/>
        </w:rPr>
        <w:t>for</w:t>
      </w:r>
    </w:p>
    <w:p>
      <w:pPr>
        <w:spacing w:after="0" w:line="188" w:lineRule="exact"/>
        <w:jc w:val="left"/>
        <w:rPr>
          <w:sz w:val="20"/>
        </w:rPr>
        <w:sectPr>
          <w:type w:val="continuous"/>
          <w:pgSz w:w="12240" w:h="15840"/>
          <w:pgMar w:top="480" w:bottom="280" w:left="620" w:right="0"/>
          <w:cols w:num="3" w:equalWidth="0">
            <w:col w:w="5557" w:space="40"/>
            <w:col w:w="4993" w:space="39"/>
            <w:col w:w="991"/>
          </w:cols>
        </w:sectPr>
      </w:pPr>
    </w:p>
    <w:p>
      <w:pPr>
        <w:pStyle w:val="BodyText"/>
        <w:spacing w:line="187" w:lineRule="auto"/>
        <w:ind w:left="513"/>
        <w:jc w:val="both"/>
      </w:pPr>
      <w:r>
        <w:rPr/>
        <w:t>require</w:t>
      </w:r>
      <w:r>
        <w:rPr>
          <w:spacing w:val="11"/>
        </w:rPr>
        <w:t> </w:t>
      </w:r>
      <w:r>
        <w:rPr/>
        <w:t>SO</w:t>
      </w:r>
      <w:r>
        <w:rPr>
          <w:position w:val="-6"/>
          <w:sz w:val="11"/>
        </w:rPr>
        <w:t>x </w:t>
      </w:r>
      <w:r>
        <w:rPr>
          <w:spacing w:val="6"/>
          <w:position w:val="-6"/>
          <w:sz w:val="11"/>
        </w:rPr>
        <w:t> </w:t>
      </w:r>
      <w:r>
        <w:rPr/>
        <w:t>concentrations</w:t>
      </w:r>
      <w:r>
        <w:rPr>
          <w:spacing w:val="11"/>
        </w:rPr>
        <w:t> </w:t>
      </w:r>
      <w:r>
        <w:rPr/>
        <w:t>of</w:t>
      </w:r>
      <w:r>
        <w:rPr>
          <w:spacing w:val="11"/>
        </w:rPr>
        <w:t> </w:t>
      </w:r>
      <w:r>
        <w:rPr/>
        <w:t>around</w:t>
      </w:r>
      <w:r>
        <w:rPr>
          <w:spacing w:val="12"/>
        </w:rPr>
        <w:t> </w:t>
      </w:r>
      <w:r>
        <w:rPr/>
        <w:t>10</w:t>
      </w:r>
      <w:r>
        <w:rPr>
          <w:spacing w:val="11"/>
        </w:rPr>
        <w:t> </w:t>
      </w:r>
      <w:r>
        <w:rPr/>
        <w:t>ppm,</w:t>
      </w:r>
      <w:r>
        <w:rPr>
          <w:spacing w:val="12"/>
        </w:rPr>
        <w:t> </w:t>
      </w:r>
      <w:r>
        <w:rPr/>
        <w:t>to</w:t>
      </w:r>
      <w:r>
        <w:rPr>
          <w:spacing w:val="11"/>
        </w:rPr>
        <w:t> </w:t>
      </w:r>
      <w:r>
        <w:rPr/>
        <w:t>keep</w:t>
      </w:r>
      <w:r>
        <w:rPr>
          <w:spacing w:val="12"/>
        </w:rPr>
        <w:t> </w:t>
      </w:r>
      <w:r>
        <w:rPr/>
        <w:t>solvent</w:t>
      </w:r>
    </w:p>
    <w:p>
      <w:pPr>
        <w:pStyle w:val="BodyText"/>
        <w:spacing w:line="225" w:lineRule="auto"/>
        <w:ind w:left="513" w:right="1"/>
        <w:jc w:val="both"/>
      </w:pPr>
      <w:r>
        <w:rPr/>
        <w:t>consumption</w:t>
      </w:r>
      <w:r>
        <w:rPr>
          <w:spacing w:val="-11"/>
        </w:rPr>
        <w:t> </w:t>
      </w:r>
      <w:r>
        <w:rPr/>
        <w:t>(around</w:t>
      </w:r>
      <w:r>
        <w:rPr>
          <w:spacing w:val="-10"/>
        </w:rPr>
        <w:t> </w:t>
      </w:r>
      <w:r>
        <w:rPr/>
        <w:t>1.6</w:t>
      </w:r>
      <w:r>
        <w:rPr>
          <w:spacing w:val="-9"/>
        </w:rPr>
        <w:t> </w:t>
      </w:r>
      <w:r>
        <w:rPr/>
        <w:t>kg</w:t>
      </w:r>
      <w:r>
        <w:rPr>
          <w:spacing w:val="-10"/>
        </w:rPr>
        <w:t> </w:t>
      </w:r>
      <w:r>
        <w:rPr/>
        <w:t>of</w:t>
      </w:r>
      <w:r>
        <w:rPr>
          <w:spacing w:val="-9"/>
        </w:rPr>
        <w:t> </w:t>
      </w:r>
      <w:r>
        <w:rPr/>
        <w:t>MEA/tCO</w:t>
      </w:r>
      <w:r>
        <w:rPr>
          <w:position w:val="-6"/>
          <w:sz w:val="11"/>
        </w:rPr>
        <w:t>2</w:t>
      </w:r>
      <w:r>
        <w:rPr>
          <w:spacing w:val="13"/>
          <w:position w:val="-6"/>
          <w:sz w:val="11"/>
        </w:rPr>
        <w:t> </w:t>
      </w:r>
      <w:r>
        <w:rPr/>
        <w:t>separated)</w:t>
      </w:r>
      <w:r>
        <w:rPr>
          <w:spacing w:val="-11"/>
        </w:rPr>
        <w:t> </w:t>
      </w:r>
      <w:r>
        <w:rPr/>
        <w:t>and</w:t>
      </w:r>
      <w:r>
        <w:rPr>
          <w:spacing w:val="-9"/>
        </w:rPr>
        <w:t> </w:t>
      </w:r>
      <w:r>
        <w:rPr/>
        <w:t>make up</w:t>
      </w:r>
      <w:r>
        <w:rPr>
          <w:spacing w:val="-11"/>
        </w:rPr>
        <w:t> </w:t>
      </w:r>
      <w:r>
        <w:rPr/>
        <w:t>costs</w:t>
      </w:r>
      <w:r>
        <w:rPr>
          <w:spacing w:val="-11"/>
        </w:rPr>
        <w:t> </w:t>
      </w:r>
      <w:r>
        <w:rPr/>
        <w:t>at</w:t>
      </w:r>
      <w:r>
        <w:rPr>
          <w:spacing w:val="-10"/>
        </w:rPr>
        <w:t> </w:t>
      </w:r>
      <w:r>
        <w:rPr/>
        <w:t>reasonable</w:t>
      </w:r>
      <w:r>
        <w:rPr>
          <w:spacing w:val="-11"/>
        </w:rPr>
        <w:t> </w:t>
      </w:r>
      <w:r>
        <w:rPr/>
        <w:t>values,</w:t>
      </w:r>
      <w:r>
        <w:rPr>
          <w:spacing w:val="-10"/>
        </w:rPr>
        <w:t> </w:t>
      </w:r>
      <w:r>
        <w:rPr/>
        <w:t>which</w:t>
      </w:r>
      <w:r>
        <w:rPr>
          <w:spacing w:val="-11"/>
        </w:rPr>
        <w:t> </w:t>
      </w:r>
      <w:r>
        <w:rPr/>
        <w:t>often</w:t>
      </w:r>
      <w:r>
        <w:rPr>
          <w:spacing w:val="-11"/>
        </w:rPr>
        <w:t> </w:t>
      </w:r>
      <w:r>
        <w:rPr/>
        <w:t>means</w:t>
      </w:r>
      <w:r>
        <w:rPr>
          <w:spacing w:val="-10"/>
        </w:rPr>
        <w:t> </w:t>
      </w:r>
      <w:r>
        <w:rPr/>
        <w:t>that</w:t>
      </w:r>
      <w:r>
        <w:rPr>
          <w:spacing w:val="-11"/>
        </w:rPr>
        <w:t> </w:t>
      </w:r>
      <w:r>
        <w:rPr/>
        <w:t>additional flue</w:t>
      </w:r>
      <w:r>
        <w:rPr>
          <w:spacing w:val="12"/>
        </w:rPr>
        <w:t> </w:t>
      </w:r>
      <w:r>
        <w:rPr/>
        <w:t>gas</w:t>
      </w:r>
      <w:r>
        <w:rPr>
          <w:spacing w:val="12"/>
        </w:rPr>
        <w:t> </w:t>
      </w:r>
      <w:r>
        <w:rPr/>
        <w:t>desulphurization</w:t>
      </w:r>
      <w:r>
        <w:rPr>
          <w:spacing w:val="12"/>
        </w:rPr>
        <w:t> </w:t>
      </w:r>
      <w:r>
        <w:rPr/>
        <w:t>is</w:t>
      </w:r>
      <w:r>
        <w:rPr>
          <w:spacing w:val="12"/>
        </w:rPr>
        <w:t> </w:t>
      </w:r>
      <w:r>
        <w:rPr/>
        <w:t>needed.</w:t>
      </w:r>
      <w:r>
        <w:rPr>
          <w:spacing w:val="8"/>
        </w:rPr>
        <w:t> </w:t>
      </w:r>
      <w:r>
        <w:rPr/>
        <w:t>The</w:t>
      </w:r>
      <w:r>
        <w:rPr>
          <w:spacing w:val="12"/>
        </w:rPr>
        <w:t> </w:t>
      </w:r>
      <w:r>
        <w:rPr/>
        <w:t>optimal</w:t>
      </w:r>
      <w:r>
        <w:rPr>
          <w:spacing w:val="12"/>
        </w:rPr>
        <w:t> </w:t>
      </w:r>
      <w:r>
        <w:rPr/>
        <w:t>SO</w:t>
      </w:r>
      <w:r>
        <w:rPr>
          <w:position w:val="-6"/>
          <w:sz w:val="11"/>
        </w:rPr>
        <w:t>2 </w:t>
      </w:r>
      <w:r>
        <w:rPr>
          <w:spacing w:val="7"/>
          <w:position w:val="-6"/>
          <w:sz w:val="11"/>
        </w:rPr>
        <w:t> </w:t>
      </w:r>
      <w:r>
        <w:rPr/>
        <w:t>content,</w:t>
      </w:r>
    </w:p>
    <w:p>
      <w:pPr>
        <w:pStyle w:val="BodyText"/>
        <w:spacing w:line="187" w:lineRule="auto"/>
        <w:ind w:left="513"/>
        <w:jc w:val="both"/>
      </w:pPr>
      <w:r>
        <w:rPr/>
        <w:t>before</w:t>
      </w:r>
      <w:r>
        <w:rPr>
          <w:spacing w:val="15"/>
        </w:rPr>
        <w:t> </w:t>
      </w:r>
      <w:r>
        <w:rPr/>
        <w:t>the</w:t>
      </w:r>
      <w:r>
        <w:rPr>
          <w:spacing w:val="16"/>
        </w:rPr>
        <w:t> </w:t>
      </w:r>
      <w:r>
        <w:rPr/>
        <w:t>CO</w:t>
      </w:r>
      <w:r>
        <w:rPr>
          <w:position w:val="-6"/>
          <w:sz w:val="11"/>
        </w:rPr>
        <w:t>2 </w:t>
      </w:r>
      <w:r>
        <w:rPr>
          <w:spacing w:val="11"/>
          <w:position w:val="-6"/>
          <w:sz w:val="11"/>
        </w:rPr>
        <w:t> </w:t>
      </w:r>
      <w:r>
        <w:rPr/>
        <w:t>absorption</w:t>
      </w:r>
      <w:r>
        <w:rPr>
          <w:spacing w:val="16"/>
        </w:rPr>
        <w:t> </w:t>
      </w:r>
      <w:r>
        <w:rPr/>
        <w:t>process</w:t>
      </w:r>
      <w:r>
        <w:rPr>
          <w:spacing w:val="15"/>
        </w:rPr>
        <w:t> </w:t>
      </w:r>
      <w:r>
        <w:rPr/>
        <w:t>is</w:t>
      </w:r>
      <w:r>
        <w:rPr>
          <w:spacing w:val="16"/>
        </w:rPr>
        <w:t> </w:t>
      </w:r>
      <w:r>
        <w:rPr/>
        <w:t>a</w:t>
      </w:r>
      <w:r>
        <w:rPr>
          <w:spacing w:val="16"/>
        </w:rPr>
        <w:t> </w:t>
      </w:r>
      <w:r>
        <w:rPr/>
        <w:t>cost</w:t>
      </w:r>
      <w:r>
        <w:rPr>
          <w:spacing w:val="16"/>
        </w:rPr>
        <w:t> </w:t>
      </w:r>
      <w:r>
        <w:rPr/>
        <w:t>trade-off</w:t>
      </w:r>
      <w:r>
        <w:rPr>
          <w:spacing w:val="16"/>
        </w:rPr>
        <w:t> </w:t>
      </w:r>
      <w:r>
        <w:rPr/>
        <w:t>between</w:t>
      </w:r>
    </w:p>
    <w:p>
      <w:pPr>
        <w:pStyle w:val="BodyText"/>
        <w:spacing w:line="206" w:lineRule="auto"/>
        <w:ind w:left="513" w:right="1"/>
        <w:jc w:val="both"/>
      </w:pPr>
      <w:r>
        <w:rPr/>
        <w:t>CO</w:t>
      </w:r>
      <w:r>
        <w:rPr>
          <w:position w:val="-6"/>
          <w:sz w:val="11"/>
        </w:rPr>
        <w:t>2</w:t>
      </w:r>
      <w:r>
        <w:rPr/>
        <w:t>-solvent consumption and SO</w:t>
      </w:r>
      <w:r>
        <w:rPr>
          <w:position w:val="-6"/>
          <w:sz w:val="11"/>
        </w:rPr>
        <w:t>2</w:t>
      </w:r>
      <w:r>
        <w:rPr/>
        <w:t>-removal costs. For </w:t>
      </w:r>
      <w:r>
        <w:rPr>
          <w:spacing w:val="-5"/>
        </w:rPr>
        <w:t>the </w:t>
      </w:r>
      <w:r>
        <w:rPr/>
        <w:t>Kerr-Mcgee/ABB Lummus Crest </w:t>
      </w:r>
      <w:r>
        <w:rPr>
          <w:spacing w:val="-3"/>
        </w:rPr>
        <w:t>Technology, </w:t>
      </w:r>
      <w:r>
        <w:rPr/>
        <w:t>SO</w:t>
      </w:r>
      <w:r>
        <w:rPr>
          <w:position w:val="-6"/>
          <w:sz w:val="11"/>
        </w:rPr>
        <w:t>2</w:t>
      </w:r>
      <w:r>
        <w:rPr/>
        <w:t>-removal </w:t>
      </w:r>
      <w:r>
        <w:rPr>
          <w:spacing w:val="-6"/>
        </w:rPr>
        <w:t>is </w:t>
      </w:r>
      <w:r>
        <w:rPr/>
        <w:t>typically not justified for SO</w:t>
      </w:r>
      <w:r>
        <w:rPr>
          <w:position w:val="-6"/>
          <w:sz w:val="11"/>
        </w:rPr>
        <w:t>2 </w:t>
      </w:r>
      <w:r>
        <w:rPr/>
        <w:t>levels below 50 ppm (Barchas and</w:t>
      </w:r>
      <w:r>
        <w:rPr>
          <w:spacing w:val="-14"/>
        </w:rPr>
        <w:t> </w:t>
      </w:r>
      <w:r>
        <w:rPr/>
        <w:t>Davis,</w:t>
      </w:r>
      <w:r>
        <w:rPr>
          <w:spacing w:val="-14"/>
        </w:rPr>
        <w:t> </w:t>
      </w:r>
      <w:r>
        <w:rPr/>
        <w:t>1992).</w:t>
      </w:r>
      <w:r>
        <w:rPr>
          <w:spacing w:val="-14"/>
        </w:rPr>
        <w:t> </w:t>
      </w:r>
      <w:r>
        <w:rPr/>
        <w:t>For</w:t>
      </w:r>
      <w:r>
        <w:rPr>
          <w:spacing w:val="-13"/>
        </w:rPr>
        <w:t> </w:t>
      </w:r>
      <w:r>
        <w:rPr/>
        <w:t>the</w:t>
      </w:r>
      <w:r>
        <w:rPr>
          <w:spacing w:val="-14"/>
        </w:rPr>
        <w:t> </w:t>
      </w:r>
      <w:r>
        <w:rPr/>
        <w:t>Fluor</w:t>
      </w:r>
      <w:r>
        <w:rPr>
          <w:spacing w:val="-14"/>
        </w:rPr>
        <w:t> </w:t>
      </w:r>
      <w:r>
        <w:rPr/>
        <w:t>Daniel</w:t>
      </w:r>
      <w:r>
        <w:rPr>
          <w:spacing w:val="-13"/>
        </w:rPr>
        <w:t> </w:t>
      </w:r>
      <w:r>
        <w:rPr/>
        <w:t>Econamine</w:t>
      </w:r>
      <w:r>
        <w:rPr>
          <w:spacing w:val="-14"/>
        </w:rPr>
        <w:t> </w:t>
      </w:r>
      <w:r>
        <w:rPr/>
        <w:t>FG</w:t>
      </w:r>
      <w:r>
        <w:rPr>
          <w:spacing w:val="-14"/>
        </w:rPr>
        <w:t> </w:t>
      </w:r>
      <w:r>
        <w:rPr/>
        <w:t>process</w:t>
      </w:r>
      <w:r>
        <w:rPr>
          <w:spacing w:val="-13"/>
        </w:rPr>
        <w:t> </w:t>
      </w:r>
      <w:r>
        <w:rPr/>
        <w:t>a</w:t>
      </w:r>
    </w:p>
    <w:p>
      <w:pPr>
        <w:pStyle w:val="BodyText"/>
        <w:spacing w:line="225" w:lineRule="auto"/>
        <w:ind w:left="513" w:right="1"/>
        <w:jc w:val="both"/>
        <w:rPr>
          <w:i/>
        </w:rPr>
      </w:pPr>
      <w:r>
        <w:rPr/>
        <w:t>maximum of 10 ppm SO</w:t>
      </w:r>
      <w:r>
        <w:rPr>
          <w:position w:val="-6"/>
          <w:sz w:val="11"/>
        </w:rPr>
        <w:t>2 </w:t>
      </w:r>
      <w:r>
        <w:rPr/>
        <w:t>content is generally set as the feed gas specification (Sander and Mariz, 1992). This can be met by</w:t>
      </w:r>
      <w:r>
        <w:rPr>
          <w:spacing w:val="10"/>
        </w:rPr>
        <w:t> </w:t>
      </w:r>
      <w:r>
        <w:rPr/>
        <w:t>using</w:t>
      </w:r>
      <w:r>
        <w:rPr>
          <w:spacing w:val="11"/>
        </w:rPr>
        <w:t> </w:t>
      </w:r>
      <w:r>
        <w:rPr/>
        <w:t>alkaline</w:t>
      </w:r>
      <w:r>
        <w:rPr>
          <w:spacing w:val="11"/>
        </w:rPr>
        <w:t> </w:t>
      </w:r>
      <w:r>
        <w:rPr/>
        <w:t>salt</w:t>
      </w:r>
      <w:r>
        <w:rPr>
          <w:spacing w:val="11"/>
        </w:rPr>
        <w:t> </w:t>
      </w:r>
      <w:r>
        <w:rPr/>
        <w:t>solutions</w:t>
      </w:r>
      <w:r>
        <w:rPr>
          <w:spacing w:val="11"/>
        </w:rPr>
        <w:t> </w:t>
      </w:r>
      <w:r>
        <w:rPr/>
        <w:t>in</w:t>
      </w:r>
      <w:r>
        <w:rPr>
          <w:spacing w:val="10"/>
        </w:rPr>
        <w:t> </w:t>
      </w:r>
      <w:r>
        <w:rPr/>
        <w:t>a</w:t>
      </w:r>
      <w:r>
        <w:rPr>
          <w:spacing w:val="11"/>
        </w:rPr>
        <w:t> </w:t>
      </w:r>
      <w:r>
        <w:rPr/>
        <w:t>spray</w:t>
      </w:r>
      <w:r>
        <w:rPr>
          <w:spacing w:val="11"/>
        </w:rPr>
        <w:t> </w:t>
      </w:r>
      <w:r>
        <w:rPr/>
        <w:t>scrubber</w:t>
      </w:r>
      <w:r>
        <w:rPr>
          <w:spacing w:val="11"/>
        </w:rPr>
        <w:t> </w:t>
      </w:r>
      <w:r>
        <w:rPr/>
        <w:t>(Chapel</w:t>
      </w:r>
      <w:r>
        <w:rPr>
          <w:spacing w:val="13"/>
        </w:rPr>
        <w:t> </w:t>
      </w:r>
      <w:r>
        <w:rPr>
          <w:i/>
        </w:rPr>
        <w:t>et</w:t>
      </w:r>
    </w:p>
    <w:p>
      <w:pPr>
        <w:pStyle w:val="BodyText"/>
        <w:spacing w:line="260" w:lineRule="exact"/>
        <w:ind w:left="513"/>
        <w:jc w:val="both"/>
      </w:pPr>
      <w:r>
        <w:rPr>
          <w:i/>
        </w:rPr>
        <w:t>al.</w:t>
      </w:r>
      <w:r>
        <w:rPr/>
        <w:t>, 1999). A</w:t>
      </w:r>
      <w:r>
        <w:rPr>
          <w:spacing w:val="-38"/>
        </w:rPr>
        <w:t> </w:t>
      </w:r>
      <w:r>
        <w:rPr/>
        <w:t>SO</w:t>
      </w:r>
      <w:r>
        <w:rPr>
          <w:position w:val="-6"/>
          <w:sz w:val="11"/>
        </w:rPr>
        <w:t>2 </w:t>
      </w:r>
      <w:r>
        <w:rPr/>
        <w:t>scrubber might also double as a direct contact</w:t>
      </w:r>
    </w:p>
    <w:p>
      <w:pPr>
        <w:pStyle w:val="BodyText"/>
        <w:spacing w:line="210" w:lineRule="exact"/>
        <w:ind w:left="513"/>
        <w:jc w:val="both"/>
      </w:pPr>
      <w:r>
        <w:rPr/>
        <w:t>cooler to cool down the flue gas.</w:t>
      </w:r>
    </w:p>
    <w:p>
      <w:pPr>
        <w:pStyle w:val="BodyText"/>
        <w:spacing w:line="240" w:lineRule="exact" w:before="1"/>
        <w:ind w:left="513" w:firstLine="283"/>
        <w:jc w:val="both"/>
      </w:pPr>
      <w:r>
        <w:rPr/>
        <w:t>Careful</w:t>
      </w:r>
      <w:r>
        <w:rPr>
          <w:spacing w:val="-18"/>
        </w:rPr>
        <w:t> </w:t>
      </w:r>
      <w:r>
        <w:rPr/>
        <w:t>attention</w:t>
      </w:r>
      <w:r>
        <w:rPr>
          <w:spacing w:val="-17"/>
        </w:rPr>
        <w:t> </w:t>
      </w:r>
      <w:r>
        <w:rPr/>
        <w:t>must</w:t>
      </w:r>
      <w:r>
        <w:rPr>
          <w:spacing w:val="-18"/>
        </w:rPr>
        <w:t> </w:t>
      </w:r>
      <w:r>
        <w:rPr/>
        <w:t>also</w:t>
      </w:r>
      <w:r>
        <w:rPr>
          <w:spacing w:val="-17"/>
        </w:rPr>
        <w:t> </w:t>
      </w:r>
      <w:r>
        <w:rPr/>
        <w:t>be</w:t>
      </w:r>
      <w:r>
        <w:rPr>
          <w:spacing w:val="-17"/>
        </w:rPr>
        <w:t> </w:t>
      </w:r>
      <w:r>
        <w:rPr/>
        <w:t>paid</w:t>
      </w:r>
      <w:r>
        <w:rPr>
          <w:spacing w:val="-18"/>
        </w:rPr>
        <w:t> </w:t>
      </w:r>
      <w:r>
        <w:rPr/>
        <w:t>to</w:t>
      </w:r>
      <w:r>
        <w:rPr>
          <w:spacing w:val="-17"/>
        </w:rPr>
        <w:t> </w:t>
      </w:r>
      <w:r>
        <w:rPr/>
        <w:t>fly</w:t>
      </w:r>
      <w:r>
        <w:rPr>
          <w:spacing w:val="-18"/>
        </w:rPr>
        <w:t> </w:t>
      </w:r>
      <w:r>
        <w:rPr/>
        <w:t>ash</w:t>
      </w:r>
      <w:r>
        <w:rPr>
          <w:spacing w:val="-17"/>
        </w:rPr>
        <w:t> </w:t>
      </w:r>
      <w:r>
        <w:rPr/>
        <w:t>and</w:t>
      </w:r>
      <w:r>
        <w:rPr>
          <w:spacing w:val="-17"/>
        </w:rPr>
        <w:t> </w:t>
      </w:r>
      <w:r>
        <w:rPr/>
        <w:t>soot</w:t>
      </w:r>
      <w:r>
        <w:rPr>
          <w:spacing w:val="-18"/>
        </w:rPr>
        <w:t> </w:t>
      </w:r>
      <w:r>
        <w:rPr/>
        <w:t>present in the flue gas, as they might plug the absorber if contaminants levels are too high. Often the requirements of other flue gas treatment are such that precautions have already been taken.  In the case of CO</w:t>
      </w:r>
      <w:r>
        <w:rPr>
          <w:position w:val="-6"/>
          <w:sz w:val="11"/>
        </w:rPr>
        <w:t>2 </w:t>
      </w:r>
      <w:r>
        <w:rPr/>
        <w:t>recovery from a coal-fired boiler flue </w:t>
      </w:r>
      <w:r>
        <w:rPr>
          <w:spacing w:val="-3"/>
        </w:rPr>
        <w:t>gas, </w:t>
      </w:r>
      <w:r>
        <w:rPr/>
        <w:t>the plant typically has to be equipped with a DeNO</w:t>
      </w:r>
      <w:r>
        <w:rPr>
          <w:position w:val="-6"/>
          <w:sz w:val="11"/>
        </w:rPr>
        <w:t>x </w:t>
      </w:r>
      <w:r>
        <w:rPr/>
        <w:t>unit, an electrostatic precipitator or a bag house filter and a DeSO</w:t>
      </w:r>
      <w:r>
        <w:rPr>
          <w:position w:val="-6"/>
          <w:sz w:val="11"/>
        </w:rPr>
        <w:t>x </w:t>
      </w:r>
      <w:r>
        <w:rPr/>
        <w:t>or flue gas desulphurization unit as part of the environmental protection of the power plant facilities. In some cases, </w:t>
      </w:r>
      <w:r>
        <w:rPr>
          <w:spacing w:val="-3"/>
        </w:rPr>
        <w:t>these </w:t>
      </w:r>
      <w:r>
        <w:rPr/>
        <w:t>environmental protection facilities are not enough to carry </w:t>
      </w:r>
      <w:r>
        <w:rPr>
          <w:spacing w:val="-4"/>
        </w:rPr>
        <w:t>out </w:t>
      </w:r>
      <w:r>
        <w:rPr/>
        <w:t>deep SO</w:t>
      </w:r>
      <w:r>
        <w:rPr>
          <w:position w:val="-6"/>
          <w:sz w:val="11"/>
        </w:rPr>
        <w:t>x </w:t>
      </w:r>
      <w:r>
        <w:rPr/>
        <w:t>removal up to the 1-2 ppm level sometimes needed to minimize solvent consumption and its reclamation from sticking of solvent wastes on reclaimer tube</w:t>
      </w:r>
      <w:r>
        <w:rPr>
          <w:spacing w:val="-12"/>
        </w:rPr>
        <w:t> </w:t>
      </w:r>
      <w:r>
        <w:rPr/>
        <w:t>surfaces.</w:t>
      </w:r>
    </w:p>
    <w:p>
      <w:pPr>
        <w:pStyle w:val="BodyText"/>
        <w:spacing w:before="10"/>
      </w:pPr>
    </w:p>
    <w:p>
      <w:pPr>
        <w:pStyle w:val="ListParagraph"/>
        <w:numPr>
          <w:ilvl w:val="3"/>
          <w:numId w:val="11"/>
        </w:numPr>
        <w:tabs>
          <w:tab w:pos="1333" w:val="left" w:leader="none"/>
          <w:tab w:pos="1334" w:val="left" w:leader="none"/>
        </w:tabs>
        <w:spacing w:line="240" w:lineRule="exact" w:before="0" w:after="0"/>
        <w:ind w:left="513" w:right="0" w:firstLine="0"/>
        <w:jc w:val="left"/>
        <w:rPr>
          <w:sz w:val="20"/>
        </w:rPr>
      </w:pPr>
      <w:r>
        <w:rPr>
          <w:i/>
          <w:sz w:val="20"/>
        </w:rPr>
        <w:t>Power generation efficiency penalty in CO</w:t>
      </w:r>
      <w:r>
        <w:rPr>
          <w:i/>
          <w:position w:val="-6"/>
          <w:sz w:val="11"/>
        </w:rPr>
        <w:t>2 </w:t>
      </w:r>
      <w:r>
        <w:rPr>
          <w:i/>
          <w:sz w:val="20"/>
        </w:rPr>
        <w:t>capture </w:t>
      </w:r>
      <w:r>
        <w:rPr>
          <w:sz w:val="20"/>
        </w:rPr>
        <w:t>A key feature of post-combustion CO</w:t>
      </w:r>
      <w:r>
        <w:rPr>
          <w:position w:val="-6"/>
          <w:sz w:val="11"/>
        </w:rPr>
        <w:t>2 </w:t>
      </w:r>
      <w:r>
        <w:rPr>
          <w:sz w:val="20"/>
        </w:rPr>
        <w:t>capture processes </w:t>
      </w:r>
      <w:r>
        <w:rPr>
          <w:spacing w:val="-3"/>
          <w:sz w:val="20"/>
        </w:rPr>
        <w:t>based </w:t>
      </w:r>
      <w:r>
        <w:rPr>
          <w:sz w:val="20"/>
        </w:rPr>
        <w:t>on absorption is the high energy requirement and the resulting efficiency penalty on power cycles. This is primarily due to</w:t>
      </w:r>
      <w:r>
        <w:rPr>
          <w:spacing w:val="-22"/>
          <w:sz w:val="20"/>
        </w:rPr>
        <w:t> </w:t>
      </w:r>
      <w:r>
        <w:rPr>
          <w:spacing w:val="-4"/>
          <w:sz w:val="20"/>
        </w:rPr>
        <w:t>the </w:t>
      </w:r>
      <w:r>
        <w:rPr>
          <w:sz w:val="20"/>
        </w:rPr>
        <w:t>heat</w:t>
      </w:r>
      <w:r>
        <w:rPr>
          <w:spacing w:val="-10"/>
          <w:sz w:val="20"/>
        </w:rPr>
        <w:t> </w:t>
      </w:r>
      <w:r>
        <w:rPr>
          <w:sz w:val="20"/>
        </w:rPr>
        <w:t>necessary</w:t>
      </w:r>
      <w:r>
        <w:rPr>
          <w:spacing w:val="-9"/>
          <w:sz w:val="20"/>
        </w:rPr>
        <w:t> </w:t>
      </w:r>
      <w:r>
        <w:rPr>
          <w:sz w:val="20"/>
        </w:rPr>
        <w:t>to</w:t>
      </w:r>
      <w:r>
        <w:rPr>
          <w:spacing w:val="-9"/>
          <w:sz w:val="20"/>
        </w:rPr>
        <w:t> </w:t>
      </w:r>
      <w:r>
        <w:rPr>
          <w:sz w:val="20"/>
        </w:rPr>
        <w:t>regenerate</w:t>
      </w:r>
      <w:r>
        <w:rPr>
          <w:spacing w:val="-9"/>
          <w:sz w:val="20"/>
        </w:rPr>
        <w:t> </w:t>
      </w:r>
      <w:r>
        <w:rPr>
          <w:sz w:val="20"/>
        </w:rPr>
        <w:t>the</w:t>
      </w:r>
      <w:r>
        <w:rPr>
          <w:spacing w:val="-9"/>
          <w:sz w:val="20"/>
        </w:rPr>
        <w:t> </w:t>
      </w:r>
      <w:r>
        <w:rPr>
          <w:sz w:val="20"/>
        </w:rPr>
        <w:t>solvent,</w:t>
      </w:r>
      <w:r>
        <w:rPr>
          <w:spacing w:val="-9"/>
          <w:sz w:val="20"/>
        </w:rPr>
        <w:t> </w:t>
      </w:r>
      <w:r>
        <w:rPr>
          <w:sz w:val="20"/>
        </w:rPr>
        <w:t>steam</w:t>
      </w:r>
      <w:r>
        <w:rPr>
          <w:spacing w:val="-9"/>
          <w:sz w:val="20"/>
        </w:rPr>
        <w:t> </w:t>
      </w:r>
      <w:r>
        <w:rPr>
          <w:sz w:val="20"/>
        </w:rPr>
        <w:t>use</w:t>
      </w:r>
      <w:r>
        <w:rPr>
          <w:spacing w:val="-9"/>
          <w:sz w:val="20"/>
        </w:rPr>
        <w:t> </w:t>
      </w:r>
      <w:r>
        <w:rPr>
          <w:sz w:val="20"/>
        </w:rPr>
        <w:t>for</w:t>
      </w:r>
      <w:r>
        <w:rPr>
          <w:spacing w:val="-9"/>
          <w:sz w:val="20"/>
        </w:rPr>
        <w:t> </w:t>
      </w:r>
      <w:r>
        <w:rPr>
          <w:sz w:val="20"/>
        </w:rPr>
        <w:t>stripping and</w:t>
      </w:r>
      <w:r>
        <w:rPr>
          <w:spacing w:val="-13"/>
          <w:sz w:val="20"/>
        </w:rPr>
        <w:t> </w:t>
      </w:r>
      <w:r>
        <w:rPr>
          <w:sz w:val="20"/>
        </w:rPr>
        <w:t>to</w:t>
      </w:r>
      <w:r>
        <w:rPr>
          <w:spacing w:val="-12"/>
          <w:sz w:val="20"/>
        </w:rPr>
        <w:t> </w:t>
      </w:r>
      <w:r>
        <w:rPr>
          <w:sz w:val="20"/>
        </w:rPr>
        <w:t>a</w:t>
      </w:r>
      <w:r>
        <w:rPr>
          <w:spacing w:val="-12"/>
          <w:sz w:val="20"/>
        </w:rPr>
        <w:t> </w:t>
      </w:r>
      <w:r>
        <w:rPr>
          <w:sz w:val="20"/>
        </w:rPr>
        <w:t>lesser</w:t>
      </w:r>
      <w:r>
        <w:rPr>
          <w:spacing w:val="-12"/>
          <w:sz w:val="20"/>
        </w:rPr>
        <w:t> </w:t>
      </w:r>
      <w:r>
        <w:rPr>
          <w:sz w:val="20"/>
        </w:rPr>
        <w:t>extent</w:t>
      </w:r>
      <w:r>
        <w:rPr>
          <w:spacing w:val="-13"/>
          <w:sz w:val="20"/>
        </w:rPr>
        <w:t> </w:t>
      </w:r>
      <w:r>
        <w:rPr>
          <w:sz w:val="20"/>
        </w:rPr>
        <w:t>the</w:t>
      </w:r>
      <w:r>
        <w:rPr>
          <w:spacing w:val="-12"/>
          <w:sz w:val="20"/>
        </w:rPr>
        <w:t> </w:t>
      </w:r>
      <w:r>
        <w:rPr>
          <w:sz w:val="20"/>
        </w:rPr>
        <w:t>electricity</w:t>
      </w:r>
      <w:r>
        <w:rPr>
          <w:spacing w:val="-12"/>
          <w:sz w:val="20"/>
        </w:rPr>
        <w:t> </w:t>
      </w:r>
      <w:r>
        <w:rPr>
          <w:sz w:val="20"/>
        </w:rPr>
        <w:t>required</w:t>
      </w:r>
      <w:r>
        <w:rPr>
          <w:spacing w:val="-12"/>
          <w:sz w:val="20"/>
        </w:rPr>
        <w:t> </w:t>
      </w:r>
      <w:r>
        <w:rPr>
          <w:sz w:val="20"/>
        </w:rPr>
        <w:t>for</w:t>
      </w:r>
      <w:r>
        <w:rPr>
          <w:spacing w:val="-13"/>
          <w:sz w:val="20"/>
        </w:rPr>
        <w:t> </w:t>
      </w:r>
      <w:r>
        <w:rPr>
          <w:sz w:val="20"/>
        </w:rPr>
        <w:t>liquid</w:t>
      </w:r>
      <w:r>
        <w:rPr>
          <w:spacing w:val="-12"/>
          <w:sz w:val="20"/>
        </w:rPr>
        <w:t> </w:t>
      </w:r>
      <w:r>
        <w:rPr>
          <w:sz w:val="20"/>
        </w:rPr>
        <w:t>pumping, the flue gas fan and finally compression of the CO</w:t>
      </w:r>
      <w:r>
        <w:rPr>
          <w:position w:val="-6"/>
          <w:sz w:val="11"/>
        </w:rPr>
        <w:t>2 </w:t>
      </w:r>
      <w:r>
        <w:rPr>
          <w:sz w:val="20"/>
        </w:rPr>
        <w:t>product. Later</w:t>
      </w:r>
      <w:r>
        <w:rPr>
          <w:spacing w:val="-7"/>
          <w:sz w:val="20"/>
        </w:rPr>
        <w:t> </w:t>
      </w:r>
      <w:r>
        <w:rPr>
          <w:sz w:val="20"/>
        </w:rPr>
        <w:t>in</w:t>
      </w:r>
      <w:r>
        <w:rPr>
          <w:spacing w:val="-6"/>
          <w:sz w:val="20"/>
        </w:rPr>
        <w:t> </w:t>
      </w:r>
      <w:r>
        <w:rPr>
          <w:sz w:val="20"/>
        </w:rPr>
        <w:t>this</w:t>
      </w:r>
      <w:r>
        <w:rPr>
          <w:spacing w:val="-6"/>
          <w:sz w:val="20"/>
        </w:rPr>
        <w:t> </w:t>
      </w:r>
      <w:r>
        <w:rPr>
          <w:sz w:val="20"/>
        </w:rPr>
        <w:t>chapter,</w:t>
      </w:r>
      <w:r>
        <w:rPr>
          <w:spacing w:val="-6"/>
          <w:sz w:val="20"/>
        </w:rPr>
        <w:t> </w:t>
      </w:r>
      <w:r>
        <w:rPr>
          <w:sz w:val="20"/>
        </w:rPr>
        <w:t>Sections</w:t>
      </w:r>
      <w:r>
        <w:rPr>
          <w:spacing w:val="-6"/>
          <w:sz w:val="20"/>
        </w:rPr>
        <w:t> </w:t>
      </w:r>
      <w:r>
        <w:rPr>
          <w:sz w:val="20"/>
        </w:rPr>
        <w:t>3.6</w:t>
      </w:r>
      <w:r>
        <w:rPr>
          <w:spacing w:val="-7"/>
          <w:sz w:val="20"/>
        </w:rPr>
        <w:t> </w:t>
      </w:r>
      <w:r>
        <w:rPr>
          <w:sz w:val="20"/>
        </w:rPr>
        <w:t>and</w:t>
      </w:r>
      <w:r>
        <w:rPr>
          <w:spacing w:val="-6"/>
          <w:sz w:val="20"/>
        </w:rPr>
        <w:t> </w:t>
      </w:r>
      <w:r>
        <w:rPr>
          <w:sz w:val="20"/>
        </w:rPr>
        <w:t>3.7</w:t>
      </w:r>
      <w:r>
        <w:rPr>
          <w:spacing w:val="-6"/>
          <w:sz w:val="20"/>
        </w:rPr>
        <w:t> </w:t>
      </w:r>
      <w:r>
        <w:rPr>
          <w:sz w:val="20"/>
        </w:rPr>
        <w:t>present</w:t>
      </w:r>
      <w:r>
        <w:rPr>
          <w:spacing w:val="-6"/>
          <w:sz w:val="20"/>
        </w:rPr>
        <w:t> </w:t>
      </w:r>
      <w:r>
        <w:rPr>
          <w:sz w:val="20"/>
        </w:rPr>
        <w:t>summaries</w:t>
      </w:r>
      <w:r>
        <w:rPr>
          <w:spacing w:val="-6"/>
          <w:sz w:val="20"/>
        </w:rPr>
        <w:t> </w:t>
      </w:r>
      <w:r>
        <w:rPr>
          <w:sz w:val="20"/>
        </w:rPr>
        <w:t>of CO</w:t>
      </w:r>
      <w:r>
        <w:rPr>
          <w:position w:val="-6"/>
          <w:sz w:val="11"/>
        </w:rPr>
        <w:t>2</w:t>
      </w:r>
      <w:r>
        <w:rPr>
          <w:spacing w:val="11"/>
          <w:position w:val="-6"/>
          <w:sz w:val="11"/>
        </w:rPr>
        <w:t> </w:t>
      </w:r>
      <w:r>
        <w:rPr>
          <w:sz w:val="20"/>
        </w:rPr>
        <w:t>capture</w:t>
      </w:r>
      <w:r>
        <w:rPr>
          <w:spacing w:val="-12"/>
          <w:sz w:val="20"/>
        </w:rPr>
        <w:t> </w:t>
      </w:r>
      <w:r>
        <w:rPr>
          <w:sz w:val="20"/>
        </w:rPr>
        <w:t>energy</w:t>
      </w:r>
      <w:r>
        <w:rPr>
          <w:spacing w:val="-12"/>
          <w:sz w:val="20"/>
        </w:rPr>
        <w:t> </w:t>
      </w:r>
      <w:r>
        <w:rPr>
          <w:sz w:val="20"/>
        </w:rPr>
        <w:t>requirements</w:t>
      </w:r>
      <w:r>
        <w:rPr>
          <w:spacing w:val="-12"/>
          <w:sz w:val="20"/>
        </w:rPr>
        <w:t> </w:t>
      </w:r>
      <w:r>
        <w:rPr>
          <w:sz w:val="20"/>
        </w:rPr>
        <w:t>for</w:t>
      </w:r>
      <w:r>
        <w:rPr>
          <w:spacing w:val="-12"/>
          <w:sz w:val="20"/>
        </w:rPr>
        <w:t> </w:t>
      </w:r>
      <w:r>
        <w:rPr>
          <w:sz w:val="20"/>
        </w:rPr>
        <w:t>a</w:t>
      </w:r>
      <w:r>
        <w:rPr>
          <w:spacing w:val="-12"/>
          <w:sz w:val="20"/>
        </w:rPr>
        <w:t> </w:t>
      </w:r>
      <w:r>
        <w:rPr>
          <w:sz w:val="20"/>
        </w:rPr>
        <w:t>variety</w:t>
      </w:r>
      <w:r>
        <w:rPr>
          <w:spacing w:val="-11"/>
          <w:sz w:val="20"/>
        </w:rPr>
        <w:t> </w:t>
      </w:r>
      <w:r>
        <w:rPr>
          <w:sz w:val="20"/>
        </w:rPr>
        <w:t>of</w:t>
      </w:r>
      <w:r>
        <w:rPr>
          <w:spacing w:val="-12"/>
          <w:sz w:val="20"/>
        </w:rPr>
        <w:t> </w:t>
      </w:r>
      <w:r>
        <w:rPr>
          <w:sz w:val="20"/>
        </w:rPr>
        <w:t>power</w:t>
      </w:r>
      <w:r>
        <w:rPr>
          <w:spacing w:val="-12"/>
          <w:sz w:val="20"/>
        </w:rPr>
        <w:t> </w:t>
      </w:r>
      <w:r>
        <w:rPr>
          <w:sz w:val="20"/>
        </w:rPr>
        <w:t>systems and discuss the environmental and economic implications </w:t>
      </w:r>
      <w:r>
        <w:rPr>
          <w:spacing w:val="-8"/>
          <w:sz w:val="20"/>
        </w:rPr>
        <w:t>of </w:t>
      </w:r>
      <w:r>
        <w:rPr>
          <w:sz w:val="20"/>
        </w:rPr>
        <w:t>these energy</w:t>
      </w:r>
      <w:r>
        <w:rPr>
          <w:spacing w:val="-1"/>
          <w:sz w:val="20"/>
        </w:rPr>
        <w:t> </w:t>
      </w:r>
      <w:r>
        <w:rPr>
          <w:sz w:val="20"/>
        </w:rPr>
        <w:t>demands.</w:t>
      </w:r>
    </w:p>
    <w:p>
      <w:pPr>
        <w:pStyle w:val="BodyText"/>
        <w:spacing w:line="249" w:lineRule="auto" w:before="6"/>
        <w:ind w:left="513" w:firstLine="284"/>
        <w:jc w:val="both"/>
      </w:pPr>
      <w:r>
        <w:rPr/>
        <w:t>In</w:t>
      </w:r>
      <w:r>
        <w:rPr>
          <w:spacing w:val="-8"/>
        </w:rPr>
        <w:t> </w:t>
      </w:r>
      <w:r>
        <w:rPr/>
        <w:t>principle,</w:t>
      </w:r>
      <w:r>
        <w:rPr>
          <w:spacing w:val="-8"/>
        </w:rPr>
        <w:t> </w:t>
      </w:r>
      <w:r>
        <w:rPr/>
        <w:t>the</w:t>
      </w:r>
      <w:r>
        <w:rPr>
          <w:spacing w:val="-7"/>
        </w:rPr>
        <w:t> </w:t>
      </w:r>
      <w:r>
        <w:rPr/>
        <w:t>thermal</w:t>
      </w:r>
      <w:r>
        <w:rPr>
          <w:spacing w:val="-8"/>
        </w:rPr>
        <w:t> </w:t>
      </w:r>
      <w:r>
        <w:rPr/>
        <w:t>energy</w:t>
      </w:r>
      <w:r>
        <w:rPr>
          <w:spacing w:val="-8"/>
        </w:rPr>
        <w:t> </w:t>
      </w:r>
      <w:r>
        <w:rPr/>
        <w:t>for</w:t>
      </w:r>
      <w:r>
        <w:rPr>
          <w:spacing w:val="-7"/>
        </w:rPr>
        <w:t> </w:t>
      </w:r>
      <w:r>
        <w:rPr/>
        <w:t>the</w:t>
      </w:r>
      <w:r>
        <w:rPr>
          <w:spacing w:val="-8"/>
        </w:rPr>
        <w:t> </w:t>
      </w:r>
      <w:r>
        <w:rPr/>
        <w:t>regeneration</w:t>
      </w:r>
      <w:r>
        <w:rPr>
          <w:spacing w:val="-8"/>
        </w:rPr>
        <w:t> </w:t>
      </w:r>
      <w:r>
        <w:rPr/>
        <w:t>process can be supplied by an auxiliary boiler in a retrofit situation. Most studies, however, focus on an overall process in which the absorption process is integrated into the power plant. </w:t>
      </w:r>
      <w:r>
        <w:rPr>
          <w:spacing w:val="-5"/>
        </w:rPr>
        <w:t>The </w:t>
      </w:r>
      <w:r>
        <w:rPr/>
        <w:t>heat requirement is at such levels that low-pressure  steam,   for</w:t>
      </w:r>
      <w:r>
        <w:rPr>
          <w:spacing w:val="42"/>
        </w:rPr>
        <w:t> </w:t>
      </w:r>
      <w:r>
        <w:rPr/>
        <w:t>example</w:t>
      </w:r>
      <w:r>
        <w:rPr>
          <w:spacing w:val="42"/>
        </w:rPr>
        <w:t> </w:t>
      </w:r>
      <w:r>
        <w:rPr/>
        <w:t>condensing</w:t>
      </w:r>
      <w:r>
        <w:rPr>
          <w:spacing w:val="43"/>
        </w:rPr>
        <w:t> </w:t>
      </w:r>
      <w:r>
        <w:rPr/>
        <w:t>at</w:t>
      </w:r>
      <w:r>
        <w:rPr>
          <w:spacing w:val="42"/>
        </w:rPr>
        <w:t> </w:t>
      </w:r>
      <w:r>
        <w:rPr/>
        <w:t>0.3</w:t>
      </w:r>
      <w:r>
        <w:rPr>
          <w:spacing w:val="43"/>
        </w:rPr>
        <w:t> </w:t>
      </w:r>
      <w:r>
        <w:rPr/>
        <w:t>MPa(g),</w:t>
      </w:r>
      <w:r>
        <w:rPr>
          <w:spacing w:val="42"/>
        </w:rPr>
        <w:t> </w:t>
      </w:r>
      <w:r>
        <w:rPr/>
        <w:t>can</w:t>
      </w:r>
      <w:r>
        <w:rPr>
          <w:spacing w:val="42"/>
        </w:rPr>
        <w:t> </w:t>
      </w:r>
      <w:r>
        <w:rPr/>
        <w:t>be</w:t>
      </w:r>
      <w:r>
        <w:rPr>
          <w:spacing w:val="43"/>
        </w:rPr>
        <w:t> </w:t>
      </w:r>
      <w:r>
        <w:rPr/>
        <w:t>used</w:t>
      </w:r>
      <w:r>
        <w:rPr>
          <w:spacing w:val="42"/>
        </w:rPr>
        <w:t> </w:t>
      </w:r>
      <w:r>
        <w:rPr/>
        <w:t>in</w:t>
      </w:r>
      <w:r>
        <w:rPr>
          <w:spacing w:val="43"/>
        </w:rPr>
        <w:t> </w:t>
      </w:r>
      <w:r>
        <w:rPr/>
        <w:t>the</w:t>
      </w:r>
    </w:p>
    <w:p>
      <w:pPr>
        <w:pStyle w:val="BodyText"/>
        <w:spacing w:line="198" w:lineRule="exact"/>
        <w:ind w:left="241"/>
        <w:jc w:val="both"/>
      </w:pPr>
      <w:r>
        <w:rPr/>
        <w:br w:type="column"/>
      </w:r>
      <w:r>
        <w:rPr/>
        <w:t>post-combustion capture in coal- fired power plants and 0.21</w:t>
      </w:r>
    </w:p>
    <w:p>
      <w:pPr>
        <w:pStyle w:val="BodyText"/>
        <w:spacing w:line="206" w:lineRule="auto" w:before="29"/>
        <w:ind w:left="241" w:right="735"/>
        <w:jc w:val="both"/>
      </w:pPr>
      <w:r>
        <w:rPr/>
        <w:t>and 0.33 GJ/tCO</w:t>
      </w:r>
      <w:r>
        <w:rPr>
          <w:position w:val="-6"/>
          <w:sz w:val="11"/>
        </w:rPr>
        <w:t>2 </w:t>
      </w:r>
      <w:r>
        <w:rPr/>
        <w:t>for post-combustion capture in natural gas fired combined cycles. Compression of the CO</w:t>
      </w:r>
      <w:r>
        <w:rPr>
          <w:position w:val="-6"/>
          <w:sz w:val="11"/>
        </w:rPr>
        <w:t>2 </w:t>
      </w:r>
      <w:r>
        <w:rPr/>
        <w:t>to 110 bar will require around 0.4 GJ/tCO</w:t>
      </w:r>
      <w:r>
        <w:rPr>
          <w:position w:val="-6"/>
          <w:sz w:val="11"/>
        </w:rPr>
        <w:t>2 </w:t>
      </w:r>
      <w:r>
        <w:rPr/>
        <w:t>(IEA GHG, 2004).</w:t>
      </w:r>
    </w:p>
    <w:p>
      <w:pPr>
        <w:pStyle w:val="BodyText"/>
        <w:spacing w:line="186" w:lineRule="exact"/>
        <w:ind w:left="525"/>
        <w:jc w:val="both"/>
      </w:pPr>
      <w:r>
        <w:rPr/>
        <w:t>Integration of the absorption process with an existing power</w:t>
      </w:r>
    </w:p>
    <w:p>
      <w:pPr>
        <w:pStyle w:val="BodyText"/>
        <w:spacing w:line="240" w:lineRule="exact" w:before="5"/>
        <w:ind w:left="241" w:right="734" w:hanging="1"/>
        <w:jc w:val="both"/>
      </w:pPr>
      <w:r>
        <w:rPr/>
        <w:t>plant will require modifications of the low-pressure part of the steam</w:t>
      </w:r>
      <w:r>
        <w:rPr>
          <w:spacing w:val="-10"/>
        </w:rPr>
        <w:t> </w:t>
      </w:r>
      <w:r>
        <w:rPr/>
        <w:t>cycle,</w:t>
      </w:r>
      <w:r>
        <w:rPr>
          <w:spacing w:val="-10"/>
        </w:rPr>
        <w:t> </w:t>
      </w:r>
      <w:r>
        <w:rPr/>
        <w:t>as</w:t>
      </w:r>
      <w:r>
        <w:rPr>
          <w:spacing w:val="-8"/>
        </w:rPr>
        <w:t> </w:t>
      </w:r>
      <w:r>
        <w:rPr/>
        <w:t>a</w:t>
      </w:r>
      <w:r>
        <w:rPr>
          <w:spacing w:val="-9"/>
        </w:rPr>
        <w:t> </w:t>
      </w:r>
      <w:r>
        <w:rPr/>
        <w:t>sizeable</w:t>
      </w:r>
      <w:r>
        <w:rPr>
          <w:spacing w:val="-9"/>
        </w:rPr>
        <w:t> </w:t>
      </w:r>
      <w:r>
        <w:rPr/>
        <w:t>fraction</w:t>
      </w:r>
      <w:r>
        <w:rPr>
          <w:spacing w:val="-10"/>
        </w:rPr>
        <w:t> </w:t>
      </w:r>
      <w:r>
        <w:rPr/>
        <w:t>of</w:t>
      </w:r>
      <w:r>
        <w:rPr>
          <w:spacing w:val="-8"/>
        </w:rPr>
        <w:t> </w:t>
      </w:r>
      <w:r>
        <w:rPr/>
        <w:t>the</w:t>
      </w:r>
      <w:r>
        <w:rPr>
          <w:spacing w:val="-9"/>
        </w:rPr>
        <w:t> </w:t>
      </w:r>
      <w:r>
        <w:rPr/>
        <w:t>steam</w:t>
      </w:r>
      <w:r>
        <w:rPr>
          <w:spacing w:val="-9"/>
        </w:rPr>
        <w:t> </w:t>
      </w:r>
      <w:r>
        <w:rPr/>
        <w:t>will</w:t>
      </w:r>
      <w:r>
        <w:rPr>
          <w:spacing w:val="-10"/>
        </w:rPr>
        <w:t> </w:t>
      </w:r>
      <w:r>
        <w:rPr/>
        <w:t>be</w:t>
      </w:r>
      <w:r>
        <w:rPr>
          <w:spacing w:val="-9"/>
        </w:rPr>
        <w:t> </w:t>
      </w:r>
      <w:r>
        <w:rPr/>
        <w:t>extracted and hence will not be available to produce power (Nsakala </w:t>
      </w:r>
      <w:r>
        <w:rPr>
          <w:i/>
        </w:rPr>
        <w:t>et </w:t>
      </w:r>
      <w:r>
        <w:rPr>
          <w:i/>
        </w:rPr>
        <w:t>al.</w:t>
      </w:r>
      <w:r>
        <w:rPr/>
        <w:t>, 2001, Mimura </w:t>
      </w:r>
      <w:r>
        <w:rPr>
          <w:i/>
        </w:rPr>
        <w:t>et al.</w:t>
      </w:r>
      <w:r>
        <w:rPr/>
        <w:t>,1995, Mimura </w:t>
      </w:r>
      <w:r>
        <w:rPr>
          <w:i/>
        </w:rPr>
        <w:t>et al.</w:t>
      </w:r>
      <w:r>
        <w:rPr/>
        <w:t>, 1997). </w:t>
      </w:r>
      <w:r>
        <w:rPr>
          <w:spacing w:val="-7"/>
        </w:rPr>
        <w:t>To </w:t>
      </w:r>
      <w:r>
        <w:rPr/>
        <w:t>limit the required modifications, small back-pressure steam turbines using</w:t>
      </w:r>
      <w:r>
        <w:rPr>
          <w:spacing w:val="-13"/>
        </w:rPr>
        <w:t> </w:t>
      </w:r>
      <w:r>
        <w:rPr/>
        <w:t>medium</w:t>
      </w:r>
      <w:r>
        <w:rPr>
          <w:spacing w:val="-13"/>
        </w:rPr>
        <w:t> </w:t>
      </w:r>
      <w:r>
        <w:rPr/>
        <w:t>pressure</w:t>
      </w:r>
      <w:r>
        <w:rPr>
          <w:spacing w:val="-12"/>
        </w:rPr>
        <w:t> </w:t>
      </w:r>
      <w:r>
        <w:rPr/>
        <w:t>steam</w:t>
      </w:r>
      <w:r>
        <w:rPr>
          <w:spacing w:val="-13"/>
        </w:rPr>
        <w:t> </w:t>
      </w:r>
      <w:r>
        <w:rPr/>
        <w:t>to</w:t>
      </w:r>
      <w:r>
        <w:rPr>
          <w:spacing w:val="-12"/>
        </w:rPr>
        <w:t> </w:t>
      </w:r>
      <w:r>
        <w:rPr/>
        <w:t>drive</w:t>
      </w:r>
      <w:r>
        <w:rPr>
          <w:spacing w:val="-13"/>
        </w:rPr>
        <w:t> </w:t>
      </w:r>
      <w:r>
        <w:rPr/>
        <w:t>the</w:t>
      </w:r>
      <w:r>
        <w:rPr>
          <w:spacing w:val="-13"/>
        </w:rPr>
        <w:t> </w:t>
      </w:r>
      <w:r>
        <w:rPr/>
        <w:t>flue</w:t>
      </w:r>
      <w:r>
        <w:rPr>
          <w:spacing w:val="-12"/>
        </w:rPr>
        <w:t> </w:t>
      </w:r>
      <w:r>
        <w:rPr/>
        <w:t>gas</w:t>
      </w:r>
      <w:r>
        <w:rPr>
          <w:spacing w:val="-13"/>
        </w:rPr>
        <w:t> </w:t>
      </w:r>
      <w:r>
        <w:rPr/>
        <w:t>fan</w:t>
      </w:r>
      <w:r>
        <w:rPr>
          <w:spacing w:val="-12"/>
        </w:rPr>
        <w:t> </w:t>
      </w:r>
      <w:r>
        <w:rPr/>
        <w:t>and</w:t>
      </w:r>
      <w:r>
        <w:rPr>
          <w:spacing w:val="-13"/>
        </w:rPr>
        <w:t> </w:t>
      </w:r>
      <w:r>
        <w:rPr/>
        <w:t>boiler feed water pumps can be used. The steam is then condensed in the</w:t>
      </w:r>
      <w:r>
        <w:rPr>
          <w:spacing w:val="-12"/>
        </w:rPr>
        <w:t> </w:t>
      </w:r>
      <w:r>
        <w:rPr/>
        <w:t>reboiler</w:t>
      </w:r>
      <w:r>
        <w:rPr>
          <w:spacing w:val="-11"/>
        </w:rPr>
        <w:t> </w:t>
      </w:r>
      <w:r>
        <w:rPr/>
        <w:t>(Mimura</w:t>
      </w:r>
      <w:r>
        <w:rPr>
          <w:spacing w:val="-11"/>
        </w:rPr>
        <w:t> </w:t>
      </w:r>
      <w:r>
        <w:rPr>
          <w:i/>
        </w:rPr>
        <w:t>et</w:t>
      </w:r>
      <w:r>
        <w:rPr>
          <w:i/>
          <w:spacing w:val="-12"/>
        </w:rPr>
        <w:t> </w:t>
      </w:r>
      <w:r>
        <w:rPr>
          <w:i/>
        </w:rPr>
        <w:t>al.</w:t>
      </w:r>
      <w:r>
        <w:rPr/>
        <w:t>,</w:t>
      </w:r>
      <w:r>
        <w:rPr>
          <w:spacing w:val="-11"/>
        </w:rPr>
        <w:t> </w:t>
      </w:r>
      <w:r>
        <w:rPr/>
        <w:t>1999).</w:t>
      </w:r>
      <w:r>
        <w:rPr>
          <w:spacing w:val="-11"/>
        </w:rPr>
        <w:t> </w:t>
      </w:r>
      <w:r>
        <w:rPr/>
        <w:t>Furthermore,</w:t>
      </w:r>
      <w:r>
        <w:rPr>
          <w:spacing w:val="-11"/>
        </w:rPr>
        <w:t> </w:t>
      </w:r>
      <w:r>
        <w:rPr/>
        <w:t>in</w:t>
      </w:r>
      <w:r>
        <w:rPr>
          <w:spacing w:val="-12"/>
        </w:rPr>
        <w:t> </w:t>
      </w:r>
      <w:r>
        <w:rPr/>
        <w:t>power</w:t>
      </w:r>
      <w:r>
        <w:rPr>
          <w:spacing w:val="-11"/>
        </w:rPr>
        <w:t> </w:t>
      </w:r>
      <w:r>
        <w:rPr/>
        <w:t>plants based on steam cycles more than 50% thermal energy in the steam</w:t>
      </w:r>
      <w:r>
        <w:rPr>
          <w:spacing w:val="-5"/>
        </w:rPr>
        <w:t> </w:t>
      </w:r>
      <w:r>
        <w:rPr/>
        <w:t>cycle</w:t>
      </w:r>
      <w:r>
        <w:rPr>
          <w:spacing w:val="-4"/>
        </w:rPr>
        <w:t> </w:t>
      </w:r>
      <w:r>
        <w:rPr/>
        <w:t>is</w:t>
      </w:r>
      <w:r>
        <w:rPr>
          <w:spacing w:val="-5"/>
        </w:rPr>
        <w:t> </w:t>
      </w:r>
      <w:r>
        <w:rPr/>
        <w:t>disposed</w:t>
      </w:r>
      <w:r>
        <w:rPr>
          <w:spacing w:val="-4"/>
        </w:rPr>
        <w:t> </w:t>
      </w:r>
      <w:r>
        <w:rPr/>
        <w:t>off</w:t>
      </w:r>
      <w:r>
        <w:rPr>
          <w:spacing w:val="-5"/>
        </w:rPr>
        <w:t> </w:t>
      </w:r>
      <w:r>
        <w:rPr/>
        <w:t>in</w:t>
      </w:r>
      <w:r>
        <w:rPr>
          <w:spacing w:val="-4"/>
        </w:rPr>
        <w:t> </w:t>
      </w:r>
      <w:r>
        <w:rPr/>
        <w:t>the</w:t>
      </w:r>
      <w:r>
        <w:rPr>
          <w:spacing w:val="-5"/>
        </w:rPr>
        <w:t> </w:t>
      </w:r>
      <w:r>
        <w:rPr/>
        <w:t>steam</w:t>
      </w:r>
      <w:r>
        <w:rPr>
          <w:spacing w:val="-4"/>
        </w:rPr>
        <w:t> </w:t>
      </w:r>
      <w:r>
        <w:rPr/>
        <w:t>condenser.</w:t>
      </w:r>
      <w:r>
        <w:rPr>
          <w:spacing w:val="-5"/>
        </w:rPr>
        <w:t> </w:t>
      </w:r>
      <w:r>
        <w:rPr/>
        <w:t>If</w:t>
      </w:r>
      <w:r>
        <w:rPr>
          <w:spacing w:val="-4"/>
        </w:rPr>
        <w:t> </w:t>
      </w:r>
      <w:r>
        <w:rPr/>
        <w:t>the</w:t>
      </w:r>
      <w:r>
        <w:rPr>
          <w:spacing w:val="-4"/>
        </w:rPr>
        <w:t> </w:t>
      </w:r>
      <w:r>
        <w:rPr/>
        <w:t>steam cycle system and CO</w:t>
      </w:r>
      <w:r>
        <w:rPr>
          <w:position w:val="-6"/>
          <w:sz w:val="11"/>
        </w:rPr>
        <w:t>2 </w:t>
      </w:r>
      <w:r>
        <w:rPr/>
        <w:t>recovery can be integrated, part of the waste heat disposed by the steam condenser can be utilized for regeneration of the chemical</w:t>
      </w:r>
      <w:r>
        <w:rPr>
          <w:spacing w:val="-1"/>
        </w:rPr>
        <w:t> </w:t>
      </w:r>
      <w:r>
        <w:rPr/>
        <w:t>solvent.</w:t>
      </w:r>
    </w:p>
    <w:p>
      <w:pPr>
        <w:pStyle w:val="BodyText"/>
        <w:spacing w:line="240" w:lineRule="exact"/>
        <w:ind w:left="241" w:right="733" w:firstLine="284"/>
        <w:jc w:val="both"/>
      </w:pPr>
      <w:r>
        <w:rPr/>
        <w:t>The</w:t>
      </w:r>
      <w:r>
        <w:rPr>
          <w:spacing w:val="-7"/>
        </w:rPr>
        <w:t> </w:t>
      </w:r>
      <w:r>
        <w:rPr/>
        <w:t>reduction</w:t>
      </w:r>
      <w:r>
        <w:rPr>
          <w:spacing w:val="-7"/>
        </w:rPr>
        <w:t> </w:t>
      </w:r>
      <w:r>
        <w:rPr/>
        <w:t>of</w:t>
      </w:r>
      <w:r>
        <w:rPr>
          <w:spacing w:val="-7"/>
        </w:rPr>
        <w:t> </w:t>
      </w:r>
      <w:r>
        <w:rPr/>
        <w:t>the</w:t>
      </w:r>
      <w:r>
        <w:rPr>
          <w:spacing w:val="-7"/>
        </w:rPr>
        <w:t> </w:t>
      </w:r>
      <w:r>
        <w:rPr/>
        <w:t>energy</w:t>
      </w:r>
      <w:r>
        <w:rPr>
          <w:spacing w:val="-6"/>
        </w:rPr>
        <w:t> </w:t>
      </w:r>
      <w:r>
        <w:rPr/>
        <w:t>penalty</w:t>
      </w:r>
      <w:r>
        <w:rPr>
          <w:spacing w:val="-7"/>
        </w:rPr>
        <w:t> </w:t>
      </w:r>
      <w:r>
        <w:rPr/>
        <w:t>is,</w:t>
      </w:r>
      <w:r>
        <w:rPr>
          <w:spacing w:val="-7"/>
        </w:rPr>
        <w:t> </w:t>
      </w:r>
      <w:r>
        <w:rPr/>
        <w:t>nevertheless,</w:t>
      </w:r>
      <w:r>
        <w:rPr>
          <w:spacing w:val="-7"/>
        </w:rPr>
        <w:t> </w:t>
      </w:r>
      <w:r>
        <w:rPr/>
        <w:t>closely linked to the chosen solvent system. The IEA Greenhouse Programme</w:t>
      </w:r>
      <w:r>
        <w:rPr>
          <w:spacing w:val="-27"/>
        </w:rPr>
        <w:t> </w:t>
      </w:r>
      <w:r>
        <w:rPr/>
        <w:t>(IEAGHG)</w:t>
      </w:r>
      <w:r>
        <w:rPr>
          <w:spacing w:val="-27"/>
        </w:rPr>
        <w:t> </w:t>
      </w:r>
      <w:r>
        <w:rPr/>
        <w:t>has</w:t>
      </w:r>
      <w:r>
        <w:rPr>
          <w:spacing w:val="-27"/>
        </w:rPr>
        <w:t> </w:t>
      </w:r>
      <w:r>
        <w:rPr/>
        <w:t>carried</w:t>
      </w:r>
      <w:r>
        <w:rPr>
          <w:spacing w:val="-27"/>
        </w:rPr>
        <w:t> </w:t>
      </w:r>
      <w:r>
        <w:rPr/>
        <w:t>out</w:t>
      </w:r>
      <w:r>
        <w:rPr>
          <w:spacing w:val="-27"/>
        </w:rPr>
        <w:t> </w:t>
      </w:r>
      <w:r>
        <w:rPr/>
        <w:t>performance</w:t>
      </w:r>
      <w:r>
        <w:rPr>
          <w:spacing w:val="-27"/>
        </w:rPr>
        <w:t> </w:t>
      </w:r>
      <w:r>
        <w:rPr/>
        <w:t>assessments of power plants with post-combustion capture of CO</w:t>
      </w:r>
      <w:r>
        <w:rPr>
          <w:position w:val="-6"/>
          <w:sz w:val="11"/>
        </w:rPr>
        <w:t>2</w:t>
      </w:r>
      <w:r>
        <w:rPr/>
        <w:t>, taking into consideration the most recent improvements in </w:t>
      </w:r>
      <w:r>
        <w:rPr>
          <w:spacing w:val="-3"/>
        </w:rPr>
        <w:t>post- </w:t>
      </w:r>
      <w:r>
        <w:rPr/>
        <w:t>combustion CO</w:t>
      </w:r>
      <w:r>
        <w:rPr>
          <w:position w:val="-6"/>
          <w:sz w:val="11"/>
        </w:rPr>
        <w:t>2 </w:t>
      </w:r>
      <w:r>
        <w:rPr/>
        <w:t>capture processes identified by technology licensors (IEA GHG, 2004). In this </w:t>
      </w:r>
      <w:r>
        <w:rPr>
          <w:spacing w:val="-3"/>
        </w:rPr>
        <w:t>study, </w:t>
      </w:r>
      <w:r>
        <w:rPr/>
        <w:t>Mitsui Babcock Energy Ltd. and Alstom provided information on the use of a high</w:t>
      </w:r>
      <w:r>
        <w:rPr>
          <w:spacing w:val="-13"/>
        </w:rPr>
        <w:t> </w:t>
      </w:r>
      <w:r>
        <w:rPr/>
        <w:t>efficiency,</w:t>
      </w:r>
      <w:r>
        <w:rPr>
          <w:spacing w:val="-12"/>
        </w:rPr>
        <w:t> </w:t>
      </w:r>
      <w:r>
        <w:rPr/>
        <w:t>ultra-supercritical</w:t>
      </w:r>
      <w:r>
        <w:rPr>
          <w:spacing w:val="-14"/>
        </w:rPr>
        <w:t> </w:t>
      </w:r>
      <w:r>
        <w:rPr/>
        <w:t>steam</w:t>
      </w:r>
      <w:r>
        <w:rPr>
          <w:spacing w:val="-12"/>
        </w:rPr>
        <w:t> </w:t>
      </w:r>
      <w:r>
        <w:rPr/>
        <w:t>cycle</w:t>
      </w:r>
      <w:r>
        <w:rPr>
          <w:spacing w:val="-13"/>
        </w:rPr>
        <w:t> </w:t>
      </w:r>
      <w:r>
        <w:rPr/>
        <w:t>(29</w:t>
      </w:r>
      <w:r>
        <w:rPr>
          <w:spacing w:val="-13"/>
        </w:rPr>
        <w:t> </w:t>
      </w:r>
      <w:r>
        <w:rPr/>
        <w:t>MPa,</w:t>
      </w:r>
      <w:r>
        <w:rPr>
          <w:spacing w:val="-12"/>
        </w:rPr>
        <w:t> </w:t>
      </w:r>
      <w:r>
        <w:rPr/>
        <w:t>600</w:t>
      </w:r>
      <w:r>
        <w:rPr>
          <w:rFonts w:ascii="Symbol" w:hAnsi="Symbol"/>
        </w:rPr>
        <w:t></w:t>
      </w:r>
      <w:r>
        <w:rPr/>
        <w:t>C, 620</w:t>
      </w:r>
      <w:r>
        <w:rPr>
          <w:rFonts w:ascii="Symbol" w:hAnsi="Symbol"/>
        </w:rPr>
        <w:t></w:t>
      </w:r>
      <w:r>
        <w:rPr/>
        <w:t>C reheat) boiler and steam turbine for a coal-fired power plant, while for the NGCC case, a combined cycle using a   GE </w:t>
      </w:r>
      <w:r>
        <w:rPr>
          <w:spacing w:val="-5"/>
        </w:rPr>
        <w:t>9FA </w:t>
      </w:r>
      <w:r>
        <w:rPr/>
        <w:t>gas turbine was adopted. Fluor provided information on the Fluor Econamine + process based on MEA, and MHI provided information on KEPCO/MHI process based on the KS-1 solvent for CO</w:t>
      </w:r>
      <w:r>
        <w:rPr>
          <w:position w:val="-6"/>
          <w:sz w:val="11"/>
        </w:rPr>
        <w:t>2 </w:t>
      </w:r>
      <w:r>
        <w:rPr/>
        <w:t>capture. CO</w:t>
      </w:r>
      <w:r>
        <w:rPr>
          <w:position w:val="-6"/>
          <w:sz w:val="11"/>
        </w:rPr>
        <w:t>2 </w:t>
      </w:r>
      <w:r>
        <w:rPr/>
        <w:t>leaving these systems were compressed to a pressure of </w:t>
      </w:r>
      <w:r>
        <w:rPr>
          <w:spacing w:val="-4"/>
        </w:rPr>
        <w:t>11 </w:t>
      </w:r>
      <w:r>
        <w:rPr/>
        <w:t>MPa. The overall net power plant efficiencies with and without CO</w:t>
      </w:r>
      <w:r>
        <w:rPr>
          <w:position w:val="-6"/>
          <w:sz w:val="11"/>
        </w:rPr>
        <w:t>2 </w:t>
      </w:r>
      <w:r>
        <w:rPr/>
        <w:t>capture are shown in </w:t>
      </w:r>
      <w:hyperlink w:history="true" w:anchor="_bookmark10">
        <w:r>
          <w:rPr/>
          <w:t>Figure 3.6, </w:t>
        </w:r>
      </w:hyperlink>
      <w:r>
        <w:rPr/>
        <w:t>while </w:t>
      </w:r>
      <w:hyperlink w:history="true" w:anchor="_bookmark12">
        <w:r>
          <w:rPr/>
          <w:t>Figure 3.7 </w:t>
        </w:r>
      </w:hyperlink>
      <w:r>
        <w:rPr/>
        <w:t>shows the efficiency penalty for CO</w:t>
      </w:r>
      <w:r>
        <w:rPr>
          <w:position w:val="-6"/>
          <w:sz w:val="11"/>
        </w:rPr>
        <w:t>2 </w:t>
      </w:r>
      <w:r>
        <w:rPr/>
        <w:t>capture. Overall, results from this study show that the efficiency penalty for post-combustion capture in coal and </w:t>
      </w:r>
      <w:r>
        <w:rPr>
          <w:spacing w:val="-5"/>
        </w:rPr>
        <w:t>gas </w:t>
      </w:r>
      <w:r>
        <w:rPr/>
        <w:t>fired plant is lower for KEPCO/MHI’s CO</w:t>
      </w:r>
      <w:r>
        <w:rPr>
          <w:position w:val="-6"/>
          <w:sz w:val="11"/>
        </w:rPr>
        <w:t>2 </w:t>
      </w:r>
      <w:r>
        <w:rPr/>
        <w:t>absorption</w:t>
      </w:r>
      <w:r>
        <w:rPr>
          <w:spacing w:val="-23"/>
        </w:rPr>
        <w:t> </w:t>
      </w:r>
      <w:r>
        <w:rPr/>
        <w:t>process. For</w:t>
      </w:r>
      <w:r>
        <w:rPr>
          <w:spacing w:val="-14"/>
        </w:rPr>
        <w:t> </w:t>
      </w:r>
      <w:r>
        <w:rPr/>
        <w:t>the</w:t>
      </w:r>
      <w:r>
        <w:rPr>
          <w:spacing w:val="-13"/>
        </w:rPr>
        <w:t> </w:t>
      </w:r>
      <w:r>
        <w:rPr/>
        <w:t>purpose</w:t>
      </w:r>
      <w:r>
        <w:rPr>
          <w:spacing w:val="-13"/>
        </w:rPr>
        <w:t> </w:t>
      </w:r>
      <w:r>
        <w:rPr/>
        <w:t>of</w:t>
      </w:r>
      <w:r>
        <w:rPr>
          <w:spacing w:val="-13"/>
        </w:rPr>
        <w:t> </w:t>
      </w:r>
      <w:r>
        <w:rPr/>
        <w:t>comparison,</w:t>
      </w:r>
      <w:r>
        <w:rPr>
          <w:spacing w:val="-14"/>
        </w:rPr>
        <w:t> </w:t>
      </w:r>
      <w:r>
        <w:rPr/>
        <w:t>the</w:t>
      </w:r>
      <w:r>
        <w:rPr>
          <w:spacing w:val="-13"/>
        </w:rPr>
        <w:t> </w:t>
      </w:r>
      <w:r>
        <w:rPr/>
        <w:t>performance</w:t>
      </w:r>
      <w:r>
        <w:rPr>
          <w:spacing w:val="-13"/>
        </w:rPr>
        <w:t> </w:t>
      </w:r>
      <w:r>
        <w:rPr/>
        <w:t>of</w:t>
      </w:r>
      <w:r>
        <w:rPr>
          <w:spacing w:val="-13"/>
        </w:rPr>
        <w:t> </w:t>
      </w:r>
      <w:r>
        <w:rPr/>
        <w:t>power</w:t>
      </w:r>
      <w:r>
        <w:rPr>
          <w:spacing w:val="-13"/>
        </w:rPr>
        <w:t> </w:t>
      </w:r>
      <w:r>
        <w:rPr/>
        <w:t>plants with pre-combustion and oxy-fuel capture, based on the same standard</w:t>
      </w:r>
      <w:r>
        <w:rPr>
          <w:spacing w:val="12"/>
        </w:rPr>
        <w:t> </w:t>
      </w:r>
      <w:r>
        <w:rPr/>
        <w:t>set</w:t>
      </w:r>
      <w:r>
        <w:rPr>
          <w:spacing w:val="12"/>
        </w:rPr>
        <w:t> </w:t>
      </w:r>
      <w:r>
        <w:rPr/>
        <w:t>of</w:t>
      </w:r>
      <w:r>
        <w:rPr>
          <w:spacing w:val="12"/>
        </w:rPr>
        <w:t> </w:t>
      </w:r>
      <w:r>
        <w:rPr/>
        <w:t>plant</w:t>
      </w:r>
      <w:r>
        <w:rPr>
          <w:spacing w:val="12"/>
        </w:rPr>
        <w:t> </w:t>
      </w:r>
      <w:r>
        <w:rPr/>
        <w:t>design</w:t>
      </w:r>
      <w:r>
        <w:rPr>
          <w:spacing w:val="12"/>
        </w:rPr>
        <w:t> </w:t>
      </w:r>
      <w:r>
        <w:rPr/>
        <w:t>criteria</w:t>
      </w:r>
      <w:r>
        <w:rPr>
          <w:spacing w:val="12"/>
        </w:rPr>
        <w:t> </w:t>
      </w:r>
      <w:r>
        <w:rPr/>
        <w:t>are</w:t>
      </w:r>
      <w:r>
        <w:rPr>
          <w:spacing w:val="12"/>
        </w:rPr>
        <w:t> </w:t>
      </w:r>
      <w:r>
        <w:rPr/>
        <w:t>also</w:t>
      </w:r>
      <w:r>
        <w:rPr>
          <w:spacing w:val="12"/>
        </w:rPr>
        <w:t> </w:t>
      </w:r>
      <w:r>
        <w:rPr/>
        <w:t>shown</w:t>
      </w:r>
      <w:r>
        <w:rPr>
          <w:spacing w:val="12"/>
        </w:rPr>
        <w:t> </w:t>
      </w:r>
      <w:r>
        <w:rPr/>
        <w:t>in</w:t>
      </w:r>
      <w:r>
        <w:rPr>
          <w:spacing w:val="12"/>
        </w:rPr>
        <w:t> </w:t>
      </w:r>
      <w:r>
        <w:rPr/>
        <w:t>Figures</w:t>
      </w:r>
    </w:p>
    <w:p>
      <w:pPr>
        <w:pStyle w:val="BodyText"/>
        <w:spacing w:before="5"/>
        <w:ind w:left="241"/>
        <w:jc w:val="both"/>
      </w:pPr>
      <w:hyperlink w:history="true" w:anchor="_bookmark10">
        <w:r>
          <w:rPr/>
          <w:t>3.6</w:t>
        </w:r>
      </w:hyperlink>
      <w:r>
        <w:rPr/>
        <w:t> and </w:t>
      </w:r>
      <w:hyperlink w:history="true" w:anchor="_bookmark12">
        <w:r>
          <w:rPr/>
          <w:t>3.7.</w:t>
        </w:r>
      </w:hyperlink>
    </w:p>
    <w:p>
      <w:pPr>
        <w:spacing w:after="0"/>
        <w:jc w:val="both"/>
        <w:sectPr>
          <w:type w:val="continuous"/>
          <w:pgSz w:w="12240" w:h="15840"/>
          <w:pgMar w:top="480" w:bottom="280" w:left="620" w:right="0"/>
          <w:cols w:num="2" w:equalWidth="0">
            <w:col w:w="5559" w:space="40"/>
            <w:col w:w="6021"/>
          </w:cols>
        </w:sectPr>
      </w:pPr>
    </w:p>
    <w:p>
      <w:pPr>
        <w:pStyle w:val="BodyText"/>
      </w:pPr>
    </w:p>
    <w:p>
      <w:pPr>
        <w:pStyle w:val="BodyText"/>
        <w:spacing w:before="10"/>
        <w:rPr>
          <w:sz w:val="11"/>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69"/>
      </w:tblGrid>
      <w:tr>
        <w:trPr>
          <w:trHeight w:val="3438" w:hRule="atLeast"/>
        </w:trPr>
        <w:tc>
          <w:tcPr>
            <w:tcW w:w="10369" w:type="dxa"/>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2"/>
              <w:jc w:val="left"/>
              <w:rPr>
                <w:sz w:val="13"/>
              </w:rPr>
            </w:pPr>
          </w:p>
          <w:p>
            <w:pPr>
              <w:pStyle w:val="TableParagraph"/>
              <w:ind w:left="174"/>
              <w:jc w:val="left"/>
              <w:rPr>
                <w:sz w:val="20"/>
              </w:rPr>
            </w:pPr>
            <w:r>
              <w:rPr>
                <w:sz w:val="20"/>
              </w:rPr>
              <w:pict>
                <v:group style="width:500.05pt;height:120.6pt;mso-position-horizontal-relative:char;mso-position-vertical-relative:line" coordorigin="0,0" coordsize="10001,2412">
                  <v:line style="position:absolute" from="6880,375" to="9992,375" stroked="true" strokeweight=".49pt" strokecolor="#878889">
                    <v:stroke dashstyle="solid"/>
                  </v:line>
                  <v:line style="position:absolute" from="8333,687" to="8769,687" stroked="true" strokeweight=".49pt" strokecolor="#878889">
                    <v:stroke dashstyle="solid"/>
                  </v:line>
                  <v:line style="position:absolute" from="7623,687" to="8034,687" stroked="true" strokeweight=".49pt" strokecolor="#878889">
                    <v:stroke dashstyle="solid"/>
                  </v:line>
                  <v:line style="position:absolute" from="6880,687" to="7323,687" stroked="true" strokeweight=".49pt" strokecolor="#878889">
                    <v:stroke dashstyle="solid"/>
                  </v:line>
                  <v:line style="position:absolute" from="7623,999" to="8034,999" stroked="true" strokeweight=".49pt" strokecolor="#878889">
                    <v:stroke dashstyle="solid"/>
                  </v:line>
                  <v:line style="position:absolute" from="6880,999" to="7323,999" stroked="true" strokeweight=".49pt" strokecolor="#878889">
                    <v:stroke dashstyle="solid"/>
                  </v:line>
                  <v:line style="position:absolute" from="7623,1311" to="8034,1311" stroked="true" strokeweight=".49pt" strokecolor="#878889">
                    <v:stroke dashstyle="solid"/>
                  </v:line>
                  <v:line style="position:absolute" from="6880,1311" to="7323,1311" stroked="true" strokeweight=".49pt" strokecolor="#878889">
                    <v:stroke dashstyle="solid"/>
                  </v:line>
                  <v:line style="position:absolute" from="7623,1623" to="8034,1623" stroked="true" strokeweight=".49pt" strokecolor="#878889">
                    <v:stroke dashstyle="solid"/>
                  </v:line>
                  <v:line style="position:absolute" from="6880,1623" to="7323,1623" stroked="true" strokeweight=".49pt" strokecolor="#878889">
                    <v:stroke dashstyle="solid"/>
                  </v:line>
                  <v:rect style="position:absolute;left:7323;top:473;width:300;height:1471" filled="true" fillcolor="#ececed" stroked="false">
                    <v:fill type="solid"/>
                  </v:rect>
                  <v:rect style="position:absolute;left:7323;top:473;width:300;height:1471" filled="false" stroked="true" strokeweight=".49pt" strokecolor="#000000">
                    <v:stroke dashstyle="solid"/>
                  </v:rect>
                  <v:line style="position:absolute" from="8333,999" to="8769,999" stroked="true" strokeweight=".49pt" strokecolor="#878889">
                    <v:stroke dashstyle="solid"/>
                  </v:line>
                  <v:line style="position:absolute" from="8333,1311" to="8769,1311" stroked="true" strokeweight=".49pt" strokecolor="#878889">
                    <v:stroke dashstyle="solid"/>
                  </v:line>
                  <v:line style="position:absolute" from="8333,1623" to="8769,1623" stroked="true" strokeweight=".49pt" strokecolor="#878889">
                    <v:stroke dashstyle="solid"/>
                  </v:line>
                  <v:rect style="position:absolute;left:8033;top:389;width:300;height:1555" filled="true" fillcolor="#ececed" stroked="false">
                    <v:fill type="solid"/>
                  </v:rect>
                  <v:rect style="position:absolute;left:8033;top:389;width:300;height:1555" filled="false" stroked="true" strokeweight=".49pt" strokecolor="#000000">
                    <v:stroke dashstyle="solid"/>
                  </v:rect>
                  <v:line style="position:absolute" from="9068,687" to="9484,687" stroked="true" strokeweight=".49pt" strokecolor="#878889">
                    <v:stroke dashstyle="solid"/>
                  </v:line>
                  <v:line style="position:absolute" from="9068,999" to="9484,999" stroked="true" strokeweight=".49pt" strokecolor="#878889">
                    <v:stroke dashstyle="solid"/>
                  </v:line>
                  <v:line style="position:absolute" from="9068,1311" to="9484,1311" stroked="true" strokeweight=".49pt" strokecolor="#878889">
                    <v:stroke dashstyle="solid"/>
                  </v:line>
                  <v:line style="position:absolute" from="9068,1623" to="9484,1623" stroked="true" strokeweight=".49pt" strokecolor="#878889">
                    <v:stroke dashstyle="solid"/>
                  </v:line>
                  <v:rect style="position:absolute;left:8768;top:458;width:300;height:1486" filled="true" fillcolor="#ececed" stroked="false">
                    <v:fill type="solid"/>
                  </v:rect>
                  <v:rect style="position:absolute;left:8768;top:458;width:300;height:1486" filled="false" stroked="true" strokeweight=".49pt" strokecolor="#000000">
                    <v:stroke dashstyle="solid"/>
                  </v:rect>
                  <v:line style="position:absolute" from="9784,687" to="9992,687" stroked="true" strokeweight=".49pt" strokecolor="#878889">
                    <v:stroke dashstyle="solid"/>
                  </v:line>
                  <v:line style="position:absolute" from="9784,999" to="9992,999" stroked="true" strokeweight=".49pt" strokecolor="#878889">
                    <v:stroke dashstyle="solid"/>
                  </v:line>
                  <v:line style="position:absolute" from="9784,1311" to="9992,1311" stroked="true" strokeweight=".49pt" strokecolor="#878889">
                    <v:stroke dashstyle="solid"/>
                  </v:line>
                  <v:line style="position:absolute" from="9784,1623" to="9992,1623" stroked="true" strokeweight=".49pt" strokecolor="#878889">
                    <v:stroke dashstyle="solid"/>
                  </v:line>
                  <v:rect style="position:absolute;left:9484;top:561;width:300;height:1383" filled="true" fillcolor="#ececed" stroked="false">
                    <v:fill type="solid"/>
                  </v:rect>
                  <v:rect style="position:absolute;left:9484;top:561;width:300;height:1383" filled="false" stroked="true" strokeweight=".49pt" strokecolor="#000000">
                    <v:stroke dashstyle="solid"/>
                  </v:rect>
                  <v:line style="position:absolute" from="548,375" to="6580,375" stroked="true" strokeweight=".49pt" strokecolor="#878889">
                    <v:stroke dashstyle="solid"/>
                  </v:line>
                  <v:line style="position:absolute" from="2548,687" to="6580,687" stroked="true" strokeweight=".49pt" strokecolor="#878889">
                    <v:stroke dashstyle="solid"/>
                  </v:line>
                  <v:line style="position:absolute" from="1100,687" to="2248,687" stroked="true" strokeweight=".49pt" strokecolor="#878889">
                    <v:stroke dashstyle="solid"/>
                  </v:line>
                  <v:line style="position:absolute" from="548,687" to="800,687" stroked="true" strokeweight=".49pt" strokecolor="#878889">
                    <v:stroke dashstyle="solid"/>
                  </v:line>
                  <v:line style="position:absolute" from="1100,999" to="1516,999" stroked="true" strokeweight=".49pt" strokecolor="#878889">
                    <v:stroke dashstyle="solid"/>
                  </v:line>
                  <v:line style="position:absolute" from="548,999" to="800,999" stroked="true" strokeweight=".49pt" strokecolor="#878889">
                    <v:stroke dashstyle="solid"/>
                  </v:line>
                  <v:line style="position:absolute" from="1100,1311" to="1516,1311" stroked="true" strokeweight=".49pt" strokecolor="#878889">
                    <v:stroke dashstyle="solid"/>
                  </v:line>
                  <v:line style="position:absolute" from="548,1311" to="800,1311" stroked="true" strokeweight=".49pt" strokecolor="#878889">
                    <v:stroke dashstyle="solid"/>
                  </v:line>
                  <v:line style="position:absolute" from="1100,1623" to="1516,1623" stroked="true" strokeweight=".49pt" strokecolor="#878889">
                    <v:stroke dashstyle="solid"/>
                  </v:line>
                  <v:line style="position:absolute" from="548,1623" to="800,1623" stroked="true" strokeweight=".49pt" strokecolor="#878889">
                    <v:stroke dashstyle="solid"/>
                  </v:line>
                  <v:rect style="position:absolute;left:800;top:580;width:300;height:1363" filled="true" fillcolor="#9c9d9f" stroked="false">
                    <v:fill type="solid"/>
                  </v:rect>
                  <v:rect style="position:absolute;left:800;top:580;width:300;height:1363" filled="false" stroked="true" strokeweight=".49pt" strokecolor="#000000">
                    <v:stroke dashstyle="solid"/>
                  </v:rect>
                  <v:line style="position:absolute" from="1815,999" to="2248,999" stroked="true" strokeweight=".49pt" strokecolor="#878889">
                    <v:stroke dashstyle="solid"/>
                  </v:line>
                  <v:line style="position:absolute" from="1815,1311" to="2248,1311" stroked="true" strokeweight=".49pt" strokecolor="#878889">
                    <v:stroke dashstyle="solid"/>
                  </v:line>
                  <v:line style="position:absolute" from="1815,1623" to="2248,1623" stroked="true" strokeweight=".49pt" strokecolor="#878889">
                    <v:stroke dashstyle="solid"/>
                  </v:line>
                  <v:rect style="position:absolute;left:1516;top:770;width:300;height:1172" filled="true" fillcolor="#9c9d9f" stroked="false">
                    <v:fill type="solid"/>
                  </v:rect>
                  <v:rect style="position:absolute;left:1516;top:770;width:300;height:1172" filled="false" stroked="true" strokeweight=".49pt" strokecolor="#000000">
                    <v:stroke dashstyle="solid"/>
                  </v:rect>
                  <v:line style="position:absolute" from="2548,999" to="2969,999" stroked="true" strokeweight=".49pt" strokecolor="#878889">
                    <v:stroke dashstyle="solid"/>
                  </v:line>
                  <v:line style="position:absolute" from="2548,1311" to="2969,1311" stroked="true" strokeweight=".49pt" strokecolor="#878889">
                    <v:stroke dashstyle="solid"/>
                  </v:line>
                  <v:line style="position:absolute" from="2548,1623" to="2969,1623" stroked="true" strokeweight=".49pt" strokecolor="#878889">
                    <v:stroke dashstyle="solid"/>
                  </v:line>
                  <v:rect style="position:absolute;left:2248;top:602;width:300;height:1341" filled="true" fillcolor="#9c9d9f" stroked="false">
                    <v:fill type="solid"/>
                  </v:rect>
                  <v:rect style="position:absolute;left:2248;top:602;width:300;height:1341" filled="false" stroked="true" strokeweight=".49pt" strokecolor="#000000">
                    <v:stroke dashstyle="solid"/>
                  </v:rect>
                  <v:line style="position:absolute" from="3269,999" to="3699,999" stroked="true" strokeweight=".49pt" strokecolor="#878889">
                    <v:stroke dashstyle="solid"/>
                  </v:line>
                  <v:line style="position:absolute" from="3269,1311" to="3699,1311" stroked="true" strokeweight=".49pt" strokecolor="#878889">
                    <v:stroke dashstyle="solid"/>
                  </v:line>
                  <v:line style="position:absolute" from="3269,1623" to="3699,1623" stroked="true" strokeweight=".49pt" strokecolor="#878889">
                    <v:stroke dashstyle="solid"/>
                  </v:line>
                  <v:rect style="position:absolute;left:2969;top:855;width:300;height:1088" filled="true" fillcolor="#ececed" stroked="false">
                    <v:fill type="solid"/>
                  </v:rect>
                  <v:rect style="position:absolute;left:2969;top:855;width:300;height:1088" filled="false" stroked="true" strokeweight=".49pt" strokecolor="#000000">
                    <v:stroke dashstyle="solid"/>
                  </v:rect>
                  <v:line style="position:absolute" from="3998,999" to="4417,999" stroked="true" strokeweight=".49pt" strokecolor="#878889">
                    <v:stroke dashstyle="solid"/>
                  </v:line>
                  <v:line style="position:absolute" from="3998,1311" to="4417,1311" stroked="true" strokeweight=".49pt" strokecolor="#878889">
                    <v:stroke dashstyle="solid"/>
                  </v:line>
                  <v:line style="position:absolute" from="3998,1623" to="4417,1623" stroked="true" strokeweight=".49pt" strokecolor="#878889">
                    <v:stroke dashstyle="solid"/>
                  </v:line>
                  <v:rect style="position:absolute;left:3698;top:855;width:300;height:1088" filled="true" fillcolor="#ececed" stroked="false">
                    <v:fill type="solid"/>
                  </v:rect>
                  <v:rect style="position:absolute;left:3698;top:855;width:300;height:1088" filled="false" stroked="true" strokeweight=".49pt" strokecolor="#000000">
                    <v:stroke dashstyle="solid"/>
                  </v:rect>
                  <v:line style="position:absolute" from="4717,999" to="5141,999" stroked="true" strokeweight=".49pt" strokecolor="#878889">
                    <v:stroke dashstyle="solid"/>
                  </v:line>
                  <v:line style="position:absolute" from="4717,1311" to="5141,1311" stroked="true" strokeweight=".49pt" strokecolor="#878889">
                    <v:stroke dashstyle="solid"/>
                  </v:line>
                  <v:line style="position:absolute" from="4717,1623" to="5141,1623" stroked="true" strokeweight=".49pt" strokecolor="#878889">
                    <v:stroke dashstyle="solid"/>
                  </v:line>
                  <v:rect style="position:absolute;left:4417;top:961;width:300;height:982" filled="true" fillcolor="#ececed" stroked="false">
                    <v:fill type="solid"/>
                  </v:rect>
                  <v:rect style="position:absolute;left:4417;top:961;width:300;height:982" filled="false" stroked="true" strokeweight=".49pt" strokecolor="#000000">
                    <v:stroke dashstyle="solid"/>
                  </v:rect>
                  <v:line style="position:absolute" from="5441,999" to="5868,999" stroked="true" strokeweight=".49pt" strokecolor="#878889">
                    <v:stroke dashstyle="solid"/>
                  </v:line>
                  <v:line style="position:absolute" from="5441,1311" to="5868,1311" stroked="true" strokeweight=".49pt" strokecolor="#878889">
                    <v:stroke dashstyle="solid"/>
                  </v:line>
                  <v:line style="position:absolute" from="5441,1623" to="5868,1623" stroked="true" strokeweight=".49pt" strokecolor="#878889">
                    <v:stroke dashstyle="solid"/>
                  </v:line>
                  <v:rect style="position:absolute;left:5141;top:877;width:300;height:1066" filled="true" fillcolor="#ececed" stroked="false">
                    <v:fill type="solid"/>
                  </v:rect>
                  <v:rect style="position:absolute;left:5141;top:877;width:300;height:1066" filled="false" stroked="true" strokeweight=".49pt" strokecolor="#000000">
                    <v:stroke dashstyle="solid"/>
                  </v:rect>
                  <v:line style="position:absolute" from="6168,999" to="6580,999" stroked="true" strokeweight=".49pt" strokecolor="#878889">
                    <v:stroke dashstyle="solid"/>
                  </v:line>
                  <v:line style="position:absolute" from="6168,1311" to="6580,1311" stroked="true" strokeweight=".49pt" strokecolor="#878889">
                    <v:stroke dashstyle="solid"/>
                  </v:line>
                  <v:line style="position:absolute" from="6168,1623" to="6580,1623" stroked="true" strokeweight=".49pt" strokecolor="#878889">
                    <v:stroke dashstyle="solid"/>
                  </v:line>
                  <v:rect style="position:absolute;left:5868;top:830;width:300;height:1112" filled="true" fillcolor="#ececed" stroked="false">
                    <v:fill type="solid"/>
                  </v:rect>
                  <v:rect style="position:absolute;left:5868;top:830;width:300;height:1112" filled="false" stroked="true" strokeweight=".49pt" strokecolor="#000000">
                    <v:stroke dashstyle="solid"/>
                  </v:rect>
                  <v:shape style="position:absolute;left:571;top:61;width:9422;height:1882" coordorigin="571,61" coordsize="9422,1882" path="m9993,1943l571,1943,571,61e" filled="false" stroked="true" strokeweight=".686pt" strokecolor="#000000">
                    <v:path arrowok="t"/>
                    <v:stroke dashstyle="solid"/>
                  </v:shape>
                  <v:line style="position:absolute" from="9993,61" to="9993,1943" stroked="true" strokeweight=".49pt" strokecolor="#9c9d9f">
                    <v:stroke dashstyle="solid"/>
                  </v:line>
                  <v:line style="position:absolute" from="571,61" to="9993,61" stroked="true" strokeweight=".49pt" strokecolor="#878889">
                    <v:stroke dashstyle="solid"/>
                  </v:line>
                  <v:shape style="position:absolute;left:6373;top:1941;width:2;height:24" coordorigin="6373,1941" coordsize="0,24" path="m6373,1941l6373,1965e" filled="true" fillcolor="#ffffff" stroked="false">
                    <v:path arrowok="t"/>
                    <v:fill type="solid"/>
                  </v:shape>
                  <v:line style="position:absolute" from="6373,1941" to="6373,1965" stroked="true" strokeweight=".49pt" strokecolor="#000000">
                    <v:stroke dashstyle="solid"/>
                  </v:line>
                  <v:shape style="position:absolute;left:7087;top:1941;width:2;height:24" coordorigin="7087,1941" coordsize="0,24" path="m7087,1941l7087,1965e" filled="true" fillcolor="#ffffff" stroked="false">
                    <v:path arrowok="t"/>
                    <v:fill type="solid"/>
                  </v:shape>
                  <v:line style="position:absolute" from="7087,1941" to="7087,1965" stroked="true" strokeweight=".49pt" strokecolor="#000000">
                    <v:stroke dashstyle="solid"/>
                  </v:line>
                  <v:shape style="position:absolute;left:9274;top:1941;width:2;height:24" coordorigin="9274,1941" coordsize="0,24" path="m9274,1941l9274,1965e" filled="true" fillcolor="#ffffff" stroked="false">
                    <v:path arrowok="t"/>
                    <v:fill type="solid"/>
                  </v:shape>
                  <v:line style="position:absolute" from="9274,1941" to="9274,1965" stroked="true" strokeweight=".49pt" strokecolor="#000000">
                    <v:stroke dashstyle="solid"/>
                  </v:line>
                  <v:shape style="position:absolute;left:9990;top:1941;width:2;height:24" coordorigin="9990,1941" coordsize="0,24" path="m9990,1941l9990,1965e" filled="true" fillcolor="#ffffff" stroked="false">
                    <v:path arrowok="t"/>
                    <v:fill type="solid"/>
                  </v:shape>
                  <v:line style="position:absolute" from="9990,1941" to="9990,1965" stroked="true" strokeweight=".49pt" strokecolor="#000000">
                    <v:stroke dashstyle="solid"/>
                  </v:line>
                  <v:shape style="position:absolute;left:0;top:0;width:593;height:1731" type="#_x0000_t75" stroked="false">
                    <v:imagedata r:id="rId12" o:title=""/>
                  </v:shape>
                  <v:shape style="position:absolute;left:448;top:1862;width:751;height:550" type="#_x0000_t75" stroked="false">
                    <v:imagedata r:id="rId13" o:title=""/>
                  </v:shape>
                  <v:shape style="position:absolute;left:1302;top:1941;width:596;height:467" type="#_x0000_t75" stroked="false">
                    <v:imagedata r:id="rId14" o:title=""/>
                  </v:shape>
                  <v:shape style="position:absolute;left:2018;top:1941;width:611;height:467" type="#_x0000_t75" stroked="false">
                    <v:imagedata r:id="rId15" o:title=""/>
                  </v:shape>
                  <v:shape style="position:absolute;left:2753;top:1941;width:1352;height:447" type="#_x0000_t75" stroked="false">
                    <v:imagedata r:id="rId16" o:title=""/>
                  </v:shape>
                  <v:shape style="position:absolute;left:4203;top:1941;width:618;height:332" type="#_x0000_t75" stroked="false">
                    <v:imagedata r:id="rId17" o:title=""/>
                  </v:shape>
                  <v:shape style="position:absolute;left:4919;top:1941;width:726;height:470" type="#_x0000_t75" stroked="false">
                    <v:imagedata r:id="rId18" o:title=""/>
                  </v:shape>
                  <v:shape style="position:absolute;left:5875;top:2019;width:76;height:88" coordorigin="5876,2020" coordsize="76,88" path="m5916,2020l5898,2023,5886,2033,5878,2047,5876,2064,5878,2081,5885,2095,5898,2104,5915,2108,5929,2105,5940,2099,5940,2098,5916,2098,5903,2096,5894,2088,5889,2077,5887,2063,5889,2050,5894,2040,5903,2032,5916,2029,5941,2029,5939,2027,5928,2022,5916,2020xm5951,2074l5940,2074,5939,2088,5930,2098,5940,2098,5947,2088,5951,2074xm5941,2029l5927,2029,5937,2035,5939,2047,5950,2047,5946,2035,5941,2029xe" filled="true" fillcolor="#000000" stroked="false">
                    <v:path arrowok="t"/>
                    <v:fill type="solid"/>
                  </v:shape>
                  <v:shape style="position:absolute;left:5959;top:2043;width:60;height:64" coordorigin="5960,2044" coordsize="60,64" path="m5989,2044l5977,2046,5967,2053,5962,2063,5960,2075,5962,2088,5967,2098,5977,2105,5989,2107,6002,2105,6011,2098,5979,2098,5971,2090,5971,2061,5979,2052,6011,2052,6002,2046,5989,2044xm6011,2052l6000,2052,6008,2061,6008,2090,6000,2098,6011,2098,6011,2098,6017,2088,6019,2075,6017,2063,6011,2053,6011,2052xe" filled="true" fillcolor="#000000" stroked="false">
                    <v:path arrowok="t"/>
                    <v:fill type="solid"/>
                  </v:shape>
                  <v:shape style="position:absolute;left:6027;top:2043;width:58;height:64" coordorigin="6027,2044" coordsize="58,64" path="m6059,2069l6038,2073,6027,2076,6027,2102,6037,2107,6056,2107,6063,2104,6068,2098,6044,2098,6038,2096,6038,2082,6044,2080,6057,2077,6064,2077,6068,2074,6078,2074,6078,2070,6069,2070,6059,2069xm6078,2098l6069,2098,6069,2104,6072,2107,6081,2107,6083,2107,6085,2106,6085,2098,6078,2098,6078,2098xm6078,2074l6068,2074,6068,2090,6063,2098,6068,2098,6069,2098,6078,2098,6078,2074xm6085,2098l6083,2098,6082,2098,6085,2098,6085,2098xm6078,2052l6061,2052,6069,2054,6069,2070,6078,2070,6078,2052xm6066,2044l6042,2044,6030,2049,6030,2064,6040,2064,6040,2055,6046,2052,6078,2052,6078,2046,6066,2044xe" filled="true" fillcolor="#000000" stroked="false">
                    <v:path arrowok="t"/>
                    <v:fill type="solid"/>
                  </v:shape>
                  <v:rect style="position:absolute;left:6094;top:2021;width:10;height:84" filled="true" fillcolor="#000000" stroked="false">
                    <v:fill type="solid"/>
                  </v:rect>
                  <v:shape style="position:absolute;left:5807;top:2161;width:365;height:110" type="#_x0000_t75" stroked="false">
                    <v:imagedata r:id="rId19" o:title=""/>
                  </v:shape>
                  <v:shape style="position:absolute;left:6538;top:2019;width:77;height:88" coordorigin="6538,2020" coordsize="77,88" path="m6578,2020l6561,2023,6548,2033,6541,2048,6538,2065,6541,2081,6549,2095,6561,2104,6578,2108,6588,2108,6599,2104,6603,2098,6578,2098,6566,2096,6557,2088,6551,2077,6549,2065,6551,2052,6556,2040,6565,2032,6578,2029,6605,2029,6602,2026,6591,2021,6578,2020xm6615,2095l6605,2095,6608,2106,6615,2106,6615,2095xm6615,2062l6578,2062,6578,2071,6605,2071,6606,2086,6596,2098,6603,2098,6605,2095,6615,2095,6615,2062xm6605,2029l6591,2029,6601,2035,6603,2048,6614,2048,6610,2035,6605,2029xe" filled="true" fillcolor="#000000" stroked="false">
                    <v:path arrowok="t"/>
                    <v:fill type="solid"/>
                  </v:shape>
                  <v:shape style="position:absolute;left:6626;top:2043;width:58;height:64" coordorigin="6627,2044" coordsize="58,64" path="m6658,2069l6637,2073,6627,2076,6627,2102,6636,2107,6655,2107,6663,2104,6668,2098,6643,2098,6637,2096,6637,2082,6643,2080,6656,2077,6664,2077,6668,2074,6678,2074,6678,2070,6668,2070,6658,2069xm6678,2098l6668,2098,6668,2104,6672,2107,6680,2107,6682,2107,6684,2106,6684,2098,6678,2098,6678,2098xm6678,2074l6668,2074,6668,2090,6662,2098,6668,2098,6668,2098,6678,2098,6678,2074xm6684,2098l6683,2098,6682,2098,6684,2098,6684,2098xm6678,2052l6661,2052,6668,2054,6668,2070,6678,2070,6678,2052xm6666,2044l6641,2044,6630,2049,6629,2064,6639,2064,6640,2055,6646,2052,6678,2052,6678,2046,6666,2044xe" filled="true" fillcolor="#000000" stroked="false">
                    <v:path arrowok="t"/>
                    <v:fill type="solid"/>
                  </v:shape>
                  <v:shape style="position:absolute;left:6689;top:2043;width:52;height:64" coordorigin="6689,2044" coordsize="52,64" path="m6699,2087l6689,2087,6690,2102,6701,2107,6727,2107,6741,2102,6741,2098,6707,2098,6700,2096,6699,2087xm6727,2044l6703,2044,6691,2049,6691,2072,6701,2076,6720,2080,6730,2082,6730,2097,6722,2098,6741,2098,6741,2076,6731,2073,6721,2071,6712,2068,6701,2067,6701,2054,6708,2052,6738,2052,6737,2048,6727,2044xm6738,2052l6721,2052,6728,2055,6728,2063,6738,2063,6738,2052xe" filled="true" fillcolor="#000000" stroked="false">
                    <v:path arrowok="t"/>
                    <v:fill type="solid"/>
                  </v:shape>
                  <v:shape style="position:absolute;left:6784;top:2043;width:51;height:63" coordorigin="6785,2044" coordsize="51,63" path="m6794,2045l6785,2045,6785,2106,6795,2106,6795,2060,6799,2055,6794,2055,6794,2045xm6835,2052l6820,2052,6825,2057,6825,2106,6835,2106,6835,2052xm6830,2044l6805,2044,6799,2047,6794,2055,6799,2055,6801,2052,6835,2052,6830,2044xe" filled="true" fillcolor="#000000" stroked="false">
                    <v:path arrowok="t"/>
                    <v:fill type="solid"/>
                  </v:shape>
                  <v:shape style="position:absolute;left:6846;top:2043;width:60;height:64" coordorigin="6847,2044" coordsize="60,64" path="m6876,2044l6864,2046,6854,2053,6849,2063,6847,2075,6849,2088,6854,2098,6864,2105,6876,2107,6889,2105,6898,2098,6866,2098,6857,2090,6857,2061,6866,2052,6898,2052,6889,2046,6876,2044xm6898,2052l6887,2052,6895,2061,6895,2090,6887,2098,6898,2098,6898,2098,6904,2088,6906,2075,6904,2063,6898,2053,6898,2052xe" filled="true" fillcolor="#000000" stroked="false">
                    <v:path arrowok="t"/>
                    <v:fill type="solid"/>
                  </v:shape>
                  <v:shape style="position:absolute;left:6525;top:2167;width:392;height:103" type="#_x0000_t75" stroked="false">
                    <v:imagedata r:id="rId20" o:title=""/>
                  </v:shape>
                  <v:shape style="position:absolute;left:7123;top:2022;width:610;height:370" type="#_x0000_t75" stroked="false">
                    <v:imagedata r:id="rId21" o:title=""/>
                  </v:shape>
                  <v:shape style="position:absolute;left:7820;top:1941;width:640;height:447" type="#_x0000_t75" stroked="false">
                    <v:imagedata r:id="rId22" o:title=""/>
                  </v:shape>
                  <v:shape style="position:absolute;left:8538;top:1941;width:636;height:307" type="#_x0000_t75" stroked="false">
                    <v:imagedata r:id="rId23" o:title=""/>
                  </v:shape>
                  <v:shape style="position:absolute;left:9522;top:2022;width:77;height:88" coordorigin="9522,2023" coordsize="77,88" path="m9562,2023l9545,2027,9532,2037,9525,2051,9522,2069,9525,2084,9533,2098,9545,2107,9562,2111,9572,2111,9583,2107,9587,2101,9562,2101,9550,2099,9541,2091,9535,2081,9533,2068,9535,2055,9540,2043,9549,2035,9562,2032,9589,2032,9586,2029,9575,2024,9562,2023xm9599,2098l9589,2098,9592,2109,9599,2109,9599,2098xm9599,2065l9562,2065,9562,2074,9589,2074,9590,2089,9579,2101,9587,2101,9589,2098,9599,2098,9599,2065xm9589,2032l9575,2032,9585,2038,9587,2051,9598,2051,9594,2038,9589,2032xe" filled="true" fillcolor="#000000" stroked="false">
                    <v:path arrowok="t"/>
                    <v:fill type="solid"/>
                  </v:shape>
                  <v:shape style="position:absolute;left:9610;top:2046;width:58;height:64" coordorigin="9611,2047" coordsize="58,64" path="m9642,2072l9621,2077,9611,2079,9611,2105,9620,2110,9639,2110,9647,2107,9652,2101,9627,2101,9621,2099,9621,2085,9627,2083,9640,2080,9648,2080,9652,2077,9662,2077,9662,2073,9652,2073,9642,2072xm9662,2101l9652,2101,9652,2107,9655,2110,9664,2110,9666,2110,9668,2109,9668,2101,9662,2101,9662,2101xm9662,2077l9652,2077,9652,2093,9646,2101,9652,2101,9652,2101,9662,2101,9662,2077xm9668,2101l9666,2101,9666,2101,9668,2101,9668,2101xm9662,2055l9644,2055,9652,2057,9652,2073,9662,2073,9662,2055xm9650,2047l9625,2047,9614,2052,9613,2067,9623,2067,9623,2058,9630,2055,9662,2055,9662,2049,9650,2047xe" filled="true" fillcolor="#000000" stroked="false">
                    <v:path arrowok="t"/>
                    <v:fill type="solid"/>
                  </v:shape>
                  <v:shape style="position:absolute;left:9673;top:2046;width:52;height:64" coordorigin="9673,2047" coordsize="52,64" path="m9683,2090l9673,2090,9674,2105,9685,2110,9711,2110,9725,2106,9725,2101,9691,2101,9684,2099,9683,2090xm9711,2047l9687,2047,9674,2052,9674,2076,9684,2079,9704,2083,9714,2085,9714,2100,9706,2101,9725,2101,9725,2079,9715,2076,9705,2074,9696,2072,9685,2070,9685,2057,9692,2055,9722,2055,9721,2051,9711,2047xm9722,2055l9705,2055,9711,2058,9712,2066,9722,2066,9722,2055xe" filled="true" fillcolor="#000000" stroked="false">
                    <v:path arrowok="t"/>
                    <v:fill type="solid"/>
                  </v:shape>
                  <v:shape style="position:absolute;left:9438;top:2165;width:365;height:110" type="#_x0000_t75" stroked="false">
                    <v:imagedata r:id="rId24" o:title=""/>
                  </v:shape>
                  <v:rect style="position:absolute;left:6580;top:217;width:300;height:1726" filled="true" fillcolor="#9c9d9f" stroked="false">
                    <v:fill type="solid"/>
                  </v:rect>
                  <v:rect style="position:absolute;left:6580;top:217;width:300;height:1726" filled="false" stroked="true" strokeweight=".49pt" strokecolor="#000000">
                    <v:stroke dashstyle="solid"/>
                  </v:rect>
                </v:group>
              </w:pict>
            </w:r>
            <w:r>
              <w:rPr>
                <w:sz w:val="20"/>
              </w:rPr>
            </w:r>
          </w:p>
        </w:tc>
      </w:tr>
    </w:tbl>
    <w:p>
      <w:pPr>
        <w:spacing w:line="211" w:lineRule="auto" w:before="95"/>
        <w:ind w:left="122" w:right="1117" w:firstLine="0"/>
        <w:jc w:val="both"/>
        <w:rPr>
          <w:sz w:val="18"/>
        </w:rPr>
      </w:pPr>
      <w:bookmarkStart w:name="3.3.3 Emerging technologies" w:id="29"/>
      <w:bookmarkEnd w:id="29"/>
      <w:r>
        <w:rPr/>
      </w:r>
      <w:bookmarkStart w:name="_bookmark10" w:id="30"/>
      <w:bookmarkEnd w:id="30"/>
      <w:r>
        <w:rPr/>
      </w:r>
      <w:bookmarkStart w:name="_bookmark11" w:id="31"/>
      <w:bookmarkEnd w:id="31"/>
      <w:r>
        <w:rPr/>
      </w:r>
      <w:r>
        <w:rPr>
          <w:b/>
          <w:sz w:val="18"/>
        </w:rPr>
        <w:t>Figure 3.6 </w:t>
      </w:r>
      <w:r>
        <w:rPr>
          <w:sz w:val="18"/>
        </w:rPr>
        <w:t>Thermal efficiencies of power plants with and without CO</w:t>
      </w:r>
      <w:r>
        <w:rPr>
          <w:position w:val="-5"/>
          <w:sz w:val="10"/>
        </w:rPr>
        <w:t>2 </w:t>
      </w:r>
      <w:r>
        <w:rPr>
          <w:sz w:val="18"/>
        </w:rPr>
        <w:t>capture, % LHV-basis (Source data: Davison 2005, IEA</w:t>
      </w:r>
      <w:r>
        <w:rPr>
          <w:spacing w:val="-35"/>
          <w:sz w:val="18"/>
        </w:rPr>
        <w:t> </w:t>
      </w:r>
      <w:r>
        <w:rPr>
          <w:sz w:val="18"/>
        </w:rPr>
        <w:t>GHG 2004, IEA GHG 2003; IEA GHG, 2000b; Dillon </w:t>
      </w:r>
      <w:r>
        <w:rPr>
          <w:i/>
          <w:sz w:val="18"/>
        </w:rPr>
        <w:t>et al.</w:t>
      </w:r>
      <w:r>
        <w:rPr>
          <w:sz w:val="18"/>
        </w:rPr>
        <w:t>,</w:t>
      </w:r>
      <w:r>
        <w:rPr>
          <w:spacing w:val="-13"/>
          <w:sz w:val="18"/>
        </w:rPr>
        <w:t> </w:t>
      </w:r>
      <w:r>
        <w:rPr>
          <w:sz w:val="18"/>
        </w:rPr>
        <w:t>2005).</w:t>
      </w:r>
    </w:p>
    <w:p>
      <w:pPr>
        <w:pStyle w:val="ListParagraph"/>
        <w:numPr>
          <w:ilvl w:val="0"/>
          <w:numId w:val="12"/>
        </w:numPr>
        <w:tabs>
          <w:tab w:pos="407" w:val="left" w:leader="none"/>
        </w:tabs>
        <w:spacing w:line="240" w:lineRule="auto" w:before="18" w:after="0"/>
        <w:ind w:left="406" w:right="0" w:hanging="285"/>
        <w:jc w:val="both"/>
        <w:rPr>
          <w:sz w:val="18"/>
        </w:rPr>
      </w:pPr>
      <w:r>
        <w:rPr>
          <w:sz w:val="18"/>
        </w:rPr>
        <w:t>The efficiencies are based on a standard set of plant design criteria (IEA GHG,</w:t>
      </w:r>
      <w:r>
        <w:rPr>
          <w:spacing w:val="-16"/>
          <w:sz w:val="18"/>
        </w:rPr>
        <w:t> </w:t>
      </w:r>
      <w:r>
        <w:rPr>
          <w:sz w:val="18"/>
        </w:rPr>
        <w:t>2004).</w:t>
      </w:r>
    </w:p>
    <w:p>
      <w:pPr>
        <w:pStyle w:val="ListParagraph"/>
        <w:numPr>
          <w:ilvl w:val="0"/>
          <w:numId w:val="12"/>
        </w:numPr>
        <w:tabs>
          <w:tab w:pos="407" w:val="left" w:leader="none"/>
        </w:tabs>
        <w:spacing w:line="220" w:lineRule="exact" w:before="5" w:after="0"/>
        <w:ind w:left="406" w:right="1126" w:hanging="284"/>
        <w:jc w:val="both"/>
        <w:rPr>
          <w:sz w:val="18"/>
        </w:rPr>
      </w:pPr>
      <w:r>
        <w:rPr>
          <w:sz w:val="18"/>
        </w:rPr>
        <w:t>The</w:t>
      </w:r>
      <w:r>
        <w:rPr>
          <w:spacing w:val="-6"/>
          <w:sz w:val="18"/>
        </w:rPr>
        <w:t> </w:t>
      </w:r>
      <w:r>
        <w:rPr>
          <w:sz w:val="18"/>
        </w:rPr>
        <w:t>coal</w:t>
      </w:r>
      <w:r>
        <w:rPr>
          <w:spacing w:val="-5"/>
          <w:sz w:val="18"/>
        </w:rPr>
        <w:t> </w:t>
      </w:r>
      <w:r>
        <w:rPr>
          <w:sz w:val="18"/>
        </w:rPr>
        <w:t>steam</w:t>
      </w:r>
      <w:r>
        <w:rPr>
          <w:spacing w:val="-6"/>
          <w:sz w:val="18"/>
        </w:rPr>
        <w:t> </w:t>
      </w:r>
      <w:r>
        <w:rPr>
          <w:sz w:val="18"/>
        </w:rPr>
        <w:t>cycle</w:t>
      </w:r>
      <w:r>
        <w:rPr>
          <w:spacing w:val="-5"/>
          <w:sz w:val="18"/>
        </w:rPr>
        <w:t> </w:t>
      </w:r>
      <w:r>
        <w:rPr>
          <w:sz w:val="18"/>
        </w:rPr>
        <w:t>plants,</w:t>
      </w:r>
      <w:r>
        <w:rPr>
          <w:spacing w:val="-6"/>
          <w:sz w:val="18"/>
        </w:rPr>
        <w:t> </w:t>
      </w:r>
      <w:r>
        <w:rPr>
          <w:sz w:val="18"/>
        </w:rPr>
        <w:t>including</w:t>
      </w:r>
      <w:r>
        <w:rPr>
          <w:spacing w:val="-5"/>
          <w:sz w:val="18"/>
        </w:rPr>
        <w:t> </w:t>
      </w:r>
      <w:r>
        <w:rPr>
          <w:sz w:val="18"/>
        </w:rPr>
        <w:t>the</w:t>
      </w:r>
      <w:r>
        <w:rPr>
          <w:spacing w:val="-6"/>
          <w:sz w:val="18"/>
        </w:rPr>
        <w:t> </w:t>
      </w:r>
      <w:r>
        <w:rPr>
          <w:sz w:val="18"/>
        </w:rPr>
        <w:t>post-combustion</w:t>
      </w:r>
      <w:r>
        <w:rPr>
          <w:spacing w:val="-5"/>
          <w:sz w:val="18"/>
        </w:rPr>
        <w:t> </w:t>
      </w:r>
      <w:r>
        <w:rPr>
          <w:sz w:val="18"/>
        </w:rPr>
        <w:t>capture</w:t>
      </w:r>
      <w:r>
        <w:rPr>
          <w:spacing w:val="-5"/>
          <w:sz w:val="18"/>
        </w:rPr>
        <w:t> </w:t>
      </w:r>
      <w:r>
        <w:rPr>
          <w:sz w:val="18"/>
        </w:rPr>
        <w:t>and</w:t>
      </w:r>
      <w:r>
        <w:rPr>
          <w:spacing w:val="-6"/>
          <w:sz w:val="18"/>
        </w:rPr>
        <w:t> </w:t>
      </w:r>
      <w:r>
        <w:rPr>
          <w:sz w:val="18"/>
        </w:rPr>
        <w:t>oxy-fuel</w:t>
      </w:r>
      <w:r>
        <w:rPr>
          <w:spacing w:val="-5"/>
          <w:sz w:val="18"/>
        </w:rPr>
        <w:t> </w:t>
      </w:r>
      <w:r>
        <w:rPr>
          <w:sz w:val="18"/>
        </w:rPr>
        <w:t>plants,</w:t>
      </w:r>
      <w:r>
        <w:rPr>
          <w:spacing w:val="-6"/>
          <w:sz w:val="18"/>
        </w:rPr>
        <w:t> </w:t>
      </w:r>
      <w:r>
        <w:rPr>
          <w:sz w:val="18"/>
        </w:rPr>
        <w:t>are</w:t>
      </w:r>
      <w:r>
        <w:rPr>
          <w:spacing w:val="-5"/>
          <w:sz w:val="18"/>
        </w:rPr>
        <w:t> </w:t>
      </w:r>
      <w:r>
        <w:rPr>
          <w:sz w:val="18"/>
        </w:rPr>
        <w:t>based</w:t>
      </w:r>
      <w:r>
        <w:rPr>
          <w:spacing w:val="-6"/>
          <w:sz w:val="18"/>
        </w:rPr>
        <w:t> </w:t>
      </w:r>
      <w:r>
        <w:rPr>
          <w:sz w:val="18"/>
        </w:rPr>
        <w:t>on</w:t>
      </w:r>
      <w:r>
        <w:rPr>
          <w:spacing w:val="-5"/>
          <w:sz w:val="18"/>
        </w:rPr>
        <w:t> </w:t>
      </w:r>
      <w:r>
        <w:rPr>
          <w:sz w:val="18"/>
        </w:rPr>
        <w:t>ultra-supercritical</w:t>
      </w:r>
      <w:r>
        <w:rPr>
          <w:spacing w:val="-5"/>
          <w:sz w:val="18"/>
        </w:rPr>
        <w:t> </w:t>
      </w:r>
      <w:r>
        <w:rPr>
          <w:sz w:val="18"/>
        </w:rPr>
        <w:t>steam</w:t>
      </w:r>
      <w:r>
        <w:rPr>
          <w:spacing w:val="-6"/>
          <w:sz w:val="18"/>
        </w:rPr>
        <w:t> </w:t>
      </w:r>
      <w:r>
        <w:rPr>
          <w:sz w:val="18"/>
        </w:rPr>
        <w:t>(29MPa,</w:t>
      </w:r>
      <w:r>
        <w:rPr>
          <w:spacing w:val="-5"/>
          <w:sz w:val="18"/>
        </w:rPr>
        <w:t> </w:t>
      </w:r>
      <w:r>
        <w:rPr>
          <w:sz w:val="18"/>
        </w:rPr>
        <w:t>600C superheat, 620C reheat). The IGCC and natural gas pre- and post-combustion capture plants are based on GE </w:t>
      </w:r>
      <w:r>
        <w:rPr>
          <w:spacing w:val="-5"/>
          <w:sz w:val="18"/>
        </w:rPr>
        <w:t>9FA </w:t>
      </w:r>
      <w:r>
        <w:rPr>
          <w:sz w:val="18"/>
        </w:rPr>
        <w:t>gas turbine combined cycles. The natural gas oxy-fuel plant is based on a CO</w:t>
      </w:r>
      <w:r>
        <w:rPr>
          <w:position w:val="-5"/>
          <w:sz w:val="10"/>
        </w:rPr>
        <w:t>2 </w:t>
      </w:r>
      <w:r>
        <w:rPr>
          <w:sz w:val="18"/>
        </w:rPr>
        <w:t>recycle gas turbine, as shown in </w:t>
      </w:r>
      <w:hyperlink w:history="true" w:anchor="_bookmark14">
        <w:r>
          <w:rPr>
            <w:sz w:val="18"/>
          </w:rPr>
          <w:t>Figure 3.10, </w:t>
        </w:r>
      </w:hyperlink>
      <w:r>
        <w:rPr>
          <w:sz w:val="18"/>
        </w:rPr>
        <w:t>with different operating pressures and temperatures but similar mechanical design criteria to that of the</w:t>
      </w:r>
      <w:r>
        <w:rPr>
          <w:spacing w:val="-2"/>
          <w:sz w:val="18"/>
        </w:rPr>
        <w:t> </w:t>
      </w:r>
      <w:r>
        <w:rPr>
          <w:spacing w:val="-5"/>
          <w:sz w:val="18"/>
        </w:rPr>
        <w:t>9FA.</w:t>
      </w:r>
    </w:p>
    <w:p>
      <w:pPr>
        <w:pStyle w:val="ListParagraph"/>
        <w:numPr>
          <w:ilvl w:val="0"/>
          <w:numId w:val="12"/>
        </w:numPr>
        <w:tabs>
          <w:tab w:pos="406" w:val="left" w:leader="none"/>
        </w:tabs>
        <w:spacing w:line="254" w:lineRule="auto" w:before="8" w:after="0"/>
        <w:ind w:left="406" w:right="1126" w:hanging="285"/>
        <w:jc w:val="both"/>
        <w:rPr>
          <w:sz w:val="18"/>
        </w:rPr>
      </w:pPr>
      <w:r>
        <w:rPr/>
        <w:pict>
          <v:shape style="position:absolute;margin-left:251.861404pt;margin-top:18.859354pt;width:2.65pt;height:5.25pt;mso-position-horizontal-relative:page;mso-position-vertical-relative:paragraph;z-index:-272450560"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sz w:val="18"/>
        </w:rPr>
        <w:t>Data</w:t>
      </w:r>
      <w:r>
        <w:rPr>
          <w:spacing w:val="-4"/>
          <w:sz w:val="18"/>
        </w:rPr>
        <w:t> </w:t>
      </w:r>
      <w:r>
        <w:rPr>
          <w:sz w:val="18"/>
        </w:rPr>
        <w:t>are</w:t>
      </w:r>
      <w:r>
        <w:rPr>
          <w:spacing w:val="-3"/>
          <w:sz w:val="18"/>
        </w:rPr>
        <w:t> </w:t>
      </w:r>
      <w:r>
        <w:rPr>
          <w:sz w:val="18"/>
        </w:rPr>
        <w:t>presented</w:t>
      </w:r>
      <w:r>
        <w:rPr>
          <w:spacing w:val="-3"/>
          <w:sz w:val="18"/>
        </w:rPr>
        <w:t> </w:t>
      </w:r>
      <w:r>
        <w:rPr>
          <w:sz w:val="18"/>
        </w:rPr>
        <w:t>for</w:t>
      </w:r>
      <w:r>
        <w:rPr>
          <w:spacing w:val="-3"/>
          <w:sz w:val="18"/>
        </w:rPr>
        <w:t> </w:t>
      </w:r>
      <w:r>
        <w:rPr>
          <w:sz w:val="18"/>
        </w:rPr>
        <w:t>two</w:t>
      </w:r>
      <w:r>
        <w:rPr>
          <w:spacing w:val="-3"/>
          <w:sz w:val="18"/>
        </w:rPr>
        <w:t> </w:t>
      </w:r>
      <w:r>
        <w:rPr>
          <w:sz w:val="18"/>
        </w:rPr>
        <w:t>types</w:t>
      </w:r>
      <w:r>
        <w:rPr>
          <w:spacing w:val="-3"/>
          <w:sz w:val="18"/>
        </w:rPr>
        <w:t> </w:t>
      </w:r>
      <w:r>
        <w:rPr>
          <w:sz w:val="18"/>
        </w:rPr>
        <w:t>of</w:t>
      </w:r>
      <w:r>
        <w:rPr>
          <w:spacing w:val="-3"/>
          <w:sz w:val="18"/>
        </w:rPr>
        <w:t> </w:t>
      </w:r>
      <w:r>
        <w:rPr>
          <w:sz w:val="18"/>
        </w:rPr>
        <w:t>post-combustion</w:t>
      </w:r>
      <w:r>
        <w:rPr>
          <w:spacing w:val="-3"/>
          <w:sz w:val="18"/>
        </w:rPr>
        <w:t> </w:t>
      </w:r>
      <w:r>
        <w:rPr>
          <w:sz w:val="18"/>
        </w:rPr>
        <w:t>capture</w:t>
      </w:r>
      <w:r>
        <w:rPr>
          <w:spacing w:val="-3"/>
          <w:sz w:val="18"/>
        </w:rPr>
        <w:t> </w:t>
      </w:r>
      <w:r>
        <w:rPr>
          <w:sz w:val="18"/>
        </w:rPr>
        <w:t>solvent:</w:t>
      </w:r>
      <w:r>
        <w:rPr>
          <w:spacing w:val="-3"/>
          <w:sz w:val="18"/>
        </w:rPr>
        <w:t> </w:t>
      </w:r>
      <w:r>
        <w:rPr>
          <w:sz w:val="18"/>
        </w:rPr>
        <w:t>MEA</w:t>
      </w:r>
      <w:r>
        <w:rPr>
          <w:spacing w:val="-13"/>
          <w:sz w:val="18"/>
        </w:rPr>
        <w:t> </w:t>
      </w:r>
      <w:r>
        <w:rPr>
          <w:sz w:val="18"/>
        </w:rPr>
        <w:t>(Fluor</w:t>
      </w:r>
      <w:r>
        <w:rPr>
          <w:spacing w:val="-3"/>
          <w:sz w:val="18"/>
        </w:rPr>
        <w:t> </w:t>
      </w:r>
      <w:r>
        <w:rPr>
          <w:sz w:val="18"/>
        </w:rPr>
        <w:t>plant</w:t>
      </w:r>
      <w:r>
        <w:rPr>
          <w:spacing w:val="-3"/>
          <w:sz w:val="18"/>
        </w:rPr>
        <w:t> </w:t>
      </w:r>
      <w:r>
        <w:rPr>
          <w:sz w:val="18"/>
        </w:rPr>
        <w:t>designs)</w:t>
      </w:r>
      <w:r>
        <w:rPr>
          <w:spacing w:val="-3"/>
          <w:sz w:val="18"/>
        </w:rPr>
        <w:t> </w:t>
      </w:r>
      <w:r>
        <w:rPr>
          <w:sz w:val="18"/>
        </w:rPr>
        <w:t>and</w:t>
      </w:r>
      <w:r>
        <w:rPr>
          <w:spacing w:val="-3"/>
          <w:sz w:val="18"/>
        </w:rPr>
        <w:t> </w:t>
      </w:r>
      <w:r>
        <w:rPr>
          <w:sz w:val="18"/>
        </w:rPr>
        <w:t>KS-1</w:t>
      </w:r>
      <w:r>
        <w:rPr>
          <w:spacing w:val="-3"/>
          <w:sz w:val="18"/>
        </w:rPr>
        <w:t> </w:t>
      </w:r>
      <w:r>
        <w:rPr>
          <w:sz w:val="18"/>
        </w:rPr>
        <w:t>(MHI</w:t>
      </w:r>
      <w:r>
        <w:rPr>
          <w:spacing w:val="-3"/>
          <w:sz w:val="18"/>
        </w:rPr>
        <w:t> </w:t>
      </w:r>
      <w:r>
        <w:rPr>
          <w:sz w:val="18"/>
        </w:rPr>
        <w:t>plant</w:t>
      </w:r>
      <w:r>
        <w:rPr>
          <w:spacing w:val="-3"/>
          <w:sz w:val="18"/>
        </w:rPr>
        <w:t> </w:t>
      </w:r>
      <w:r>
        <w:rPr>
          <w:sz w:val="18"/>
        </w:rPr>
        <w:t>designs).</w:t>
      </w:r>
      <w:r>
        <w:rPr>
          <w:spacing w:val="-6"/>
          <w:sz w:val="18"/>
        </w:rPr>
        <w:t> </w:t>
      </w:r>
      <w:r>
        <w:rPr>
          <w:sz w:val="18"/>
        </w:rPr>
        <w:t>The</w:t>
      </w:r>
      <w:r>
        <w:rPr>
          <w:spacing w:val="-3"/>
          <w:sz w:val="18"/>
        </w:rPr>
        <w:t> </w:t>
      </w:r>
      <w:r>
        <w:rPr>
          <w:sz w:val="18"/>
        </w:rPr>
        <w:t>solvent desorption heat consumptions are 3.2 and 2.7 MJ/kgCO captured respectively for the coal plants and 3.7 and 2.7 MJ kg</w:t>
      </w:r>
      <w:r>
        <w:rPr>
          <w:position w:val="6"/>
          <w:sz w:val="10"/>
        </w:rPr>
        <w:t>−1 </w:t>
      </w:r>
      <w:r>
        <w:rPr>
          <w:sz w:val="18"/>
        </w:rPr>
        <w:t>for the natural gas plants.</w:t>
      </w:r>
    </w:p>
    <w:p>
      <w:pPr>
        <w:pStyle w:val="ListParagraph"/>
        <w:numPr>
          <w:ilvl w:val="0"/>
          <w:numId w:val="12"/>
        </w:numPr>
        <w:tabs>
          <w:tab w:pos="406" w:val="left" w:leader="none"/>
        </w:tabs>
        <w:spacing w:line="240" w:lineRule="auto" w:before="2" w:after="0"/>
        <w:ind w:left="406" w:right="0" w:hanging="284"/>
        <w:jc w:val="both"/>
        <w:rPr>
          <w:sz w:val="18"/>
        </w:rPr>
      </w:pPr>
      <w:r>
        <w:rPr>
          <w:sz w:val="18"/>
        </w:rPr>
        <w:t>Data</w:t>
      </w:r>
      <w:r>
        <w:rPr>
          <w:spacing w:val="-4"/>
          <w:sz w:val="18"/>
        </w:rPr>
        <w:t> </w:t>
      </w:r>
      <w:r>
        <w:rPr>
          <w:sz w:val="18"/>
        </w:rPr>
        <w:t>are</w:t>
      </w:r>
      <w:r>
        <w:rPr>
          <w:spacing w:val="-5"/>
          <w:sz w:val="18"/>
        </w:rPr>
        <w:t> </w:t>
      </w:r>
      <w:r>
        <w:rPr>
          <w:sz w:val="18"/>
        </w:rPr>
        <w:t>presented</w:t>
      </w:r>
      <w:r>
        <w:rPr>
          <w:spacing w:val="-3"/>
          <w:sz w:val="18"/>
        </w:rPr>
        <w:t> </w:t>
      </w:r>
      <w:r>
        <w:rPr>
          <w:sz w:val="18"/>
        </w:rPr>
        <w:t>for</w:t>
      </w:r>
      <w:r>
        <w:rPr>
          <w:spacing w:val="-5"/>
          <w:sz w:val="18"/>
        </w:rPr>
        <w:t> </w:t>
      </w:r>
      <w:r>
        <w:rPr>
          <w:sz w:val="18"/>
        </w:rPr>
        <w:t>IGCC</w:t>
      </w:r>
      <w:r>
        <w:rPr>
          <w:spacing w:val="-5"/>
          <w:sz w:val="18"/>
        </w:rPr>
        <w:t> </w:t>
      </w:r>
      <w:r>
        <w:rPr>
          <w:sz w:val="18"/>
        </w:rPr>
        <w:t>plants</w:t>
      </w:r>
      <w:r>
        <w:rPr>
          <w:spacing w:val="-3"/>
          <w:sz w:val="18"/>
        </w:rPr>
        <w:t> </w:t>
      </w:r>
      <w:r>
        <w:rPr>
          <w:sz w:val="18"/>
        </w:rPr>
        <w:t>based</w:t>
      </w:r>
      <w:r>
        <w:rPr>
          <w:spacing w:val="-5"/>
          <w:sz w:val="18"/>
        </w:rPr>
        <w:t> </w:t>
      </w:r>
      <w:r>
        <w:rPr>
          <w:sz w:val="18"/>
        </w:rPr>
        <w:t>on</w:t>
      </w:r>
      <w:r>
        <w:rPr>
          <w:spacing w:val="-4"/>
          <w:sz w:val="18"/>
        </w:rPr>
        <w:t> </w:t>
      </w:r>
      <w:r>
        <w:rPr>
          <w:sz w:val="18"/>
        </w:rPr>
        <w:t>two</w:t>
      </w:r>
      <w:r>
        <w:rPr>
          <w:spacing w:val="-5"/>
          <w:sz w:val="18"/>
        </w:rPr>
        <w:t> </w:t>
      </w:r>
      <w:r>
        <w:rPr>
          <w:sz w:val="18"/>
        </w:rPr>
        <w:t>types</w:t>
      </w:r>
      <w:r>
        <w:rPr>
          <w:spacing w:val="-5"/>
          <w:sz w:val="18"/>
        </w:rPr>
        <w:t> </w:t>
      </w:r>
      <w:r>
        <w:rPr>
          <w:sz w:val="18"/>
        </w:rPr>
        <w:t>of</w:t>
      </w:r>
      <w:r>
        <w:rPr>
          <w:spacing w:val="-4"/>
          <w:sz w:val="18"/>
        </w:rPr>
        <w:t> </w:t>
      </w:r>
      <w:r>
        <w:rPr>
          <w:sz w:val="18"/>
        </w:rPr>
        <w:t>gasifier:</w:t>
      </w:r>
      <w:r>
        <w:rPr>
          <w:spacing w:val="-4"/>
          <w:sz w:val="18"/>
        </w:rPr>
        <w:t> </w:t>
      </w:r>
      <w:r>
        <w:rPr>
          <w:sz w:val="18"/>
        </w:rPr>
        <w:t>the</w:t>
      </w:r>
      <w:r>
        <w:rPr>
          <w:spacing w:val="-4"/>
          <w:sz w:val="18"/>
        </w:rPr>
        <w:t> </w:t>
      </w:r>
      <w:r>
        <w:rPr>
          <w:sz w:val="18"/>
        </w:rPr>
        <w:t>Shell</w:t>
      </w:r>
      <w:r>
        <w:rPr>
          <w:spacing w:val="-4"/>
          <w:sz w:val="18"/>
        </w:rPr>
        <w:t> </w:t>
      </w:r>
      <w:r>
        <w:rPr>
          <w:sz w:val="18"/>
        </w:rPr>
        <w:t>dry</w:t>
      </w:r>
      <w:r>
        <w:rPr>
          <w:spacing w:val="-5"/>
          <w:sz w:val="18"/>
        </w:rPr>
        <w:t> </w:t>
      </w:r>
      <w:r>
        <w:rPr>
          <w:sz w:val="18"/>
        </w:rPr>
        <w:t>feed/heat</w:t>
      </w:r>
      <w:r>
        <w:rPr>
          <w:spacing w:val="-4"/>
          <w:sz w:val="18"/>
        </w:rPr>
        <w:t> </w:t>
      </w:r>
      <w:r>
        <w:rPr>
          <w:sz w:val="18"/>
        </w:rPr>
        <w:t>recovery</w:t>
      </w:r>
      <w:r>
        <w:rPr>
          <w:spacing w:val="-4"/>
          <w:sz w:val="18"/>
        </w:rPr>
        <w:t> </w:t>
      </w:r>
      <w:r>
        <w:rPr>
          <w:sz w:val="18"/>
        </w:rPr>
        <w:t>boiler</w:t>
      </w:r>
      <w:r>
        <w:rPr>
          <w:spacing w:val="-4"/>
          <w:sz w:val="18"/>
        </w:rPr>
        <w:t> </w:t>
      </w:r>
      <w:r>
        <w:rPr>
          <w:sz w:val="18"/>
        </w:rPr>
        <w:t>type</w:t>
      </w:r>
      <w:r>
        <w:rPr>
          <w:spacing w:val="-5"/>
          <w:sz w:val="18"/>
        </w:rPr>
        <w:t> </w:t>
      </w:r>
      <w:r>
        <w:rPr>
          <w:sz w:val="18"/>
        </w:rPr>
        <w:t>and</w:t>
      </w:r>
      <w:r>
        <w:rPr>
          <w:spacing w:val="-5"/>
          <w:sz w:val="18"/>
        </w:rPr>
        <w:t> </w:t>
      </w:r>
      <w:r>
        <w:rPr>
          <w:sz w:val="18"/>
        </w:rPr>
        <w:t>the</w:t>
      </w:r>
      <w:r>
        <w:rPr>
          <w:spacing w:val="-4"/>
          <w:sz w:val="18"/>
        </w:rPr>
        <w:t> </w:t>
      </w:r>
      <w:r>
        <w:rPr>
          <w:sz w:val="18"/>
        </w:rPr>
        <w:t>GE</w:t>
      </w:r>
      <w:r>
        <w:rPr>
          <w:spacing w:val="-5"/>
          <w:sz w:val="18"/>
        </w:rPr>
        <w:t> </w:t>
      </w:r>
      <w:r>
        <w:rPr>
          <w:sz w:val="18"/>
        </w:rPr>
        <w:t>(formerly</w:t>
      </w:r>
      <w:r>
        <w:rPr>
          <w:spacing w:val="-7"/>
          <w:sz w:val="18"/>
        </w:rPr>
        <w:t> </w:t>
      </w:r>
      <w:r>
        <w:rPr>
          <w:sz w:val="18"/>
        </w:rPr>
        <w:t>Texaco)</w:t>
      </w:r>
    </w:p>
    <w:p>
      <w:pPr>
        <w:spacing w:before="13"/>
        <w:ind w:left="406" w:right="0" w:firstLine="0"/>
        <w:jc w:val="both"/>
        <w:rPr>
          <w:sz w:val="18"/>
        </w:rPr>
      </w:pPr>
      <w:r>
        <w:rPr>
          <w:sz w:val="18"/>
        </w:rPr>
        <w:t>slurry feed water quench type.</w:t>
      </w:r>
    </w:p>
    <w:p>
      <w:pPr>
        <w:pStyle w:val="ListParagraph"/>
        <w:numPr>
          <w:ilvl w:val="0"/>
          <w:numId w:val="12"/>
        </w:numPr>
        <w:tabs>
          <w:tab w:pos="406" w:val="left" w:leader="none"/>
        </w:tabs>
        <w:spacing w:line="240" w:lineRule="auto" w:before="13" w:after="0"/>
        <w:ind w:left="406" w:right="0" w:hanging="285"/>
        <w:jc w:val="both"/>
        <w:rPr>
          <w:sz w:val="18"/>
        </w:rPr>
      </w:pPr>
      <w:r>
        <w:rPr>
          <w:sz w:val="18"/>
        </w:rPr>
        <w:t>The natural gas pre-combustion capture plant is based on partial oxidation using</w:t>
      </w:r>
      <w:r>
        <w:rPr>
          <w:spacing w:val="-1"/>
          <w:sz w:val="18"/>
        </w:rPr>
        <w:t> </w:t>
      </w:r>
      <w:r>
        <w:rPr>
          <w:sz w:val="18"/>
        </w:rPr>
        <w:t>oxygen.</w:t>
      </w:r>
    </w:p>
    <w:p>
      <w:pPr>
        <w:pStyle w:val="ListParagraph"/>
        <w:numPr>
          <w:ilvl w:val="0"/>
          <w:numId w:val="12"/>
        </w:numPr>
        <w:tabs>
          <w:tab w:pos="406" w:val="left" w:leader="none"/>
        </w:tabs>
        <w:spacing w:line="220" w:lineRule="exact" w:before="5" w:after="0"/>
        <w:ind w:left="406" w:right="1125" w:hanging="285"/>
        <w:jc w:val="both"/>
        <w:rPr>
          <w:sz w:val="18"/>
        </w:rPr>
      </w:pPr>
      <w:r>
        <w:rPr>
          <w:sz w:val="18"/>
        </w:rPr>
        <w:t>The oxy-fuel plants include cryogenic removal of some of the impurities from the CO</w:t>
      </w:r>
      <w:r>
        <w:rPr>
          <w:position w:val="-5"/>
          <w:sz w:val="10"/>
        </w:rPr>
        <w:t>2 </w:t>
      </w:r>
      <w:r>
        <w:rPr>
          <w:sz w:val="18"/>
        </w:rPr>
        <w:t>during compression. Electricity consumption for oxygen production by cryogenic distillation of air is 200 kWh/ tO</w:t>
      </w:r>
      <w:r>
        <w:rPr>
          <w:position w:val="-5"/>
          <w:sz w:val="10"/>
        </w:rPr>
        <w:t>2 </w:t>
      </w:r>
      <w:r>
        <w:rPr>
          <w:sz w:val="18"/>
        </w:rPr>
        <w:t>at atmospheric pressure for the coal plant and 320 kWh/ tO</w:t>
      </w:r>
      <w:r>
        <w:rPr>
          <w:position w:val="-5"/>
          <w:sz w:val="10"/>
        </w:rPr>
        <w:t>2 </w:t>
      </w:r>
      <w:r>
        <w:rPr>
          <w:sz w:val="18"/>
        </w:rPr>
        <w:t>at 40 bar for the</w:t>
      </w:r>
      <w:r>
        <w:rPr>
          <w:spacing w:val="-10"/>
          <w:sz w:val="18"/>
        </w:rPr>
        <w:t> </w:t>
      </w:r>
      <w:r>
        <w:rPr>
          <w:sz w:val="18"/>
        </w:rPr>
        <w:t>natural</w:t>
      </w:r>
      <w:r>
        <w:rPr>
          <w:spacing w:val="-9"/>
          <w:sz w:val="18"/>
        </w:rPr>
        <w:t> </w:t>
      </w:r>
      <w:r>
        <w:rPr>
          <w:sz w:val="18"/>
        </w:rPr>
        <w:t>gas</w:t>
      </w:r>
      <w:r>
        <w:rPr>
          <w:spacing w:val="-10"/>
          <w:sz w:val="18"/>
        </w:rPr>
        <w:t> </w:t>
      </w:r>
      <w:r>
        <w:rPr>
          <w:sz w:val="18"/>
        </w:rPr>
        <w:t>plant.</w:t>
      </w:r>
      <w:r>
        <w:rPr>
          <w:spacing w:val="-9"/>
          <w:sz w:val="18"/>
        </w:rPr>
        <w:t> </w:t>
      </w:r>
      <w:r>
        <w:rPr>
          <w:sz w:val="18"/>
        </w:rPr>
        <w:t>Oxygen</w:t>
      </w:r>
      <w:r>
        <w:rPr>
          <w:spacing w:val="-9"/>
          <w:sz w:val="18"/>
        </w:rPr>
        <w:t> </w:t>
      </w:r>
      <w:r>
        <w:rPr>
          <w:sz w:val="18"/>
        </w:rPr>
        <w:t>production</w:t>
      </w:r>
      <w:r>
        <w:rPr>
          <w:spacing w:val="-10"/>
          <w:sz w:val="18"/>
        </w:rPr>
        <w:t> </w:t>
      </w:r>
      <w:r>
        <w:rPr>
          <w:sz w:val="18"/>
        </w:rPr>
        <w:t>in</w:t>
      </w:r>
      <w:r>
        <w:rPr>
          <w:spacing w:val="-9"/>
          <w:sz w:val="18"/>
        </w:rPr>
        <w:t> </w:t>
      </w:r>
      <w:r>
        <w:rPr>
          <w:sz w:val="18"/>
        </w:rPr>
        <w:t>the</w:t>
      </w:r>
      <w:r>
        <w:rPr>
          <w:spacing w:val="-9"/>
          <w:sz w:val="18"/>
        </w:rPr>
        <w:t> </w:t>
      </w:r>
      <w:r>
        <w:rPr>
          <w:sz w:val="18"/>
        </w:rPr>
        <w:t>IGCC</w:t>
      </w:r>
      <w:r>
        <w:rPr>
          <w:spacing w:val="-10"/>
          <w:sz w:val="18"/>
        </w:rPr>
        <w:t> </w:t>
      </w:r>
      <w:r>
        <w:rPr>
          <w:sz w:val="18"/>
        </w:rPr>
        <w:t>and</w:t>
      </w:r>
      <w:r>
        <w:rPr>
          <w:spacing w:val="-9"/>
          <w:sz w:val="18"/>
        </w:rPr>
        <w:t> </w:t>
      </w:r>
      <w:r>
        <w:rPr>
          <w:sz w:val="18"/>
        </w:rPr>
        <w:t>natural</w:t>
      </w:r>
      <w:r>
        <w:rPr>
          <w:spacing w:val="-10"/>
          <w:sz w:val="18"/>
        </w:rPr>
        <w:t> </w:t>
      </w:r>
      <w:r>
        <w:rPr>
          <w:sz w:val="18"/>
        </w:rPr>
        <w:t>gas</w:t>
      </w:r>
      <w:r>
        <w:rPr>
          <w:spacing w:val="-9"/>
          <w:sz w:val="18"/>
        </w:rPr>
        <w:t> </w:t>
      </w:r>
      <w:r>
        <w:rPr>
          <w:sz w:val="18"/>
        </w:rPr>
        <w:t>pre-combustion</w:t>
      </w:r>
      <w:r>
        <w:rPr>
          <w:spacing w:val="-9"/>
          <w:sz w:val="18"/>
        </w:rPr>
        <w:t> </w:t>
      </w:r>
      <w:r>
        <w:rPr>
          <w:sz w:val="18"/>
        </w:rPr>
        <w:t>capture</w:t>
      </w:r>
      <w:r>
        <w:rPr>
          <w:spacing w:val="-10"/>
          <w:sz w:val="18"/>
        </w:rPr>
        <w:t> </w:t>
      </w:r>
      <w:r>
        <w:rPr>
          <w:sz w:val="18"/>
        </w:rPr>
        <w:t>plants</w:t>
      </w:r>
      <w:r>
        <w:rPr>
          <w:spacing w:val="-9"/>
          <w:sz w:val="18"/>
        </w:rPr>
        <w:t> </w:t>
      </w:r>
      <w:r>
        <w:rPr>
          <w:sz w:val="18"/>
        </w:rPr>
        <w:t>is</w:t>
      </w:r>
      <w:r>
        <w:rPr>
          <w:spacing w:val="-9"/>
          <w:sz w:val="18"/>
        </w:rPr>
        <w:t> </w:t>
      </w:r>
      <w:r>
        <w:rPr>
          <w:sz w:val="18"/>
        </w:rPr>
        <w:t>partially</w:t>
      </w:r>
      <w:r>
        <w:rPr>
          <w:spacing w:val="-10"/>
          <w:sz w:val="18"/>
        </w:rPr>
        <w:t> </w:t>
      </w:r>
      <w:r>
        <w:rPr>
          <w:sz w:val="18"/>
        </w:rPr>
        <w:t>integrated</w:t>
      </w:r>
      <w:r>
        <w:rPr>
          <w:spacing w:val="-9"/>
          <w:sz w:val="18"/>
        </w:rPr>
        <w:t> </w:t>
      </w:r>
      <w:r>
        <w:rPr>
          <w:sz w:val="18"/>
        </w:rPr>
        <w:t>with</w:t>
      </w:r>
      <w:r>
        <w:rPr>
          <w:spacing w:val="-10"/>
          <w:sz w:val="18"/>
        </w:rPr>
        <w:t> </w:t>
      </w:r>
      <w:r>
        <w:rPr>
          <w:sz w:val="18"/>
        </w:rPr>
        <w:t>the</w:t>
      </w:r>
      <w:r>
        <w:rPr>
          <w:spacing w:val="-9"/>
          <w:sz w:val="18"/>
        </w:rPr>
        <w:t> </w:t>
      </w:r>
      <w:r>
        <w:rPr>
          <w:sz w:val="18"/>
        </w:rPr>
        <w:t>gas</w:t>
      </w:r>
      <w:r>
        <w:rPr>
          <w:spacing w:val="-9"/>
          <w:sz w:val="18"/>
        </w:rPr>
        <w:t> </w:t>
      </w:r>
      <w:r>
        <w:rPr>
          <w:sz w:val="18"/>
        </w:rPr>
        <w:t>turbine compressor, so comparable data cannot be provided for these</w:t>
      </w:r>
      <w:r>
        <w:rPr>
          <w:spacing w:val="-2"/>
          <w:sz w:val="18"/>
        </w:rPr>
        <w:t> </w:t>
      </w:r>
      <w:r>
        <w:rPr>
          <w:sz w:val="18"/>
        </w:rPr>
        <w:t>plants.</w:t>
      </w:r>
    </w:p>
    <w:p>
      <w:pPr>
        <w:pStyle w:val="ListParagraph"/>
        <w:numPr>
          <w:ilvl w:val="0"/>
          <w:numId w:val="12"/>
        </w:numPr>
        <w:tabs>
          <w:tab w:pos="406" w:val="left" w:leader="none"/>
        </w:tabs>
        <w:spacing w:line="235" w:lineRule="exact" w:before="8" w:after="0"/>
        <w:ind w:left="405" w:right="0" w:hanging="285"/>
        <w:jc w:val="both"/>
        <w:rPr>
          <w:sz w:val="18"/>
        </w:rPr>
      </w:pPr>
      <w:r>
        <w:rPr>
          <w:sz w:val="18"/>
        </w:rPr>
        <w:t>The</w:t>
      </w:r>
      <w:r>
        <w:rPr>
          <w:spacing w:val="-4"/>
          <w:sz w:val="18"/>
        </w:rPr>
        <w:t> </w:t>
      </w:r>
      <w:r>
        <w:rPr>
          <w:sz w:val="18"/>
        </w:rPr>
        <w:t>percentage</w:t>
      </w:r>
      <w:r>
        <w:rPr>
          <w:spacing w:val="-3"/>
          <w:sz w:val="18"/>
        </w:rPr>
        <w:t> </w:t>
      </w:r>
      <w:r>
        <w:rPr>
          <w:sz w:val="18"/>
        </w:rPr>
        <w:t>CO</w:t>
      </w:r>
      <w:r>
        <w:rPr>
          <w:position w:val="-5"/>
          <w:sz w:val="10"/>
        </w:rPr>
        <w:t>2</w:t>
      </w:r>
      <w:r>
        <w:rPr>
          <w:spacing w:val="17"/>
          <w:position w:val="-5"/>
          <w:sz w:val="10"/>
        </w:rPr>
        <w:t> </w:t>
      </w:r>
      <w:r>
        <w:rPr>
          <w:sz w:val="18"/>
        </w:rPr>
        <w:t>capture</w:t>
      </w:r>
      <w:r>
        <w:rPr>
          <w:spacing w:val="-3"/>
          <w:sz w:val="18"/>
        </w:rPr>
        <w:t> </w:t>
      </w:r>
      <w:r>
        <w:rPr>
          <w:sz w:val="18"/>
        </w:rPr>
        <w:t>is</w:t>
      </w:r>
      <w:r>
        <w:rPr>
          <w:spacing w:val="-3"/>
          <w:sz w:val="18"/>
        </w:rPr>
        <w:t> </w:t>
      </w:r>
      <w:r>
        <w:rPr>
          <w:sz w:val="18"/>
        </w:rPr>
        <w:t>85−90%</w:t>
      </w:r>
      <w:r>
        <w:rPr>
          <w:spacing w:val="-3"/>
          <w:sz w:val="18"/>
        </w:rPr>
        <w:t> </w:t>
      </w:r>
      <w:r>
        <w:rPr>
          <w:sz w:val="18"/>
        </w:rPr>
        <w:t>for</w:t>
      </w:r>
      <w:r>
        <w:rPr>
          <w:spacing w:val="-3"/>
          <w:sz w:val="18"/>
        </w:rPr>
        <w:t> </w:t>
      </w:r>
      <w:r>
        <w:rPr>
          <w:sz w:val="18"/>
        </w:rPr>
        <w:t>all</w:t>
      </w:r>
      <w:r>
        <w:rPr>
          <w:spacing w:val="-3"/>
          <w:sz w:val="18"/>
        </w:rPr>
        <w:t> </w:t>
      </w:r>
      <w:r>
        <w:rPr>
          <w:sz w:val="18"/>
        </w:rPr>
        <w:t>plants</w:t>
      </w:r>
      <w:r>
        <w:rPr>
          <w:spacing w:val="-3"/>
          <w:sz w:val="18"/>
        </w:rPr>
        <w:t> </w:t>
      </w:r>
      <w:r>
        <w:rPr>
          <w:sz w:val="18"/>
        </w:rPr>
        <w:t>except</w:t>
      </w:r>
      <w:r>
        <w:rPr>
          <w:spacing w:val="-3"/>
          <w:sz w:val="18"/>
        </w:rPr>
        <w:t> </w:t>
      </w:r>
      <w:r>
        <w:rPr>
          <w:sz w:val="18"/>
        </w:rPr>
        <w:t>the</w:t>
      </w:r>
      <w:r>
        <w:rPr>
          <w:spacing w:val="-3"/>
          <w:sz w:val="18"/>
        </w:rPr>
        <w:t> </w:t>
      </w:r>
      <w:r>
        <w:rPr>
          <w:sz w:val="18"/>
        </w:rPr>
        <w:t>natural</w:t>
      </w:r>
      <w:r>
        <w:rPr>
          <w:spacing w:val="-3"/>
          <w:sz w:val="18"/>
        </w:rPr>
        <w:t> </w:t>
      </w:r>
      <w:r>
        <w:rPr>
          <w:sz w:val="18"/>
        </w:rPr>
        <w:t>gas</w:t>
      </w:r>
      <w:r>
        <w:rPr>
          <w:spacing w:val="-3"/>
          <w:sz w:val="18"/>
        </w:rPr>
        <w:t> </w:t>
      </w:r>
      <w:r>
        <w:rPr>
          <w:sz w:val="18"/>
        </w:rPr>
        <w:t>oxy-fuel</w:t>
      </w:r>
      <w:r>
        <w:rPr>
          <w:spacing w:val="-3"/>
          <w:sz w:val="18"/>
        </w:rPr>
        <w:t> </w:t>
      </w:r>
      <w:r>
        <w:rPr>
          <w:sz w:val="18"/>
        </w:rPr>
        <w:t>plant</w:t>
      </w:r>
      <w:r>
        <w:rPr>
          <w:spacing w:val="-3"/>
          <w:sz w:val="18"/>
        </w:rPr>
        <w:t> </w:t>
      </w:r>
      <w:r>
        <w:rPr>
          <w:sz w:val="18"/>
        </w:rPr>
        <w:t>which</w:t>
      </w:r>
      <w:r>
        <w:rPr>
          <w:spacing w:val="-3"/>
          <w:sz w:val="18"/>
        </w:rPr>
        <w:t> </w:t>
      </w:r>
      <w:r>
        <w:rPr>
          <w:sz w:val="18"/>
        </w:rPr>
        <w:t>has</w:t>
      </w:r>
      <w:r>
        <w:rPr>
          <w:spacing w:val="-3"/>
          <w:sz w:val="18"/>
        </w:rPr>
        <w:t> </w:t>
      </w:r>
      <w:r>
        <w:rPr>
          <w:sz w:val="18"/>
        </w:rPr>
        <w:t>an</w:t>
      </w:r>
      <w:r>
        <w:rPr>
          <w:spacing w:val="-3"/>
          <w:sz w:val="18"/>
        </w:rPr>
        <w:t> </w:t>
      </w:r>
      <w:r>
        <w:rPr>
          <w:sz w:val="18"/>
        </w:rPr>
        <w:t>inherently</w:t>
      </w:r>
      <w:r>
        <w:rPr>
          <w:spacing w:val="-3"/>
          <w:sz w:val="18"/>
        </w:rPr>
        <w:t> </w:t>
      </w:r>
      <w:r>
        <w:rPr>
          <w:sz w:val="18"/>
        </w:rPr>
        <w:t>higher</w:t>
      </w:r>
      <w:r>
        <w:rPr>
          <w:spacing w:val="-3"/>
          <w:sz w:val="18"/>
        </w:rPr>
        <w:t> </w:t>
      </w:r>
      <w:r>
        <w:rPr>
          <w:sz w:val="18"/>
        </w:rPr>
        <w:t>percentage</w:t>
      </w:r>
      <w:r>
        <w:rPr>
          <w:spacing w:val="-3"/>
          <w:sz w:val="18"/>
        </w:rPr>
        <w:t> </w:t>
      </w:r>
      <w:r>
        <w:rPr>
          <w:sz w:val="18"/>
        </w:rPr>
        <w:t>capture</w:t>
      </w:r>
    </w:p>
    <w:p>
      <w:pPr>
        <w:spacing w:line="192" w:lineRule="exact" w:before="0"/>
        <w:ind w:left="405" w:right="0" w:firstLine="0"/>
        <w:jc w:val="both"/>
        <w:rPr>
          <w:sz w:val="18"/>
        </w:rPr>
      </w:pPr>
      <w:r>
        <w:rPr>
          <w:sz w:val="18"/>
        </w:rPr>
        <w:t>of 97%.</w:t>
      </w:r>
    </w:p>
    <w:p>
      <w:pPr>
        <w:pStyle w:val="BodyText"/>
        <w:spacing w:before="6"/>
        <w:rPr>
          <w:sz w:val="23"/>
        </w:rPr>
      </w:pPr>
    </w:p>
    <w:p>
      <w:pPr>
        <w:spacing w:after="0"/>
        <w:rPr>
          <w:sz w:val="23"/>
        </w:rPr>
        <w:sectPr>
          <w:pgSz w:w="12240" w:h="15840"/>
          <w:pgMar w:header="567" w:footer="0" w:top="760" w:bottom="280" w:left="620" w:right="0"/>
        </w:sectPr>
      </w:pPr>
    </w:p>
    <w:p>
      <w:pPr>
        <w:pStyle w:val="ListParagraph"/>
        <w:numPr>
          <w:ilvl w:val="3"/>
          <w:numId w:val="11"/>
        </w:numPr>
        <w:tabs>
          <w:tab w:pos="937" w:val="left" w:leader="none"/>
        </w:tabs>
        <w:spacing w:line="240" w:lineRule="auto" w:before="63" w:after="0"/>
        <w:ind w:left="937" w:right="0" w:hanging="820"/>
        <w:jc w:val="both"/>
        <w:rPr>
          <w:i/>
          <w:sz w:val="20"/>
        </w:rPr>
      </w:pPr>
      <w:r>
        <w:rPr>
          <w:i/>
          <w:sz w:val="20"/>
        </w:rPr>
        <w:t>Effluents</w:t>
      </w:r>
    </w:p>
    <w:p>
      <w:pPr>
        <w:pStyle w:val="BodyText"/>
        <w:spacing w:line="240" w:lineRule="exact" w:before="5"/>
        <w:ind w:left="117" w:right="38"/>
        <w:jc w:val="both"/>
      </w:pPr>
      <w:r>
        <w:rPr/>
        <w:t>As a result of decomposition of amines, effluents will be created, particularly ammonia and heat-stable salts. Rao and Rubin</w:t>
      </w:r>
      <w:r>
        <w:rPr>
          <w:spacing w:val="-16"/>
        </w:rPr>
        <w:t> </w:t>
      </w:r>
      <w:r>
        <w:rPr/>
        <w:t>(2002)</w:t>
      </w:r>
      <w:r>
        <w:rPr>
          <w:spacing w:val="-15"/>
        </w:rPr>
        <w:t> </w:t>
      </w:r>
      <w:r>
        <w:rPr/>
        <w:t>have</w:t>
      </w:r>
      <w:r>
        <w:rPr>
          <w:spacing w:val="-15"/>
        </w:rPr>
        <w:t> </w:t>
      </w:r>
      <w:r>
        <w:rPr/>
        <w:t>estimated</w:t>
      </w:r>
      <w:r>
        <w:rPr>
          <w:spacing w:val="-16"/>
        </w:rPr>
        <w:t> </w:t>
      </w:r>
      <w:r>
        <w:rPr/>
        <w:t>these</w:t>
      </w:r>
      <w:r>
        <w:rPr>
          <w:spacing w:val="-15"/>
        </w:rPr>
        <w:t> </w:t>
      </w:r>
      <w:r>
        <w:rPr/>
        <w:t>emissions</w:t>
      </w:r>
      <w:r>
        <w:rPr>
          <w:spacing w:val="-15"/>
        </w:rPr>
        <w:t> </w:t>
      </w:r>
      <w:r>
        <w:rPr/>
        <w:t>for</w:t>
      </w:r>
      <w:r>
        <w:rPr>
          <w:spacing w:val="-15"/>
        </w:rPr>
        <w:t> </w:t>
      </w:r>
      <w:r>
        <w:rPr/>
        <w:t>an</w:t>
      </w:r>
      <w:r>
        <w:rPr>
          <w:spacing w:val="-15"/>
        </w:rPr>
        <w:t> </w:t>
      </w:r>
      <w:r>
        <w:rPr/>
        <w:t>MEA-based process based on limited data. In such processes, heat stable salts (solvent decomposition products, corrosion products etc.) are</w:t>
      </w:r>
      <w:r>
        <w:rPr>
          <w:spacing w:val="-11"/>
        </w:rPr>
        <w:t> </w:t>
      </w:r>
      <w:r>
        <w:rPr/>
        <w:t>removed</w:t>
      </w:r>
      <w:r>
        <w:rPr>
          <w:spacing w:val="-10"/>
        </w:rPr>
        <w:t> </w:t>
      </w:r>
      <w:r>
        <w:rPr/>
        <w:t>from</w:t>
      </w:r>
      <w:r>
        <w:rPr>
          <w:spacing w:val="-11"/>
        </w:rPr>
        <w:t> </w:t>
      </w:r>
      <w:r>
        <w:rPr/>
        <w:t>the</w:t>
      </w:r>
      <w:r>
        <w:rPr>
          <w:spacing w:val="-10"/>
        </w:rPr>
        <w:t> </w:t>
      </w:r>
      <w:r>
        <w:rPr/>
        <w:t>solution</w:t>
      </w:r>
      <w:r>
        <w:rPr>
          <w:spacing w:val="-11"/>
        </w:rPr>
        <w:t> </w:t>
      </w:r>
      <w:r>
        <w:rPr/>
        <w:t>in</w:t>
      </w:r>
      <w:r>
        <w:rPr>
          <w:spacing w:val="-10"/>
        </w:rPr>
        <w:t> </w:t>
      </w:r>
      <w:r>
        <w:rPr/>
        <w:t>a</w:t>
      </w:r>
      <w:r>
        <w:rPr>
          <w:spacing w:val="-11"/>
        </w:rPr>
        <w:t> </w:t>
      </w:r>
      <w:r>
        <w:rPr/>
        <w:t>reclaimer</w:t>
      </w:r>
      <w:r>
        <w:rPr>
          <w:spacing w:val="-10"/>
        </w:rPr>
        <w:t> </w:t>
      </w:r>
      <w:r>
        <w:rPr/>
        <w:t>and</w:t>
      </w:r>
      <w:r>
        <w:rPr>
          <w:spacing w:val="-11"/>
        </w:rPr>
        <w:t> </w:t>
      </w:r>
      <w:r>
        <w:rPr/>
        <w:t>a</w:t>
      </w:r>
      <w:r>
        <w:rPr>
          <w:spacing w:val="-10"/>
        </w:rPr>
        <w:t> </w:t>
      </w:r>
      <w:r>
        <w:rPr/>
        <w:t>waste</w:t>
      </w:r>
      <w:r>
        <w:rPr>
          <w:spacing w:val="-11"/>
        </w:rPr>
        <w:t> </w:t>
      </w:r>
      <w:r>
        <w:rPr/>
        <w:t>stream is created and is disposed of using normal HSE (Health, Safety and Environmental) practices. In some cases, these reclaimer bottoms may be classified as a hazardous waste, requiring special</w:t>
      </w:r>
      <w:r>
        <w:rPr>
          <w:spacing w:val="-20"/>
        </w:rPr>
        <w:t> </w:t>
      </w:r>
      <w:r>
        <w:rPr/>
        <w:t>handling</w:t>
      </w:r>
      <w:r>
        <w:rPr>
          <w:spacing w:val="-19"/>
        </w:rPr>
        <w:t> </w:t>
      </w:r>
      <w:r>
        <w:rPr/>
        <w:t>(Rao</w:t>
      </w:r>
      <w:r>
        <w:rPr>
          <w:spacing w:val="-20"/>
        </w:rPr>
        <w:t> </w:t>
      </w:r>
      <w:r>
        <w:rPr/>
        <w:t>and</w:t>
      </w:r>
      <w:r>
        <w:rPr>
          <w:spacing w:val="-19"/>
        </w:rPr>
        <w:t> </w:t>
      </w:r>
      <w:r>
        <w:rPr/>
        <w:t>Rubin,</w:t>
      </w:r>
      <w:r>
        <w:rPr>
          <w:spacing w:val="-20"/>
        </w:rPr>
        <w:t> </w:t>
      </w:r>
      <w:r>
        <w:rPr/>
        <w:t>2002).</w:t>
      </w:r>
      <w:r>
        <w:rPr>
          <w:spacing w:val="-29"/>
        </w:rPr>
        <w:t> </w:t>
      </w:r>
      <w:r>
        <w:rPr/>
        <w:t>Also</w:t>
      </w:r>
      <w:r>
        <w:rPr>
          <w:spacing w:val="-20"/>
        </w:rPr>
        <w:t> </w:t>
      </w:r>
      <w:r>
        <w:rPr/>
        <w:t>a</w:t>
      </w:r>
      <w:r>
        <w:rPr>
          <w:spacing w:val="-19"/>
        </w:rPr>
        <w:t> </w:t>
      </w:r>
      <w:r>
        <w:rPr/>
        <w:t>particle</w:t>
      </w:r>
      <w:r>
        <w:rPr>
          <w:spacing w:val="-19"/>
        </w:rPr>
        <w:t> </w:t>
      </w:r>
      <w:r>
        <w:rPr/>
        <w:t>filter</w:t>
      </w:r>
      <w:r>
        <w:rPr>
          <w:spacing w:val="-20"/>
        </w:rPr>
        <w:t> </w:t>
      </w:r>
      <w:r>
        <w:rPr/>
        <w:t>and carbon</w:t>
      </w:r>
      <w:r>
        <w:rPr>
          <w:spacing w:val="-19"/>
        </w:rPr>
        <w:t> </w:t>
      </w:r>
      <w:r>
        <w:rPr/>
        <w:t>filter</w:t>
      </w:r>
      <w:r>
        <w:rPr>
          <w:spacing w:val="-18"/>
        </w:rPr>
        <w:t> </w:t>
      </w:r>
      <w:r>
        <w:rPr/>
        <w:t>is</w:t>
      </w:r>
      <w:r>
        <w:rPr>
          <w:spacing w:val="-18"/>
        </w:rPr>
        <w:t> </w:t>
      </w:r>
      <w:r>
        <w:rPr/>
        <w:t>normally</w:t>
      </w:r>
      <w:r>
        <w:rPr>
          <w:spacing w:val="-18"/>
        </w:rPr>
        <w:t> </w:t>
      </w:r>
      <w:r>
        <w:rPr/>
        <w:t>installed</w:t>
      </w:r>
      <w:r>
        <w:rPr>
          <w:spacing w:val="-18"/>
        </w:rPr>
        <w:t> </w:t>
      </w:r>
      <w:r>
        <w:rPr/>
        <w:t>in</w:t>
      </w:r>
      <w:r>
        <w:rPr>
          <w:spacing w:val="-18"/>
        </w:rPr>
        <w:t> </w:t>
      </w:r>
      <w:r>
        <w:rPr/>
        <w:t>the</w:t>
      </w:r>
      <w:r>
        <w:rPr>
          <w:spacing w:val="-18"/>
        </w:rPr>
        <w:t> </w:t>
      </w:r>
      <w:r>
        <w:rPr/>
        <w:t>solvent</w:t>
      </w:r>
      <w:r>
        <w:rPr>
          <w:spacing w:val="-18"/>
        </w:rPr>
        <w:t> </w:t>
      </w:r>
      <w:r>
        <w:rPr/>
        <w:t>circuit</w:t>
      </w:r>
      <w:r>
        <w:rPr>
          <w:spacing w:val="-18"/>
        </w:rPr>
        <w:t> </w:t>
      </w:r>
      <w:r>
        <w:rPr/>
        <w:t>to</w:t>
      </w:r>
      <w:r>
        <w:rPr>
          <w:spacing w:val="-18"/>
        </w:rPr>
        <w:t> </w:t>
      </w:r>
      <w:r>
        <w:rPr/>
        <w:t>remove byproducts. </w:t>
      </w:r>
      <w:r>
        <w:rPr>
          <w:spacing w:val="-3"/>
        </w:rPr>
        <w:t>Finally, </w:t>
      </w:r>
      <w:r>
        <w:rPr/>
        <w:t>some solvent material will be lost to the environment</w:t>
      </w:r>
      <w:r>
        <w:rPr>
          <w:spacing w:val="-16"/>
        </w:rPr>
        <w:t> </w:t>
      </w:r>
      <w:r>
        <w:rPr/>
        <w:t>through</w:t>
      </w:r>
      <w:r>
        <w:rPr>
          <w:spacing w:val="-14"/>
        </w:rPr>
        <w:t> </w:t>
      </w:r>
      <w:r>
        <w:rPr/>
        <w:t>evaporation</w:t>
      </w:r>
      <w:r>
        <w:rPr>
          <w:spacing w:val="-16"/>
        </w:rPr>
        <w:t> </w:t>
      </w:r>
      <w:r>
        <w:rPr/>
        <w:t>and</w:t>
      </w:r>
      <w:r>
        <w:rPr>
          <w:spacing w:val="-14"/>
        </w:rPr>
        <w:t> </w:t>
      </w:r>
      <w:r>
        <w:rPr/>
        <w:t>carry</w:t>
      </w:r>
      <w:r>
        <w:rPr>
          <w:spacing w:val="-14"/>
        </w:rPr>
        <w:t> </w:t>
      </w:r>
      <w:r>
        <w:rPr/>
        <w:t>over</w:t>
      </w:r>
      <w:r>
        <w:rPr>
          <w:spacing w:val="-15"/>
        </w:rPr>
        <w:t> </w:t>
      </w:r>
      <w:r>
        <w:rPr/>
        <w:t>in</w:t>
      </w:r>
      <w:r>
        <w:rPr>
          <w:spacing w:val="-14"/>
        </w:rPr>
        <w:t> </w:t>
      </w:r>
      <w:r>
        <w:rPr/>
        <w:t>the</w:t>
      </w:r>
      <w:r>
        <w:rPr>
          <w:spacing w:val="-14"/>
        </w:rPr>
        <w:t> </w:t>
      </w:r>
      <w:r>
        <w:rPr>
          <w:spacing w:val="-3"/>
        </w:rPr>
        <w:t>absorber, </w:t>
      </w:r>
      <w:r>
        <w:rPr/>
        <w:t>which</w:t>
      </w:r>
      <w:r>
        <w:rPr>
          <w:spacing w:val="-17"/>
        </w:rPr>
        <w:t> </w:t>
      </w:r>
      <w:r>
        <w:rPr/>
        <w:t>is</w:t>
      </w:r>
      <w:r>
        <w:rPr>
          <w:spacing w:val="-16"/>
        </w:rPr>
        <w:t> </w:t>
      </w:r>
      <w:r>
        <w:rPr/>
        <w:t>accounted</w:t>
      </w:r>
      <w:r>
        <w:rPr>
          <w:spacing w:val="-17"/>
        </w:rPr>
        <w:t> </w:t>
      </w:r>
      <w:r>
        <w:rPr/>
        <w:t>for</w:t>
      </w:r>
      <w:r>
        <w:rPr>
          <w:spacing w:val="-16"/>
        </w:rPr>
        <w:t> </w:t>
      </w:r>
      <w:r>
        <w:rPr/>
        <w:t>in</w:t>
      </w:r>
      <w:r>
        <w:rPr>
          <w:spacing w:val="-16"/>
        </w:rPr>
        <w:t> </w:t>
      </w:r>
      <w:r>
        <w:rPr/>
        <w:t>the</w:t>
      </w:r>
      <w:r>
        <w:rPr>
          <w:spacing w:val="-17"/>
        </w:rPr>
        <w:t> </w:t>
      </w:r>
      <w:r>
        <w:rPr/>
        <w:t>solvent</w:t>
      </w:r>
      <w:r>
        <w:rPr>
          <w:spacing w:val="-17"/>
        </w:rPr>
        <w:t> </w:t>
      </w:r>
      <w:r>
        <w:rPr/>
        <w:t>consumption.</w:t>
      </w:r>
      <w:r>
        <w:rPr>
          <w:spacing w:val="-17"/>
        </w:rPr>
        <w:t> </w:t>
      </w:r>
      <w:r>
        <w:rPr/>
        <w:t>It</w:t>
      </w:r>
      <w:r>
        <w:rPr>
          <w:spacing w:val="-16"/>
        </w:rPr>
        <w:t> </w:t>
      </w:r>
      <w:r>
        <w:rPr/>
        <w:t>is</w:t>
      </w:r>
      <w:r>
        <w:rPr>
          <w:spacing w:val="-16"/>
        </w:rPr>
        <w:t> </w:t>
      </w:r>
      <w:r>
        <w:rPr/>
        <w:t>expected that</w:t>
      </w:r>
      <w:r>
        <w:rPr>
          <w:spacing w:val="-9"/>
        </w:rPr>
        <w:t> </w:t>
      </w:r>
      <w:r>
        <w:rPr/>
        <w:t>acid</w:t>
      </w:r>
      <w:r>
        <w:rPr>
          <w:spacing w:val="-9"/>
        </w:rPr>
        <w:t> </w:t>
      </w:r>
      <w:r>
        <w:rPr/>
        <w:t>gases</w:t>
      </w:r>
      <w:r>
        <w:rPr>
          <w:spacing w:val="-8"/>
        </w:rPr>
        <w:t> </w:t>
      </w:r>
      <w:r>
        <w:rPr/>
        <w:t>other</w:t>
      </w:r>
      <w:r>
        <w:rPr>
          <w:spacing w:val="-9"/>
        </w:rPr>
        <w:t> </w:t>
      </w:r>
      <w:r>
        <w:rPr/>
        <w:t>than</w:t>
      </w:r>
      <w:r>
        <w:rPr>
          <w:spacing w:val="-9"/>
        </w:rPr>
        <w:t> </w:t>
      </w:r>
      <w:r>
        <w:rPr/>
        <w:t>CO</w:t>
      </w:r>
      <w:r>
        <w:rPr>
          <w:position w:val="-6"/>
          <w:sz w:val="11"/>
        </w:rPr>
        <w:t>2</w:t>
      </w:r>
      <w:r>
        <w:rPr/>
        <w:t>,</w:t>
      </w:r>
      <w:r>
        <w:rPr>
          <w:spacing w:val="-8"/>
        </w:rPr>
        <w:t> </w:t>
      </w:r>
      <w:r>
        <w:rPr/>
        <w:t>which</w:t>
      </w:r>
      <w:r>
        <w:rPr>
          <w:spacing w:val="-9"/>
        </w:rPr>
        <w:t> </w:t>
      </w:r>
      <w:r>
        <w:rPr/>
        <w:t>are</w:t>
      </w:r>
      <w:r>
        <w:rPr>
          <w:spacing w:val="-9"/>
        </w:rPr>
        <w:t> </w:t>
      </w:r>
      <w:r>
        <w:rPr/>
        <w:t>still</w:t>
      </w:r>
      <w:r>
        <w:rPr>
          <w:spacing w:val="-8"/>
        </w:rPr>
        <w:t> </w:t>
      </w:r>
      <w:r>
        <w:rPr/>
        <w:t>present</w:t>
      </w:r>
      <w:r>
        <w:rPr>
          <w:spacing w:val="-9"/>
        </w:rPr>
        <w:t> </w:t>
      </w:r>
      <w:r>
        <w:rPr/>
        <w:t>in</w:t>
      </w:r>
      <w:r>
        <w:rPr>
          <w:spacing w:val="-9"/>
        </w:rPr>
        <w:t> </w:t>
      </w:r>
      <w:r>
        <w:rPr/>
        <w:t>the</w:t>
      </w:r>
      <w:r>
        <w:rPr>
          <w:spacing w:val="-8"/>
        </w:rPr>
        <w:t> </w:t>
      </w:r>
      <w:r>
        <w:rPr/>
        <w:t>flue gas (SO</w:t>
      </w:r>
      <w:r>
        <w:rPr>
          <w:position w:val="-6"/>
          <w:sz w:val="11"/>
        </w:rPr>
        <w:t>x </w:t>
      </w:r>
      <w:r>
        <w:rPr/>
        <w:t>and NO</w:t>
      </w:r>
      <w:r>
        <w:rPr>
          <w:position w:val="-6"/>
          <w:sz w:val="11"/>
        </w:rPr>
        <w:t>2</w:t>
      </w:r>
      <w:r>
        <w:rPr/>
        <w:t>) will also be absorbed in the solution. This will lower the concentration of these components further and even the net emissions in some cases depending on the amount of</w:t>
      </w:r>
      <w:r>
        <w:rPr>
          <w:spacing w:val="-17"/>
        </w:rPr>
        <w:t> </w:t>
      </w:r>
      <w:r>
        <w:rPr/>
        <w:t>additional</w:t>
      </w:r>
      <w:r>
        <w:rPr>
          <w:spacing w:val="-17"/>
        </w:rPr>
        <w:t> </w:t>
      </w:r>
      <w:r>
        <w:rPr/>
        <w:t>energy</w:t>
      </w:r>
      <w:r>
        <w:rPr>
          <w:spacing w:val="-17"/>
        </w:rPr>
        <w:t> </w:t>
      </w:r>
      <w:r>
        <w:rPr/>
        <w:t>use</w:t>
      </w:r>
      <w:r>
        <w:rPr>
          <w:spacing w:val="-17"/>
        </w:rPr>
        <w:t> </w:t>
      </w:r>
      <w:r>
        <w:rPr/>
        <w:t>for</w:t>
      </w:r>
      <w:r>
        <w:rPr>
          <w:spacing w:val="-17"/>
        </w:rPr>
        <w:t> </w:t>
      </w:r>
      <w:r>
        <w:rPr/>
        <w:t>CO</w:t>
      </w:r>
      <w:r>
        <w:rPr>
          <w:position w:val="-6"/>
          <w:sz w:val="11"/>
        </w:rPr>
        <w:t>2</w:t>
      </w:r>
      <w:r>
        <w:rPr>
          <w:spacing w:val="7"/>
          <w:position w:val="-6"/>
          <w:sz w:val="11"/>
        </w:rPr>
        <w:t> </w:t>
      </w:r>
      <w:r>
        <w:rPr/>
        <w:t>capture</w:t>
      </w:r>
      <w:r>
        <w:rPr>
          <w:spacing w:val="-17"/>
        </w:rPr>
        <w:t> </w:t>
      </w:r>
      <w:r>
        <w:rPr/>
        <w:t>(see</w:t>
      </w:r>
      <w:r>
        <w:rPr>
          <w:spacing w:val="-20"/>
        </w:rPr>
        <w:t> </w:t>
      </w:r>
      <w:hyperlink w:history="true" w:anchor="_bookmark23">
        <w:r>
          <w:rPr>
            <w:spacing w:val="-3"/>
          </w:rPr>
          <w:t>Tables</w:t>
        </w:r>
        <w:r>
          <w:rPr>
            <w:spacing w:val="-17"/>
          </w:rPr>
          <w:t> </w:t>
        </w:r>
        <w:r>
          <w:rPr/>
          <w:t>3.4</w:t>
        </w:r>
        <w:r>
          <w:rPr>
            <w:spacing w:val="-17"/>
          </w:rPr>
          <w:t> </w:t>
        </w:r>
      </w:hyperlink>
      <w:r>
        <w:rPr/>
        <w:t>and</w:t>
      </w:r>
      <w:r>
        <w:rPr>
          <w:spacing w:val="-17"/>
        </w:rPr>
        <w:t> </w:t>
      </w:r>
      <w:hyperlink w:history="true" w:anchor="_bookmark24">
        <w:r>
          <w:rPr/>
          <w:t>3.5).</w:t>
        </w:r>
      </w:hyperlink>
      <w:r>
        <w:rPr/>
        <w:t> As</w:t>
      </w:r>
      <w:r>
        <w:rPr>
          <w:spacing w:val="-17"/>
        </w:rPr>
        <w:t> </w:t>
      </w:r>
      <w:r>
        <w:rPr/>
        <w:t>SO</w:t>
      </w:r>
      <w:r>
        <w:rPr>
          <w:position w:val="-6"/>
          <w:sz w:val="11"/>
        </w:rPr>
        <w:t>2</w:t>
      </w:r>
      <w:r>
        <w:rPr/>
        <w:t>-removal</w:t>
      </w:r>
      <w:r>
        <w:rPr>
          <w:spacing w:val="-17"/>
        </w:rPr>
        <w:t> </w:t>
      </w:r>
      <w:r>
        <w:rPr/>
        <w:t>prior</w:t>
      </w:r>
      <w:r>
        <w:rPr>
          <w:spacing w:val="-17"/>
        </w:rPr>
        <w:t> </w:t>
      </w:r>
      <w:r>
        <w:rPr/>
        <w:t>to</w:t>
      </w:r>
      <w:r>
        <w:rPr>
          <w:spacing w:val="-17"/>
        </w:rPr>
        <w:t> </w:t>
      </w:r>
      <w:r>
        <w:rPr/>
        <w:t>CO</w:t>
      </w:r>
      <w:r>
        <w:rPr>
          <w:position w:val="-6"/>
          <w:sz w:val="11"/>
        </w:rPr>
        <w:t>2</w:t>
      </w:r>
      <w:r>
        <w:rPr/>
        <w:t>-removal</w:t>
      </w:r>
      <w:r>
        <w:rPr>
          <w:spacing w:val="-17"/>
        </w:rPr>
        <w:t> </w:t>
      </w:r>
      <w:r>
        <w:rPr/>
        <w:t>is</w:t>
      </w:r>
      <w:r>
        <w:rPr>
          <w:spacing w:val="-17"/>
        </w:rPr>
        <w:t> </w:t>
      </w:r>
      <w:r>
        <w:rPr/>
        <w:t>very</w:t>
      </w:r>
      <w:r>
        <w:rPr>
          <w:spacing w:val="-17"/>
        </w:rPr>
        <w:t> </w:t>
      </w:r>
      <w:r>
        <w:rPr/>
        <w:t>likely</w:t>
      </w:r>
      <w:r>
        <w:rPr>
          <w:spacing w:val="-17"/>
        </w:rPr>
        <w:t> </w:t>
      </w:r>
      <w:r>
        <w:rPr/>
        <w:t>in</w:t>
      </w:r>
      <w:r>
        <w:rPr>
          <w:spacing w:val="-17"/>
        </w:rPr>
        <w:t> </w:t>
      </w:r>
      <w:r>
        <w:rPr/>
        <w:t>coal-fired plants, this will lead to the production of a waste or byproduct stream</w:t>
      </w:r>
      <w:r>
        <w:rPr>
          <w:spacing w:val="10"/>
        </w:rPr>
        <w:t> </w:t>
      </w:r>
      <w:r>
        <w:rPr/>
        <w:t>containing</w:t>
      </w:r>
      <w:r>
        <w:rPr>
          <w:spacing w:val="12"/>
        </w:rPr>
        <w:t> </w:t>
      </w:r>
      <w:r>
        <w:rPr/>
        <w:t>gypsum</w:t>
      </w:r>
      <w:r>
        <w:rPr>
          <w:spacing w:val="11"/>
        </w:rPr>
        <w:t> </w:t>
      </w:r>
      <w:r>
        <w:rPr/>
        <w:t>and</w:t>
      </w:r>
      <w:r>
        <w:rPr>
          <w:spacing w:val="12"/>
        </w:rPr>
        <w:t> </w:t>
      </w:r>
      <w:r>
        <w:rPr/>
        <w:t>water</w:t>
      </w:r>
      <w:r>
        <w:rPr>
          <w:spacing w:val="11"/>
        </w:rPr>
        <w:t> </w:t>
      </w:r>
      <w:r>
        <w:rPr/>
        <w:t>from</w:t>
      </w:r>
      <w:r>
        <w:rPr>
          <w:spacing w:val="11"/>
        </w:rPr>
        <w:t> </w:t>
      </w:r>
      <w:r>
        <w:rPr/>
        <w:t>the</w:t>
      </w:r>
      <w:r>
        <w:rPr>
          <w:spacing w:val="12"/>
        </w:rPr>
        <w:t> </w:t>
      </w:r>
      <w:r>
        <w:rPr/>
        <w:t>FGD</w:t>
      </w:r>
      <w:r>
        <w:rPr>
          <w:spacing w:val="12"/>
        </w:rPr>
        <w:t> </w:t>
      </w:r>
      <w:r>
        <w:rPr/>
        <w:t>unit.</w:t>
      </w:r>
    </w:p>
    <w:p>
      <w:pPr>
        <w:pStyle w:val="Heading2"/>
        <w:numPr>
          <w:ilvl w:val="2"/>
          <w:numId w:val="5"/>
        </w:numPr>
        <w:tabs>
          <w:tab w:pos="937" w:val="left" w:leader="none"/>
        </w:tabs>
        <w:spacing w:line="240" w:lineRule="auto" w:before="63" w:after="0"/>
        <w:ind w:left="937" w:right="0" w:hanging="820"/>
        <w:jc w:val="both"/>
        <w:rPr>
          <w:i/>
        </w:rPr>
      </w:pPr>
      <w:r>
        <w:rPr>
          <w:i/>
        </w:rPr>
        <w:br w:type="column"/>
        <w:t>Emerging technologies</w:t>
      </w:r>
    </w:p>
    <w:p>
      <w:pPr>
        <w:pStyle w:val="BodyText"/>
        <w:spacing w:before="9"/>
        <w:rPr>
          <w:b/>
          <w:i/>
          <w:sz w:val="21"/>
        </w:rPr>
      </w:pPr>
    </w:p>
    <w:p>
      <w:pPr>
        <w:pStyle w:val="ListParagraph"/>
        <w:numPr>
          <w:ilvl w:val="3"/>
          <w:numId w:val="5"/>
        </w:numPr>
        <w:tabs>
          <w:tab w:pos="937" w:val="left" w:leader="none"/>
        </w:tabs>
        <w:spacing w:line="240" w:lineRule="auto" w:before="0" w:after="0"/>
        <w:ind w:left="937" w:right="0" w:hanging="820"/>
        <w:jc w:val="both"/>
        <w:rPr>
          <w:i/>
          <w:sz w:val="20"/>
        </w:rPr>
      </w:pPr>
      <w:r>
        <w:rPr>
          <w:i/>
          <w:sz w:val="20"/>
        </w:rPr>
        <w:t>Other absorption</w:t>
      </w:r>
      <w:r>
        <w:rPr>
          <w:i/>
          <w:spacing w:val="-2"/>
          <w:sz w:val="20"/>
        </w:rPr>
        <w:t> </w:t>
      </w:r>
      <w:r>
        <w:rPr>
          <w:i/>
          <w:sz w:val="20"/>
        </w:rPr>
        <w:t>process</w:t>
      </w:r>
    </w:p>
    <w:p>
      <w:pPr>
        <w:pStyle w:val="BodyText"/>
        <w:spacing w:line="249" w:lineRule="auto" w:before="10"/>
        <w:ind w:left="117" w:right="1131"/>
        <w:jc w:val="both"/>
      </w:pPr>
      <w:r>
        <w:rPr>
          <w:spacing w:val="-4"/>
        </w:rPr>
        <w:t>Various </w:t>
      </w:r>
      <w:r>
        <w:rPr/>
        <w:t>novel solvents are being investigated, with the object of achieving a reduced energy consumption for solvent regeneration (Chakma, 1995; Chakma and</w:t>
      </w:r>
      <w:r>
        <w:rPr>
          <w:spacing w:val="-32"/>
        </w:rPr>
        <w:t> </w:t>
      </w:r>
      <w:r>
        <w:rPr/>
        <w:t>Tontiwachwuthikul, 1999; Mimura </w:t>
      </w:r>
      <w:r>
        <w:rPr>
          <w:i/>
        </w:rPr>
        <w:t>et al.</w:t>
      </w:r>
      <w:r>
        <w:rPr/>
        <w:t>, 1999; Zheng </w:t>
      </w:r>
      <w:r>
        <w:rPr>
          <w:i/>
        </w:rPr>
        <w:t>et al.</w:t>
      </w:r>
      <w:r>
        <w:rPr/>
        <w:t>, 2003; Cullinane and Rochelle, 2003; Leites, 1998; Erga </w:t>
      </w:r>
      <w:r>
        <w:rPr>
          <w:i/>
        </w:rPr>
        <w:t>et al.</w:t>
      </w:r>
      <w:r>
        <w:rPr/>
        <w:t>, 1995; Aresta and Dibenedetto, 2003; Bai and </w:t>
      </w:r>
      <w:r>
        <w:rPr>
          <w:spacing w:val="-5"/>
        </w:rPr>
        <w:t>Yeh,</w:t>
      </w:r>
      <w:r>
        <w:rPr>
          <w:spacing w:val="-11"/>
        </w:rPr>
        <w:t> </w:t>
      </w:r>
      <w:r>
        <w:rPr/>
        <w:t>1997).</w:t>
      </w:r>
    </w:p>
    <w:p>
      <w:pPr>
        <w:pStyle w:val="BodyText"/>
        <w:spacing w:line="249" w:lineRule="auto" w:before="5"/>
        <w:ind w:left="117" w:right="1119" w:firstLine="284"/>
        <w:jc w:val="both"/>
      </w:pPr>
      <w:r>
        <w:rPr/>
        <w:t>Besides novel solvents, novel process designs are also currently becoming available (Leites </w:t>
      </w:r>
      <w:r>
        <w:rPr>
          <w:i/>
        </w:rPr>
        <w:t>et al. </w:t>
      </w:r>
      <w:r>
        <w:rPr/>
        <w:t>2003). Research is also being carried out to improve upon the existing practices and packing types (Aroonwilas </w:t>
      </w:r>
      <w:r>
        <w:rPr>
          <w:i/>
        </w:rPr>
        <w:t>et al.</w:t>
      </w:r>
      <w:r>
        <w:rPr/>
        <w:t>, 2003). Another area of research</w:t>
      </w:r>
      <w:r>
        <w:rPr>
          <w:spacing w:val="-9"/>
        </w:rPr>
        <w:t> </w:t>
      </w:r>
      <w:r>
        <w:rPr/>
        <w:t>is</w:t>
      </w:r>
      <w:r>
        <w:rPr>
          <w:spacing w:val="-8"/>
        </w:rPr>
        <w:t> </w:t>
      </w:r>
      <w:r>
        <w:rPr/>
        <w:t>to</w:t>
      </w:r>
      <w:r>
        <w:rPr>
          <w:spacing w:val="-8"/>
        </w:rPr>
        <w:t> </w:t>
      </w:r>
      <w:r>
        <w:rPr/>
        <w:t>increase</w:t>
      </w:r>
      <w:r>
        <w:rPr>
          <w:spacing w:val="-10"/>
        </w:rPr>
        <w:t> </w:t>
      </w:r>
      <w:r>
        <w:rPr/>
        <w:t>the</w:t>
      </w:r>
      <w:r>
        <w:rPr>
          <w:spacing w:val="-8"/>
        </w:rPr>
        <w:t> </w:t>
      </w:r>
      <w:r>
        <w:rPr/>
        <w:t>concentration</w:t>
      </w:r>
      <w:r>
        <w:rPr>
          <w:spacing w:val="-9"/>
        </w:rPr>
        <w:t> </w:t>
      </w:r>
      <w:r>
        <w:rPr/>
        <w:t>levels</w:t>
      </w:r>
      <w:r>
        <w:rPr>
          <w:spacing w:val="-10"/>
        </w:rPr>
        <w:t> </w:t>
      </w:r>
      <w:r>
        <w:rPr/>
        <w:t>of</w:t>
      </w:r>
      <w:r>
        <w:rPr>
          <w:spacing w:val="-8"/>
        </w:rPr>
        <w:t> </w:t>
      </w:r>
      <w:r>
        <w:rPr/>
        <w:t>aqueous</w:t>
      </w:r>
      <w:r>
        <w:rPr>
          <w:spacing w:val="-8"/>
        </w:rPr>
        <w:t> </w:t>
      </w:r>
      <w:r>
        <w:rPr/>
        <w:t>MEA solution used in absorption systems as this tends to reduce the size of equipment used in capture plants (Aboudheir </w:t>
      </w:r>
      <w:r>
        <w:rPr>
          <w:i/>
        </w:rPr>
        <w:t>et al.</w:t>
      </w:r>
      <w:r>
        <w:rPr/>
        <w:t>, 2003). Methods to prevent oxidative  degradation  of  MEA  by de-oxygenation of the solvent solutions are also being investigated (Chakravarti </w:t>
      </w:r>
      <w:r>
        <w:rPr>
          <w:i/>
        </w:rPr>
        <w:t>et al.</w:t>
      </w:r>
      <w:r>
        <w:rPr/>
        <w:t>, 2001). In addition to this, the catalytic removal of oxygen in flue gases from coal firing has been suggested (Nsakala </w:t>
      </w:r>
      <w:r>
        <w:rPr>
          <w:i/>
        </w:rPr>
        <w:t>et al.</w:t>
      </w:r>
      <w:r>
        <w:rPr/>
        <w:t>, 2001) to enable operation with promising solvents sensitive to</w:t>
      </w:r>
      <w:r>
        <w:rPr>
          <w:spacing w:val="-4"/>
        </w:rPr>
        <w:t> </w:t>
      </w:r>
      <w:r>
        <w:rPr/>
        <w:t>oxygen.</w:t>
      </w:r>
    </w:p>
    <w:p>
      <w:pPr>
        <w:spacing w:after="0" w:line="249" w:lineRule="auto"/>
        <w:jc w:val="both"/>
        <w:sectPr>
          <w:type w:val="continuous"/>
          <w:pgSz w:w="12240" w:h="15840"/>
          <w:pgMar w:top="480" w:bottom="280" w:left="620" w:right="0"/>
          <w:cols w:num="2" w:equalWidth="0">
            <w:col w:w="5202" w:space="124"/>
            <w:col w:w="6294"/>
          </w:cols>
        </w:sectPr>
      </w:pPr>
    </w:p>
    <w:p>
      <w:pPr>
        <w:pStyle w:val="BodyText"/>
      </w:pPr>
    </w:p>
    <w:p>
      <w:pPr>
        <w:pStyle w:val="BodyText"/>
        <w:spacing w:before="9"/>
        <w:rPr>
          <w:sz w:val="22"/>
        </w:rPr>
      </w:pPr>
    </w:p>
    <w:tbl>
      <w:tblPr>
        <w:tblW w:w="0" w:type="auto"/>
        <w:jc w:val="left"/>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69"/>
      </w:tblGrid>
      <w:tr>
        <w:trPr>
          <w:trHeight w:val="2935" w:hRule="atLeast"/>
        </w:trPr>
        <w:tc>
          <w:tcPr>
            <w:tcW w:w="10369" w:type="dxa"/>
          </w:tcPr>
          <w:p>
            <w:pPr>
              <w:pStyle w:val="TableParagraph"/>
              <w:spacing w:before="9"/>
              <w:jc w:val="left"/>
              <w:rPr>
                <w:sz w:val="15"/>
              </w:rPr>
            </w:pPr>
          </w:p>
          <w:p>
            <w:pPr>
              <w:pStyle w:val="TableParagraph"/>
              <w:tabs>
                <w:tab w:pos="8217" w:val="left" w:leader="none"/>
              </w:tabs>
              <w:ind w:left="127"/>
              <w:jc w:val="left"/>
              <w:rPr>
                <w:sz w:val="20"/>
              </w:rPr>
            </w:pPr>
            <w:r>
              <w:rPr>
                <w:position w:val="202"/>
                <w:sz w:val="20"/>
              </w:rPr>
              <w:drawing>
                <wp:inline distT="0" distB="0" distL="0" distR="0">
                  <wp:extent cx="88737" cy="136017"/>
                  <wp:effectExtent l="0" t="0" r="0" b="0"/>
                  <wp:docPr id="11" name="image19.png"/>
                  <wp:cNvGraphicFramePr>
                    <a:graphicFrameLocks noChangeAspect="1"/>
                  </wp:cNvGraphicFramePr>
                  <a:graphic>
                    <a:graphicData uri="http://schemas.openxmlformats.org/drawingml/2006/picture">
                      <pic:pic>
                        <pic:nvPicPr>
                          <pic:cNvPr id="12" name="image19.png"/>
                          <pic:cNvPicPr/>
                        </pic:nvPicPr>
                        <pic:blipFill>
                          <a:blip r:embed="rId25" cstate="print"/>
                          <a:stretch>
                            <a:fillRect/>
                          </a:stretch>
                        </pic:blipFill>
                        <pic:spPr>
                          <a:xfrm>
                            <a:off x="0" y="0"/>
                            <a:ext cx="88737" cy="136017"/>
                          </a:xfrm>
                          <a:prstGeom prst="rect">
                            <a:avLst/>
                          </a:prstGeom>
                        </pic:spPr>
                      </pic:pic>
                    </a:graphicData>
                  </a:graphic>
                </wp:inline>
              </w:drawing>
            </w:r>
            <w:r>
              <w:rPr>
                <w:position w:val="202"/>
                <w:sz w:val="20"/>
              </w:rPr>
            </w:r>
            <w:r>
              <w:rPr>
                <w:spacing w:val="50"/>
                <w:position w:val="202"/>
                <w:sz w:val="20"/>
              </w:rPr>
              <w:t> </w:t>
            </w:r>
            <w:r>
              <w:rPr>
                <w:spacing w:val="50"/>
                <w:sz w:val="20"/>
              </w:rPr>
              <w:pict>
                <v:group style="width:379.9pt;height:124.1pt;mso-position-horizontal-relative:char;mso-position-vertical-relative:line" coordorigin="0,0" coordsize="7598,2482">
                  <v:line style="position:absolute" from="3271,348" to="7595,348" stroked="true" strokeweight=".5pt" strokecolor="#878889">
                    <v:stroke dashstyle="solid"/>
                  </v:line>
                  <v:line style="position:absolute" from="831,348" to="2918,348" stroked="true" strokeweight=".5pt" strokecolor="#878889">
                    <v:stroke dashstyle="solid"/>
                  </v:line>
                  <v:line style="position:absolute" from="208,348" to="480,348" stroked="true" strokeweight=".5pt" strokecolor="#878889">
                    <v:stroke dashstyle="solid"/>
                  </v:line>
                  <v:line style="position:absolute" from="7333,688" to="7591,688" stroked="true" strokeweight=".5pt" strokecolor="#878889">
                    <v:stroke dashstyle="solid"/>
                  </v:line>
                  <v:line style="position:absolute" from="4083,688" to="6981,688" stroked="true" strokeweight=".5pt" strokecolor="#878889">
                    <v:stroke dashstyle="solid"/>
                  </v:line>
                  <v:line style="position:absolute" from="2456,688" to="3730,688" stroked="true" strokeweight=".5pt" strokecolor="#878889">
                    <v:stroke dashstyle="solid"/>
                  </v:line>
                  <v:line style="position:absolute" from="1629,688" to="2104,688" stroked="true" strokeweight=".5pt" strokecolor="#878889">
                    <v:stroke dashstyle="solid"/>
                  </v:line>
                  <v:line style="position:absolute" from="831,688" to="1276,688" stroked="true" strokeweight=".5pt" strokecolor="#878889">
                    <v:stroke dashstyle="solid"/>
                  </v:line>
                  <v:line style="position:absolute" from="210,688" to="480,688" stroked="true" strokeweight=".5pt" strokecolor="#878889">
                    <v:stroke dashstyle="solid"/>
                  </v:line>
                  <v:shape style="position:absolute;left:252;top:5;width:7341;height:2052" coordorigin="252,5" coordsize="7341,2052" path="m7593,2056l252,2056,252,5e" filled="false" stroked="true" strokeweight=".421pt" strokecolor="#000000">
                    <v:path arrowok="t"/>
                    <v:stroke dashstyle="solid"/>
                  </v:shape>
                  <v:line style="position:absolute" from="7593,5" to="7593,2056" stroked="true" strokeweight=".5pt" strokecolor="#878889">
                    <v:stroke dashstyle="solid"/>
                  </v:line>
                  <v:line style="position:absolute" from="252,5" to="7593,5" stroked="true" strokeweight=".5pt" strokecolor="#878889">
                    <v:stroke dashstyle="solid"/>
                  </v:line>
                  <v:line style="position:absolute" from="7333,1056" to="7597,1056" stroked="true" strokeweight=".5pt" strokecolor="#878889">
                    <v:stroke dashstyle="solid"/>
                  </v:line>
                  <v:line style="position:absolute" from="6521,1056" to="6981,1056" stroked="true" strokeweight=".5pt" strokecolor="#878889">
                    <v:stroke dashstyle="solid"/>
                  </v:line>
                  <v:line style="position:absolute" from="4884,1056" to="6169,1056" stroked="true" strokeweight=".5pt" strokecolor="#878889">
                    <v:stroke dashstyle="solid"/>
                  </v:line>
                  <v:line style="position:absolute" from="4083,1056" to="4532,1056" stroked="true" strokeweight=".5pt" strokecolor="#878889">
                    <v:stroke dashstyle="solid"/>
                  </v:line>
                  <v:line style="position:absolute" from="3270,1056" to="3730,1056" stroked="true" strokeweight=".5pt" strokecolor="#878889">
                    <v:stroke dashstyle="solid"/>
                  </v:line>
                  <v:line style="position:absolute" from="2458,1056" to="2918,1056" stroked="true" strokeweight=".5pt" strokecolor="#878889">
                    <v:stroke dashstyle="solid"/>
                  </v:line>
                  <v:line style="position:absolute" from="1629,1056" to="2106,1056" stroked="true" strokeweight=".5pt" strokecolor="#878889">
                    <v:stroke dashstyle="solid"/>
                  </v:line>
                  <v:line style="position:absolute" from="831,1056" to="1276,1056" stroked="true" strokeweight=".5pt" strokecolor="#878889">
                    <v:stroke dashstyle="solid"/>
                  </v:line>
                  <v:line style="position:absolute" from="208,1056" to="479,1056" stroked="true" strokeweight=".5pt" strokecolor="#878889">
                    <v:stroke dashstyle="solid"/>
                  </v:line>
                  <v:line style="position:absolute" from="7333,1390" to="7591,1390" stroked="true" strokeweight=".5pt" strokecolor="#878889">
                    <v:stroke dashstyle="solid"/>
                  </v:line>
                  <v:line style="position:absolute" from="6522,1390" to="6981,1390" stroked="true" strokeweight=".5pt" strokecolor="#878889">
                    <v:stroke dashstyle="solid"/>
                  </v:line>
                  <v:line style="position:absolute" from="5697,1390" to="6170,1390" stroked="true" strokeweight=".5pt" strokecolor="#878889">
                    <v:stroke dashstyle="solid"/>
                  </v:line>
                  <v:line style="position:absolute" from="4883,1390" to="5343,1390" stroked="true" strokeweight=".5pt" strokecolor="#878889">
                    <v:stroke dashstyle="solid"/>
                  </v:line>
                  <v:line style="position:absolute" from="4082,1390" to="4531,1390" stroked="true" strokeweight=".5pt" strokecolor="#878889">
                    <v:stroke dashstyle="solid"/>
                  </v:line>
                  <v:line style="position:absolute" from="3270,1390" to="3730,1390" stroked="true" strokeweight=".5pt" strokecolor="#878889">
                    <v:stroke dashstyle="solid"/>
                  </v:line>
                  <v:line style="position:absolute" from="2458,1390" to="2918,1390" stroked="true" strokeweight=".5pt" strokecolor="#878889">
                    <v:stroke dashstyle="solid"/>
                  </v:line>
                  <v:line style="position:absolute" from="1628,1390" to="2106,1390" stroked="true" strokeweight=".5pt" strokecolor="#878889">
                    <v:stroke dashstyle="solid"/>
                  </v:line>
                  <v:line style="position:absolute" from="831,1390" to="1276,1390" stroked="true" strokeweight=".5pt" strokecolor="#878889">
                    <v:stroke dashstyle="solid"/>
                  </v:line>
                  <v:line style="position:absolute" from="206,1390" to="479,1390" stroked="true" strokeweight=".5pt" strokecolor="#878889">
                    <v:stroke dashstyle="solid"/>
                  </v:line>
                  <v:line style="position:absolute" from="7333,1730" to="7591,1730" stroked="true" strokeweight=".5pt" strokecolor="#878889">
                    <v:stroke dashstyle="solid"/>
                  </v:line>
                  <v:line style="position:absolute" from="6522,1730" to="6981,1730" stroked="true" strokeweight=".5pt" strokecolor="#878889">
                    <v:stroke dashstyle="solid"/>
                  </v:line>
                  <v:line style="position:absolute" from="5695,1730" to="6170,1730" stroked="true" strokeweight=".5pt" strokecolor="#878889">
                    <v:stroke dashstyle="solid"/>
                  </v:line>
                  <v:line style="position:absolute" from="4883,1730" to="5343,1730" stroked="true" strokeweight=".5pt" strokecolor="#878889">
                    <v:stroke dashstyle="solid"/>
                  </v:line>
                  <v:line style="position:absolute" from="4082,1730" to="4531,1730" stroked="true" strokeweight=".5pt" strokecolor="#878889">
                    <v:stroke dashstyle="solid"/>
                  </v:line>
                  <v:line style="position:absolute" from="3270,1730" to="3730,1730" stroked="true" strokeweight=".5pt" strokecolor="#878889">
                    <v:stroke dashstyle="solid"/>
                  </v:line>
                  <v:line style="position:absolute" from="2458,1730" to="2918,1730" stroked="true" strokeweight=".5pt" strokecolor="#878889">
                    <v:stroke dashstyle="solid"/>
                  </v:line>
                  <v:line style="position:absolute" from="1628,1730" to="2106,1730" stroked="true" strokeweight=".5pt" strokecolor="#878889">
                    <v:stroke dashstyle="solid"/>
                  </v:line>
                  <v:line style="position:absolute" from="831,1730" to="1276,1730" stroked="true" strokeweight=".5pt" strokecolor="#878889">
                    <v:stroke dashstyle="solid"/>
                  </v:line>
                  <v:line style="position:absolute" from="206,1730" to="479,1730" stroked="true" strokeweight=".5pt" strokecolor="#878889">
                    <v:stroke dashstyle="solid"/>
                  </v:line>
                  <v:line style="position:absolute" from="7590,2050" to="7590,2119" stroked="true" strokeweight=".463pt" strokecolor="#000000">
                    <v:stroke dashstyle="solid"/>
                  </v:line>
                  <v:line style="position:absolute" from="5950,2050" to="5950,2119" stroked="true" strokeweight=".463pt" strokecolor="#000000">
                    <v:stroke dashstyle="solid"/>
                  </v:line>
                  <v:line style="position:absolute" from="5132,2050" to="5132,2119" stroked="true" strokeweight=".463pt" strokecolor="#000000">
                    <v:stroke dashstyle="solid"/>
                  </v:line>
                  <v:line style="position:absolute" from="4313,2050" to="4313,2119" stroked="true" strokeweight=".463pt" strokecolor="#000000">
                    <v:stroke dashstyle="solid"/>
                  </v:line>
                  <v:line style="position:absolute" from="1067,2050" to="1067,2119" stroked="true" strokeweight=".463pt" strokecolor="#000000">
                    <v:stroke dashstyle="solid"/>
                  </v:line>
                  <v:line style="position:absolute" from="253,2054" to="253,2122" stroked="true" strokeweight=".463pt" strokecolor="#000000">
                    <v:stroke dashstyle="solid"/>
                  </v:line>
                  <v:line style="position:absolute" from="204,2057" to="272,2057" stroked="true" strokeweight=".462pt" strokecolor="#000000">
                    <v:stroke dashstyle="solid"/>
                  </v:line>
                  <v:line style="position:absolute" from="267,5" to="207,5" stroked="true" strokeweight=".421pt" strokecolor="#000000">
                    <v:stroke dashstyle="solid"/>
                  </v:line>
                  <v:rect style="position:absolute;left:2105;top:1086;width:352;height:613" filled="true" fillcolor="#ffec00" stroked="false">
                    <v:fill type="solid"/>
                  </v:rect>
                  <v:rect style="position:absolute;left:2105;top:1021;width:352;height:859" filled="false" stroked="true" strokeweight=".538pt" strokecolor="#000000">
                    <v:stroke dashstyle="solid"/>
                  </v:rect>
                  <v:rect style="position:absolute;left:2917;top:689;width:352;height:939" filled="true" fillcolor="#ffec00" stroked="false">
                    <v:fill type="solid"/>
                  </v:rect>
                  <v:rect style="position:absolute;left:2917;top:689;width:352;height:939" filled="false" stroked="true" strokeweight=".538pt" strokecolor="#000000">
                    <v:stroke dashstyle="solid"/>
                  </v:rect>
                  <v:rect style="position:absolute;left:479;top:908;width:352;height:1144" filled="true" fillcolor="#006ab2" stroked="false">
                    <v:fill type="solid"/>
                  </v:rect>
                  <v:rect style="position:absolute;left:479;top:908;width:352;height:1144" filled="false" stroked="true" strokeweight=".569pt" strokecolor="#000000">
                    <v:stroke dashstyle="solid"/>
                  </v:rect>
                  <v:rect style="position:absolute;left:1276;top:1086;width:352;height:970" filled="true" fillcolor="#006ab2" stroked="false">
                    <v:fill type="solid"/>
                  </v:rect>
                  <v:rect style="position:absolute;left:1276;top:1086;width:352;height:970" filled="false" stroked="true" strokeweight=".538pt" strokecolor="#000000">
                    <v:stroke dashstyle="solid"/>
                  </v:rect>
                  <v:rect style="position:absolute;left:2105;top:1699;width:352;height:357" filled="true" fillcolor="#006ab2" stroked="false">
                    <v:fill type="solid"/>
                  </v:rect>
                  <v:rect style="position:absolute;left:2105;top:1699;width:352;height:357" filled="false" stroked="true" strokeweight=".538pt" strokecolor="#000000">
                    <v:stroke dashstyle="solid"/>
                  </v:rect>
                  <v:rect style="position:absolute;left:2917;top:1627;width:352;height:430" filled="true" fillcolor="#006ab2" stroked="false">
                    <v:fill type="solid"/>
                  </v:rect>
                  <v:rect style="position:absolute;left:2917;top:1627;width:352;height:430" filled="false" stroked="true" strokeweight=".538pt" strokecolor="#000000">
                    <v:stroke dashstyle="solid"/>
                  </v:rect>
                  <v:rect style="position:absolute;left:4531;top:1200;width:352;height:857" filled="true" fillcolor="#006ab2" stroked="false">
                    <v:fill type="solid"/>
                  </v:rect>
                  <v:rect style="position:absolute;left:4531;top:1190;width:352;height:867" filled="false" stroked="true" strokeweight=".538pt" strokecolor="#000000">
                    <v:stroke dashstyle="solid"/>
                  </v:rect>
                  <v:rect style="position:absolute;left:5343;top:1502;width:352;height:555" filled="true" fillcolor="#006ab2" stroked="false">
                    <v:fill type="solid"/>
                  </v:rect>
                  <v:rect style="position:absolute;left:5343;top:1502;width:352;height:555" filled="false" stroked="true" strokeweight=".538pt" strokecolor="#000000">
                    <v:stroke dashstyle="solid"/>
                  </v:rect>
                  <v:rect style="position:absolute;left:6169;top:1174;width:352;height:883" filled="true" fillcolor="#ffec00" stroked="false">
                    <v:fill type="solid"/>
                  </v:rect>
                  <v:rect style="position:absolute;left:6169;top:1174;width:352;height:883" filled="false" stroked="true" strokeweight=".557pt" strokecolor="#000000">
                    <v:stroke dashstyle="solid"/>
                  </v:rect>
                  <v:rect style="position:absolute;left:3730;top:1260;width:352;height:795" filled="true" fillcolor="#1fa12d" stroked="false">
                    <v:fill type="solid"/>
                  </v:rect>
                  <v:rect style="position:absolute;left:3730;top:1260;width:352;height:795" filled="false" stroked="true" strokeweight=".538pt" strokecolor="#000000">
                    <v:stroke dashstyle="solid"/>
                  </v:rect>
                  <v:rect style="position:absolute;left:6980;top:778;width:352;height:1280" filled="true" fillcolor="#1fa12d" stroked="false">
                    <v:fill type="solid"/>
                  </v:rect>
                  <v:rect style="position:absolute;left:6980;top:605;width:352;height:1453" filled="false" stroked="true" strokeweight=".538pt" strokecolor="#000000">
                    <v:stroke dashstyle="solid"/>
                  </v:rect>
                  <v:rect style="position:absolute;left:6169;top:1996;width:352;height:61" filled="true" fillcolor="#006ab2" stroked="false">
                    <v:fill type="solid"/>
                  </v:rect>
                  <v:rect style="position:absolute;left:6169;top:1996;width:352;height:61" filled="false" stroked="true" strokeweight=".538pt" strokecolor="#000000">
                    <v:stroke dashstyle="solid"/>
                  </v:rect>
                  <v:shape style="position:absolute;left:1880;top:2050;width:2397;height:432" type="#_x0000_t75" stroked="false">
                    <v:imagedata r:id="rId26" o:title=""/>
                  </v:shape>
                  <v:shape style="position:absolute;left:4289;top:2212;width:847;height:269" type="#_x0000_t75" stroked="false">
                    <v:imagedata r:id="rId27" o:title=""/>
                  </v:shape>
                  <v:shape style="position:absolute;left:5335;top:2212;width:239;height:104" type="#_x0000_t75" stroked="false">
                    <v:imagedata r:id="rId28" o:title=""/>
                  </v:shape>
                  <v:shape style="position:absolute;left:5625;top:2220;width:261;height:121" type="#_x0000_t75" stroked="false">
                    <v:imagedata r:id="rId29" o:title=""/>
                  </v:shape>
                  <v:shape style="position:absolute;left:5271;top:2380;width:376;height:101" type="#_x0000_t75" stroked="false">
                    <v:imagedata r:id="rId30" o:title=""/>
                  </v:shape>
                  <v:shape style="position:absolute;left:5708;top:2380;width:99;height:99" coordorigin="5708,2380" coordsize="99,99" path="m5726,2380l5708,2380,5708,2479,5721,2479,5721,2397,5733,2397,5726,2380xm5733,2397l5721,2397,5752,2479,5763,2479,5769,2463,5757,2463,5733,2397xm5807,2397l5794,2397,5794,2479,5807,2479,5807,2397xm5807,2380l5789,2380,5757,2463,5769,2463,5794,2397,5807,2397,5807,2380xe" filled="true" fillcolor="#000000" stroked="false">
                    <v:path arrowok="t"/>
                    <v:fill type="solid"/>
                  </v:shape>
                  <v:shape style="position:absolute;left:5828;top:2380;width:79;height:99" coordorigin="5828,2380" coordsize="79,99" path="m5842,2380l5828,2380,5828,2479,5842,2479,5842,2434,5907,2434,5907,2423,5842,2423,5842,2380xm5907,2434l5894,2434,5894,2479,5907,2479,5907,2434xm5907,2380l5894,2380,5894,2423,5907,2423,5907,2380xe" filled="true" fillcolor="#000000" stroked="false">
                    <v:path arrowok="t"/>
                    <v:fill type="solid"/>
                  </v:shape>
                  <v:rect style="position:absolute;left:6623;top:2269;width:40;height:12" filled="true" fillcolor="#000000" stroked="false">
                    <v:fill type="solid"/>
                  </v:rect>
                  <v:shape style="position:absolute;left:5928;top:2050;width:1541;height:431" type="#_x0000_t75" stroked="false">
                    <v:imagedata r:id="rId31" o:title=""/>
                  </v:shape>
                  <v:rect style="position:absolute;left:7481;top:2214;width:12;height:99" filled="true" fillcolor="#000000" stroked="false">
                    <v:fill type="solid"/>
                  </v:rect>
                  <v:shape style="position:absolute;left:3;top:993;width:44;height:114" coordorigin="3,993" coordsize="44,114" path="m46,993l36,993,33,1010,19,1015,3,1015,3,1026,33,1026,33,1107,46,1107,46,993xe" filled="true" fillcolor="#000000" stroked="false">
                    <v:path arrowok="t"/>
                    <v:fill type="solid"/>
                  </v:shape>
                  <v:shape style="position:absolute;left:83;top:995;width:76;height:114" coordorigin="84,995" coordsize="76,114" path="m97,1076l84,1076,87,1090,95,1100,106,1107,120,1109,137,1106,150,1097,150,1097,108,1097,98,1088,97,1076xm150,1044l135,1044,145,1055,145,1088,134,1097,150,1097,157,1085,160,1071,157,1054,150,1044xm153,995l97,995,87,1054,98,1055,104,1048,111,1044,150,1044,149,1042,146,1040,102,1040,101,1040,108,1007,153,1007,153,995xm123,1032l115,1032,107,1035,102,1040,146,1040,137,1035,123,1032xe" filled="true" fillcolor="#000000" stroked="false">
                    <v:path arrowok="t"/>
                    <v:fill type="solid"/>
                  </v:shape>
                  <v:shape style="position:absolute;left:0;top:1325;width:44;height:114" coordorigin="0,1326" coordsize="44,114" path="m43,1326l33,1326,30,1343,16,1347,0,1347,0,1358,29,1358,29,1439,43,1439,43,1326xe" filled="true" fillcolor="#000000" stroked="false">
                    <v:path arrowok="t"/>
                    <v:fill type="solid"/>
                  </v:shape>
                  <v:shape style="position:absolute;left:81;top:1325;width:76;height:116" coordorigin="82,1326" coordsize="76,116" path="m120,1326l99,1331,87,1345,83,1364,82,1383,83,1403,87,1421,99,1435,120,1441,140,1435,146,1429,120,1429,106,1424,99,1412,97,1397,96,1383,97,1369,99,1354,106,1342,120,1338,146,1338,140,1331,120,1326xm146,1338l120,1338,133,1342,140,1354,143,1369,143,1383,143,1397,140,1412,133,1424,120,1429,146,1429,152,1421,156,1403,157,1383,156,1364,152,1345,146,1338xe" filled="true" fillcolor="#000000" stroked="false">
                    <v:path arrowok="t"/>
                    <v:fill type="solid"/>
                  </v:shape>
                  <v:shape style="position:absolute;left:88;top:1665;width:76;height:114" coordorigin="88,1665" coordsize="76,114" path="m102,1746l88,1746,91,1760,99,1770,110,1776,124,1779,142,1775,154,1767,154,1767,112,1767,103,1758,102,1746xm155,1714l139,1714,150,1725,150,1758,139,1767,154,1767,162,1755,164,1741,161,1724,155,1714xm158,1665l102,1665,91,1724,103,1725,108,1718,115,1714,155,1714,153,1712,151,1710,106,1710,106,1710,112,1677,158,1677,158,1665xm127,1702l120,1702,111,1704,106,1710,151,1710,142,1704,127,1702xe" filled="true" fillcolor="#000000" stroked="false">
                    <v:path arrowok="t"/>
                    <v:fill type="solid"/>
                  </v:shape>
                  <v:shape style="position:absolute;left:89;top:2000;width:76;height:116" coordorigin="89,2001" coordsize="76,116" path="m127,2001l106,2006,95,2020,90,2039,89,2059,90,2078,95,2097,106,2111,127,2116,148,2111,153,2104,127,2104,114,2099,107,2088,104,2073,104,2058,104,2044,107,2029,114,2018,127,2013,153,2013,148,2006,127,2001xm153,2013l127,2013,140,2018,147,2029,150,2044,150,2059,150,2073,147,2088,140,2099,127,2104,153,2104,159,2097,164,2078,165,2058,164,2039,159,2020,153,2013xe" filled="true" fillcolor="#000000" stroked="false">
                    <v:path arrowok="t"/>
                    <v:fill type="solid"/>
                  </v:shape>
                  <v:shape style="position:absolute;left:6980;top:396;width:355;height:382" coordorigin="6980,396" coordsize="355,382" path="m7335,396l6980,396,6980,778,7335,776,7335,396xe" filled="true" fillcolor="#e2001a" stroked="false">
                    <v:path arrowok="t"/>
                    <v:fill type="solid"/>
                  </v:shape>
                  <v:shape style="position:absolute;left:6980;top:396;width:355;height:382" coordorigin="6980,396" coordsize="355,382" path="m6980,778l6980,396,7335,396,7335,776,6980,778xe" filled="false" stroked="true" strokeweight=".538pt" strokecolor="#000000">
                    <v:path arrowok="t"/>
                    <v:stroke dashstyle="solid"/>
                  </v:shape>
                  <v:shape style="position:absolute;left:480;top:228;width:352;height:683" coordorigin="480,229" coordsize="352,683" path="m831,229l480,229,480,911,831,908,831,229xe" filled="true" fillcolor="#e2001a" stroked="false">
                    <v:path arrowok="t"/>
                    <v:fill type="solid"/>
                  </v:shape>
                  <v:shape style="position:absolute;left:480;top:228;width:352;height:683" coordorigin="480,229" coordsize="352,683" path="m480,911l480,229,831,229,831,908,480,911xe" filled="false" stroked="true" strokeweight=".538pt" strokecolor="#000000">
                    <v:path arrowok="t"/>
                    <v:stroke dashstyle="solid"/>
                  </v:shape>
                  <v:rect style="position:absolute;left:1276;top:417;width:353;height:670" filled="true" fillcolor="#e2001a" stroked="false">
                    <v:fill type="solid"/>
                  </v:rect>
                  <v:rect style="position:absolute;left:1276;top:417;width:353;height:670" filled="false" stroked="true" strokeweight=".569pt" strokecolor="#000000">
                    <v:stroke dashstyle="solid"/>
                  </v:rect>
                  <v:rect style="position:absolute;left:2103;top:652;width:353;height:435" filled="true" fillcolor="#e2001a" stroked="false">
                    <v:fill type="solid"/>
                  </v:rect>
                  <v:rect style="position:absolute;left:2103;top:652;width:353;height:435" filled="false" stroked="true" strokeweight=".569pt" strokecolor="#000000">
                    <v:stroke dashstyle="solid"/>
                  </v:rect>
                  <v:rect style="position:absolute;left:2918;top:327;width:354;height:362" filled="true" fillcolor="#e2001a" stroked="false">
                    <v:fill type="solid"/>
                  </v:rect>
                  <v:rect style="position:absolute;left:2918;top:327;width:354;height:362" filled="false" stroked="true" strokeweight=".569pt" strokecolor="#000000">
                    <v:stroke dashstyle="solid"/>
                  </v:rect>
                  <v:rect style="position:absolute;left:3730;top:392;width:353;height:871" filled="true" fillcolor="#e2001a" stroked="false">
                    <v:fill type="solid"/>
                  </v:rect>
                  <v:rect style="position:absolute;left:3730;top:392;width:353;height:871" filled="false" stroked="true" strokeweight=".569pt" strokecolor="#000000">
                    <v:stroke dashstyle="solid"/>
                  </v:rect>
                  <v:rect style="position:absolute;left:4532;top:873;width:353;height:328" filled="true" fillcolor="#e2001a" stroked="false">
                    <v:fill type="solid"/>
                  </v:rect>
                  <v:rect style="position:absolute;left:4532;top:873;width:353;height:328" filled="false" stroked="true" strokeweight=".569pt" strokecolor="#000000">
                    <v:stroke dashstyle="solid"/>
                  </v:rect>
                  <v:rect style="position:absolute;left:6169;top:914;width:353;height:262" filled="true" fillcolor="#e2001a" stroked="false">
                    <v:fill type="solid"/>
                  </v:rect>
                  <v:rect style="position:absolute;left:6169;top:914;width:353;height:262" filled="false" stroked="true" strokeweight=".569pt" strokecolor="#000000">
                    <v:stroke dashstyle="solid"/>
                  </v:rect>
                  <v:rect style="position:absolute;left:5342;top:1197;width:355;height:308" filled="true" fillcolor="#e2001a" stroked="false">
                    <v:fill type="solid"/>
                  </v:rect>
                  <v:rect style="position:absolute;left:5342;top:1197;width:355;height:308" filled="false" stroked="true" strokeweight=".569pt" strokecolor="#000000">
                    <v:stroke dashstyle="solid"/>
                  </v:rect>
                </v:group>
              </w:pict>
            </w:r>
            <w:r>
              <w:rPr>
                <w:spacing w:val="50"/>
                <w:sz w:val="20"/>
              </w:rPr>
            </w:r>
            <w:r>
              <w:rPr>
                <w:spacing w:val="50"/>
                <w:sz w:val="20"/>
              </w:rPr>
              <w:tab/>
            </w:r>
            <w:r>
              <w:rPr>
                <w:spacing w:val="50"/>
                <w:position w:val="236"/>
                <w:sz w:val="20"/>
              </w:rPr>
              <w:pict>
                <v:group style="width:10.5pt;height:10.5pt;mso-position-horizontal-relative:char;mso-position-vertical-relative:line" coordorigin="0,0" coordsize="210,210">
                  <v:rect style="position:absolute;left:4;top:4;width:202;height:202" filled="true" fillcolor="#e2001a" stroked="false">
                    <v:fill type="solid"/>
                  </v:rect>
                  <v:rect style="position:absolute;left:4;top:4;width:202;height:202" filled="false" stroked="true" strokeweight=".4pt" strokecolor="#000000">
                    <v:stroke dashstyle="solid"/>
                  </v:rect>
                </v:group>
              </w:pict>
            </w:r>
            <w:r>
              <w:rPr>
                <w:spacing w:val="50"/>
                <w:position w:val="236"/>
                <w:sz w:val="20"/>
              </w:rPr>
            </w:r>
            <w:r>
              <w:rPr>
                <w:spacing w:val="65"/>
                <w:position w:val="236"/>
                <w:sz w:val="20"/>
              </w:rPr>
              <w:t> </w:t>
            </w:r>
            <w:r>
              <w:rPr>
                <w:spacing w:val="65"/>
                <w:position w:val="216"/>
                <w:sz w:val="20"/>
              </w:rPr>
              <w:drawing>
                <wp:inline distT="0" distB="0" distL="0" distR="0">
                  <wp:extent cx="948187" cy="204025"/>
                  <wp:effectExtent l="0" t="0" r="0" b="0"/>
                  <wp:docPr id="13" name="image26.png"/>
                  <wp:cNvGraphicFramePr>
                    <a:graphicFrameLocks noChangeAspect="1"/>
                  </wp:cNvGraphicFramePr>
                  <a:graphic>
                    <a:graphicData uri="http://schemas.openxmlformats.org/drawingml/2006/picture">
                      <pic:pic>
                        <pic:nvPicPr>
                          <pic:cNvPr id="14" name="image26.png"/>
                          <pic:cNvPicPr/>
                        </pic:nvPicPr>
                        <pic:blipFill>
                          <a:blip r:embed="rId32" cstate="print"/>
                          <a:stretch>
                            <a:fillRect/>
                          </a:stretch>
                        </pic:blipFill>
                        <pic:spPr>
                          <a:xfrm>
                            <a:off x="0" y="0"/>
                            <a:ext cx="948187" cy="204025"/>
                          </a:xfrm>
                          <a:prstGeom prst="rect">
                            <a:avLst/>
                          </a:prstGeom>
                        </pic:spPr>
                      </pic:pic>
                    </a:graphicData>
                  </a:graphic>
                </wp:inline>
              </w:drawing>
            </w:r>
            <w:r>
              <w:rPr>
                <w:spacing w:val="65"/>
                <w:position w:val="216"/>
                <w:sz w:val="20"/>
              </w:rPr>
            </w:r>
          </w:p>
        </w:tc>
      </w:tr>
    </w:tbl>
    <w:p>
      <w:pPr>
        <w:spacing w:line="230" w:lineRule="auto" w:before="137"/>
        <w:ind w:left="518" w:right="730" w:firstLine="0"/>
        <w:jc w:val="both"/>
        <w:rPr>
          <w:sz w:val="18"/>
        </w:rPr>
      </w:pPr>
      <w:r>
        <w:rPr/>
        <w:pict>
          <v:group style="position:absolute;margin-left:130.813004pt;margin-top:-22.672359pt;width:33.5pt;height:13.05pt;mso-position-horizontal-relative:page;mso-position-vertical-relative:paragraph;z-index:-272447488" coordorigin="2616,-453" coordsize="670,261">
            <v:shape style="position:absolute;left:2987;top:-454;width:261;height:121" type="#_x0000_t75" stroked="false">
              <v:imagedata r:id="rId33" o:title=""/>
            </v:shape>
            <v:shape style="position:absolute;left:2616;top:-294;width:376;height:101" type="#_x0000_t75" stroked="false">
              <v:imagedata r:id="rId34" o:title=""/>
            </v:shape>
            <v:shape style="position:absolute;left:3052;top:-294;width:234;height:99" coordorigin="3053,-293" coordsize="234,99" path="m3151,-293l3133,-293,3102,-210,3077,-277,3071,-293,3053,-293,3053,-195,3065,-195,3065,-277,3065,-277,3096,-195,3107,-195,3113,-210,3138,-277,3138,-277,3138,-195,3151,-195,3151,-277,3151,-293m3251,-293l3238,-293,3238,-251,3186,-251,3186,-293,3173,-293,3173,-195,3186,-195,3186,-240,3238,-240,3238,-195,3251,-195,3251,-240,3251,-251,3251,-293m3286,-293l3273,-293,3273,-195,3286,-195,3286,-293e" filled="true" fillcolor="#000000" stroked="false">
              <v:path arrowok="t"/>
              <v:fill type="solid"/>
            </v:shape>
            <w10:wrap type="none"/>
          </v:group>
        </w:pict>
      </w:r>
      <w:r>
        <w:rPr/>
        <w:pict>
          <v:group style="position:absolute;margin-left:63.448002pt;margin-top:-79.477356pt;width:5.45pt;height:35.2pt;mso-position-horizontal-relative:page;mso-position-vertical-relative:paragraph;z-index:-272446464" coordorigin="1269,-1590" coordsize="109,704">
            <v:shape style="position:absolute;left:1268;top:-1438;width:109;height:551" type="#_x0000_t75" stroked="false">
              <v:imagedata r:id="rId35" o:title=""/>
            </v:shape>
            <v:shape style="position:absolute;left:1268;top:-1590;width:108;height:97" coordorigin="1269,-1590" coordsize="108,97" path="m1285,-1506l1269,-1506,1269,-1493,1285,-1493,1285,-1506m1376,-1506l1299,-1506,1299,-1493,1376,-1493,1376,-1506m1376,-1590l1308,-1590,1297,-1583,1297,-1552,1301,-1543,1311,-1538,1311,-1537,1299,-1537,1299,-1525,1376,-1525,1376,-1538,1318,-1538,1308,-1546,1308,-1571,1314,-1577,1376,-1577,1376,-1590e" filled="true" fillcolor="#000000" stroked="false">
              <v:path arrowok="t"/>
              <v:fill type="solid"/>
            </v:shape>
            <w10:wrap type="none"/>
          </v:group>
        </w:pict>
      </w:r>
      <w:r>
        <w:rPr/>
        <w:pict>
          <v:group style="position:absolute;margin-left:63.388pt;margin-top:-107.977356pt;width:5.55pt;height:25.85pt;mso-position-horizontal-relative:page;mso-position-vertical-relative:paragraph;z-index:-272445440" coordorigin="1268,-2160" coordsize="111,517">
            <v:shape style="position:absolute;left:1267;top:-1873;width:111;height:230" type="#_x0000_t75" stroked="false">
              <v:imagedata r:id="rId36" o:title=""/>
            </v:shape>
            <v:shape style="position:absolute;left:1296;top:-2160;width:82;height:226" coordorigin="1297,-2160" coordsize="82,226" path="m1378,-1972l1373,-1980,1364,-1986,1364,-1986,1376,-1986,1376,-1998,1299,-1998,1299,-1985,1356,-1985,1367,-1978,1367,-1953,1360,-1947,1299,-1947,1299,-1934,1366,-1934,1378,-1940,1378,-1972m1378,-2045l1377,-2057,1374,-2065,1373,-2067,1365,-2075,1353,-2078,1338,-2078,1334,-2065,1331,-2052,1329,-2041,1327,-2027,1310,-2027,1308,-2036,1308,-2053,1311,-2061,1321,-2062,1321,-2075,1309,-2072,1302,-2065,1298,-2055,1297,-2043,1297,-2029,1303,-2014,1334,-2014,1338,-2027,1338,-2027,1344,-2052,1345,-2065,1365,-2065,1366,-2055,1367,-2035,1363,-2025,1352,-2025,1352,-2012,1364,-2015,1372,-2022,1376,-2033,1378,-2045m1378,-2125l1376,-2137,1371,-2147,1363,-2154,1351,-2158,1351,-2146,1362,-2143,1367,-2136,1367,-2109,1355,-2101,1341,-2101,1341,-2146,1341,-2160,1330,-2159,1330,-2146,1330,-2101,1318,-2102,1308,-2110,1308,-2136,1318,-2145,1330,-2146,1330,-2159,1326,-2158,1312,-2153,1301,-2142,1297,-2124,1300,-2110,1308,-2098,1321,-2091,1337,-2088,1353,-2091,1366,-2098,1369,-2101,1375,-2109,1378,-2125e" filled="true" fillcolor="#000000" stroked="false">
              <v:path arrowok="t"/>
              <v:fill type="solid"/>
            </v:shape>
            <w10:wrap type="none"/>
          </v:group>
        </w:pict>
      </w:r>
      <w:r>
        <w:rPr/>
        <w:pict>
          <v:group style="position:absolute;margin-left:467.841003pt;margin-top:-101.638359pt;width:10.5pt;height:10.5pt;mso-position-horizontal-relative:page;mso-position-vertical-relative:paragraph;z-index:-272444416" coordorigin="9357,-2033" coordsize="210,210">
            <v:rect style="position:absolute;left:9360;top:-2029;width:202;height:202" filled="true" fillcolor="#1fa12d" stroked="false">
              <v:fill type="solid"/>
            </v:rect>
            <v:rect style="position:absolute;left:9360;top:-2029;width:202;height:202" filled="false" stroked="true" strokeweight=".4pt" strokecolor="#000000">
              <v:stroke dashstyle="solid"/>
            </v:rect>
            <w10:wrap type="none"/>
          </v:group>
        </w:pict>
      </w:r>
      <w:r>
        <w:rPr/>
        <w:pict>
          <v:group style="position:absolute;margin-left:467.841003pt;margin-top:-66.711357pt;width:10.5pt;height:10.5pt;mso-position-horizontal-relative:page;mso-position-vertical-relative:paragraph;z-index:-272443392" coordorigin="9357,-1334" coordsize="210,210">
            <v:rect style="position:absolute;left:9360;top:-1331;width:202;height:202" filled="true" fillcolor="#ffec00" stroked="false">
              <v:fill type="solid"/>
            </v:rect>
            <v:rect style="position:absolute;left:9360;top:-1331;width:202;height:202" filled="false" stroked="true" strokeweight=".4pt" strokecolor="#000000">
              <v:stroke dashstyle="solid"/>
            </v:rect>
            <w10:wrap type="none"/>
          </v:group>
        </w:pict>
      </w:r>
      <w:r>
        <w:rPr/>
        <w:pict>
          <v:group style="position:absolute;margin-left:467.841003pt;margin-top:-29.718359pt;width:10.5pt;height:10.5pt;mso-position-horizontal-relative:page;mso-position-vertical-relative:paragraph;z-index:-272442368" coordorigin="9357,-594" coordsize="210,210">
            <v:rect style="position:absolute;left:9360;top:-591;width:202;height:202" filled="true" fillcolor="#006ab2" stroked="false">
              <v:fill type="solid"/>
            </v:rect>
            <v:rect style="position:absolute;left:9360;top:-591;width:202;height:202" filled="false" stroked="true" strokeweight=".4pt" strokecolor="#000000">
              <v:stroke dashstyle="solid"/>
            </v:rect>
            <w10:wrap type="none"/>
          </v:group>
        </w:pict>
      </w:r>
      <w:bookmarkStart w:name="_bookmark12" w:id="32"/>
      <w:bookmarkEnd w:id="32"/>
      <w:r>
        <w:rPr/>
      </w:r>
      <w:r>
        <w:rPr>
          <w:b/>
          <w:sz w:val="18"/>
        </w:rPr>
        <w:t>Figure 3.7 </w:t>
      </w:r>
      <w:r>
        <w:rPr>
          <w:sz w:val="18"/>
        </w:rPr>
        <w:t>Percentage increase in fuel use per kWh of electricity due to CO</w:t>
      </w:r>
      <w:r>
        <w:rPr>
          <w:position w:val="-5"/>
          <w:sz w:val="10"/>
        </w:rPr>
        <w:t>2 </w:t>
      </w:r>
      <w:r>
        <w:rPr>
          <w:sz w:val="18"/>
        </w:rPr>
        <w:t>capture, compared to the same plant without capture (Source data: Davison, 2005; IEA GHG, 2004; IEA GHG, 2003; IEA GHG, 2000b; Dillon </w:t>
      </w:r>
      <w:r>
        <w:rPr>
          <w:i/>
          <w:sz w:val="18"/>
        </w:rPr>
        <w:t>et al.</w:t>
      </w:r>
      <w:r>
        <w:rPr>
          <w:sz w:val="18"/>
        </w:rPr>
        <w:t>, 2005).</w:t>
      </w:r>
    </w:p>
    <w:p>
      <w:pPr>
        <w:pStyle w:val="ListParagraph"/>
        <w:numPr>
          <w:ilvl w:val="0"/>
          <w:numId w:val="13"/>
        </w:numPr>
        <w:tabs>
          <w:tab w:pos="803" w:val="left" w:leader="none"/>
        </w:tabs>
        <w:spacing w:line="278" w:lineRule="auto" w:before="35" w:after="0"/>
        <w:ind w:left="802" w:right="728" w:hanging="284"/>
        <w:jc w:val="both"/>
        <w:rPr>
          <w:sz w:val="18"/>
        </w:rPr>
      </w:pPr>
      <w:r>
        <w:rPr>
          <w:sz w:val="18"/>
        </w:rPr>
        <w:t>The</w:t>
      </w:r>
      <w:r>
        <w:rPr>
          <w:spacing w:val="-5"/>
          <w:sz w:val="18"/>
        </w:rPr>
        <w:t> </w:t>
      </w:r>
      <w:r>
        <w:rPr>
          <w:sz w:val="18"/>
        </w:rPr>
        <w:t>increase</w:t>
      </w:r>
      <w:r>
        <w:rPr>
          <w:spacing w:val="-5"/>
          <w:sz w:val="18"/>
        </w:rPr>
        <w:t> </w:t>
      </w:r>
      <w:r>
        <w:rPr>
          <w:sz w:val="18"/>
        </w:rPr>
        <w:t>in</w:t>
      </w:r>
      <w:r>
        <w:rPr>
          <w:spacing w:val="-4"/>
          <w:sz w:val="18"/>
        </w:rPr>
        <w:t> </w:t>
      </w:r>
      <w:r>
        <w:rPr>
          <w:sz w:val="18"/>
        </w:rPr>
        <w:t>fuel</w:t>
      </w:r>
      <w:r>
        <w:rPr>
          <w:spacing w:val="-5"/>
          <w:sz w:val="18"/>
        </w:rPr>
        <w:t> </w:t>
      </w:r>
      <w:r>
        <w:rPr>
          <w:sz w:val="18"/>
        </w:rPr>
        <w:t>required</w:t>
      </w:r>
      <w:r>
        <w:rPr>
          <w:spacing w:val="-4"/>
          <w:sz w:val="18"/>
        </w:rPr>
        <w:t> </w:t>
      </w:r>
      <w:r>
        <w:rPr>
          <w:sz w:val="18"/>
        </w:rPr>
        <w:t>to</w:t>
      </w:r>
      <w:r>
        <w:rPr>
          <w:spacing w:val="-5"/>
          <w:sz w:val="18"/>
        </w:rPr>
        <w:t> </w:t>
      </w:r>
      <w:r>
        <w:rPr>
          <w:sz w:val="18"/>
        </w:rPr>
        <w:t>produce</w:t>
      </w:r>
      <w:r>
        <w:rPr>
          <w:spacing w:val="-4"/>
          <w:sz w:val="18"/>
        </w:rPr>
        <w:t> </w:t>
      </w:r>
      <w:r>
        <w:rPr>
          <w:sz w:val="18"/>
        </w:rPr>
        <w:t>a</w:t>
      </w:r>
      <w:r>
        <w:rPr>
          <w:spacing w:val="-5"/>
          <w:sz w:val="18"/>
        </w:rPr>
        <w:t> </w:t>
      </w:r>
      <w:r>
        <w:rPr>
          <w:sz w:val="18"/>
        </w:rPr>
        <w:t>kWh</w:t>
      </w:r>
      <w:r>
        <w:rPr>
          <w:spacing w:val="-4"/>
          <w:sz w:val="18"/>
        </w:rPr>
        <w:t> </w:t>
      </w:r>
      <w:r>
        <w:rPr>
          <w:sz w:val="18"/>
        </w:rPr>
        <w:t>of</w:t>
      </w:r>
      <w:r>
        <w:rPr>
          <w:spacing w:val="-5"/>
          <w:sz w:val="18"/>
        </w:rPr>
        <w:t> </w:t>
      </w:r>
      <w:r>
        <w:rPr>
          <w:sz w:val="18"/>
        </w:rPr>
        <w:t>electricity</w:t>
      </w:r>
      <w:r>
        <w:rPr>
          <w:spacing w:val="-5"/>
          <w:sz w:val="18"/>
        </w:rPr>
        <w:t> </w:t>
      </w:r>
      <w:r>
        <w:rPr>
          <w:sz w:val="18"/>
        </w:rPr>
        <w:t>is</w:t>
      </w:r>
      <w:r>
        <w:rPr>
          <w:spacing w:val="-5"/>
          <w:sz w:val="18"/>
        </w:rPr>
        <w:t> </w:t>
      </w:r>
      <w:r>
        <w:rPr>
          <w:sz w:val="18"/>
        </w:rPr>
        <w:t>calculated</w:t>
      </w:r>
      <w:r>
        <w:rPr>
          <w:spacing w:val="-4"/>
          <w:sz w:val="18"/>
        </w:rPr>
        <w:t> </w:t>
      </w:r>
      <w:r>
        <w:rPr>
          <w:sz w:val="18"/>
        </w:rPr>
        <w:t>by</w:t>
      </w:r>
      <w:r>
        <w:rPr>
          <w:spacing w:val="-5"/>
          <w:sz w:val="18"/>
        </w:rPr>
        <w:t> </w:t>
      </w:r>
      <w:r>
        <w:rPr>
          <w:sz w:val="18"/>
        </w:rPr>
        <w:t>comparing</w:t>
      </w:r>
      <w:r>
        <w:rPr>
          <w:spacing w:val="-4"/>
          <w:sz w:val="18"/>
        </w:rPr>
        <w:t> </w:t>
      </w:r>
      <w:r>
        <w:rPr>
          <w:sz w:val="18"/>
        </w:rPr>
        <w:t>the</w:t>
      </w:r>
      <w:r>
        <w:rPr>
          <w:spacing w:val="-5"/>
          <w:sz w:val="18"/>
        </w:rPr>
        <w:t> </w:t>
      </w:r>
      <w:r>
        <w:rPr>
          <w:sz w:val="18"/>
        </w:rPr>
        <w:t>same</w:t>
      </w:r>
      <w:r>
        <w:rPr>
          <w:spacing w:val="-6"/>
          <w:sz w:val="18"/>
        </w:rPr>
        <w:t> </w:t>
      </w:r>
      <w:r>
        <w:rPr>
          <w:sz w:val="18"/>
        </w:rPr>
        <w:t>type</w:t>
      </w:r>
      <w:r>
        <w:rPr>
          <w:spacing w:val="-4"/>
          <w:sz w:val="18"/>
        </w:rPr>
        <w:t> </w:t>
      </w:r>
      <w:r>
        <w:rPr>
          <w:sz w:val="18"/>
        </w:rPr>
        <w:t>of</w:t>
      </w:r>
      <w:r>
        <w:rPr>
          <w:spacing w:val="-5"/>
          <w:sz w:val="18"/>
        </w:rPr>
        <w:t> </w:t>
      </w:r>
      <w:r>
        <w:rPr>
          <w:sz w:val="18"/>
        </w:rPr>
        <w:t>plant</w:t>
      </w:r>
      <w:r>
        <w:rPr>
          <w:spacing w:val="-4"/>
          <w:sz w:val="18"/>
        </w:rPr>
        <w:t> </w:t>
      </w:r>
      <w:r>
        <w:rPr>
          <w:sz w:val="18"/>
        </w:rPr>
        <w:t>with</w:t>
      </w:r>
      <w:r>
        <w:rPr>
          <w:spacing w:val="-6"/>
          <w:sz w:val="18"/>
        </w:rPr>
        <w:t> </w:t>
      </w:r>
      <w:r>
        <w:rPr>
          <w:sz w:val="18"/>
        </w:rPr>
        <w:t>and</w:t>
      </w:r>
      <w:r>
        <w:rPr>
          <w:spacing w:val="-4"/>
          <w:sz w:val="18"/>
        </w:rPr>
        <w:t> </w:t>
      </w:r>
      <w:r>
        <w:rPr>
          <w:sz w:val="18"/>
        </w:rPr>
        <w:t>without</w:t>
      </w:r>
      <w:r>
        <w:rPr>
          <w:spacing w:val="-6"/>
          <w:sz w:val="18"/>
        </w:rPr>
        <w:t> </w:t>
      </w:r>
      <w:r>
        <w:rPr>
          <w:sz w:val="18"/>
        </w:rPr>
        <w:t>capture.</w:t>
      </w:r>
      <w:r>
        <w:rPr>
          <w:spacing w:val="-8"/>
          <w:sz w:val="18"/>
        </w:rPr>
        <w:t> </w:t>
      </w:r>
      <w:r>
        <w:rPr>
          <w:sz w:val="18"/>
        </w:rPr>
        <w:t>The increase</w:t>
      </w:r>
      <w:r>
        <w:rPr>
          <w:spacing w:val="-9"/>
          <w:sz w:val="18"/>
        </w:rPr>
        <w:t> </w:t>
      </w:r>
      <w:r>
        <w:rPr>
          <w:sz w:val="18"/>
        </w:rPr>
        <w:t>in</w:t>
      </w:r>
      <w:r>
        <w:rPr>
          <w:spacing w:val="-9"/>
          <w:sz w:val="18"/>
        </w:rPr>
        <w:t> </w:t>
      </w:r>
      <w:r>
        <w:rPr>
          <w:sz w:val="18"/>
        </w:rPr>
        <w:t>fuel</w:t>
      </w:r>
      <w:r>
        <w:rPr>
          <w:spacing w:val="-8"/>
          <w:sz w:val="18"/>
        </w:rPr>
        <w:t> </w:t>
      </w:r>
      <w:r>
        <w:rPr>
          <w:sz w:val="18"/>
        </w:rPr>
        <w:t>consumption</w:t>
      </w:r>
      <w:r>
        <w:rPr>
          <w:spacing w:val="-9"/>
          <w:sz w:val="18"/>
        </w:rPr>
        <w:t> </w:t>
      </w:r>
      <w:r>
        <w:rPr>
          <w:sz w:val="18"/>
        </w:rPr>
        <w:t>depends</w:t>
      </w:r>
      <w:r>
        <w:rPr>
          <w:spacing w:val="-9"/>
          <w:sz w:val="18"/>
        </w:rPr>
        <w:t> </w:t>
      </w:r>
      <w:r>
        <w:rPr>
          <w:sz w:val="18"/>
        </w:rPr>
        <w:t>on</w:t>
      </w:r>
      <w:r>
        <w:rPr>
          <w:spacing w:val="-8"/>
          <w:sz w:val="18"/>
        </w:rPr>
        <w:t> </w:t>
      </w:r>
      <w:r>
        <w:rPr>
          <w:sz w:val="18"/>
        </w:rPr>
        <w:t>the</w:t>
      </w:r>
      <w:r>
        <w:rPr>
          <w:spacing w:val="-9"/>
          <w:sz w:val="18"/>
        </w:rPr>
        <w:t> </w:t>
      </w:r>
      <w:r>
        <w:rPr>
          <w:sz w:val="18"/>
        </w:rPr>
        <w:t>type</w:t>
      </w:r>
      <w:r>
        <w:rPr>
          <w:spacing w:val="-8"/>
          <w:sz w:val="18"/>
        </w:rPr>
        <w:t> </w:t>
      </w:r>
      <w:r>
        <w:rPr>
          <w:sz w:val="18"/>
        </w:rPr>
        <w:t>of</w:t>
      </w:r>
      <w:r>
        <w:rPr>
          <w:spacing w:val="-9"/>
          <w:sz w:val="18"/>
        </w:rPr>
        <w:t> </w:t>
      </w:r>
      <w:r>
        <w:rPr>
          <w:sz w:val="18"/>
        </w:rPr>
        <w:t>baseline</w:t>
      </w:r>
      <w:r>
        <w:rPr>
          <w:spacing w:val="-9"/>
          <w:sz w:val="18"/>
        </w:rPr>
        <w:t> </w:t>
      </w:r>
      <w:r>
        <w:rPr>
          <w:sz w:val="18"/>
        </w:rPr>
        <w:t>plant</w:t>
      </w:r>
      <w:r>
        <w:rPr>
          <w:spacing w:val="-8"/>
          <w:sz w:val="18"/>
        </w:rPr>
        <w:t> </w:t>
      </w:r>
      <w:r>
        <w:rPr>
          <w:sz w:val="18"/>
        </w:rPr>
        <w:t>without</w:t>
      </w:r>
      <w:r>
        <w:rPr>
          <w:spacing w:val="-9"/>
          <w:sz w:val="18"/>
        </w:rPr>
        <w:t> </w:t>
      </w:r>
      <w:r>
        <w:rPr>
          <w:sz w:val="18"/>
        </w:rPr>
        <w:t>capture.</w:t>
      </w:r>
      <w:r>
        <w:rPr>
          <w:spacing w:val="-9"/>
          <w:sz w:val="18"/>
        </w:rPr>
        <w:t> </w:t>
      </w:r>
      <w:r>
        <w:rPr>
          <w:sz w:val="18"/>
        </w:rPr>
        <w:t>For</w:t>
      </w:r>
      <w:r>
        <w:rPr>
          <w:spacing w:val="-8"/>
          <w:sz w:val="18"/>
        </w:rPr>
        <w:t> </w:t>
      </w:r>
      <w:r>
        <w:rPr>
          <w:sz w:val="18"/>
        </w:rPr>
        <w:t>example,</w:t>
      </w:r>
      <w:r>
        <w:rPr>
          <w:spacing w:val="-9"/>
          <w:sz w:val="18"/>
        </w:rPr>
        <w:t> </w:t>
      </w:r>
      <w:r>
        <w:rPr>
          <w:sz w:val="18"/>
        </w:rPr>
        <w:t>the</w:t>
      </w:r>
      <w:r>
        <w:rPr>
          <w:spacing w:val="-8"/>
          <w:sz w:val="18"/>
        </w:rPr>
        <w:t> </w:t>
      </w:r>
      <w:r>
        <w:rPr>
          <w:sz w:val="18"/>
        </w:rPr>
        <w:t>increase</w:t>
      </w:r>
      <w:r>
        <w:rPr>
          <w:spacing w:val="-9"/>
          <w:sz w:val="18"/>
        </w:rPr>
        <w:t> </w:t>
      </w:r>
      <w:r>
        <w:rPr>
          <w:sz w:val="18"/>
        </w:rPr>
        <w:t>in</w:t>
      </w:r>
      <w:r>
        <w:rPr>
          <w:spacing w:val="-9"/>
          <w:sz w:val="18"/>
        </w:rPr>
        <w:t> </w:t>
      </w:r>
      <w:r>
        <w:rPr>
          <w:sz w:val="18"/>
        </w:rPr>
        <w:t>energy</w:t>
      </w:r>
      <w:r>
        <w:rPr>
          <w:spacing w:val="-8"/>
          <w:sz w:val="18"/>
        </w:rPr>
        <w:t> </w:t>
      </w:r>
      <w:r>
        <w:rPr>
          <w:sz w:val="18"/>
        </w:rPr>
        <w:t>consumption</w:t>
      </w:r>
      <w:r>
        <w:rPr>
          <w:spacing w:val="-9"/>
          <w:sz w:val="18"/>
        </w:rPr>
        <w:t> </w:t>
      </w:r>
      <w:r>
        <w:rPr>
          <w:sz w:val="18"/>
        </w:rPr>
        <w:t>for</w:t>
      </w:r>
      <w:r>
        <w:rPr>
          <w:spacing w:val="-8"/>
          <w:sz w:val="18"/>
        </w:rPr>
        <w:t> </w:t>
      </w:r>
      <w:r>
        <w:rPr>
          <w:sz w:val="18"/>
        </w:rPr>
        <w:t>a</w:t>
      </w:r>
      <w:r>
        <w:rPr>
          <w:spacing w:val="-9"/>
          <w:sz w:val="18"/>
        </w:rPr>
        <w:t> </w:t>
      </w:r>
      <w:r>
        <w:rPr>
          <w:sz w:val="18"/>
        </w:rPr>
        <w:t>GE IGCC plant with capture compared to a coal steam cycle baseline plant without capture would be 40% as opposed to the lower value shown in the figure that was calculated relative to the same type of baseline plant without</w:t>
      </w:r>
      <w:r>
        <w:rPr>
          <w:spacing w:val="-9"/>
          <w:sz w:val="18"/>
        </w:rPr>
        <w:t> </w:t>
      </w:r>
      <w:r>
        <w:rPr>
          <w:sz w:val="18"/>
        </w:rPr>
        <w:t>capture.</w:t>
      </w:r>
    </w:p>
    <w:p>
      <w:pPr>
        <w:pStyle w:val="ListParagraph"/>
        <w:numPr>
          <w:ilvl w:val="0"/>
          <w:numId w:val="13"/>
        </w:numPr>
        <w:tabs>
          <w:tab w:pos="803" w:val="left" w:leader="none"/>
        </w:tabs>
        <w:spacing w:line="230" w:lineRule="auto" w:before="5" w:after="0"/>
        <w:ind w:left="802" w:right="729" w:hanging="285"/>
        <w:jc w:val="both"/>
        <w:rPr>
          <w:sz w:val="18"/>
        </w:rPr>
      </w:pPr>
      <w:r>
        <w:rPr>
          <w:sz w:val="18"/>
        </w:rPr>
        <w:t>The direct energy consumptions for CO</w:t>
      </w:r>
      <w:r>
        <w:rPr>
          <w:position w:val="-5"/>
          <w:sz w:val="10"/>
        </w:rPr>
        <w:t>2 </w:t>
      </w:r>
      <w:r>
        <w:rPr>
          <w:sz w:val="18"/>
        </w:rPr>
        <w:t>separation are lower for pre-combustion capture than for post-combustion capture, because CO</w:t>
      </w:r>
      <w:r>
        <w:rPr>
          <w:position w:val="-5"/>
          <w:sz w:val="10"/>
        </w:rPr>
        <w:t>2 </w:t>
      </w:r>
      <w:r>
        <w:rPr>
          <w:sz w:val="18"/>
        </w:rPr>
        <w:t>is removed from a more concentrated, higher pressure gas, so a physical rather than a chemical solvent can be</w:t>
      </w:r>
      <w:r>
        <w:rPr>
          <w:spacing w:val="-5"/>
          <w:sz w:val="18"/>
        </w:rPr>
        <w:t> </w:t>
      </w:r>
      <w:r>
        <w:rPr>
          <w:sz w:val="18"/>
        </w:rPr>
        <w:t>used.</w:t>
      </w:r>
    </w:p>
    <w:p>
      <w:pPr>
        <w:pStyle w:val="ListParagraph"/>
        <w:numPr>
          <w:ilvl w:val="0"/>
          <w:numId w:val="13"/>
        </w:numPr>
        <w:tabs>
          <w:tab w:pos="803" w:val="left" w:leader="none"/>
        </w:tabs>
        <w:spacing w:line="240" w:lineRule="exact" w:before="11" w:after="0"/>
        <w:ind w:left="802" w:right="728" w:hanging="285"/>
        <w:jc w:val="both"/>
        <w:rPr>
          <w:sz w:val="18"/>
        </w:rPr>
      </w:pPr>
      <w:r>
        <w:rPr>
          <w:sz w:val="18"/>
        </w:rPr>
        <w:t>The ‘Fuel gas processing and related impacts’ category for IGCC includes shift conversion of the fuel gas and the effects on the gas turbine combined</w:t>
      </w:r>
      <w:r>
        <w:rPr>
          <w:spacing w:val="-4"/>
          <w:sz w:val="18"/>
        </w:rPr>
        <w:t> </w:t>
      </w:r>
      <w:r>
        <w:rPr>
          <w:sz w:val="18"/>
        </w:rPr>
        <w:t>cycle</w:t>
      </w:r>
      <w:r>
        <w:rPr>
          <w:spacing w:val="-3"/>
          <w:sz w:val="18"/>
        </w:rPr>
        <w:t> </w:t>
      </w:r>
      <w:r>
        <w:rPr>
          <w:sz w:val="18"/>
        </w:rPr>
        <w:t>of</w:t>
      </w:r>
      <w:r>
        <w:rPr>
          <w:spacing w:val="-2"/>
          <w:sz w:val="18"/>
        </w:rPr>
        <w:t> </w:t>
      </w:r>
      <w:r>
        <w:rPr>
          <w:sz w:val="18"/>
        </w:rPr>
        <w:t>removal</w:t>
      </w:r>
      <w:r>
        <w:rPr>
          <w:spacing w:val="-4"/>
          <w:sz w:val="18"/>
        </w:rPr>
        <w:t> </w:t>
      </w:r>
      <w:r>
        <w:rPr>
          <w:sz w:val="18"/>
        </w:rPr>
        <w:t>of</w:t>
      </w:r>
      <w:r>
        <w:rPr>
          <w:spacing w:val="-2"/>
          <w:sz w:val="18"/>
        </w:rPr>
        <w:t> </w:t>
      </w:r>
      <w:r>
        <w:rPr>
          <w:sz w:val="18"/>
        </w:rPr>
        <w:t>CO</w:t>
      </w:r>
      <w:r>
        <w:rPr>
          <w:position w:val="-5"/>
          <w:sz w:val="10"/>
        </w:rPr>
        <w:t>2</w:t>
      </w:r>
      <w:r>
        <w:rPr>
          <w:spacing w:val="18"/>
          <w:position w:val="-5"/>
          <w:sz w:val="10"/>
        </w:rPr>
        <w:t> </w:t>
      </w:r>
      <w:r>
        <w:rPr>
          <w:sz w:val="18"/>
        </w:rPr>
        <w:t>from</w:t>
      </w:r>
      <w:r>
        <w:rPr>
          <w:spacing w:val="-3"/>
          <w:sz w:val="18"/>
        </w:rPr>
        <w:t> </w:t>
      </w:r>
      <w:r>
        <w:rPr>
          <w:sz w:val="18"/>
        </w:rPr>
        <w:t>the</w:t>
      </w:r>
      <w:r>
        <w:rPr>
          <w:spacing w:val="-4"/>
          <w:sz w:val="18"/>
        </w:rPr>
        <w:t> </w:t>
      </w:r>
      <w:r>
        <w:rPr>
          <w:sz w:val="18"/>
        </w:rPr>
        <w:t>fuel</w:t>
      </w:r>
      <w:r>
        <w:rPr>
          <w:spacing w:val="-3"/>
          <w:sz w:val="18"/>
        </w:rPr>
        <w:t> </w:t>
      </w:r>
      <w:r>
        <w:rPr>
          <w:sz w:val="18"/>
        </w:rPr>
        <w:t>gas</w:t>
      </w:r>
      <w:r>
        <w:rPr>
          <w:spacing w:val="-2"/>
          <w:sz w:val="18"/>
        </w:rPr>
        <w:t> </w:t>
      </w:r>
      <w:r>
        <w:rPr>
          <w:sz w:val="18"/>
        </w:rPr>
        <w:t>and</w:t>
      </w:r>
      <w:r>
        <w:rPr>
          <w:spacing w:val="-4"/>
          <w:sz w:val="18"/>
        </w:rPr>
        <w:t> </w:t>
      </w:r>
      <w:r>
        <w:rPr>
          <w:sz w:val="18"/>
        </w:rPr>
        <w:t>use</w:t>
      </w:r>
      <w:r>
        <w:rPr>
          <w:spacing w:val="-2"/>
          <w:sz w:val="18"/>
        </w:rPr>
        <w:t> </w:t>
      </w:r>
      <w:r>
        <w:rPr>
          <w:sz w:val="18"/>
        </w:rPr>
        <w:t>of</w:t>
      </w:r>
      <w:r>
        <w:rPr>
          <w:spacing w:val="-2"/>
          <w:sz w:val="18"/>
        </w:rPr>
        <w:t> </w:t>
      </w:r>
      <w:r>
        <w:rPr>
          <w:sz w:val="18"/>
        </w:rPr>
        <w:t>hydrogen</w:t>
      </w:r>
      <w:r>
        <w:rPr>
          <w:spacing w:val="-2"/>
          <w:sz w:val="18"/>
        </w:rPr>
        <w:t> </w:t>
      </w:r>
      <w:r>
        <w:rPr>
          <w:sz w:val="18"/>
        </w:rPr>
        <w:t>as</w:t>
      </w:r>
      <w:r>
        <w:rPr>
          <w:spacing w:val="-3"/>
          <w:sz w:val="18"/>
        </w:rPr>
        <w:t> </w:t>
      </w:r>
      <w:r>
        <w:rPr>
          <w:sz w:val="18"/>
        </w:rPr>
        <w:t>a</w:t>
      </w:r>
      <w:r>
        <w:rPr>
          <w:spacing w:val="-3"/>
          <w:sz w:val="18"/>
        </w:rPr>
        <w:t> </w:t>
      </w:r>
      <w:r>
        <w:rPr>
          <w:sz w:val="18"/>
        </w:rPr>
        <w:t>fuel</w:t>
      </w:r>
      <w:r>
        <w:rPr>
          <w:spacing w:val="-3"/>
          <w:sz w:val="18"/>
        </w:rPr>
        <w:t> </w:t>
      </w:r>
      <w:r>
        <w:rPr>
          <w:sz w:val="18"/>
        </w:rPr>
        <w:t>instead</w:t>
      </w:r>
      <w:r>
        <w:rPr>
          <w:spacing w:val="-3"/>
          <w:sz w:val="18"/>
        </w:rPr>
        <w:t> </w:t>
      </w:r>
      <w:r>
        <w:rPr>
          <w:sz w:val="18"/>
        </w:rPr>
        <w:t>of</w:t>
      </w:r>
      <w:r>
        <w:rPr>
          <w:spacing w:val="-3"/>
          <w:sz w:val="18"/>
        </w:rPr>
        <w:t> </w:t>
      </w:r>
      <w:r>
        <w:rPr>
          <w:sz w:val="18"/>
        </w:rPr>
        <w:t>syngas.</w:t>
      </w:r>
      <w:r>
        <w:rPr>
          <w:spacing w:val="-3"/>
          <w:sz w:val="18"/>
        </w:rPr>
        <w:t> </w:t>
      </w:r>
      <w:r>
        <w:rPr>
          <w:sz w:val="18"/>
        </w:rPr>
        <w:t>For</w:t>
      </w:r>
      <w:r>
        <w:rPr>
          <w:spacing w:val="-3"/>
          <w:sz w:val="18"/>
        </w:rPr>
        <w:t> </w:t>
      </w:r>
      <w:r>
        <w:rPr>
          <w:sz w:val="18"/>
        </w:rPr>
        <w:t>natural</w:t>
      </w:r>
      <w:r>
        <w:rPr>
          <w:spacing w:val="-4"/>
          <w:sz w:val="18"/>
        </w:rPr>
        <w:t> </w:t>
      </w:r>
      <w:r>
        <w:rPr>
          <w:sz w:val="18"/>
        </w:rPr>
        <w:t>gas</w:t>
      </w:r>
      <w:r>
        <w:rPr>
          <w:spacing w:val="-2"/>
          <w:sz w:val="18"/>
        </w:rPr>
        <w:t> </w:t>
      </w:r>
      <w:r>
        <w:rPr>
          <w:sz w:val="18"/>
        </w:rPr>
        <w:t>pre-combustion</w:t>
      </w:r>
      <w:r>
        <w:rPr>
          <w:spacing w:val="-3"/>
          <w:sz w:val="18"/>
        </w:rPr>
        <w:t> </w:t>
      </w:r>
      <w:r>
        <w:rPr>
          <w:sz w:val="18"/>
        </w:rPr>
        <w:t>capture this category also includes partial oxidation/steam reforming of the natural gas.</w:t>
      </w:r>
    </w:p>
    <w:p>
      <w:pPr>
        <w:pStyle w:val="ListParagraph"/>
        <w:numPr>
          <w:ilvl w:val="0"/>
          <w:numId w:val="13"/>
        </w:numPr>
        <w:tabs>
          <w:tab w:pos="803" w:val="left" w:leader="none"/>
        </w:tabs>
        <w:spacing w:line="230" w:lineRule="auto" w:before="28" w:after="0"/>
        <w:ind w:left="802" w:right="730" w:hanging="285"/>
        <w:jc w:val="both"/>
        <w:rPr>
          <w:sz w:val="18"/>
        </w:rPr>
      </w:pPr>
      <w:r>
        <w:rPr>
          <w:sz w:val="18"/>
        </w:rPr>
        <w:t>The energy consumption for CO</w:t>
      </w:r>
      <w:r>
        <w:rPr>
          <w:position w:val="-5"/>
          <w:sz w:val="10"/>
        </w:rPr>
        <w:t>2 </w:t>
      </w:r>
      <w:r>
        <w:rPr>
          <w:sz w:val="18"/>
        </w:rPr>
        <w:t>compression is lower in pre-combustion capture than in post-combustion capture because some of the CO</w:t>
      </w:r>
      <w:r>
        <w:rPr>
          <w:position w:val="-5"/>
          <w:sz w:val="10"/>
        </w:rPr>
        <w:t>2</w:t>
      </w:r>
      <w:r>
        <w:rPr>
          <w:sz w:val="10"/>
        </w:rPr>
        <w:t> </w:t>
      </w:r>
      <w:r>
        <w:rPr>
          <w:sz w:val="18"/>
        </w:rPr>
        <w:t>leaves the separation unit at elevated</w:t>
      </w:r>
      <w:r>
        <w:rPr>
          <w:spacing w:val="-2"/>
          <w:sz w:val="18"/>
        </w:rPr>
        <w:t> </w:t>
      </w:r>
      <w:r>
        <w:rPr>
          <w:sz w:val="18"/>
        </w:rPr>
        <w:t>pressure.</w:t>
      </w:r>
    </w:p>
    <w:p>
      <w:pPr>
        <w:pStyle w:val="ListParagraph"/>
        <w:numPr>
          <w:ilvl w:val="0"/>
          <w:numId w:val="13"/>
        </w:numPr>
        <w:tabs>
          <w:tab w:pos="803" w:val="left" w:leader="none"/>
        </w:tabs>
        <w:spacing w:line="230" w:lineRule="auto" w:before="40" w:after="0"/>
        <w:ind w:left="802" w:right="727" w:hanging="285"/>
        <w:jc w:val="both"/>
        <w:rPr>
          <w:sz w:val="18"/>
        </w:rPr>
      </w:pPr>
      <w:r>
        <w:rPr>
          <w:sz w:val="18"/>
        </w:rPr>
        <w:t>The energy consumption for CO</w:t>
      </w:r>
      <w:r>
        <w:rPr>
          <w:position w:val="-5"/>
          <w:sz w:val="10"/>
        </w:rPr>
        <w:t>2 </w:t>
      </w:r>
      <w:r>
        <w:rPr>
          <w:sz w:val="18"/>
        </w:rPr>
        <w:t>compression in the oxy-fuel processes depends on the composition of the extracted product, namely 75% by volume in the coal-fired plant and 93% by volume in the gas fired plant. Impurities are cryogenically removed from the CO</w:t>
      </w:r>
      <w:r>
        <w:rPr>
          <w:position w:val="-5"/>
          <w:sz w:val="10"/>
        </w:rPr>
        <w:t>2 </w:t>
      </w:r>
      <w:r>
        <w:rPr>
          <w:sz w:val="18"/>
        </w:rPr>
        <w:t>during compression, to give a final CO</w:t>
      </w:r>
      <w:r>
        <w:rPr>
          <w:position w:val="-5"/>
          <w:sz w:val="10"/>
        </w:rPr>
        <w:t>2 </w:t>
      </w:r>
      <w:r>
        <w:rPr>
          <w:sz w:val="18"/>
        </w:rPr>
        <w:t>purity of 96% by volume. The energy consumption of the cryogenic CO</w:t>
      </w:r>
      <w:r>
        <w:rPr>
          <w:position w:val="-5"/>
          <w:sz w:val="10"/>
        </w:rPr>
        <w:t>2 </w:t>
      </w:r>
      <w:r>
        <w:rPr>
          <w:sz w:val="18"/>
        </w:rPr>
        <w:t>separation unit is included in the CO</w:t>
      </w:r>
      <w:r>
        <w:rPr>
          <w:position w:val="-5"/>
          <w:sz w:val="10"/>
        </w:rPr>
        <w:t>2 </w:t>
      </w:r>
      <w:r>
        <w:rPr>
          <w:sz w:val="18"/>
        </w:rPr>
        <w:t>compression power</w:t>
      </w:r>
      <w:r>
        <w:rPr>
          <w:spacing w:val="-5"/>
          <w:sz w:val="18"/>
        </w:rPr>
        <w:t> </w:t>
      </w:r>
      <w:r>
        <w:rPr>
          <w:sz w:val="18"/>
        </w:rPr>
        <w:t>consumption.</w:t>
      </w:r>
    </w:p>
    <w:p>
      <w:pPr>
        <w:pStyle w:val="ListParagraph"/>
        <w:numPr>
          <w:ilvl w:val="0"/>
          <w:numId w:val="13"/>
        </w:numPr>
        <w:tabs>
          <w:tab w:pos="803" w:val="left" w:leader="none"/>
        </w:tabs>
        <w:spacing w:line="196" w:lineRule="exact" w:before="0" w:after="0"/>
        <w:ind w:left="802" w:right="0" w:hanging="284"/>
        <w:jc w:val="both"/>
        <w:rPr>
          <w:sz w:val="18"/>
        </w:rPr>
      </w:pPr>
      <w:r>
        <w:rPr>
          <w:sz w:val="18"/>
        </w:rPr>
        <w:t>The</w:t>
      </w:r>
      <w:r>
        <w:rPr>
          <w:spacing w:val="6"/>
          <w:sz w:val="18"/>
        </w:rPr>
        <w:t> </w:t>
      </w:r>
      <w:r>
        <w:rPr>
          <w:sz w:val="18"/>
        </w:rPr>
        <w:t>‘Oxygen</w:t>
      </w:r>
      <w:r>
        <w:rPr>
          <w:spacing w:val="6"/>
          <w:sz w:val="18"/>
        </w:rPr>
        <w:t> </w:t>
      </w:r>
      <w:r>
        <w:rPr>
          <w:sz w:val="18"/>
        </w:rPr>
        <w:t>production</w:t>
      </w:r>
      <w:r>
        <w:rPr>
          <w:spacing w:val="6"/>
          <w:sz w:val="18"/>
        </w:rPr>
        <w:t> </w:t>
      </w:r>
      <w:r>
        <w:rPr>
          <w:sz w:val="18"/>
        </w:rPr>
        <w:t>and</w:t>
      </w:r>
      <w:r>
        <w:rPr>
          <w:spacing w:val="6"/>
          <w:sz w:val="18"/>
        </w:rPr>
        <w:t> </w:t>
      </w:r>
      <w:r>
        <w:rPr>
          <w:sz w:val="18"/>
        </w:rPr>
        <w:t>power</w:t>
      </w:r>
      <w:r>
        <w:rPr>
          <w:spacing w:val="6"/>
          <w:sz w:val="18"/>
        </w:rPr>
        <w:t> </w:t>
      </w:r>
      <w:r>
        <w:rPr>
          <w:sz w:val="18"/>
        </w:rPr>
        <w:t>plant</w:t>
      </w:r>
      <w:r>
        <w:rPr>
          <w:spacing w:val="6"/>
          <w:sz w:val="18"/>
        </w:rPr>
        <w:t> </w:t>
      </w:r>
      <w:r>
        <w:rPr>
          <w:sz w:val="18"/>
        </w:rPr>
        <w:t>impacts’</w:t>
      </w:r>
      <w:r>
        <w:rPr>
          <w:spacing w:val="-7"/>
          <w:sz w:val="18"/>
        </w:rPr>
        <w:t> </w:t>
      </w:r>
      <w:r>
        <w:rPr>
          <w:sz w:val="18"/>
        </w:rPr>
        <w:t>category</w:t>
      </w:r>
      <w:r>
        <w:rPr>
          <w:spacing w:val="6"/>
          <w:sz w:val="18"/>
        </w:rPr>
        <w:t> </w:t>
      </w:r>
      <w:r>
        <w:rPr>
          <w:sz w:val="18"/>
        </w:rPr>
        <w:t>for</w:t>
      </w:r>
      <w:r>
        <w:rPr>
          <w:spacing w:val="6"/>
          <w:sz w:val="18"/>
        </w:rPr>
        <w:t> </w:t>
      </w:r>
      <w:r>
        <w:rPr>
          <w:sz w:val="18"/>
        </w:rPr>
        <w:t>oxy-fuel</w:t>
      </w:r>
      <w:r>
        <w:rPr>
          <w:spacing w:val="6"/>
          <w:sz w:val="18"/>
        </w:rPr>
        <w:t> </w:t>
      </w:r>
      <w:r>
        <w:rPr>
          <w:sz w:val="18"/>
        </w:rPr>
        <w:t>processes</w:t>
      </w:r>
      <w:r>
        <w:rPr>
          <w:spacing w:val="6"/>
          <w:sz w:val="18"/>
        </w:rPr>
        <w:t> </w:t>
      </w:r>
      <w:r>
        <w:rPr>
          <w:sz w:val="18"/>
        </w:rPr>
        <w:t>includes</w:t>
      </w:r>
      <w:r>
        <w:rPr>
          <w:spacing w:val="6"/>
          <w:sz w:val="18"/>
        </w:rPr>
        <w:t> </w:t>
      </w:r>
      <w:r>
        <w:rPr>
          <w:sz w:val="18"/>
        </w:rPr>
        <w:t>the</w:t>
      </w:r>
      <w:r>
        <w:rPr>
          <w:spacing w:val="6"/>
          <w:sz w:val="18"/>
        </w:rPr>
        <w:t> </w:t>
      </w:r>
      <w:r>
        <w:rPr>
          <w:sz w:val="18"/>
        </w:rPr>
        <w:t>power</w:t>
      </w:r>
      <w:r>
        <w:rPr>
          <w:spacing w:val="6"/>
          <w:sz w:val="18"/>
        </w:rPr>
        <w:t> </w:t>
      </w:r>
      <w:r>
        <w:rPr>
          <w:sz w:val="18"/>
        </w:rPr>
        <w:t>consumption</w:t>
      </w:r>
      <w:r>
        <w:rPr>
          <w:spacing w:val="6"/>
          <w:sz w:val="18"/>
        </w:rPr>
        <w:t> </w:t>
      </w:r>
      <w:r>
        <w:rPr>
          <w:sz w:val="18"/>
        </w:rPr>
        <w:t>for</w:t>
      </w:r>
      <w:r>
        <w:rPr>
          <w:spacing w:val="6"/>
          <w:sz w:val="18"/>
        </w:rPr>
        <w:t> </w:t>
      </w:r>
      <w:r>
        <w:rPr>
          <w:sz w:val="18"/>
        </w:rPr>
        <w:t>oxygen</w:t>
      </w:r>
      <w:r>
        <w:rPr>
          <w:spacing w:val="6"/>
          <w:sz w:val="18"/>
        </w:rPr>
        <w:t> </w:t>
      </w:r>
      <w:r>
        <w:rPr>
          <w:sz w:val="18"/>
        </w:rPr>
        <w:t>production</w:t>
      </w:r>
    </w:p>
    <w:p>
      <w:pPr>
        <w:spacing w:line="240" w:lineRule="exact" w:before="10"/>
        <w:ind w:left="802" w:right="729" w:firstLine="0"/>
        <w:jc w:val="both"/>
        <w:rPr>
          <w:sz w:val="18"/>
        </w:rPr>
      </w:pPr>
      <w:r>
        <w:rPr>
          <w:sz w:val="18"/>
        </w:rPr>
        <w:t>and the impacts of CO</w:t>
      </w:r>
      <w:r>
        <w:rPr>
          <w:position w:val="-5"/>
          <w:sz w:val="10"/>
        </w:rPr>
        <w:t>2 </w:t>
      </w:r>
      <w:r>
        <w:rPr>
          <w:sz w:val="18"/>
        </w:rPr>
        <w:t>capture on the rest of the power plant, that is excluding CO</w:t>
      </w:r>
      <w:r>
        <w:rPr>
          <w:position w:val="-5"/>
          <w:sz w:val="10"/>
        </w:rPr>
        <w:t>2 </w:t>
      </w:r>
      <w:r>
        <w:rPr>
          <w:sz w:val="18"/>
        </w:rPr>
        <w:t>compression and purification. In the coal-fired oxy-fuel plant, the efficiency of the rest of the power plant increases </w:t>
      </w:r>
      <w:r>
        <w:rPr>
          <w:spacing w:val="-3"/>
          <w:sz w:val="18"/>
        </w:rPr>
        <w:t>slightly, </w:t>
      </w:r>
      <w:r>
        <w:rPr>
          <w:sz w:val="18"/>
        </w:rPr>
        <w:t>for example due to the absence of a flue gas desulphurization (FGD) unit.</w:t>
      </w:r>
      <w:r>
        <w:rPr>
          <w:spacing w:val="-7"/>
          <w:sz w:val="18"/>
        </w:rPr>
        <w:t> </w:t>
      </w:r>
      <w:r>
        <w:rPr>
          <w:sz w:val="18"/>
        </w:rPr>
        <w:t>The</w:t>
      </w:r>
      <w:r>
        <w:rPr>
          <w:spacing w:val="-3"/>
          <w:sz w:val="18"/>
        </w:rPr>
        <w:t> </w:t>
      </w:r>
      <w:r>
        <w:rPr>
          <w:sz w:val="18"/>
        </w:rPr>
        <w:t>efficiency</w:t>
      </w:r>
      <w:r>
        <w:rPr>
          <w:spacing w:val="-2"/>
          <w:sz w:val="18"/>
        </w:rPr>
        <w:t> </w:t>
      </w:r>
      <w:r>
        <w:rPr>
          <w:sz w:val="18"/>
        </w:rPr>
        <w:t>of</w:t>
      </w:r>
      <w:r>
        <w:rPr>
          <w:spacing w:val="-3"/>
          <w:sz w:val="18"/>
        </w:rPr>
        <w:t> </w:t>
      </w:r>
      <w:r>
        <w:rPr>
          <w:sz w:val="18"/>
        </w:rPr>
        <w:t>the</w:t>
      </w:r>
      <w:r>
        <w:rPr>
          <w:spacing w:val="-3"/>
          <w:sz w:val="18"/>
        </w:rPr>
        <w:t> </w:t>
      </w:r>
      <w:r>
        <w:rPr>
          <w:sz w:val="18"/>
        </w:rPr>
        <w:t>rest</w:t>
      </w:r>
      <w:r>
        <w:rPr>
          <w:spacing w:val="-2"/>
          <w:sz w:val="18"/>
        </w:rPr>
        <w:t> </w:t>
      </w:r>
      <w:r>
        <w:rPr>
          <w:sz w:val="18"/>
        </w:rPr>
        <w:t>of</w:t>
      </w:r>
      <w:r>
        <w:rPr>
          <w:spacing w:val="-3"/>
          <w:sz w:val="18"/>
        </w:rPr>
        <w:t> </w:t>
      </w:r>
      <w:r>
        <w:rPr>
          <w:sz w:val="18"/>
        </w:rPr>
        <w:t>the</w:t>
      </w:r>
      <w:r>
        <w:rPr>
          <w:spacing w:val="-3"/>
          <w:sz w:val="18"/>
        </w:rPr>
        <w:t> </w:t>
      </w:r>
      <w:r>
        <w:rPr>
          <w:sz w:val="18"/>
        </w:rPr>
        <w:t>gas</w:t>
      </w:r>
      <w:r>
        <w:rPr>
          <w:spacing w:val="-2"/>
          <w:sz w:val="18"/>
        </w:rPr>
        <w:t> </w:t>
      </w:r>
      <w:r>
        <w:rPr>
          <w:sz w:val="18"/>
        </w:rPr>
        <w:t>fired</w:t>
      </w:r>
      <w:r>
        <w:rPr>
          <w:spacing w:val="-3"/>
          <w:sz w:val="18"/>
        </w:rPr>
        <w:t> </w:t>
      </w:r>
      <w:r>
        <w:rPr>
          <w:sz w:val="18"/>
        </w:rPr>
        <w:t>oxy-fuel</w:t>
      </w:r>
      <w:r>
        <w:rPr>
          <w:spacing w:val="-2"/>
          <w:sz w:val="18"/>
        </w:rPr>
        <w:t> </w:t>
      </w:r>
      <w:r>
        <w:rPr>
          <w:sz w:val="18"/>
        </w:rPr>
        <w:t>plant</w:t>
      </w:r>
      <w:r>
        <w:rPr>
          <w:spacing w:val="-3"/>
          <w:sz w:val="18"/>
        </w:rPr>
        <w:t> </w:t>
      </w:r>
      <w:r>
        <w:rPr>
          <w:sz w:val="18"/>
        </w:rPr>
        <w:t>decreases</w:t>
      </w:r>
      <w:r>
        <w:rPr>
          <w:spacing w:val="-3"/>
          <w:sz w:val="18"/>
        </w:rPr>
        <w:t> </w:t>
      </w:r>
      <w:r>
        <w:rPr>
          <w:sz w:val="18"/>
        </w:rPr>
        <w:t>because</w:t>
      </w:r>
      <w:r>
        <w:rPr>
          <w:spacing w:val="-2"/>
          <w:sz w:val="18"/>
        </w:rPr>
        <w:t> </w:t>
      </w:r>
      <w:r>
        <w:rPr>
          <w:sz w:val="18"/>
        </w:rPr>
        <w:t>of</w:t>
      </w:r>
      <w:r>
        <w:rPr>
          <w:spacing w:val="-3"/>
          <w:sz w:val="18"/>
        </w:rPr>
        <w:t> </w:t>
      </w:r>
      <w:r>
        <w:rPr>
          <w:sz w:val="18"/>
        </w:rPr>
        <w:t>the</w:t>
      </w:r>
      <w:r>
        <w:rPr>
          <w:spacing w:val="-3"/>
          <w:sz w:val="18"/>
        </w:rPr>
        <w:t> </w:t>
      </w:r>
      <w:r>
        <w:rPr>
          <w:sz w:val="18"/>
        </w:rPr>
        <w:t>change</w:t>
      </w:r>
      <w:r>
        <w:rPr>
          <w:spacing w:val="-2"/>
          <w:sz w:val="18"/>
        </w:rPr>
        <w:t> </w:t>
      </w:r>
      <w:r>
        <w:rPr>
          <w:sz w:val="18"/>
        </w:rPr>
        <w:t>of</w:t>
      </w:r>
      <w:r>
        <w:rPr>
          <w:spacing w:val="-3"/>
          <w:sz w:val="18"/>
        </w:rPr>
        <w:t> </w:t>
      </w:r>
      <w:r>
        <w:rPr>
          <w:sz w:val="18"/>
        </w:rPr>
        <w:t>working</w:t>
      </w:r>
      <w:r>
        <w:rPr>
          <w:spacing w:val="-3"/>
          <w:sz w:val="18"/>
        </w:rPr>
        <w:t> </w:t>
      </w:r>
      <w:r>
        <w:rPr>
          <w:sz w:val="18"/>
        </w:rPr>
        <w:t>fluid</w:t>
      </w:r>
      <w:r>
        <w:rPr>
          <w:spacing w:val="-2"/>
          <w:sz w:val="18"/>
        </w:rPr>
        <w:t> </w:t>
      </w:r>
      <w:r>
        <w:rPr>
          <w:sz w:val="18"/>
        </w:rPr>
        <w:t>in</w:t>
      </w:r>
      <w:r>
        <w:rPr>
          <w:spacing w:val="-3"/>
          <w:sz w:val="18"/>
        </w:rPr>
        <w:t> </w:t>
      </w:r>
      <w:r>
        <w:rPr>
          <w:sz w:val="18"/>
        </w:rPr>
        <w:t>the</w:t>
      </w:r>
      <w:r>
        <w:rPr>
          <w:spacing w:val="-3"/>
          <w:sz w:val="18"/>
        </w:rPr>
        <w:t> </w:t>
      </w:r>
      <w:r>
        <w:rPr>
          <w:sz w:val="18"/>
        </w:rPr>
        <w:t>power</w:t>
      </w:r>
      <w:r>
        <w:rPr>
          <w:spacing w:val="-2"/>
          <w:sz w:val="18"/>
        </w:rPr>
        <w:t> </w:t>
      </w:r>
      <w:r>
        <w:rPr>
          <w:sz w:val="18"/>
        </w:rPr>
        <w:t>cycle</w:t>
      </w:r>
      <w:r>
        <w:rPr>
          <w:spacing w:val="-3"/>
          <w:sz w:val="18"/>
        </w:rPr>
        <w:t> </w:t>
      </w:r>
      <w:r>
        <w:rPr>
          <w:sz w:val="18"/>
        </w:rPr>
        <w:t>from</w:t>
      </w:r>
      <w:r>
        <w:rPr>
          <w:spacing w:val="-3"/>
          <w:sz w:val="18"/>
        </w:rPr>
        <w:t> </w:t>
      </w:r>
      <w:r>
        <w:rPr>
          <w:sz w:val="18"/>
        </w:rPr>
        <w:t>air</w:t>
      </w:r>
      <w:r>
        <w:rPr>
          <w:spacing w:val="-2"/>
          <w:sz w:val="18"/>
        </w:rPr>
        <w:t> </w:t>
      </w:r>
      <w:r>
        <w:rPr>
          <w:sz w:val="18"/>
        </w:rPr>
        <w:t>to recycled flue</w:t>
      </w:r>
      <w:r>
        <w:rPr>
          <w:spacing w:val="-2"/>
          <w:sz w:val="18"/>
        </w:rPr>
        <w:t> </w:t>
      </w:r>
      <w:r>
        <w:rPr>
          <w:sz w:val="18"/>
        </w:rPr>
        <w:t>gas.</w:t>
      </w:r>
    </w:p>
    <w:p>
      <w:pPr>
        <w:pStyle w:val="BodyText"/>
        <w:spacing w:before="9"/>
        <w:rPr>
          <w:sz w:val="15"/>
        </w:rPr>
      </w:pPr>
    </w:p>
    <w:p>
      <w:pPr>
        <w:spacing w:after="0"/>
        <w:rPr>
          <w:sz w:val="15"/>
        </w:rPr>
        <w:sectPr>
          <w:pgSz w:w="12240" w:h="15840"/>
          <w:pgMar w:header="567" w:footer="0" w:top="800" w:bottom="280" w:left="620" w:right="0"/>
        </w:sectPr>
      </w:pPr>
    </w:p>
    <w:p>
      <w:pPr>
        <w:pStyle w:val="ListParagraph"/>
        <w:numPr>
          <w:ilvl w:val="3"/>
          <w:numId w:val="5"/>
        </w:numPr>
        <w:tabs>
          <w:tab w:pos="1365" w:val="left" w:leader="none"/>
        </w:tabs>
        <w:spacing w:line="240" w:lineRule="auto" w:before="63" w:after="0"/>
        <w:ind w:left="1364" w:right="0" w:hanging="852"/>
        <w:jc w:val="both"/>
        <w:rPr>
          <w:i/>
          <w:sz w:val="20"/>
        </w:rPr>
      </w:pPr>
      <w:r>
        <w:rPr>
          <w:i/>
          <w:sz w:val="20"/>
        </w:rPr>
        <w:t>Adsorption</w:t>
      </w:r>
      <w:r>
        <w:rPr>
          <w:i/>
          <w:spacing w:val="-1"/>
          <w:sz w:val="20"/>
        </w:rPr>
        <w:t> </w:t>
      </w:r>
      <w:r>
        <w:rPr>
          <w:i/>
          <w:sz w:val="20"/>
        </w:rPr>
        <w:t>process</w:t>
      </w:r>
    </w:p>
    <w:p>
      <w:pPr>
        <w:pStyle w:val="BodyText"/>
        <w:spacing w:line="240" w:lineRule="exact" w:before="5"/>
        <w:ind w:left="513"/>
        <w:jc w:val="both"/>
      </w:pPr>
      <w:r>
        <w:rPr/>
        <w:t>In the adsorption process for flue gas CO</w:t>
      </w:r>
      <w:r>
        <w:rPr>
          <w:position w:val="-6"/>
          <w:sz w:val="11"/>
        </w:rPr>
        <w:t>2 </w:t>
      </w:r>
      <w:r>
        <w:rPr/>
        <w:t>recovery, molecular sieves</w:t>
      </w:r>
      <w:r>
        <w:rPr>
          <w:spacing w:val="-23"/>
        </w:rPr>
        <w:t> </w:t>
      </w:r>
      <w:r>
        <w:rPr/>
        <w:t>or</w:t>
      </w:r>
      <w:r>
        <w:rPr>
          <w:spacing w:val="-21"/>
        </w:rPr>
        <w:t> </w:t>
      </w:r>
      <w:r>
        <w:rPr/>
        <w:t>activated</w:t>
      </w:r>
      <w:r>
        <w:rPr>
          <w:spacing w:val="-22"/>
        </w:rPr>
        <w:t> </w:t>
      </w:r>
      <w:r>
        <w:rPr/>
        <w:t>carbons</w:t>
      </w:r>
      <w:r>
        <w:rPr>
          <w:spacing w:val="-22"/>
        </w:rPr>
        <w:t> </w:t>
      </w:r>
      <w:r>
        <w:rPr/>
        <w:t>are</w:t>
      </w:r>
      <w:r>
        <w:rPr>
          <w:spacing w:val="-22"/>
        </w:rPr>
        <w:t> </w:t>
      </w:r>
      <w:r>
        <w:rPr/>
        <w:t>used</w:t>
      </w:r>
      <w:r>
        <w:rPr>
          <w:spacing w:val="-21"/>
        </w:rPr>
        <w:t> </w:t>
      </w:r>
      <w:r>
        <w:rPr/>
        <w:t>in</w:t>
      </w:r>
      <w:r>
        <w:rPr>
          <w:spacing w:val="-22"/>
        </w:rPr>
        <w:t> </w:t>
      </w:r>
      <w:r>
        <w:rPr/>
        <w:t>adsorbing</w:t>
      </w:r>
      <w:r>
        <w:rPr>
          <w:spacing w:val="-21"/>
        </w:rPr>
        <w:t> </w:t>
      </w:r>
      <w:r>
        <w:rPr/>
        <w:t>CO</w:t>
      </w:r>
      <w:r>
        <w:rPr>
          <w:position w:val="-6"/>
          <w:sz w:val="11"/>
        </w:rPr>
        <w:t>2</w:t>
      </w:r>
      <w:r>
        <w:rPr/>
        <w:t>.</w:t>
      </w:r>
      <w:r>
        <w:rPr>
          <w:spacing w:val="-22"/>
        </w:rPr>
        <w:t> </w:t>
      </w:r>
      <w:r>
        <w:rPr/>
        <w:t>Desorbing CO</w:t>
      </w:r>
      <w:r>
        <w:rPr>
          <w:position w:val="-6"/>
          <w:sz w:val="11"/>
        </w:rPr>
        <w:t>2 </w:t>
      </w:r>
      <w:r>
        <w:rPr/>
        <w:t>is then done by the pressure swing operation (PSA) </w:t>
      </w:r>
      <w:r>
        <w:rPr>
          <w:spacing w:val="-6"/>
        </w:rPr>
        <w:t>or </w:t>
      </w:r>
      <w:r>
        <w:rPr/>
        <w:t>temperature swing operation (TSA). Most applications are associated</w:t>
      </w:r>
      <w:r>
        <w:rPr>
          <w:spacing w:val="-16"/>
        </w:rPr>
        <w:t> </w:t>
      </w:r>
      <w:r>
        <w:rPr/>
        <w:t>with</w:t>
      </w:r>
      <w:r>
        <w:rPr>
          <w:spacing w:val="-16"/>
        </w:rPr>
        <w:t> </w:t>
      </w:r>
      <w:r>
        <w:rPr/>
        <w:t>pressure</w:t>
      </w:r>
      <w:r>
        <w:rPr>
          <w:spacing w:val="-15"/>
        </w:rPr>
        <w:t> </w:t>
      </w:r>
      <w:r>
        <w:rPr/>
        <w:t>swing</w:t>
      </w:r>
      <w:r>
        <w:rPr>
          <w:spacing w:val="-16"/>
        </w:rPr>
        <w:t> </w:t>
      </w:r>
      <w:r>
        <w:rPr/>
        <w:t>adsorption</w:t>
      </w:r>
      <w:r>
        <w:rPr>
          <w:spacing w:val="-15"/>
        </w:rPr>
        <w:t> </w:t>
      </w:r>
      <w:r>
        <w:rPr/>
        <w:t>(Ishibashi</w:t>
      </w:r>
      <w:r>
        <w:rPr>
          <w:spacing w:val="-16"/>
        </w:rPr>
        <w:t> </w:t>
      </w:r>
      <w:r>
        <w:rPr>
          <w:i/>
        </w:rPr>
        <w:t>et</w:t>
      </w:r>
      <w:r>
        <w:rPr>
          <w:i/>
          <w:spacing w:val="-15"/>
        </w:rPr>
        <w:t> </w:t>
      </w:r>
      <w:r>
        <w:rPr>
          <w:i/>
        </w:rPr>
        <w:t>al.</w:t>
      </w:r>
      <w:r>
        <w:rPr/>
        <w:t>,</w:t>
      </w:r>
      <w:r>
        <w:rPr>
          <w:spacing w:val="-15"/>
        </w:rPr>
        <w:t> </w:t>
      </w:r>
      <w:r>
        <w:rPr/>
        <w:t>1999 and </w:t>
      </w:r>
      <w:r>
        <w:rPr>
          <w:spacing w:val="-3"/>
        </w:rPr>
        <w:t>Yokoyama, </w:t>
      </w:r>
      <w:r>
        <w:rPr/>
        <w:t>2003). Much less attention has been focused on CO</w:t>
      </w:r>
      <w:r>
        <w:rPr>
          <w:position w:val="-6"/>
          <w:sz w:val="11"/>
        </w:rPr>
        <w:t>2 </w:t>
      </w:r>
      <w:r>
        <w:rPr/>
        <w:t>removal via temperature swing adsorption, as </w:t>
      </w:r>
      <w:r>
        <w:rPr>
          <w:spacing w:val="-3"/>
        </w:rPr>
        <w:t>this </w:t>
      </w:r>
      <w:r>
        <w:rPr/>
        <w:t>technique is less attractive compared to PSA due to the longer cycle times needed to heat up the bed of solid particles during sorbent regeneration. For bulk separations at large scales, it is also</w:t>
      </w:r>
      <w:r>
        <w:rPr>
          <w:spacing w:val="-9"/>
        </w:rPr>
        <w:t> </w:t>
      </w:r>
      <w:r>
        <w:rPr/>
        <w:t>essential</w:t>
      </w:r>
      <w:r>
        <w:rPr>
          <w:spacing w:val="-8"/>
        </w:rPr>
        <w:t> </w:t>
      </w:r>
      <w:r>
        <w:rPr/>
        <w:t>to</w:t>
      </w:r>
      <w:r>
        <w:rPr>
          <w:spacing w:val="-8"/>
        </w:rPr>
        <w:t> </w:t>
      </w:r>
      <w:r>
        <w:rPr/>
        <w:t>limit</w:t>
      </w:r>
      <w:r>
        <w:rPr>
          <w:spacing w:val="-8"/>
        </w:rPr>
        <w:t> </w:t>
      </w:r>
      <w:r>
        <w:rPr/>
        <w:t>the</w:t>
      </w:r>
      <w:r>
        <w:rPr>
          <w:spacing w:val="-8"/>
        </w:rPr>
        <w:t> </w:t>
      </w:r>
      <w:r>
        <w:rPr/>
        <w:t>length</w:t>
      </w:r>
      <w:r>
        <w:rPr>
          <w:spacing w:val="-8"/>
        </w:rPr>
        <w:t> </w:t>
      </w:r>
      <w:r>
        <w:rPr/>
        <w:t>of</w:t>
      </w:r>
      <w:r>
        <w:rPr>
          <w:spacing w:val="-8"/>
        </w:rPr>
        <w:t> </w:t>
      </w:r>
      <w:r>
        <w:rPr/>
        <w:t>the</w:t>
      </w:r>
      <w:r>
        <w:rPr>
          <w:spacing w:val="-8"/>
        </w:rPr>
        <w:t> </w:t>
      </w:r>
      <w:r>
        <w:rPr/>
        <w:t>unused</w:t>
      </w:r>
      <w:r>
        <w:rPr>
          <w:spacing w:val="-8"/>
        </w:rPr>
        <w:t> </w:t>
      </w:r>
      <w:r>
        <w:rPr/>
        <w:t>bed</w:t>
      </w:r>
      <w:r>
        <w:rPr>
          <w:spacing w:val="-8"/>
        </w:rPr>
        <w:t> </w:t>
      </w:r>
      <w:r>
        <w:rPr/>
        <w:t>and</w:t>
      </w:r>
      <w:r>
        <w:rPr>
          <w:spacing w:val="-8"/>
        </w:rPr>
        <w:t> </w:t>
      </w:r>
      <w:r>
        <w:rPr/>
        <w:t>therefore opt for faster cycle times.</w:t>
      </w:r>
    </w:p>
    <w:p>
      <w:pPr>
        <w:pStyle w:val="BodyText"/>
        <w:spacing w:line="225" w:lineRule="auto" w:before="13"/>
        <w:ind w:left="513" w:right="1" w:firstLine="284"/>
        <w:jc w:val="both"/>
      </w:pPr>
      <w:r>
        <w:rPr/>
        <w:t>Adsorption processes have been employed for CO</w:t>
      </w:r>
      <w:r>
        <w:rPr>
          <w:position w:val="-6"/>
          <w:sz w:val="11"/>
        </w:rPr>
        <w:t>2 </w:t>
      </w:r>
      <w:r>
        <w:rPr/>
        <w:t>removal from synthesis gas for hydrogen production (see Section 3.5.2.9). It has not yet reached a commercial stage for CO</w:t>
      </w:r>
      <w:r>
        <w:rPr>
          <w:position w:val="-6"/>
          <w:sz w:val="11"/>
        </w:rPr>
        <w:t>2 </w:t>
      </w:r>
      <w:r>
        <w:rPr/>
        <w:t>recovery from flue gases. The following main R&amp;D activities have been conducted:</w:t>
      </w:r>
    </w:p>
    <w:p>
      <w:pPr>
        <w:pStyle w:val="ListParagraph"/>
        <w:numPr>
          <w:ilvl w:val="0"/>
          <w:numId w:val="14"/>
        </w:numPr>
        <w:tabs>
          <w:tab w:pos="798" w:val="left" w:leader="none"/>
        </w:tabs>
        <w:spacing w:line="260" w:lineRule="exact" w:before="10" w:after="0"/>
        <w:ind w:left="797" w:right="0" w:hanging="285"/>
        <w:jc w:val="both"/>
        <w:rPr>
          <w:sz w:val="20"/>
        </w:rPr>
      </w:pPr>
      <w:r>
        <w:rPr>
          <w:sz w:val="20"/>
        </w:rPr>
        <w:t>Study</w:t>
      </w:r>
      <w:r>
        <w:rPr>
          <w:spacing w:val="29"/>
          <w:sz w:val="20"/>
        </w:rPr>
        <w:t> </w:t>
      </w:r>
      <w:r>
        <w:rPr>
          <w:sz w:val="20"/>
        </w:rPr>
        <w:t>of</w:t>
      </w:r>
      <w:r>
        <w:rPr>
          <w:spacing w:val="30"/>
          <w:sz w:val="20"/>
        </w:rPr>
        <w:t> </w:t>
      </w:r>
      <w:r>
        <w:rPr>
          <w:sz w:val="20"/>
        </w:rPr>
        <w:t>CO</w:t>
      </w:r>
      <w:r>
        <w:rPr>
          <w:position w:val="-6"/>
          <w:sz w:val="11"/>
        </w:rPr>
        <w:t>2</w:t>
      </w:r>
      <w:r>
        <w:rPr>
          <w:spacing w:val="24"/>
          <w:position w:val="-6"/>
          <w:sz w:val="11"/>
        </w:rPr>
        <w:t> </w:t>
      </w:r>
      <w:r>
        <w:rPr>
          <w:sz w:val="20"/>
        </w:rPr>
        <w:t>removal</w:t>
      </w:r>
      <w:r>
        <w:rPr>
          <w:spacing w:val="29"/>
          <w:sz w:val="20"/>
        </w:rPr>
        <w:t> </w:t>
      </w:r>
      <w:r>
        <w:rPr>
          <w:sz w:val="20"/>
        </w:rPr>
        <w:t>from</w:t>
      </w:r>
      <w:r>
        <w:rPr>
          <w:spacing w:val="30"/>
          <w:sz w:val="20"/>
        </w:rPr>
        <w:t> </w:t>
      </w:r>
      <w:r>
        <w:rPr>
          <w:sz w:val="20"/>
        </w:rPr>
        <w:t>flue</w:t>
      </w:r>
      <w:r>
        <w:rPr>
          <w:spacing w:val="29"/>
          <w:sz w:val="20"/>
        </w:rPr>
        <w:t> </w:t>
      </w:r>
      <w:r>
        <w:rPr>
          <w:sz w:val="20"/>
        </w:rPr>
        <w:t>gas</w:t>
      </w:r>
      <w:r>
        <w:rPr>
          <w:spacing w:val="30"/>
          <w:sz w:val="20"/>
        </w:rPr>
        <w:t> </w:t>
      </w:r>
      <w:r>
        <w:rPr>
          <w:sz w:val="20"/>
        </w:rPr>
        <w:t>of</w:t>
      </w:r>
      <w:r>
        <w:rPr>
          <w:spacing w:val="29"/>
          <w:sz w:val="20"/>
        </w:rPr>
        <w:t> </w:t>
      </w:r>
      <w:r>
        <w:rPr>
          <w:sz w:val="20"/>
        </w:rPr>
        <w:t>a</w:t>
      </w:r>
      <w:r>
        <w:rPr>
          <w:spacing w:val="30"/>
          <w:sz w:val="20"/>
        </w:rPr>
        <w:t> </w:t>
      </w:r>
      <w:r>
        <w:rPr>
          <w:sz w:val="20"/>
        </w:rPr>
        <w:t>thermal</w:t>
      </w:r>
      <w:r>
        <w:rPr>
          <w:spacing w:val="29"/>
          <w:sz w:val="20"/>
        </w:rPr>
        <w:t> </w:t>
      </w:r>
      <w:r>
        <w:rPr>
          <w:sz w:val="20"/>
        </w:rPr>
        <w:t>power</w:t>
      </w:r>
    </w:p>
    <w:p>
      <w:pPr>
        <w:pStyle w:val="BodyText"/>
        <w:spacing w:line="210" w:lineRule="exact"/>
        <w:ind w:left="766" w:right="580"/>
        <w:jc w:val="center"/>
      </w:pPr>
      <w:r>
        <w:rPr/>
        <w:t>plant by physical adsorption (Ishibashi </w:t>
      </w:r>
      <w:r>
        <w:rPr>
          <w:i/>
        </w:rPr>
        <w:t>et al.</w:t>
      </w:r>
      <w:r>
        <w:rPr/>
        <w:t>, 1999);</w:t>
      </w:r>
    </w:p>
    <w:p>
      <w:pPr>
        <w:pStyle w:val="ListParagraph"/>
        <w:numPr>
          <w:ilvl w:val="0"/>
          <w:numId w:val="15"/>
        </w:numPr>
        <w:tabs>
          <w:tab w:pos="525" w:val="left" w:leader="none"/>
        </w:tabs>
        <w:spacing w:line="225" w:lineRule="auto" w:before="71" w:after="0"/>
        <w:ind w:left="524" w:right="734" w:hanging="284"/>
        <w:jc w:val="both"/>
        <w:rPr>
          <w:sz w:val="20"/>
        </w:rPr>
      </w:pPr>
      <w:r>
        <w:rPr>
          <w:spacing w:val="-1"/>
          <w:sz w:val="20"/>
        </w:rPr>
        <w:br w:type="column"/>
      </w:r>
      <w:r>
        <w:rPr>
          <w:sz w:val="20"/>
        </w:rPr>
        <w:t>Study of CO</w:t>
      </w:r>
      <w:r>
        <w:rPr>
          <w:position w:val="-6"/>
          <w:sz w:val="11"/>
        </w:rPr>
        <w:t>2 </w:t>
      </w:r>
      <w:r>
        <w:rPr>
          <w:sz w:val="20"/>
        </w:rPr>
        <w:t>removal from flue gas of a thermal power plant by a combined system with pressure swing</w:t>
      </w:r>
      <w:r>
        <w:rPr>
          <w:spacing w:val="-36"/>
          <w:sz w:val="20"/>
        </w:rPr>
        <w:t> </w:t>
      </w:r>
      <w:r>
        <w:rPr>
          <w:sz w:val="20"/>
        </w:rPr>
        <w:t>adsorption and a super cold separator (Takamura </w:t>
      </w:r>
      <w:r>
        <w:rPr>
          <w:i/>
          <w:sz w:val="20"/>
        </w:rPr>
        <w:t>et al.</w:t>
      </w:r>
      <w:r>
        <w:rPr>
          <w:sz w:val="20"/>
        </w:rPr>
        <w:t>,</w:t>
      </w:r>
      <w:r>
        <w:rPr>
          <w:spacing w:val="-13"/>
          <w:sz w:val="20"/>
        </w:rPr>
        <w:t> </w:t>
      </w:r>
      <w:r>
        <w:rPr>
          <w:sz w:val="20"/>
        </w:rPr>
        <w:t>1999);</w:t>
      </w:r>
    </w:p>
    <w:p>
      <w:pPr>
        <w:pStyle w:val="ListParagraph"/>
        <w:numPr>
          <w:ilvl w:val="0"/>
          <w:numId w:val="15"/>
        </w:numPr>
        <w:tabs>
          <w:tab w:pos="525" w:val="left" w:leader="none"/>
        </w:tabs>
        <w:spacing w:line="240" w:lineRule="exact" w:before="8" w:after="0"/>
        <w:ind w:left="524" w:right="734" w:hanging="284"/>
        <w:jc w:val="both"/>
        <w:rPr>
          <w:sz w:val="20"/>
        </w:rPr>
      </w:pPr>
      <w:r>
        <w:rPr>
          <w:sz w:val="20"/>
        </w:rPr>
        <w:t>Pilot tests on the recovery of CO</w:t>
      </w:r>
      <w:r>
        <w:rPr>
          <w:position w:val="-6"/>
          <w:sz w:val="11"/>
        </w:rPr>
        <w:t>2 </w:t>
      </w:r>
      <w:r>
        <w:rPr>
          <w:sz w:val="20"/>
        </w:rPr>
        <w:t>from a coal and oil fired power plant, using pressure temperature swing adsorption (PTSA) and an X-type zeolite as an adsorbent (Yokoyama, 2003).</w:t>
      </w:r>
    </w:p>
    <w:p>
      <w:pPr>
        <w:pStyle w:val="BodyText"/>
        <w:spacing w:before="10"/>
      </w:pPr>
    </w:p>
    <w:p>
      <w:pPr>
        <w:pStyle w:val="BodyText"/>
        <w:spacing w:line="240" w:lineRule="exact"/>
        <w:ind w:left="241" w:right="723"/>
        <w:jc w:val="both"/>
      </w:pPr>
      <w:r>
        <w:rPr/>
        <w:t>Pilot</w:t>
      </w:r>
      <w:r>
        <w:rPr>
          <w:spacing w:val="-25"/>
        </w:rPr>
        <w:t> </w:t>
      </w:r>
      <w:r>
        <w:rPr/>
        <w:t>test</w:t>
      </w:r>
      <w:r>
        <w:rPr>
          <w:spacing w:val="-24"/>
        </w:rPr>
        <w:t> </w:t>
      </w:r>
      <w:r>
        <w:rPr/>
        <w:t>results</w:t>
      </w:r>
      <w:r>
        <w:rPr>
          <w:spacing w:val="-25"/>
        </w:rPr>
        <w:t> </w:t>
      </w:r>
      <w:r>
        <w:rPr/>
        <w:t>of</w:t>
      </w:r>
      <w:r>
        <w:rPr>
          <w:spacing w:val="-24"/>
        </w:rPr>
        <w:t> </w:t>
      </w:r>
      <w:r>
        <w:rPr/>
        <w:t>coal-fired</w:t>
      </w:r>
      <w:r>
        <w:rPr>
          <w:spacing w:val="-25"/>
        </w:rPr>
        <w:t> </w:t>
      </w:r>
      <w:r>
        <w:rPr/>
        <w:t>flue</w:t>
      </w:r>
      <w:r>
        <w:rPr>
          <w:spacing w:val="-24"/>
        </w:rPr>
        <w:t> </w:t>
      </w:r>
      <w:r>
        <w:rPr/>
        <w:t>gas</w:t>
      </w:r>
      <w:r>
        <w:rPr>
          <w:spacing w:val="-25"/>
        </w:rPr>
        <w:t> </w:t>
      </w:r>
      <w:r>
        <w:rPr/>
        <w:t>CO</w:t>
      </w:r>
      <w:r>
        <w:rPr>
          <w:position w:val="-6"/>
          <w:sz w:val="11"/>
        </w:rPr>
        <w:t>2</w:t>
      </w:r>
      <w:r>
        <w:rPr>
          <w:spacing w:val="-1"/>
          <w:position w:val="-6"/>
          <w:sz w:val="11"/>
        </w:rPr>
        <w:t> </w:t>
      </w:r>
      <w:r>
        <w:rPr/>
        <w:t>recovery</w:t>
      </w:r>
      <w:r>
        <w:rPr>
          <w:spacing w:val="-25"/>
        </w:rPr>
        <w:t> </w:t>
      </w:r>
      <w:r>
        <w:rPr/>
        <w:t>by</w:t>
      </w:r>
      <w:r>
        <w:rPr>
          <w:spacing w:val="-24"/>
        </w:rPr>
        <w:t> </w:t>
      </w:r>
      <w:r>
        <w:rPr/>
        <w:t>adsorption processes show that the energy consumption for capture (blowers and vacuum pumps) has improved from the original 708 kWh/tCO</w:t>
      </w:r>
      <w:r>
        <w:rPr>
          <w:position w:val="-6"/>
          <w:sz w:val="11"/>
        </w:rPr>
        <w:t>2 </w:t>
      </w:r>
      <w:r>
        <w:rPr/>
        <w:t>to 560 kWh/tCO</w:t>
      </w:r>
      <w:r>
        <w:rPr>
          <w:position w:val="-6"/>
          <w:sz w:val="11"/>
        </w:rPr>
        <w:t>2</w:t>
      </w:r>
      <w:r>
        <w:rPr/>
        <w:t>. An energy consumption of 560 kWh/tCO</w:t>
      </w:r>
      <w:r>
        <w:rPr>
          <w:position w:val="-6"/>
          <w:sz w:val="11"/>
        </w:rPr>
        <w:t>2 </w:t>
      </w:r>
      <w:r>
        <w:rPr/>
        <w:t>is equivalent to a loss corresponding to 21% of the energy output of the power plant. Recovered CO</w:t>
      </w:r>
      <w:r>
        <w:rPr>
          <w:position w:val="-6"/>
          <w:sz w:val="11"/>
        </w:rPr>
        <w:t>2 </w:t>
      </w:r>
      <w:r>
        <w:rPr/>
        <w:t>purity is about 99.0% by volume using two stages of a PSA and PTSA system (Ishibashi </w:t>
      </w:r>
      <w:r>
        <w:rPr>
          <w:i/>
        </w:rPr>
        <w:t>et al.</w:t>
      </w:r>
      <w:r>
        <w:rPr/>
        <w:t>,</w:t>
      </w:r>
      <w:r>
        <w:rPr>
          <w:spacing w:val="-2"/>
        </w:rPr>
        <w:t> </w:t>
      </w:r>
      <w:r>
        <w:rPr/>
        <w:t>1999).</w:t>
      </w:r>
    </w:p>
    <w:p>
      <w:pPr>
        <w:pStyle w:val="BodyText"/>
        <w:spacing w:line="249" w:lineRule="auto" w:before="5"/>
        <w:ind w:left="241" w:right="723" w:firstLine="284"/>
        <w:jc w:val="both"/>
      </w:pPr>
      <w:r>
        <w:rPr/>
        <w:t>It can be concluded that based on mathematical models and data from pilot-scale experimental installations, the design of  a full-scale industrial adsorption process might be feasible. </w:t>
      </w:r>
      <w:r>
        <w:rPr>
          <w:spacing w:val="-16"/>
        </w:rPr>
        <w:t>A </w:t>
      </w:r>
      <w:r>
        <w:rPr/>
        <w:t>serious</w:t>
      </w:r>
      <w:r>
        <w:rPr>
          <w:spacing w:val="10"/>
        </w:rPr>
        <w:t> </w:t>
      </w:r>
      <w:r>
        <w:rPr/>
        <w:t>drawback</w:t>
      </w:r>
      <w:r>
        <w:rPr>
          <w:spacing w:val="10"/>
        </w:rPr>
        <w:t> </w:t>
      </w:r>
      <w:r>
        <w:rPr/>
        <w:t>of</w:t>
      </w:r>
      <w:r>
        <w:rPr>
          <w:spacing w:val="11"/>
        </w:rPr>
        <w:t> </w:t>
      </w:r>
      <w:r>
        <w:rPr/>
        <w:t>all</w:t>
      </w:r>
      <w:r>
        <w:rPr>
          <w:spacing w:val="10"/>
        </w:rPr>
        <w:t> </w:t>
      </w:r>
      <w:r>
        <w:rPr/>
        <w:t>adsorptive</w:t>
      </w:r>
      <w:r>
        <w:rPr>
          <w:spacing w:val="10"/>
        </w:rPr>
        <w:t> </w:t>
      </w:r>
      <w:r>
        <w:rPr/>
        <w:t>methods</w:t>
      </w:r>
      <w:r>
        <w:rPr>
          <w:spacing w:val="11"/>
        </w:rPr>
        <w:t> </w:t>
      </w:r>
      <w:r>
        <w:rPr/>
        <w:t>is</w:t>
      </w:r>
      <w:r>
        <w:rPr>
          <w:spacing w:val="10"/>
        </w:rPr>
        <w:t> </w:t>
      </w:r>
      <w:r>
        <w:rPr/>
        <w:t>the</w:t>
      </w:r>
      <w:r>
        <w:rPr>
          <w:spacing w:val="10"/>
        </w:rPr>
        <w:t> </w:t>
      </w:r>
      <w:r>
        <w:rPr/>
        <w:t>necessity</w:t>
      </w:r>
      <w:r>
        <w:rPr>
          <w:spacing w:val="11"/>
        </w:rPr>
        <w:t> </w:t>
      </w:r>
      <w:r>
        <w:rPr/>
        <w:t>to</w:t>
      </w:r>
    </w:p>
    <w:p>
      <w:pPr>
        <w:spacing w:after="0" w:line="249" w:lineRule="auto"/>
        <w:jc w:val="both"/>
        <w:sectPr>
          <w:type w:val="continuous"/>
          <w:pgSz w:w="12240" w:h="15840"/>
          <w:pgMar w:top="480" w:bottom="280" w:left="620" w:right="0"/>
          <w:cols w:num="2" w:equalWidth="0">
            <w:col w:w="5559" w:space="40"/>
            <w:col w:w="6021"/>
          </w:cols>
        </w:sectPr>
      </w:pPr>
    </w:p>
    <w:p>
      <w:pPr>
        <w:pStyle w:val="BodyText"/>
      </w:pPr>
    </w:p>
    <w:p>
      <w:pPr>
        <w:pStyle w:val="BodyText"/>
        <w:spacing w:before="9"/>
        <w:rPr>
          <w:sz w:val="16"/>
        </w:rPr>
      </w:pPr>
    </w:p>
    <w:p>
      <w:pPr>
        <w:spacing w:after="0"/>
        <w:rPr>
          <w:sz w:val="16"/>
        </w:rPr>
        <w:sectPr>
          <w:pgSz w:w="12240" w:h="15840"/>
          <w:pgMar w:header="567" w:footer="0" w:top="760" w:bottom="280" w:left="620" w:right="0"/>
        </w:sectPr>
      </w:pPr>
    </w:p>
    <w:p>
      <w:pPr>
        <w:pStyle w:val="BodyText"/>
        <w:spacing w:line="240" w:lineRule="exact" w:before="58"/>
        <w:ind w:left="117" w:right="38"/>
        <w:jc w:val="both"/>
      </w:pPr>
      <w:r>
        <w:rPr/>
        <w:t>treat the gaseous feed before CO</w:t>
      </w:r>
      <w:r>
        <w:rPr>
          <w:position w:val="-6"/>
          <w:sz w:val="11"/>
        </w:rPr>
        <w:t>2 </w:t>
      </w:r>
      <w:r>
        <w:rPr/>
        <w:t>separation in an adsorber. Operation at high temperature with other sorbents (see Section 3.3.3.4) can circumvent this requirement (Sircar and Golden, 2001). In many cases gases have to be also cooled and dried, which limits the attractiveness of PSA, TSA or ESA (electric swing adsorption) vis-à-vis capture by chemical absorption described in previous sections. The development of a new generation of materials that would efficiently  adsorb  CO</w:t>
      </w:r>
      <w:r>
        <w:rPr>
          <w:position w:val="-6"/>
          <w:sz w:val="11"/>
        </w:rPr>
        <w:t>2  </w:t>
      </w:r>
      <w:r>
        <w:rPr/>
        <w:t>will undoubtedly enhance the competitiveness of adsorptive separation in a flue gas</w:t>
      </w:r>
      <w:r>
        <w:rPr>
          <w:spacing w:val="-5"/>
        </w:rPr>
        <w:t> </w:t>
      </w:r>
      <w:r>
        <w:rPr/>
        <w:t>application.</w:t>
      </w:r>
    </w:p>
    <w:p>
      <w:pPr>
        <w:pStyle w:val="BodyText"/>
        <w:spacing w:before="3"/>
        <w:rPr>
          <w:sz w:val="21"/>
        </w:rPr>
      </w:pPr>
    </w:p>
    <w:p>
      <w:pPr>
        <w:pStyle w:val="ListParagraph"/>
        <w:numPr>
          <w:ilvl w:val="3"/>
          <w:numId w:val="5"/>
        </w:numPr>
        <w:tabs>
          <w:tab w:pos="968" w:val="left" w:leader="none"/>
        </w:tabs>
        <w:spacing w:line="240" w:lineRule="auto" w:before="1" w:after="0"/>
        <w:ind w:left="968" w:right="0" w:hanging="851"/>
        <w:jc w:val="both"/>
        <w:rPr>
          <w:i/>
          <w:sz w:val="20"/>
        </w:rPr>
      </w:pPr>
      <w:r>
        <w:rPr>
          <w:i/>
          <w:sz w:val="20"/>
        </w:rPr>
        <w:t>Membranes</w:t>
      </w:r>
    </w:p>
    <w:p>
      <w:pPr>
        <w:pStyle w:val="BodyText"/>
        <w:spacing w:line="240" w:lineRule="exact" w:before="4"/>
        <w:ind w:left="116" w:right="38"/>
        <w:jc w:val="both"/>
      </w:pPr>
      <w:r>
        <w:rPr/>
        <w:t>Membrane processes are used commercially for CO</w:t>
      </w:r>
      <w:r>
        <w:rPr>
          <w:position w:val="-6"/>
          <w:sz w:val="11"/>
        </w:rPr>
        <w:t>2 </w:t>
      </w:r>
      <w:r>
        <w:rPr/>
        <w:t>removal from natural gas at high pressure and at high</w:t>
      </w:r>
      <w:r>
        <w:rPr>
          <w:spacing w:val="-37"/>
        </w:rPr>
        <w:t> </w:t>
      </w:r>
      <w:r>
        <w:rPr/>
        <w:t>CO</w:t>
      </w:r>
      <w:r>
        <w:rPr>
          <w:position w:val="-6"/>
          <w:sz w:val="11"/>
        </w:rPr>
        <w:t>2 </w:t>
      </w:r>
      <w:r>
        <w:rPr/>
        <w:t>concentration (see Section 3.2.2). In flue gases, the low CO</w:t>
      </w:r>
      <w:r>
        <w:rPr>
          <w:position w:val="-6"/>
          <w:sz w:val="11"/>
        </w:rPr>
        <w:t>2 </w:t>
      </w:r>
      <w:r>
        <w:rPr/>
        <w:t>partial pressure difference provides a low driving force for  gas</w:t>
      </w:r>
      <w:r>
        <w:rPr>
          <w:spacing w:val="27"/>
        </w:rPr>
        <w:t> </w:t>
      </w:r>
      <w:r>
        <w:rPr/>
        <w:t>separation. The removal of carbon dioxide using commercially available polymeric gas separation membranes results in higher energy penalties on the power generation efficiency compared to </w:t>
      </w:r>
      <w:r>
        <w:rPr>
          <w:spacing w:val="-13"/>
        </w:rPr>
        <w:t>a </w:t>
      </w:r>
      <w:r>
        <w:rPr/>
        <w:t>standard chemical absorption process </w:t>
      </w:r>
      <w:r>
        <w:rPr>
          <w:spacing w:val="-3"/>
        </w:rPr>
        <w:t>(Herzog </w:t>
      </w:r>
      <w:r>
        <w:rPr>
          <w:i/>
        </w:rPr>
        <w:t>et </w:t>
      </w:r>
      <w:r>
        <w:rPr>
          <w:i/>
          <w:spacing w:val="-3"/>
        </w:rPr>
        <w:t>al.</w:t>
      </w:r>
      <w:r>
        <w:rPr>
          <w:spacing w:val="-3"/>
        </w:rPr>
        <w:t>, 1991, </w:t>
      </w:r>
      <w:r>
        <w:rPr>
          <w:spacing w:val="-10"/>
        </w:rPr>
        <w:t>Van </w:t>
      </w:r>
      <w:r>
        <w:rPr/>
        <w:t>der </w:t>
      </w:r>
      <w:r>
        <w:rPr>
          <w:spacing w:val="-3"/>
        </w:rPr>
        <w:t>Sluijs </w:t>
      </w:r>
      <w:r>
        <w:rPr>
          <w:i/>
        </w:rPr>
        <w:t>et </w:t>
      </w:r>
      <w:r>
        <w:rPr>
          <w:i/>
          <w:spacing w:val="-3"/>
        </w:rPr>
        <w:t>al.</w:t>
      </w:r>
      <w:r>
        <w:rPr>
          <w:spacing w:val="-3"/>
        </w:rPr>
        <w:t>, 1992 </w:t>
      </w:r>
      <w:r>
        <w:rPr/>
        <w:t>and </w:t>
      </w:r>
      <w:r>
        <w:rPr>
          <w:spacing w:val="-3"/>
        </w:rPr>
        <w:t>Feron, 1994). </w:t>
      </w:r>
      <w:r>
        <w:rPr/>
        <w:t>Also, the maximum percentage of CO</w:t>
      </w:r>
      <w:r>
        <w:rPr>
          <w:position w:val="-6"/>
          <w:sz w:val="11"/>
        </w:rPr>
        <w:t>2 </w:t>
      </w:r>
      <w:r>
        <w:rPr/>
        <w:t>removed is lower than for a standard chemical absorption processes. Improvements can be made </w:t>
      </w:r>
      <w:r>
        <w:rPr>
          <w:spacing w:val="-7"/>
        </w:rPr>
        <w:t>if </w:t>
      </w:r>
      <w:r>
        <w:rPr/>
        <w:t>more</w:t>
      </w:r>
      <w:r>
        <w:rPr>
          <w:spacing w:val="-12"/>
        </w:rPr>
        <w:t> </w:t>
      </w:r>
      <w:r>
        <w:rPr/>
        <w:t>selective</w:t>
      </w:r>
      <w:r>
        <w:rPr>
          <w:spacing w:val="-11"/>
        </w:rPr>
        <w:t> </w:t>
      </w:r>
      <w:r>
        <w:rPr/>
        <w:t>membranes</w:t>
      </w:r>
      <w:r>
        <w:rPr>
          <w:spacing w:val="-12"/>
        </w:rPr>
        <w:t> </w:t>
      </w:r>
      <w:r>
        <w:rPr/>
        <w:t>become</w:t>
      </w:r>
      <w:r>
        <w:rPr>
          <w:spacing w:val="-11"/>
        </w:rPr>
        <w:t> </w:t>
      </w:r>
      <w:r>
        <w:rPr/>
        <w:t>available,</w:t>
      </w:r>
      <w:r>
        <w:rPr>
          <w:spacing w:val="-12"/>
        </w:rPr>
        <w:t> </w:t>
      </w:r>
      <w:r>
        <w:rPr/>
        <w:t>such</w:t>
      </w:r>
      <w:r>
        <w:rPr>
          <w:spacing w:val="-11"/>
        </w:rPr>
        <w:t> </w:t>
      </w:r>
      <w:r>
        <w:rPr/>
        <w:t>as</w:t>
      </w:r>
      <w:r>
        <w:rPr>
          <w:spacing w:val="-12"/>
        </w:rPr>
        <w:t> </w:t>
      </w:r>
      <w:r>
        <w:rPr/>
        <w:t>facilitated membranes, described </w:t>
      </w:r>
      <w:r>
        <w:rPr>
          <w:spacing w:val="-3"/>
        </w:rPr>
        <w:t>below.</w:t>
      </w:r>
    </w:p>
    <w:p>
      <w:pPr>
        <w:pStyle w:val="BodyText"/>
        <w:spacing w:line="240" w:lineRule="exact"/>
        <w:ind w:left="117" w:right="38" w:firstLine="284"/>
        <w:jc w:val="both"/>
      </w:pPr>
      <w:r>
        <w:rPr/>
        <w:t>The</w:t>
      </w:r>
      <w:r>
        <w:rPr>
          <w:spacing w:val="-11"/>
        </w:rPr>
        <w:t> </w:t>
      </w:r>
      <w:r>
        <w:rPr/>
        <w:t>membrane</w:t>
      </w:r>
      <w:r>
        <w:rPr>
          <w:spacing w:val="-10"/>
        </w:rPr>
        <w:t> </w:t>
      </w:r>
      <w:r>
        <w:rPr/>
        <w:t>option</w:t>
      </w:r>
      <w:r>
        <w:rPr>
          <w:spacing w:val="-11"/>
        </w:rPr>
        <w:t> </w:t>
      </w:r>
      <w:r>
        <w:rPr/>
        <w:t>currently</w:t>
      </w:r>
      <w:r>
        <w:rPr>
          <w:spacing w:val="-10"/>
        </w:rPr>
        <w:t> </w:t>
      </w:r>
      <w:r>
        <w:rPr/>
        <w:t>receiving</w:t>
      </w:r>
      <w:r>
        <w:rPr>
          <w:spacing w:val="-11"/>
        </w:rPr>
        <w:t> </w:t>
      </w:r>
      <w:r>
        <w:rPr/>
        <w:t>the</w:t>
      </w:r>
      <w:r>
        <w:rPr>
          <w:spacing w:val="-10"/>
        </w:rPr>
        <w:t> </w:t>
      </w:r>
      <w:r>
        <w:rPr/>
        <w:t>most</w:t>
      </w:r>
      <w:r>
        <w:rPr>
          <w:spacing w:val="-9"/>
        </w:rPr>
        <w:t> </w:t>
      </w:r>
      <w:r>
        <w:rPr/>
        <w:t>attention is a hybrid membrane – absorbent (or solvent) system. These systems are being developed for flue gas CO</w:t>
      </w:r>
      <w:r>
        <w:rPr>
          <w:position w:val="-6"/>
          <w:sz w:val="11"/>
        </w:rPr>
        <w:t>2 </w:t>
      </w:r>
      <w:r>
        <w:rPr/>
        <w:t>recovery. Membrane/solvent systems  employ  membranes  to  provide  a very high surface area to volume ratio for mass exchange between a gas stream and a solvent resulting in a very compact system. This results in a membrane contactor system in which the membrane forms a gas permeable barrier between a liquid and a gaseous phase. In general, the membrane is not involved in the separation process. In the case of porous membranes, gaseous</w:t>
      </w:r>
      <w:r>
        <w:rPr>
          <w:spacing w:val="-9"/>
        </w:rPr>
        <w:t> </w:t>
      </w:r>
      <w:r>
        <w:rPr/>
        <w:t>components</w:t>
      </w:r>
      <w:r>
        <w:rPr>
          <w:spacing w:val="-8"/>
        </w:rPr>
        <w:t> </w:t>
      </w:r>
      <w:r>
        <w:rPr>
          <w:spacing w:val="-3"/>
        </w:rPr>
        <w:t>diffuse</w:t>
      </w:r>
      <w:r>
        <w:rPr>
          <w:spacing w:val="-8"/>
        </w:rPr>
        <w:t> </w:t>
      </w:r>
      <w:r>
        <w:rPr/>
        <w:t>through</w:t>
      </w:r>
      <w:r>
        <w:rPr>
          <w:spacing w:val="-9"/>
        </w:rPr>
        <w:t> </w:t>
      </w:r>
      <w:r>
        <w:rPr/>
        <w:t>the</w:t>
      </w:r>
      <w:r>
        <w:rPr>
          <w:spacing w:val="-8"/>
        </w:rPr>
        <w:t> </w:t>
      </w:r>
      <w:r>
        <w:rPr/>
        <w:t>pores</w:t>
      </w:r>
      <w:r>
        <w:rPr>
          <w:spacing w:val="-8"/>
        </w:rPr>
        <w:t> </w:t>
      </w:r>
      <w:r>
        <w:rPr/>
        <w:t>and</w:t>
      </w:r>
      <w:r>
        <w:rPr>
          <w:spacing w:val="-8"/>
        </w:rPr>
        <w:t> </w:t>
      </w:r>
      <w:r>
        <w:rPr/>
        <w:t>are</w:t>
      </w:r>
      <w:r>
        <w:rPr>
          <w:spacing w:val="-9"/>
        </w:rPr>
        <w:t> </w:t>
      </w:r>
      <w:r>
        <w:rPr/>
        <w:t>absorbed by</w:t>
      </w:r>
      <w:r>
        <w:rPr>
          <w:spacing w:val="-18"/>
        </w:rPr>
        <w:t> </w:t>
      </w:r>
      <w:r>
        <w:rPr/>
        <w:t>the</w:t>
      </w:r>
      <w:r>
        <w:rPr>
          <w:spacing w:val="-17"/>
        </w:rPr>
        <w:t> </w:t>
      </w:r>
      <w:r>
        <w:rPr/>
        <w:t>liquid;</w:t>
      </w:r>
      <w:r>
        <w:rPr>
          <w:spacing w:val="-17"/>
        </w:rPr>
        <w:t> </w:t>
      </w:r>
      <w:r>
        <w:rPr/>
        <w:t>in</w:t>
      </w:r>
      <w:r>
        <w:rPr>
          <w:spacing w:val="-17"/>
        </w:rPr>
        <w:t> </w:t>
      </w:r>
      <w:r>
        <w:rPr/>
        <w:t>cases</w:t>
      </w:r>
      <w:r>
        <w:rPr>
          <w:spacing w:val="-17"/>
        </w:rPr>
        <w:t> </w:t>
      </w:r>
      <w:r>
        <w:rPr/>
        <w:t>of</w:t>
      </w:r>
      <w:r>
        <w:rPr>
          <w:spacing w:val="-17"/>
        </w:rPr>
        <w:t> </w:t>
      </w:r>
      <w:r>
        <w:rPr/>
        <w:t>non-porous</w:t>
      </w:r>
      <w:r>
        <w:rPr>
          <w:spacing w:val="-17"/>
        </w:rPr>
        <w:t> </w:t>
      </w:r>
      <w:r>
        <w:rPr/>
        <w:t>membranes</w:t>
      </w:r>
      <w:r>
        <w:rPr>
          <w:spacing w:val="-18"/>
        </w:rPr>
        <w:t> </w:t>
      </w:r>
      <w:r>
        <w:rPr/>
        <w:t>they</w:t>
      </w:r>
      <w:r>
        <w:rPr>
          <w:spacing w:val="-17"/>
        </w:rPr>
        <w:t> </w:t>
      </w:r>
      <w:r>
        <w:rPr/>
        <w:t>dissolve</w:t>
      </w:r>
      <w:r>
        <w:rPr>
          <w:spacing w:val="-17"/>
        </w:rPr>
        <w:t> </w:t>
      </w:r>
      <w:r>
        <w:rPr/>
        <w:t>in the membrane and </w:t>
      </w:r>
      <w:r>
        <w:rPr>
          <w:spacing w:val="-3"/>
        </w:rPr>
        <w:t>diffuse </w:t>
      </w:r>
      <w:r>
        <w:rPr/>
        <w:t>through the membrane. The contact surface area between gas and liquid phase is maintained by the membrane and is independent of the gas and liquid flow rate. The selectivity of the partition is primarily determined by the absorbent</w:t>
      </w:r>
      <w:r>
        <w:rPr>
          <w:spacing w:val="-20"/>
        </w:rPr>
        <w:t> </w:t>
      </w:r>
      <w:r>
        <w:rPr/>
        <w:t>(solvent).</w:t>
      </w:r>
      <w:r>
        <w:rPr>
          <w:spacing w:val="-28"/>
        </w:rPr>
        <w:t> </w:t>
      </w:r>
      <w:r>
        <w:rPr/>
        <w:t>Absorption</w:t>
      </w:r>
      <w:r>
        <w:rPr>
          <w:spacing w:val="-19"/>
        </w:rPr>
        <w:t> </w:t>
      </w:r>
      <w:r>
        <w:rPr/>
        <w:t>in</w:t>
      </w:r>
      <w:r>
        <w:rPr>
          <w:spacing w:val="-20"/>
        </w:rPr>
        <w:t> </w:t>
      </w:r>
      <w:r>
        <w:rPr/>
        <w:t>the</w:t>
      </w:r>
      <w:r>
        <w:rPr>
          <w:spacing w:val="-19"/>
        </w:rPr>
        <w:t> </w:t>
      </w:r>
      <w:r>
        <w:rPr/>
        <w:t>liquid</w:t>
      </w:r>
      <w:r>
        <w:rPr>
          <w:spacing w:val="-20"/>
        </w:rPr>
        <w:t> </w:t>
      </w:r>
      <w:r>
        <w:rPr/>
        <w:t>phase</w:t>
      </w:r>
      <w:r>
        <w:rPr>
          <w:spacing w:val="-19"/>
        </w:rPr>
        <w:t> </w:t>
      </w:r>
      <w:r>
        <w:rPr/>
        <w:t>is</w:t>
      </w:r>
      <w:r>
        <w:rPr>
          <w:spacing w:val="-20"/>
        </w:rPr>
        <w:t> </w:t>
      </w:r>
      <w:r>
        <w:rPr/>
        <w:t>determined either</w:t>
      </w:r>
      <w:r>
        <w:rPr>
          <w:spacing w:val="-7"/>
        </w:rPr>
        <w:t> </w:t>
      </w:r>
      <w:r>
        <w:rPr/>
        <w:t>by</w:t>
      </w:r>
      <w:r>
        <w:rPr>
          <w:spacing w:val="-7"/>
        </w:rPr>
        <w:t> </w:t>
      </w:r>
      <w:r>
        <w:rPr/>
        <w:t>physical</w:t>
      </w:r>
      <w:r>
        <w:rPr>
          <w:spacing w:val="-7"/>
        </w:rPr>
        <w:t> </w:t>
      </w:r>
      <w:r>
        <w:rPr/>
        <w:t>partition</w:t>
      </w:r>
      <w:r>
        <w:rPr>
          <w:spacing w:val="-7"/>
        </w:rPr>
        <w:t> </w:t>
      </w:r>
      <w:r>
        <w:rPr/>
        <w:t>or</w:t>
      </w:r>
      <w:r>
        <w:rPr>
          <w:spacing w:val="-6"/>
        </w:rPr>
        <w:t> </w:t>
      </w:r>
      <w:r>
        <w:rPr/>
        <w:t>by</w:t>
      </w:r>
      <w:r>
        <w:rPr>
          <w:spacing w:val="-7"/>
        </w:rPr>
        <w:t> </w:t>
      </w:r>
      <w:r>
        <w:rPr/>
        <w:t>a</w:t>
      </w:r>
      <w:r>
        <w:rPr>
          <w:spacing w:val="-7"/>
        </w:rPr>
        <w:t> </w:t>
      </w:r>
      <w:r>
        <w:rPr/>
        <w:t>chemical</w:t>
      </w:r>
      <w:r>
        <w:rPr>
          <w:spacing w:val="-7"/>
        </w:rPr>
        <w:t> </w:t>
      </w:r>
      <w:r>
        <w:rPr/>
        <w:t>reaction.</w:t>
      </w:r>
    </w:p>
    <w:p>
      <w:pPr>
        <w:pStyle w:val="BodyText"/>
        <w:spacing w:line="249" w:lineRule="auto" w:before="6"/>
        <w:ind w:left="117" w:right="38" w:firstLine="284"/>
        <w:jc w:val="both"/>
      </w:pPr>
      <w:r>
        <w:rPr/>
        <w:t>The</w:t>
      </w:r>
      <w:r>
        <w:rPr>
          <w:spacing w:val="-14"/>
        </w:rPr>
        <w:t> </w:t>
      </w:r>
      <w:r>
        <w:rPr/>
        <w:t>advantages</w:t>
      </w:r>
      <w:r>
        <w:rPr>
          <w:spacing w:val="-14"/>
        </w:rPr>
        <w:t> </w:t>
      </w:r>
      <w:r>
        <w:rPr/>
        <w:t>of</w:t>
      </w:r>
      <w:r>
        <w:rPr>
          <w:spacing w:val="-14"/>
        </w:rPr>
        <w:t> </w:t>
      </w:r>
      <w:r>
        <w:rPr/>
        <w:t>membrane/solvent</w:t>
      </w:r>
      <w:r>
        <w:rPr>
          <w:spacing w:val="-14"/>
        </w:rPr>
        <w:t> </w:t>
      </w:r>
      <w:r>
        <w:rPr/>
        <w:t>systems</w:t>
      </w:r>
      <w:r>
        <w:rPr>
          <w:spacing w:val="-14"/>
        </w:rPr>
        <w:t> </w:t>
      </w:r>
      <w:r>
        <w:rPr/>
        <w:t>are</w:t>
      </w:r>
      <w:r>
        <w:rPr>
          <w:spacing w:val="-14"/>
        </w:rPr>
        <w:t> </w:t>
      </w:r>
      <w:r>
        <w:rPr/>
        <w:t>avoidance of operational problems occurring in conventional solvent absorption systems (see Section 3.3.2.1) where gas and liquid flows are in direct contact. Operational problems avoided include foaming, flooding entrainment and channelling, and result in the free choice of the gas and liquid flow rates and     a fixed interface for mass transfer in the membrane/solvent system. Furthermore, the use of compact membranes result    in smaller equipment sizes with capital cost reductions. The choice of a suitable combination of solvent and membrane material is very important. The material characteristics should be such that the transfer of solvent through the membrane is avoided</w:t>
      </w:r>
      <w:r>
        <w:rPr>
          <w:spacing w:val="-14"/>
        </w:rPr>
        <w:t> </w:t>
      </w:r>
      <w:r>
        <w:rPr/>
        <w:t>at</w:t>
      </w:r>
      <w:r>
        <w:rPr>
          <w:spacing w:val="-14"/>
        </w:rPr>
        <w:t> </w:t>
      </w:r>
      <w:r>
        <w:rPr/>
        <w:t>operating</w:t>
      </w:r>
      <w:r>
        <w:rPr>
          <w:spacing w:val="-14"/>
        </w:rPr>
        <w:t> </w:t>
      </w:r>
      <w:r>
        <w:rPr/>
        <w:t>pressure</w:t>
      </w:r>
      <w:r>
        <w:rPr>
          <w:spacing w:val="-14"/>
        </w:rPr>
        <w:t> </w:t>
      </w:r>
      <w:r>
        <w:rPr/>
        <w:t>gradients</w:t>
      </w:r>
      <w:r>
        <w:rPr>
          <w:spacing w:val="-13"/>
        </w:rPr>
        <w:t> </w:t>
      </w:r>
      <w:r>
        <w:rPr/>
        <w:t>of</w:t>
      </w:r>
      <w:r>
        <w:rPr>
          <w:spacing w:val="-14"/>
        </w:rPr>
        <w:t> </w:t>
      </w:r>
      <w:r>
        <w:rPr/>
        <w:t>typically</w:t>
      </w:r>
      <w:r>
        <w:rPr>
          <w:spacing w:val="-14"/>
        </w:rPr>
        <w:t> </w:t>
      </w:r>
      <w:r>
        <w:rPr/>
        <w:t>50–100</w:t>
      </w:r>
      <w:r>
        <w:rPr>
          <w:spacing w:val="-14"/>
        </w:rPr>
        <w:t> </w:t>
      </w:r>
      <w:r>
        <w:rPr>
          <w:spacing w:val="-3"/>
        </w:rPr>
        <w:t>kPa,</w:t>
      </w:r>
    </w:p>
    <w:p>
      <w:pPr>
        <w:pStyle w:val="BodyText"/>
        <w:spacing w:line="249" w:lineRule="auto" w:before="63"/>
        <w:ind w:left="117" w:right="1129"/>
        <w:jc w:val="both"/>
      </w:pPr>
      <w:r>
        <w:rPr/>
        <w:br w:type="column"/>
      </w:r>
      <w:r>
        <w:rPr/>
        <w:t>while the transfer of gas is not hindered. The overall process configuration in terms of unit operations would be very similar to a conventional chemical absorption/desorption process </w:t>
      </w:r>
      <w:r>
        <w:rPr>
          <w:spacing w:val="-4"/>
        </w:rPr>
        <w:t>(see </w:t>
      </w:r>
      <w:hyperlink w:history="true" w:anchor="_bookmark9">
        <w:r>
          <w:rPr/>
          <w:t>Figure</w:t>
        </w:r>
        <w:r>
          <w:rPr>
            <w:spacing w:val="-6"/>
          </w:rPr>
          <w:t> </w:t>
        </w:r>
      </w:hyperlink>
      <w:r>
        <w:rPr/>
        <w:t>3.4).</w:t>
      </w:r>
      <w:r>
        <w:rPr>
          <w:spacing w:val="-5"/>
        </w:rPr>
        <w:t> </w:t>
      </w:r>
      <w:r>
        <w:rPr/>
        <w:t>Membrane/solvent</w:t>
      </w:r>
      <w:r>
        <w:rPr>
          <w:spacing w:val="-5"/>
        </w:rPr>
        <w:t> </w:t>
      </w:r>
      <w:r>
        <w:rPr/>
        <w:t>systems</w:t>
      </w:r>
      <w:r>
        <w:rPr>
          <w:spacing w:val="-6"/>
        </w:rPr>
        <w:t> </w:t>
      </w:r>
      <w:r>
        <w:rPr/>
        <w:t>can</w:t>
      </w:r>
      <w:r>
        <w:rPr>
          <w:spacing w:val="-5"/>
        </w:rPr>
        <w:t> </w:t>
      </w:r>
      <w:r>
        <w:rPr/>
        <w:t>be</w:t>
      </w:r>
      <w:r>
        <w:rPr>
          <w:spacing w:val="-4"/>
        </w:rPr>
        <w:t> </w:t>
      </w:r>
      <w:r>
        <w:rPr/>
        <w:t>both</w:t>
      </w:r>
      <w:r>
        <w:rPr>
          <w:spacing w:val="-5"/>
        </w:rPr>
        <w:t> </w:t>
      </w:r>
      <w:r>
        <w:rPr/>
        <w:t>used</w:t>
      </w:r>
      <w:r>
        <w:rPr>
          <w:spacing w:val="-5"/>
        </w:rPr>
        <w:t> </w:t>
      </w:r>
      <w:r>
        <w:rPr/>
        <w:t>in</w:t>
      </w:r>
      <w:r>
        <w:rPr>
          <w:spacing w:val="-5"/>
        </w:rPr>
        <w:t> </w:t>
      </w:r>
      <w:r>
        <w:rPr/>
        <w:t>the absorption as well as in the desorption step. Feron and Jansen (2002)</w:t>
      </w:r>
      <w:r>
        <w:rPr>
          <w:spacing w:val="-19"/>
        </w:rPr>
        <w:t> </w:t>
      </w:r>
      <w:r>
        <w:rPr/>
        <w:t>and</w:t>
      </w:r>
      <w:r>
        <w:rPr>
          <w:spacing w:val="-19"/>
        </w:rPr>
        <w:t> </w:t>
      </w:r>
      <w:r>
        <w:rPr/>
        <w:t>Falk-Pedersen</w:t>
      </w:r>
      <w:r>
        <w:rPr>
          <w:spacing w:val="-18"/>
        </w:rPr>
        <w:t> </w:t>
      </w:r>
      <w:r>
        <w:rPr>
          <w:i/>
        </w:rPr>
        <w:t>et</w:t>
      </w:r>
      <w:r>
        <w:rPr>
          <w:i/>
          <w:spacing w:val="-19"/>
        </w:rPr>
        <w:t> </w:t>
      </w:r>
      <w:r>
        <w:rPr>
          <w:i/>
        </w:rPr>
        <w:t>al.</w:t>
      </w:r>
      <w:r>
        <w:rPr>
          <w:i/>
          <w:spacing w:val="-18"/>
        </w:rPr>
        <w:t> </w:t>
      </w:r>
      <w:r>
        <w:rPr/>
        <w:t>(1999)</w:t>
      </w:r>
      <w:r>
        <w:rPr>
          <w:spacing w:val="-18"/>
        </w:rPr>
        <w:t> </w:t>
      </w:r>
      <w:r>
        <w:rPr/>
        <w:t>give</w:t>
      </w:r>
      <w:r>
        <w:rPr>
          <w:spacing w:val="-19"/>
        </w:rPr>
        <w:t> </w:t>
      </w:r>
      <w:r>
        <w:rPr/>
        <w:t>examples</w:t>
      </w:r>
      <w:r>
        <w:rPr>
          <w:spacing w:val="-19"/>
        </w:rPr>
        <w:t> </w:t>
      </w:r>
      <w:r>
        <w:rPr/>
        <w:t>of</w:t>
      </w:r>
      <w:r>
        <w:rPr>
          <w:spacing w:val="-18"/>
        </w:rPr>
        <w:t> </w:t>
      </w:r>
      <w:r>
        <w:rPr/>
        <w:t>suitable membrane/solvent</w:t>
      </w:r>
      <w:r>
        <w:rPr>
          <w:spacing w:val="-1"/>
        </w:rPr>
        <w:t> </w:t>
      </w:r>
      <w:r>
        <w:rPr/>
        <w:t>systems.</w:t>
      </w:r>
    </w:p>
    <w:p>
      <w:pPr>
        <w:pStyle w:val="BodyText"/>
        <w:spacing w:line="240" w:lineRule="exact" w:before="1"/>
        <w:ind w:left="117" w:right="1129" w:firstLine="284"/>
        <w:jc w:val="both"/>
      </w:pPr>
      <w:r>
        <w:rPr/>
        <w:t>Research and development efforts have also been reported in the area of facilitated transport membranes. Facilitated transport membranes rely  on  the  formation  of  complexes  or reversible chemical reactions of components present in </w:t>
      </w:r>
      <w:r>
        <w:rPr>
          <w:spacing w:val="-14"/>
        </w:rPr>
        <w:t>a  </w:t>
      </w:r>
      <w:r>
        <w:rPr/>
        <w:t>gas stream with compounds present in the membrane. These complexes</w:t>
      </w:r>
      <w:r>
        <w:rPr>
          <w:spacing w:val="-9"/>
        </w:rPr>
        <w:t> </w:t>
      </w:r>
      <w:r>
        <w:rPr/>
        <w:t>or</w:t>
      </w:r>
      <w:r>
        <w:rPr>
          <w:spacing w:val="-9"/>
        </w:rPr>
        <w:t> </w:t>
      </w:r>
      <w:r>
        <w:rPr/>
        <w:t>reaction</w:t>
      </w:r>
      <w:r>
        <w:rPr>
          <w:spacing w:val="-9"/>
        </w:rPr>
        <w:t> </w:t>
      </w:r>
      <w:r>
        <w:rPr/>
        <w:t>products</w:t>
      </w:r>
      <w:r>
        <w:rPr>
          <w:spacing w:val="-9"/>
        </w:rPr>
        <w:t> </w:t>
      </w:r>
      <w:r>
        <w:rPr/>
        <w:t>are</w:t>
      </w:r>
      <w:r>
        <w:rPr>
          <w:spacing w:val="-9"/>
        </w:rPr>
        <w:t> </w:t>
      </w:r>
      <w:r>
        <w:rPr/>
        <w:t>then</w:t>
      </w:r>
      <w:r>
        <w:rPr>
          <w:spacing w:val="-9"/>
        </w:rPr>
        <w:t> </w:t>
      </w:r>
      <w:r>
        <w:rPr/>
        <w:t>transported</w:t>
      </w:r>
      <w:r>
        <w:rPr>
          <w:spacing w:val="-9"/>
        </w:rPr>
        <w:t> </w:t>
      </w:r>
      <w:r>
        <w:rPr/>
        <w:t>through</w:t>
      </w:r>
      <w:r>
        <w:rPr>
          <w:spacing w:val="-9"/>
        </w:rPr>
        <w:t> </w:t>
      </w:r>
      <w:r>
        <w:rPr/>
        <w:t>the membrane. Although solution and diffusion still play a role in the transport mechanism, the essential element is the specific chemical interaction of a gas component with a compound in the membrane, the so-called carrier. Like other pressure driven membrane processes, the driving force for the separation comes from a difference in partial pressure of the component to be transported. An important class of facilitated transport membranes</w:t>
      </w:r>
      <w:r>
        <w:rPr>
          <w:spacing w:val="-19"/>
        </w:rPr>
        <w:t> </w:t>
      </w:r>
      <w:r>
        <w:rPr/>
        <w:t>is</w:t>
      </w:r>
      <w:r>
        <w:rPr>
          <w:spacing w:val="-18"/>
        </w:rPr>
        <w:t> </w:t>
      </w:r>
      <w:r>
        <w:rPr/>
        <w:t>the</w:t>
      </w:r>
      <w:r>
        <w:rPr>
          <w:spacing w:val="-19"/>
        </w:rPr>
        <w:t> </w:t>
      </w:r>
      <w:r>
        <w:rPr/>
        <w:t>so-called</w:t>
      </w:r>
      <w:r>
        <w:rPr>
          <w:spacing w:val="-18"/>
        </w:rPr>
        <w:t> </w:t>
      </w:r>
      <w:r>
        <w:rPr/>
        <w:t>supported</w:t>
      </w:r>
      <w:r>
        <w:rPr>
          <w:spacing w:val="-18"/>
        </w:rPr>
        <w:t> </w:t>
      </w:r>
      <w:r>
        <w:rPr/>
        <w:t>liquid</w:t>
      </w:r>
      <w:r>
        <w:rPr>
          <w:spacing w:val="-19"/>
        </w:rPr>
        <w:t> </w:t>
      </w:r>
      <w:r>
        <w:rPr/>
        <w:t>membrane</w:t>
      </w:r>
      <w:r>
        <w:rPr>
          <w:spacing w:val="-18"/>
        </w:rPr>
        <w:t> </w:t>
      </w:r>
      <w:r>
        <w:rPr/>
        <w:t>in</w:t>
      </w:r>
      <w:r>
        <w:rPr>
          <w:spacing w:val="-18"/>
        </w:rPr>
        <w:t> </w:t>
      </w:r>
      <w:r>
        <w:rPr/>
        <w:t>which the carrier is dissolved into a liquid contained in a membrane. For CO</w:t>
      </w:r>
      <w:r>
        <w:rPr>
          <w:position w:val="-6"/>
          <w:sz w:val="11"/>
        </w:rPr>
        <w:t>2 </w:t>
      </w:r>
      <w:r>
        <w:rPr/>
        <w:t>separations, carbonates, amines and molten salt hydrates have been suggested as carriers (Feron, 1992). Porous membranes and ion-exchange membranes have been</w:t>
      </w:r>
      <w:r>
        <w:rPr>
          <w:spacing w:val="-25"/>
        </w:rPr>
        <w:t> </w:t>
      </w:r>
      <w:r>
        <w:rPr/>
        <w:t>employed as the support. Until </w:t>
      </w:r>
      <w:r>
        <w:rPr>
          <w:spacing w:val="-4"/>
        </w:rPr>
        <w:t>now, </w:t>
      </w:r>
      <w:r>
        <w:rPr/>
        <w:t>supported liquid membranes have only been studied on a laboratory scale. Practical problems associated with supported liquid membranes are membrane stability and liquid volatility. Furthermore, the selectivity for a gas decreases with increasing partial pressure on the feed side. This</w:t>
      </w:r>
      <w:r>
        <w:rPr>
          <w:spacing w:val="-3"/>
        </w:rPr>
        <w:t> </w:t>
      </w:r>
      <w:r>
        <w:rPr/>
        <w:t>is</w:t>
      </w:r>
      <w:r>
        <w:rPr>
          <w:spacing w:val="-3"/>
        </w:rPr>
        <w:t> </w:t>
      </w:r>
      <w:r>
        <w:rPr/>
        <w:t>a</w:t>
      </w:r>
      <w:r>
        <w:rPr>
          <w:spacing w:val="-3"/>
        </w:rPr>
        <w:t> </w:t>
      </w:r>
      <w:r>
        <w:rPr/>
        <w:t>result</w:t>
      </w:r>
      <w:r>
        <w:rPr>
          <w:spacing w:val="-3"/>
        </w:rPr>
        <w:t> </w:t>
      </w:r>
      <w:r>
        <w:rPr/>
        <w:t>of</w:t>
      </w:r>
      <w:r>
        <w:rPr>
          <w:spacing w:val="-3"/>
        </w:rPr>
        <w:t> </w:t>
      </w:r>
      <w:r>
        <w:rPr/>
        <w:t>saturation</w:t>
      </w:r>
      <w:r>
        <w:rPr>
          <w:spacing w:val="-3"/>
        </w:rPr>
        <w:t> </w:t>
      </w:r>
      <w:r>
        <w:rPr/>
        <w:t>of</w:t>
      </w:r>
      <w:r>
        <w:rPr>
          <w:spacing w:val="-3"/>
        </w:rPr>
        <w:t> </w:t>
      </w:r>
      <w:r>
        <w:rPr/>
        <w:t>the</w:t>
      </w:r>
      <w:r>
        <w:rPr>
          <w:spacing w:val="-3"/>
        </w:rPr>
        <w:t> </w:t>
      </w:r>
      <w:r>
        <w:rPr/>
        <w:t>carrier</w:t>
      </w:r>
      <w:r>
        <w:rPr>
          <w:spacing w:val="-3"/>
        </w:rPr>
        <w:t> </w:t>
      </w:r>
      <w:r>
        <w:rPr/>
        <w:t>in</w:t>
      </w:r>
      <w:r>
        <w:rPr>
          <w:spacing w:val="-3"/>
        </w:rPr>
        <w:t> </w:t>
      </w:r>
      <w:r>
        <w:rPr/>
        <w:t>the</w:t>
      </w:r>
      <w:r>
        <w:rPr>
          <w:spacing w:val="-3"/>
        </w:rPr>
        <w:t> </w:t>
      </w:r>
      <w:r>
        <w:rPr/>
        <w:t>liquid.</w:t>
      </w:r>
      <w:r>
        <w:rPr>
          <w:spacing w:val="-14"/>
        </w:rPr>
        <w:t> </w:t>
      </w:r>
      <w:r>
        <w:rPr/>
        <w:t>Also,</w:t>
      </w:r>
      <w:r>
        <w:rPr>
          <w:spacing w:val="-3"/>
        </w:rPr>
        <w:t> </w:t>
      </w:r>
      <w:r>
        <w:rPr/>
        <w:t>as the</w:t>
      </w:r>
      <w:r>
        <w:rPr>
          <w:spacing w:val="-7"/>
        </w:rPr>
        <w:t> </w:t>
      </w:r>
      <w:r>
        <w:rPr/>
        <w:t>total</w:t>
      </w:r>
      <w:r>
        <w:rPr>
          <w:spacing w:val="-7"/>
        </w:rPr>
        <w:t> </w:t>
      </w:r>
      <w:r>
        <w:rPr/>
        <w:t>feed</w:t>
      </w:r>
      <w:r>
        <w:rPr>
          <w:spacing w:val="-6"/>
        </w:rPr>
        <w:t> </w:t>
      </w:r>
      <w:r>
        <w:rPr/>
        <w:t>pressure</w:t>
      </w:r>
      <w:r>
        <w:rPr>
          <w:spacing w:val="-7"/>
        </w:rPr>
        <w:t> </w:t>
      </w:r>
      <w:r>
        <w:rPr/>
        <w:t>is</w:t>
      </w:r>
      <w:r>
        <w:rPr>
          <w:spacing w:val="-6"/>
        </w:rPr>
        <w:t> </w:t>
      </w:r>
      <w:r>
        <w:rPr/>
        <w:t>increased,</w:t>
      </w:r>
      <w:r>
        <w:rPr>
          <w:spacing w:val="-7"/>
        </w:rPr>
        <w:t> </w:t>
      </w:r>
      <w:r>
        <w:rPr/>
        <w:t>the</w:t>
      </w:r>
      <w:r>
        <w:rPr>
          <w:spacing w:val="-6"/>
        </w:rPr>
        <w:t> </w:t>
      </w:r>
      <w:r>
        <w:rPr/>
        <w:t>permeation</w:t>
      </w:r>
      <w:r>
        <w:rPr>
          <w:spacing w:val="-7"/>
        </w:rPr>
        <w:t> </w:t>
      </w:r>
      <w:r>
        <w:rPr/>
        <w:t>of</w:t>
      </w:r>
      <w:r>
        <w:rPr>
          <w:spacing w:val="-6"/>
        </w:rPr>
        <w:t> </w:t>
      </w:r>
      <w:r>
        <w:rPr/>
        <w:t>unwanted components is increased. This also results in a decrease in selectivity. </w:t>
      </w:r>
      <w:r>
        <w:rPr>
          <w:spacing w:val="-3"/>
        </w:rPr>
        <w:t>Finally, </w:t>
      </w:r>
      <w:r>
        <w:rPr/>
        <w:t>selectivity is also reduced by a reduction in membrane thickness. Recent development work has focused</w:t>
      </w:r>
      <w:r>
        <w:rPr>
          <w:spacing w:val="-37"/>
        </w:rPr>
        <w:t> </w:t>
      </w:r>
      <w:r>
        <w:rPr>
          <w:spacing w:val="-6"/>
        </w:rPr>
        <w:t>on </w:t>
      </w:r>
      <w:r>
        <w:rPr/>
        <w:t>the following technological options that are applicable to both CO</w:t>
      </w:r>
      <w:r>
        <w:rPr>
          <w:position w:val="-6"/>
          <w:sz w:val="11"/>
        </w:rPr>
        <w:t>2</w:t>
      </w:r>
      <w:r>
        <w:rPr/>
        <w:t>/N</w:t>
      </w:r>
      <w:r>
        <w:rPr>
          <w:position w:val="-6"/>
          <w:sz w:val="11"/>
        </w:rPr>
        <w:t>2 </w:t>
      </w:r>
      <w:r>
        <w:rPr/>
        <w:t>and CO</w:t>
      </w:r>
      <w:r>
        <w:rPr>
          <w:position w:val="-6"/>
          <w:sz w:val="11"/>
        </w:rPr>
        <w:t>2</w:t>
      </w:r>
      <w:r>
        <w:rPr/>
        <w:t>/H</w:t>
      </w:r>
      <w:r>
        <w:rPr>
          <w:position w:val="-6"/>
          <w:sz w:val="11"/>
        </w:rPr>
        <w:t>2</w:t>
      </w:r>
      <w:r>
        <w:rPr>
          <w:spacing w:val="17"/>
          <w:position w:val="-6"/>
          <w:sz w:val="11"/>
        </w:rPr>
        <w:t> </w:t>
      </w:r>
      <w:r>
        <w:rPr/>
        <w:t>separations:</w:t>
      </w:r>
    </w:p>
    <w:p>
      <w:pPr>
        <w:pStyle w:val="ListParagraph"/>
        <w:numPr>
          <w:ilvl w:val="2"/>
          <w:numId w:val="10"/>
        </w:numPr>
        <w:tabs>
          <w:tab w:pos="400" w:val="left" w:leader="none"/>
          <w:tab w:pos="401" w:val="left" w:leader="none"/>
        </w:tabs>
        <w:spacing w:line="240" w:lineRule="auto" w:before="5" w:after="0"/>
        <w:ind w:left="400" w:right="0" w:hanging="284"/>
        <w:jc w:val="left"/>
        <w:rPr>
          <w:sz w:val="20"/>
        </w:rPr>
      </w:pPr>
      <w:r>
        <w:rPr>
          <w:sz w:val="20"/>
        </w:rPr>
        <w:t>Amine-containing membranes (Teramoto </w:t>
      </w:r>
      <w:r>
        <w:rPr>
          <w:i/>
          <w:sz w:val="20"/>
        </w:rPr>
        <w:t>et al.</w:t>
      </w:r>
      <w:r>
        <w:rPr>
          <w:sz w:val="20"/>
        </w:rPr>
        <w:t>,</w:t>
      </w:r>
      <w:r>
        <w:rPr>
          <w:spacing w:val="-6"/>
          <w:sz w:val="20"/>
        </w:rPr>
        <w:t> </w:t>
      </w:r>
      <w:r>
        <w:rPr>
          <w:sz w:val="20"/>
        </w:rPr>
        <w:t>1996);</w:t>
      </w:r>
    </w:p>
    <w:p>
      <w:pPr>
        <w:pStyle w:val="ListParagraph"/>
        <w:numPr>
          <w:ilvl w:val="2"/>
          <w:numId w:val="10"/>
        </w:numPr>
        <w:tabs>
          <w:tab w:pos="400" w:val="left" w:leader="none"/>
          <w:tab w:pos="401" w:val="left" w:leader="none"/>
        </w:tabs>
        <w:spacing w:line="249" w:lineRule="auto" w:before="10" w:after="0"/>
        <w:ind w:left="400" w:right="1353" w:hanging="284"/>
        <w:jc w:val="left"/>
        <w:rPr>
          <w:sz w:val="20"/>
        </w:rPr>
      </w:pPr>
      <w:r>
        <w:rPr>
          <w:sz w:val="20"/>
        </w:rPr>
        <w:t>Membranes containing potassium carbonate polymer gel membranes (Okabe </w:t>
      </w:r>
      <w:r>
        <w:rPr>
          <w:i/>
          <w:sz w:val="20"/>
        </w:rPr>
        <w:t>et al.</w:t>
      </w:r>
      <w:r>
        <w:rPr>
          <w:sz w:val="20"/>
        </w:rPr>
        <w:t>,</w:t>
      </w:r>
      <w:r>
        <w:rPr>
          <w:spacing w:val="-2"/>
          <w:sz w:val="20"/>
        </w:rPr>
        <w:t> </w:t>
      </w:r>
      <w:r>
        <w:rPr>
          <w:sz w:val="20"/>
        </w:rPr>
        <w:t>2003);</w:t>
      </w:r>
    </w:p>
    <w:p>
      <w:pPr>
        <w:pStyle w:val="ListParagraph"/>
        <w:numPr>
          <w:ilvl w:val="2"/>
          <w:numId w:val="10"/>
        </w:numPr>
        <w:tabs>
          <w:tab w:pos="400" w:val="left" w:leader="none"/>
          <w:tab w:pos="401" w:val="left" w:leader="none"/>
        </w:tabs>
        <w:spacing w:line="249" w:lineRule="auto" w:before="1" w:after="0"/>
        <w:ind w:left="400" w:right="1641" w:hanging="284"/>
        <w:jc w:val="left"/>
        <w:rPr>
          <w:sz w:val="20"/>
        </w:rPr>
      </w:pPr>
      <w:r>
        <w:rPr>
          <w:sz w:val="20"/>
        </w:rPr>
        <w:t>Membranes containing potassium carbonate-glycerol (Chen </w:t>
      </w:r>
      <w:r>
        <w:rPr>
          <w:i/>
          <w:sz w:val="20"/>
        </w:rPr>
        <w:t>et al.</w:t>
      </w:r>
      <w:r>
        <w:rPr>
          <w:sz w:val="20"/>
        </w:rPr>
        <w:t>,</w:t>
      </w:r>
      <w:r>
        <w:rPr>
          <w:spacing w:val="-1"/>
          <w:sz w:val="20"/>
        </w:rPr>
        <w:t> </w:t>
      </w:r>
      <w:r>
        <w:rPr>
          <w:sz w:val="20"/>
        </w:rPr>
        <w:t>1999);</w:t>
      </w:r>
    </w:p>
    <w:p>
      <w:pPr>
        <w:pStyle w:val="ListParagraph"/>
        <w:numPr>
          <w:ilvl w:val="2"/>
          <w:numId w:val="10"/>
        </w:numPr>
        <w:tabs>
          <w:tab w:pos="400" w:val="left" w:leader="none"/>
          <w:tab w:pos="401" w:val="left" w:leader="none"/>
        </w:tabs>
        <w:spacing w:line="249" w:lineRule="auto" w:before="2" w:after="0"/>
        <w:ind w:left="400" w:right="3146" w:hanging="284"/>
        <w:jc w:val="left"/>
        <w:rPr>
          <w:sz w:val="20"/>
        </w:rPr>
      </w:pPr>
      <w:r>
        <w:rPr>
          <w:sz w:val="20"/>
        </w:rPr>
        <w:t>Dendrimer-containing</w:t>
      </w:r>
      <w:r>
        <w:rPr>
          <w:spacing w:val="-11"/>
          <w:sz w:val="20"/>
        </w:rPr>
        <w:t> </w:t>
      </w:r>
      <w:r>
        <w:rPr>
          <w:sz w:val="20"/>
        </w:rPr>
        <w:t>membranes (Kovvali and Sirkar,</w:t>
      </w:r>
      <w:r>
        <w:rPr>
          <w:spacing w:val="-3"/>
          <w:sz w:val="20"/>
        </w:rPr>
        <w:t> </w:t>
      </w:r>
      <w:r>
        <w:rPr>
          <w:sz w:val="20"/>
        </w:rPr>
        <w:t>2001).</w:t>
      </w:r>
    </w:p>
    <w:p>
      <w:pPr>
        <w:pStyle w:val="ListParagraph"/>
        <w:numPr>
          <w:ilvl w:val="2"/>
          <w:numId w:val="10"/>
        </w:numPr>
        <w:tabs>
          <w:tab w:pos="400" w:val="left" w:leader="none"/>
          <w:tab w:pos="401" w:val="left" w:leader="none"/>
        </w:tabs>
        <w:spacing w:line="240" w:lineRule="auto" w:before="2" w:after="0"/>
        <w:ind w:left="400" w:right="0" w:hanging="284"/>
        <w:jc w:val="left"/>
        <w:rPr>
          <w:sz w:val="20"/>
        </w:rPr>
      </w:pPr>
      <w:r>
        <w:rPr>
          <w:sz w:val="20"/>
        </w:rPr>
        <w:t>Poly-electrolyte membranes (Quinn and Laciak,</w:t>
      </w:r>
      <w:r>
        <w:rPr>
          <w:spacing w:val="-4"/>
          <w:sz w:val="20"/>
        </w:rPr>
        <w:t> </w:t>
      </w:r>
      <w:r>
        <w:rPr>
          <w:sz w:val="20"/>
        </w:rPr>
        <w:t>1997);</w:t>
      </w:r>
    </w:p>
    <w:p>
      <w:pPr>
        <w:pStyle w:val="BodyText"/>
        <w:spacing w:before="8"/>
        <w:rPr>
          <w:sz w:val="21"/>
        </w:rPr>
      </w:pPr>
    </w:p>
    <w:p>
      <w:pPr>
        <w:pStyle w:val="BodyText"/>
        <w:spacing w:line="249" w:lineRule="auto"/>
        <w:ind w:left="117" w:right="1130" w:firstLine="284"/>
        <w:jc w:val="both"/>
      </w:pPr>
      <w:r>
        <w:rPr/>
        <w:t>Facilitated transport membranes and other membranes can also be used in a preconcentration step prior to the liquefaction of CO</w:t>
      </w:r>
      <w:r>
        <w:rPr>
          <w:position w:val="-6"/>
          <w:sz w:val="11"/>
        </w:rPr>
        <w:t>2 </w:t>
      </w:r>
      <w:r>
        <w:rPr/>
        <w:t>(Mano </w:t>
      </w:r>
      <w:r>
        <w:rPr>
          <w:i/>
        </w:rPr>
        <w:t>et al.</w:t>
      </w:r>
      <w:r>
        <w:rPr/>
        <w:t>, 2003).</w:t>
      </w:r>
    </w:p>
    <w:p>
      <w:pPr>
        <w:pStyle w:val="ListParagraph"/>
        <w:numPr>
          <w:ilvl w:val="3"/>
          <w:numId w:val="5"/>
        </w:numPr>
        <w:tabs>
          <w:tab w:pos="937" w:val="left" w:leader="none"/>
        </w:tabs>
        <w:spacing w:line="240" w:lineRule="auto" w:before="192" w:after="0"/>
        <w:ind w:left="936" w:right="0" w:hanging="821"/>
        <w:jc w:val="both"/>
        <w:rPr>
          <w:i/>
          <w:sz w:val="20"/>
        </w:rPr>
      </w:pPr>
      <w:r>
        <w:rPr>
          <w:i/>
          <w:sz w:val="20"/>
        </w:rPr>
        <w:t>Solid</w:t>
      </w:r>
      <w:r>
        <w:rPr>
          <w:i/>
          <w:spacing w:val="-1"/>
          <w:sz w:val="20"/>
        </w:rPr>
        <w:t> </w:t>
      </w:r>
      <w:r>
        <w:rPr>
          <w:i/>
          <w:sz w:val="20"/>
        </w:rPr>
        <w:t>sorbents</w:t>
      </w:r>
    </w:p>
    <w:p>
      <w:pPr>
        <w:pStyle w:val="BodyText"/>
        <w:spacing w:line="225" w:lineRule="auto" w:before="21"/>
        <w:ind w:left="117" w:right="1131"/>
        <w:jc w:val="both"/>
      </w:pPr>
      <w:r>
        <w:rPr/>
        <w:t>There are post-combustion systems being proposed that make use of regenerable solid sorbents to remove CO</w:t>
      </w:r>
      <w:r>
        <w:rPr>
          <w:position w:val="-6"/>
          <w:sz w:val="11"/>
        </w:rPr>
        <w:t>2 </w:t>
      </w:r>
      <w:r>
        <w:rPr/>
        <w:t>at relatively high temperatures. The use of high temperatures in the CO</w:t>
      </w:r>
      <w:r>
        <w:rPr>
          <w:position w:val="-6"/>
          <w:sz w:val="11"/>
        </w:rPr>
        <w:t>2 </w:t>
      </w:r>
      <w:r>
        <w:rPr/>
        <w:t>separation step has the potential to reduce efficiency penalties with respect to wet-absorption methods. In principle, they all</w:t>
      </w:r>
    </w:p>
    <w:p>
      <w:pPr>
        <w:spacing w:after="0" w:line="225" w:lineRule="auto"/>
        <w:jc w:val="both"/>
        <w:sectPr>
          <w:type w:val="continuous"/>
          <w:pgSz w:w="12240" w:h="15840"/>
          <w:pgMar w:top="480" w:bottom="280" w:left="620" w:right="0"/>
          <w:cols w:num="2" w:equalWidth="0">
            <w:col w:w="5202" w:space="124"/>
            <w:col w:w="6294"/>
          </w:cols>
        </w:sectPr>
      </w:pPr>
    </w:p>
    <w:p>
      <w:pPr>
        <w:pStyle w:val="BodyText"/>
      </w:pPr>
    </w:p>
    <w:p>
      <w:pPr>
        <w:spacing w:after="0"/>
        <w:sectPr>
          <w:pgSz w:w="12240" w:h="15840"/>
          <w:pgMar w:header="567" w:footer="0" w:top="800" w:bottom="280" w:left="620" w:right="0"/>
        </w:sectPr>
      </w:pPr>
    </w:p>
    <w:p>
      <w:pPr>
        <w:pStyle w:val="BodyText"/>
        <w:spacing w:before="10"/>
        <w:rPr>
          <w:sz w:val="17"/>
        </w:rPr>
      </w:pPr>
    </w:p>
    <w:p>
      <w:pPr>
        <w:pStyle w:val="BodyText"/>
        <w:spacing w:line="240" w:lineRule="exact"/>
        <w:ind w:left="513"/>
        <w:jc w:val="both"/>
      </w:pPr>
      <w:bookmarkStart w:name="3.3.4 Status and outlook" w:id="33"/>
      <w:bookmarkEnd w:id="33"/>
      <w:r>
        <w:rPr/>
      </w:r>
      <w:r>
        <w:rPr/>
        <w:t>follow</w:t>
      </w:r>
      <w:r>
        <w:rPr>
          <w:spacing w:val="-6"/>
        </w:rPr>
        <w:t> </w:t>
      </w:r>
      <w:r>
        <w:rPr/>
        <w:t>the</w:t>
      </w:r>
      <w:r>
        <w:rPr>
          <w:spacing w:val="-6"/>
        </w:rPr>
        <w:t> </w:t>
      </w:r>
      <w:r>
        <w:rPr/>
        <w:t>scheme</w:t>
      </w:r>
      <w:r>
        <w:rPr>
          <w:spacing w:val="-6"/>
        </w:rPr>
        <w:t> </w:t>
      </w:r>
      <w:r>
        <w:rPr/>
        <w:t>shown</w:t>
      </w:r>
      <w:r>
        <w:rPr>
          <w:spacing w:val="-6"/>
        </w:rPr>
        <w:t> </w:t>
      </w:r>
      <w:r>
        <w:rPr/>
        <w:t>in</w:t>
      </w:r>
      <w:r>
        <w:rPr>
          <w:spacing w:val="-6"/>
        </w:rPr>
        <w:t> </w:t>
      </w:r>
      <w:hyperlink w:history="true" w:anchor="_bookmark2">
        <w:r>
          <w:rPr/>
          <w:t>Figure</w:t>
        </w:r>
        <w:r>
          <w:rPr>
            <w:spacing w:val="-6"/>
          </w:rPr>
          <w:t> </w:t>
        </w:r>
        <w:r>
          <w:rPr/>
          <w:t>3.2a,</w:t>
        </w:r>
        <w:r>
          <w:rPr>
            <w:spacing w:val="-6"/>
          </w:rPr>
          <w:t> </w:t>
        </w:r>
      </w:hyperlink>
      <w:r>
        <w:rPr/>
        <w:t>where</w:t>
      </w:r>
      <w:r>
        <w:rPr>
          <w:spacing w:val="-5"/>
        </w:rPr>
        <w:t> </w:t>
      </w:r>
      <w:r>
        <w:rPr/>
        <w:t>the</w:t>
      </w:r>
      <w:r>
        <w:rPr>
          <w:spacing w:val="-6"/>
        </w:rPr>
        <w:t> </w:t>
      </w:r>
      <w:r>
        <w:rPr/>
        <w:t>combustion flue</w:t>
      </w:r>
      <w:r>
        <w:rPr>
          <w:spacing w:val="-8"/>
        </w:rPr>
        <w:t> </w:t>
      </w:r>
      <w:r>
        <w:rPr/>
        <w:t>gas</w:t>
      </w:r>
      <w:r>
        <w:rPr>
          <w:spacing w:val="-7"/>
        </w:rPr>
        <w:t> </w:t>
      </w:r>
      <w:r>
        <w:rPr/>
        <w:t>is</w:t>
      </w:r>
      <w:r>
        <w:rPr>
          <w:spacing w:val="-7"/>
        </w:rPr>
        <w:t> </w:t>
      </w:r>
      <w:r>
        <w:rPr/>
        <w:t>put</w:t>
      </w:r>
      <w:r>
        <w:rPr>
          <w:spacing w:val="-7"/>
        </w:rPr>
        <w:t> </w:t>
      </w:r>
      <w:r>
        <w:rPr/>
        <w:t>in</w:t>
      </w:r>
      <w:r>
        <w:rPr>
          <w:spacing w:val="-8"/>
        </w:rPr>
        <w:t> </w:t>
      </w:r>
      <w:r>
        <w:rPr/>
        <w:t>contact</w:t>
      </w:r>
      <w:r>
        <w:rPr>
          <w:spacing w:val="-7"/>
        </w:rPr>
        <w:t> </w:t>
      </w:r>
      <w:r>
        <w:rPr/>
        <w:t>with</w:t>
      </w:r>
      <w:r>
        <w:rPr>
          <w:spacing w:val="-7"/>
        </w:rPr>
        <w:t> </w:t>
      </w:r>
      <w:r>
        <w:rPr/>
        <w:t>the</w:t>
      </w:r>
      <w:r>
        <w:rPr>
          <w:spacing w:val="-7"/>
        </w:rPr>
        <w:t> </w:t>
      </w:r>
      <w:r>
        <w:rPr/>
        <w:t>sorbent</w:t>
      </w:r>
      <w:r>
        <w:rPr>
          <w:spacing w:val="-7"/>
        </w:rPr>
        <w:t> </w:t>
      </w:r>
      <w:r>
        <w:rPr/>
        <w:t>in</w:t>
      </w:r>
      <w:r>
        <w:rPr>
          <w:spacing w:val="-8"/>
        </w:rPr>
        <w:t> </w:t>
      </w:r>
      <w:r>
        <w:rPr/>
        <w:t>a</w:t>
      </w:r>
      <w:r>
        <w:rPr>
          <w:spacing w:val="-7"/>
        </w:rPr>
        <w:t> </w:t>
      </w:r>
      <w:r>
        <w:rPr/>
        <w:t>suitable</w:t>
      </w:r>
      <w:r>
        <w:rPr>
          <w:spacing w:val="-7"/>
        </w:rPr>
        <w:t> </w:t>
      </w:r>
      <w:r>
        <w:rPr/>
        <w:t>reactor</w:t>
      </w:r>
      <w:r>
        <w:rPr>
          <w:spacing w:val="-7"/>
        </w:rPr>
        <w:t> </w:t>
      </w:r>
      <w:r>
        <w:rPr/>
        <w:t>to allow</w:t>
      </w:r>
      <w:r>
        <w:rPr>
          <w:spacing w:val="-11"/>
        </w:rPr>
        <w:t> </w:t>
      </w:r>
      <w:r>
        <w:rPr/>
        <w:t>the</w:t>
      </w:r>
      <w:r>
        <w:rPr>
          <w:spacing w:val="-11"/>
        </w:rPr>
        <w:t> </w:t>
      </w:r>
      <w:r>
        <w:rPr/>
        <w:t>gas-solid</w:t>
      </w:r>
      <w:r>
        <w:rPr>
          <w:spacing w:val="-10"/>
        </w:rPr>
        <w:t> </w:t>
      </w:r>
      <w:r>
        <w:rPr/>
        <w:t>reaction</w:t>
      </w:r>
      <w:r>
        <w:rPr>
          <w:spacing w:val="-11"/>
        </w:rPr>
        <w:t> </w:t>
      </w:r>
      <w:r>
        <w:rPr/>
        <w:t>of</w:t>
      </w:r>
      <w:r>
        <w:rPr>
          <w:spacing w:val="-11"/>
        </w:rPr>
        <w:t> </w:t>
      </w:r>
      <w:r>
        <w:rPr/>
        <w:t>CO</w:t>
      </w:r>
      <w:r>
        <w:rPr>
          <w:position w:val="-6"/>
          <w:sz w:val="11"/>
        </w:rPr>
        <w:t>2</w:t>
      </w:r>
      <w:r>
        <w:rPr>
          <w:spacing w:val="13"/>
          <w:position w:val="-6"/>
          <w:sz w:val="11"/>
        </w:rPr>
        <w:t> </w:t>
      </w:r>
      <w:r>
        <w:rPr/>
        <w:t>with</w:t>
      </w:r>
      <w:r>
        <w:rPr>
          <w:spacing w:val="-11"/>
        </w:rPr>
        <w:t> </w:t>
      </w:r>
      <w:r>
        <w:rPr/>
        <w:t>the</w:t>
      </w:r>
      <w:r>
        <w:rPr>
          <w:spacing w:val="-11"/>
        </w:rPr>
        <w:t> </w:t>
      </w:r>
      <w:r>
        <w:rPr/>
        <w:t>sorbent</w:t>
      </w:r>
      <w:r>
        <w:rPr>
          <w:spacing w:val="-10"/>
        </w:rPr>
        <w:t> </w:t>
      </w:r>
      <w:r>
        <w:rPr/>
        <w:t>(usually</w:t>
      </w:r>
      <w:r>
        <w:rPr>
          <w:spacing w:val="-11"/>
        </w:rPr>
        <w:t> </w:t>
      </w:r>
      <w:r>
        <w:rPr/>
        <w:t>the carbonation</w:t>
      </w:r>
      <w:r>
        <w:rPr>
          <w:spacing w:val="-7"/>
        </w:rPr>
        <w:t> </w:t>
      </w:r>
      <w:r>
        <w:rPr/>
        <w:t>of</w:t>
      </w:r>
      <w:r>
        <w:rPr>
          <w:spacing w:val="-6"/>
        </w:rPr>
        <w:t> </w:t>
      </w:r>
      <w:r>
        <w:rPr/>
        <w:t>a</w:t>
      </w:r>
      <w:r>
        <w:rPr>
          <w:spacing w:val="-6"/>
        </w:rPr>
        <w:t> </w:t>
      </w:r>
      <w:r>
        <w:rPr/>
        <w:t>metal</w:t>
      </w:r>
      <w:r>
        <w:rPr>
          <w:spacing w:val="-6"/>
        </w:rPr>
        <w:t> </w:t>
      </w:r>
      <w:r>
        <w:rPr/>
        <w:t>oxide).</w:t>
      </w:r>
      <w:r>
        <w:rPr>
          <w:spacing w:val="-11"/>
        </w:rPr>
        <w:t> </w:t>
      </w:r>
      <w:r>
        <w:rPr/>
        <w:t>The</w:t>
      </w:r>
      <w:r>
        <w:rPr>
          <w:spacing w:val="-6"/>
        </w:rPr>
        <w:t> </w:t>
      </w:r>
      <w:r>
        <w:rPr/>
        <w:t>solid</w:t>
      </w:r>
      <w:r>
        <w:rPr>
          <w:spacing w:val="-6"/>
        </w:rPr>
        <w:t> </w:t>
      </w:r>
      <w:r>
        <w:rPr/>
        <w:t>can</w:t>
      </w:r>
      <w:r>
        <w:rPr>
          <w:spacing w:val="-6"/>
        </w:rPr>
        <w:t> </w:t>
      </w:r>
      <w:r>
        <w:rPr/>
        <w:t>be</w:t>
      </w:r>
      <w:r>
        <w:rPr>
          <w:spacing w:val="-7"/>
        </w:rPr>
        <w:t> </w:t>
      </w:r>
      <w:r>
        <w:rPr/>
        <w:t>easily</w:t>
      </w:r>
      <w:r>
        <w:rPr>
          <w:spacing w:val="-6"/>
        </w:rPr>
        <w:t> </w:t>
      </w:r>
      <w:r>
        <w:rPr/>
        <w:t>separated from the gas stream and sent for regeneration in a different reactor. Instead of moving the solids, the reactor can also be switched</w:t>
      </w:r>
      <w:r>
        <w:rPr>
          <w:spacing w:val="-13"/>
        </w:rPr>
        <w:t> </w:t>
      </w:r>
      <w:r>
        <w:rPr/>
        <w:t>between</w:t>
      </w:r>
      <w:r>
        <w:rPr>
          <w:spacing w:val="-13"/>
        </w:rPr>
        <w:t> </w:t>
      </w:r>
      <w:r>
        <w:rPr/>
        <w:t>sorption</w:t>
      </w:r>
      <w:r>
        <w:rPr>
          <w:spacing w:val="-13"/>
        </w:rPr>
        <w:t> </w:t>
      </w:r>
      <w:r>
        <w:rPr/>
        <w:t>and</w:t>
      </w:r>
      <w:r>
        <w:rPr>
          <w:spacing w:val="-13"/>
        </w:rPr>
        <w:t> </w:t>
      </w:r>
      <w:r>
        <w:rPr/>
        <w:t>regeneration</w:t>
      </w:r>
      <w:r>
        <w:rPr>
          <w:spacing w:val="-13"/>
        </w:rPr>
        <w:t> </w:t>
      </w:r>
      <w:r>
        <w:rPr/>
        <w:t>modes</w:t>
      </w:r>
      <w:r>
        <w:rPr>
          <w:spacing w:val="-13"/>
        </w:rPr>
        <w:t> </w:t>
      </w:r>
      <w:r>
        <w:rPr/>
        <w:t>of</w:t>
      </w:r>
      <w:r>
        <w:rPr>
          <w:spacing w:val="-12"/>
        </w:rPr>
        <w:t> </w:t>
      </w:r>
      <w:r>
        <w:rPr/>
        <w:t>operation in a batch wise, cyclic operation. One key component for the development of these systems is obviously the sorbent itself, that</w:t>
      </w:r>
      <w:r>
        <w:rPr>
          <w:spacing w:val="-11"/>
        </w:rPr>
        <w:t> </w:t>
      </w:r>
      <w:r>
        <w:rPr/>
        <w:t>has</w:t>
      </w:r>
      <w:r>
        <w:rPr>
          <w:spacing w:val="-11"/>
        </w:rPr>
        <w:t> </w:t>
      </w:r>
      <w:r>
        <w:rPr/>
        <w:t>to</w:t>
      </w:r>
      <w:r>
        <w:rPr>
          <w:spacing w:val="-11"/>
        </w:rPr>
        <w:t> </w:t>
      </w:r>
      <w:r>
        <w:rPr/>
        <w:t>have</w:t>
      </w:r>
      <w:r>
        <w:rPr>
          <w:spacing w:val="-11"/>
        </w:rPr>
        <w:t> </w:t>
      </w:r>
      <w:r>
        <w:rPr/>
        <w:t>good</w:t>
      </w:r>
      <w:r>
        <w:rPr>
          <w:spacing w:val="-11"/>
        </w:rPr>
        <w:t> </w:t>
      </w:r>
      <w:r>
        <w:rPr/>
        <w:t>CO</w:t>
      </w:r>
      <w:r>
        <w:rPr>
          <w:position w:val="-6"/>
          <w:sz w:val="11"/>
        </w:rPr>
        <w:t>2</w:t>
      </w:r>
      <w:r>
        <w:rPr>
          <w:spacing w:val="13"/>
          <w:position w:val="-6"/>
          <w:sz w:val="11"/>
        </w:rPr>
        <w:t> </w:t>
      </w:r>
      <w:r>
        <w:rPr/>
        <w:t>absorption</w:t>
      </w:r>
      <w:r>
        <w:rPr>
          <w:spacing w:val="-11"/>
        </w:rPr>
        <w:t> </w:t>
      </w:r>
      <w:r>
        <w:rPr/>
        <w:t>capacity</w:t>
      </w:r>
      <w:r>
        <w:rPr>
          <w:spacing w:val="-11"/>
        </w:rPr>
        <w:t> </w:t>
      </w:r>
      <w:r>
        <w:rPr/>
        <w:t>and</w:t>
      </w:r>
      <w:r>
        <w:rPr>
          <w:spacing w:val="-11"/>
        </w:rPr>
        <w:t> </w:t>
      </w:r>
      <w:r>
        <w:rPr/>
        <w:t>chemical</w:t>
      </w:r>
      <w:r>
        <w:rPr>
          <w:spacing w:val="-11"/>
        </w:rPr>
        <w:t> </w:t>
      </w:r>
      <w:r>
        <w:rPr/>
        <w:t>and mechanical stability for long periods of operation in repeated cycles. In general, sorbent performance and cost are critical issues in all post-combustion systems, and more elaborate sorbent materials are usually more expensive and will have to demonstrate outstanding performance compared with existing commercial alternatives such as those described in</w:t>
      </w:r>
      <w:r>
        <w:rPr>
          <w:spacing w:val="-3"/>
        </w:rPr>
        <w:t> </w:t>
      </w:r>
      <w:r>
        <w:rPr/>
        <w:t>3.3.2.</w:t>
      </w:r>
    </w:p>
    <w:p>
      <w:pPr>
        <w:pStyle w:val="BodyText"/>
        <w:spacing w:line="240" w:lineRule="exact"/>
        <w:ind w:left="513" w:firstLine="283"/>
        <w:jc w:val="both"/>
      </w:pPr>
      <w:r>
        <w:rPr/>
        <w:t>Solid</w:t>
      </w:r>
      <w:r>
        <w:rPr>
          <w:spacing w:val="-18"/>
        </w:rPr>
        <w:t> </w:t>
      </w:r>
      <w:r>
        <w:rPr/>
        <w:t>sorbents</w:t>
      </w:r>
      <w:r>
        <w:rPr>
          <w:spacing w:val="-18"/>
        </w:rPr>
        <w:t> </w:t>
      </w:r>
      <w:r>
        <w:rPr/>
        <w:t>being</w:t>
      </w:r>
      <w:r>
        <w:rPr>
          <w:spacing w:val="-17"/>
        </w:rPr>
        <w:t> </w:t>
      </w:r>
      <w:r>
        <w:rPr/>
        <w:t>investigated</w:t>
      </w:r>
      <w:r>
        <w:rPr>
          <w:spacing w:val="-18"/>
        </w:rPr>
        <w:t> </w:t>
      </w:r>
      <w:r>
        <w:rPr/>
        <w:t>for</w:t>
      </w:r>
      <w:r>
        <w:rPr>
          <w:spacing w:val="-17"/>
        </w:rPr>
        <w:t> </w:t>
      </w:r>
      <w:r>
        <w:rPr/>
        <w:t>large-scale</w:t>
      </w:r>
      <w:r>
        <w:rPr>
          <w:spacing w:val="-18"/>
        </w:rPr>
        <w:t> </w:t>
      </w:r>
      <w:r>
        <w:rPr/>
        <w:t>CO</w:t>
      </w:r>
      <w:r>
        <w:rPr>
          <w:position w:val="-6"/>
          <w:sz w:val="11"/>
        </w:rPr>
        <w:t>2</w:t>
      </w:r>
      <w:r>
        <w:rPr>
          <w:spacing w:val="4"/>
          <w:position w:val="-6"/>
          <w:sz w:val="11"/>
        </w:rPr>
        <w:t> </w:t>
      </w:r>
      <w:r>
        <w:rPr/>
        <w:t>capture purposes are sodium and potassium oxides and carbonates (to produce bicarbonate), usually supported on a solid substrate (Hoffman</w:t>
      </w:r>
      <w:r>
        <w:rPr>
          <w:spacing w:val="-26"/>
        </w:rPr>
        <w:t> </w:t>
      </w:r>
      <w:r>
        <w:rPr>
          <w:i/>
        </w:rPr>
        <w:t>et</w:t>
      </w:r>
      <w:r>
        <w:rPr>
          <w:i/>
          <w:spacing w:val="-24"/>
        </w:rPr>
        <w:t> </w:t>
      </w:r>
      <w:r>
        <w:rPr>
          <w:i/>
        </w:rPr>
        <w:t>al</w:t>
      </w:r>
      <w:r>
        <w:rPr/>
        <w:t>.,</w:t>
      </w:r>
      <w:r>
        <w:rPr>
          <w:spacing w:val="-25"/>
        </w:rPr>
        <w:t> </w:t>
      </w:r>
      <w:r>
        <w:rPr/>
        <w:t>2002;</w:t>
      </w:r>
      <w:r>
        <w:rPr>
          <w:spacing w:val="-24"/>
        </w:rPr>
        <w:t> </w:t>
      </w:r>
      <w:r>
        <w:rPr/>
        <w:t>Green</w:t>
      </w:r>
      <w:r>
        <w:rPr>
          <w:spacing w:val="-24"/>
        </w:rPr>
        <w:t> </w:t>
      </w:r>
      <w:r>
        <w:rPr>
          <w:i/>
        </w:rPr>
        <w:t>et</w:t>
      </w:r>
      <w:r>
        <w:rPr>
          <w:i/>
          <w:spacing w:val="-25"/>
        </w:rPr>
        <w:t> </w:t>
      </w:r>
      <w:r>
        <w:rPr>
          <w:i/>
        </w:rPr>
        <w:t>al.</w:t>
      </w:r>
      <w:r>
        <w:rPr/>
        <w:t>,</w:t>
      </w:r>
      <w:r>
        <w:rPr>
          <w:spacing w:val="-24"/>
        </w:rPr>
        <w:t> </w:t>
      </w:r>
      <w:r>
        <w:rPr/>
        <w:t>2002).</w:t>
      </w:r>
      <w:r>
        <w:rPr>
          <w:spacing w:val="-35"/>
        </w:rPr>
        <w:t> </w:t>
      </w:r>
      <w:r>
        <w:rPr/>
        <w:t>Also,</w:t>
      </w:r>
      <w:r>
        <w:rPr>
          <w:spacing w:val="-25"/>
        </w:rPr>
        <w:t> </w:t>
      </w:r>
      <w:r>
        <w:rPr/>
        <w:t>high</w:t>
      </w:r>
      <w:r>
        <w:rPr>
          <w:spacing w:val="-25"/>
        </w:rPr>
        <w:t> </w:t>
      </w:r>
      <w:r>
        <w:rPr/>
        <w:t>temperature Li-based and CaO-based sorbents are suitable candidates. The use</w:t>
      </w:r>
      <w:r>
        <w:rPr>
          <w:spacing w:val="-10"/>
        </w:rPr>
        <w:t> </w:t>
      </w:r>
      <w:r>
        <w:rPr/>
        <w:t>of</w:t>
      </w:r>
      <w:r>
        <w:rPr>
          <w:spacing w:val="-10"/>
        </w:rPr>
        <w:t> </w:t>
      </w:r>
      <w:r>
        <w:rPr/>
        <w:t>lithium-containing</w:t>
      </w:r>
      <w:r>
        <w:rPr>
          <w:spacing w:val="-11"/>
        </w:rPr>
        <w:t> </w:t>
      </w:r>
      <w:r>
        <w:rPr/>
        <w:t>compounds</w:t>
      </w:r>
      <w:r>
        <w:rPr>
          <w:spacing w:val="-9"/>
        </w:rPr>
        <w:t> </w:t>
      </w:r>
      <w:r>
        <w:rPr/>
        <w:t>(lithium,</w:t>
      </w:r>
      <w:r>
        <w:rPr>
          <w:spacing w:val="-10"/>
        </w:rPr>
        <w:t> </w:t>
      </w:r>
      <w:r>
        <w:rPr/>
        <w:t>lithium-zirconia and lithium-silica oxides) in a carbonation-calcination </w:t>
      </w:r>
      <w:r>
        <w:rPr>
          <w:spacing w:val="-3"/>
        </w:rPr>
        <w:t>cycle, </w:t>
      </w:r>
      <w:r>
        <w:rPr/>
        <w:t>was first investigated in Japan (Nakagawa and Ohashi, 1998). The reported performance of these sorbents is very good, with very high reactivity in a wide range of temperatures </w:t>
      </w:r>
      <w:r>
        <w:rPr>
          <w:spacing w:val="-3"/>
        </w:rPr>
        <w:t>below </w:t>
      </w:r>
      <w:r>
        <w:rPr/>
        <w:t>700ºC, rapid regeneration at higher temperatures and</w:t>
      </w:r>
      <w:r>
        <w:rPr>
          <w:spacing w:val="-34"/>
        </w:rPr>
        <w:t> </w:t>
      </w:r>
      <w:r>
        <w:rPr/>
        <w:t>durability in repeated capture-regeneration cycles. This is essential because lithium is an intrinsically expensive material.</w:t>
      </w:r>
    </w:p>
    <w:p>
      <w:pPr>
        <w:pStyle w:val="BodyText"/>
        <w:spacing w:line="228" w:lineRule="auto" w:before="12"/>
        <w:ind w:left="513" w:right="1" w:firstLine="283"/>
        <w:jc w:val="both"/>
      </w:pPr>
      <w:r>
        <w:rPr/>
        <w:t>The use of CaO as a regenerable CO</w:t>
      </w:r>
      <w:r>
        <w:rPr>
          <w:position w:val="-6"/>
          <w:sz w:val="11"/>
        </w:rPr>
        <w:t>2 </w:t>
      </w:r>
      <w:r>
        <w:rPr/>
        <w:t>sorbent has been proposed in several processes dating back to the 19</w:t>
      </w:r>
      <w:r>
        <w:rPr>
          <w:position w:val="7"/>
          <w:sz w:val="11"/>
        </w:rPr>
        <w:t>th </w:t>
      </w:r>
      <w:r>
        <w:rPr/>
        <w:t>century. The</w:t>
      </w:r>
      <w:r>
        <w:rPr>
          <w:spacing w:val="-13"/>
        </w:rPr>
        <w:t> </w:t>
      </w:r>
      <w:r>
        <w:rPr/>
        <w:t>carbonation</w:t>
      </w:r>
      <w:r>
        <w:rPr>
          <w:spacing w:val="-12"/>
        </w:rPr>
        <w:t> </w:t>
      </w:r>
      <w:r>
        <w:rPr/>
        <w:t>reaction</w:t>
      </w:r>
      <w:r>
        <w:rPr>
          <w:spacing w:val="-13"/>
        </w:rPr>
        <w:t> </w:t>
      </w:r>
      <w:r>
        <w:rPr/>
        <w:t>of</w:t>
      </w:r>
      <w:r>
        <w:rPr>
          <w:spacing w:val="-12"/>
        </w:rPr>
        <w:t> </w:t>
      </w:r>
      <w:r>
        <w:rPr/>
        <w:t>CaO</w:t>
      </w:r>
      <w:r>
        <w:rPr>
          <w:spacing w:val="-12"/>
        </w:rPr>
        <w:t> </w:t>
      </w:r>
      <w:r>
        <w:rPr/>
        <w:t>to</w:t>
      </w:r>
      <w:r>
        <w:rPr>
          <w:spacing w:val="-13"/>
        </w:rPr>
        <w:t> </w:t>
      </w:r>
      <w:r>
        <w:rPr/>
        <w:t>separate</w:t>
      </w:r>
      <w:r>
        <w:rPr>
          <w:spacing w:val="-12"/>
        </w:rPr>
        <w:t> </w:t>
      </w:r>
      <w:r>
        <w:rPr/>
        <w:t>CO</w:t>
      </w:r>
      <w:r>
        <w:rPr>
          <w:position w:val="-6"/>
          <w:sz w:val="11"/>
        </w:rPr>
        <w:t>2</w:t>
      </w:r>
      <w:r>
        <w:rPr>
          <w:spacing w:val="10"/>
          <w:position w:val="-6"/>
          <w:sz w:val="11"/>
        </w:rPr>
        <w:t> </w:t>
      </w:r>
      <w:r>
        <w:rPr/>
        <w:t>from</w:t>
      </w:r>
      <w:r>
        <w:rPr>
          <w:spacing w:val="-12"/>
        </w:rPr>
        <w:t> </w:t>
      </w:r>
      <w:r>
        <w:rPr/>
        <w:t>hot</w:t>
      </w:r>
      <w:r>
        <w:rPr>
          <w:spacing w:val="-12"/>
        </w:rPr>
        <w:t> </w:t>
      </w:r>
      <w:r>
        <w:rPr/>
        <w:t>gases (T &gt; 600ºC) is very fast and the regeneration of the sorbent   by calcining the CaCO</w:t>
      </w:r>
      <w:r>
        <w:rPr>
          <w:position w:val="-6"/>
          <w:sz w:val="11"/>
        </w:rPr>
        <w:t>3  </w:t>
      </w:r>
      <w:r>
        <w:rPr/>
        <w:t>into CaO and pure CO</w:t>
      </w:r>
      <w:r>
        <w:rPr>
          <w:position w:val="-6"/>
          <w:sz w:val="11"/>
        </w:rPr>
        <w:t>2   </w:t>
      </w:r>
      <w:r>
        <w:rPr/>
        <w:t>is favoured   at T &gt; 900ºC (at a partial pressure of CO</w:t>
      </w:r>
      <w:r>
        <w:rPr>
          <w:position w:val="-6"/>
          <w:sz w:val="11"/>
        </w:rPr>
        <w:t>2 </w:t>
      </w:r>
      <w:r>
        <w:rPr/>
        <w:t>of 0.1 MPa). The basic separation principle using this carbonation-calcination cycle was successfully tested in a pilot plant (40 tonne d</w:t>
      </w:r>
      <w:r>
        <w:rPr>
          <w:position w:val="7"/>
          <w:sz w:val="11"/>
        </w:rPr>
        <w:t>-1</w:t>
      </w:r>
      <w:r>
        <w:rPr/>
        <w:t>) for the development of the Acceptor Coal Gasification Process (Curran </w:t>
      </w:r>
      <w:r>
        <w:rPr>
          <w:i/>
        </w:rPr>
        <w:t>et al.</w:t>
      </w:r>
      <w:r>
        <w:rPr/>
        <w:t>, 1967) using two interconnected fluidized beds. The use of the above cycle for  a  post-combustion  system was first proposed by Shimizu </w:t>
      </w:r>
      <w:r>
        <w:rPr>
          <w:i/>
        </w:rPr>
        <w:t>et al. </w:t>
      </w:r>
      <w:r>
        <w:rPr/>
        <w:t>(1999) and involved the regeneration of the sorbent in a fluidized bed, firing part of  the fuel with O</w:t>
      </w:r>
      <w:r>
        <w:rPr>
          <w:position w:val="-6"/>
          <w:sz w:val="11"/>
        </w:rPr>
        <w:t>2</w:t>
      </w:r>
      <w:r>
        <w:rPr/>
        <w:t>/CO</w:t>
      </w:r>
      <w:r>
        <w:rPr>
          <w:position w:val="-6"/>
          <w:sz w:val="11"/>
        </w:rPr>
        <w:t>2 </w:t>
      </w:r>
      <w:r>
        <w:rPr/>
        <w:t>mixtures (see also Section 3.4.2). The effective capture of CO</w:t>
      </w:r>
      <w:r>
        <w:rPr>
          <w:position w:val="-6"/>
          <w:sz w:val="11"/>
        </w:rPr>
        <w:t>2   </w:t>
      </w:r>
      <w:r>
        <w:rPr/>
        <w:t>by CaO has been demonstrated </w:t>
      </w:r>
      <w:r>
        <w:rPr>
          <w:spacing w:val="-7"/>
        </w:rPr>
        <w:t>in      </w:t>
      </w:r>
      <w:r>
        <w:rPr/>
        <w:t>a small pilot fluidized bed (Abanades </w:t>
      </w:r>
      <w:r>
        <w:rPr>
          <w:i/>
        </w:rPr>
        <w:t>et al.</w:t>
      </w:r>
      <w:r>
        <w:rPr/>
        <w:t>, 2004a). Other combustion cycles incorporating capture of CO</w:t>
      </w:r>
      <w:r>
        <w:rPr>
          <w:position w:val="-6"/>
          <w:sz w:val="11"/>
        </w:rPr>
        <w:t>2 </w:t>
      </w:r>
      <w:r>
        <w:rPr/>
        <w:t>with  CaO that might not need O</w:t>
      </w:r>
      <w:r>
        <w:rPr>
          <w:position w:val="-6"/>
          <w:sz w:val="11"/>
        </w:rPr>
        <w:t>2 </w:t>
      </w:r>
      <w:r>
        <w:rPr/>
        <w:t>are being developed, including one </w:t>
      </w:r>
      <w:r>
        <w:rPr>
          <w:spacing w:val="-3"/>
        </w:rPr>
        <w:t>that </w:t>
      </w:r>
      <w:r>
        <w:rPr/>
        <w:t>works at high pressures with simultaneous capture of CO</w:t>
      </w:r>
      <w:r>
        <w:rPr>
          <w:position w:val="-6"/>
          <w:sz w:val="11"/>
        </w:rPr>
        <w:t>2 </w:t>
      </w:r>
      <w:r>
        <w:rPr/>
        <w:t>and SO</w:t>
      </w:r>
      <w:r>
        <w:rPr>
          <w:position w:val="-6"/>
          <w:sz w:val="11"/>
        </w:rPr>
        <w:t>2 </w:t>
      </w:r>
      <w:r>
        <w:rPr>
          <w:spacing w:val="-4"/>
        </w:rPr>
        <w:t>(Wang </w:t>
      </w:r>
      <w:r>
        <w:rPr>
          <w:i/>
        </w:rPr>
        <w:t>et al</w:t>
      </w:r>
      <w:r>
        <w:rPr/>
        <w:t>., 2004). One weak point in all these</w:t>
      </w:r>
      <w:r>
        <w:rPr>
          <w:spacing w:val="32"/>
        </w:rPr>
        <w:t> </w:t>
      </w:r>
      <w:r>
        <w:rPr/>
        <w:t>processes</w:t>
      </w:r>
    </w:p>
    <w:p>
      <w:pPr>
        <w:pStyle w:val="BodyText"/>
        <w:spacing w:before="4"/>
        <w:rPr>
          <w:sz w:val="18"/>
        </w:rPr>
      </w:pPr>
      <w:r>
        <w:rPr/>
        <w:br w:type="column"/>
      </w:r>
      <w:r>
        <w:rPr>
          <w:sz w:val="18"/>
        </w:rPr>
      </w:r>
    </w:p>
    <w:p>
      <w:pPr>
        <w:pStyle w:val="BodyText"/>
        <w:ind w:left="241"/>
        <w:jc w:val="both"/>
      </w:pPr>
      <w:r>
        <w:rPr/>
        <w:t>being pursued by several groups around the world.</w:t>
      </w:r>
    </w:p>
    <w:p>
      <w:pPr>
        <w:pStyle w:val="BodyText"/>
        <w:spacing w:before="8"/>
        <w:rPr>
          <w:sz w:val="21"/>
        </w:rPr>
      </w:pPr>
    </w:p>
    <w:p>
      <w:pPr>
        <w:pStyle w:val="Heading2"/>
        <w:numPr>
          <w:ilvl w:val="2"/>
          <w:numId w:val="5"/>
        </w:numPr>
        <w:tabs>
          <w:tab w:pos="1061" w:val="left" w:leader="none"/>
          <w:tab w:pos="1062" w:val="left" w:leader="none"/>
        </w:tabs>
        <w:spacing w:line="240" w:lineRule="auto" w:before="1" w:after="0"/>
        <w:ind w:left="1061" w:right="0" w:hanging="821"/>
        <w:jc w:val="left"/>
        <w:rPr>
          <w:i/>
        </w:rPr>
      </w:pPr>
      <w:r>
        <w:rPr>
          <w:i/>
        </w:rPr>
        <w:t>Status and</w:t>
      </w:r>
      <w:r>
        <w:rPr>
          <w:i/>
          <w:spacing w:val="-2"/>
        </w:rPr>
        <w:t> </w:t>
      </w:r>
      <w:r>
        <w:rPr>
          <w:i/>
        </w:rPr>
        <w:t>outlook</w:t>
      </w:r>
    </w:p>
    <w:p>
      <w:pPr>
        <w:pStyle w:val="BodyText"/>
        <w:spacing w:before="8"/>
        <w:rPr>
          <w:b/>
          <w:i/>
          <w:sz w:val="21"/>
        </w:rPr>
      </w:pPr>
    </w:p>
    <w:p>
      <w:pPr>
        <w:pStyle w:val="BodyText"/>
        <w:spacing w:line="249" w:lineRule="auto"/>
        <w:ind w:left="241" w:right="733"/>
        <w:jc w:val="both"/>
      </w:pPr>
      <w:r>
        <w:rPr/>
        <w:t>Virtually all the energy we use today from carbon-containing fuels is obtained by directly burning fuels in </w:t>
      </w:r>
      <w:r>
        <w:rPr>
          <w:spacing w:val="-3"/>
        </w:rPr>
        <w:t>air. </w:t>
      </w:r>
      <w:r>
        <w:rPr/>
        <w:t>This is despite many decades of exploring promising and more efficient alternative energy conversion cycles that rely on other </w:t>
      </w:r>
      <w:r>
        <w:rPr>
          <w:spacing w:val="-3"/>
        </w:rPr>
        <w:t>fuel </w:t>
      </w:r>
      <w:r>
        <w:rPr/>
        <w:t>processing steps prior to fuel combustion or avoiding direct fuel combustion (see pre-combustion capture – Section 3.5). In particular, combustion-based systems are still the competitive choice for operators aiming at large-scale production </w:t>
      </w:r>
      <w:r>
        <w:rPr>
          <w:spacing w:val="-7"/>
        </w:rPr>
        <w:t>of </w:t>
      </w:r>
      <w:r>
        <w:rPr/>
        <w:t>electricity</w:t>
      </w:r>
      <w:r>
        <w:rPr>
          <w:spacing w:val="-27"/>
        </w:rPr>
        <w:t> </w:t>
      </w:r>
      <w:r>
        <w:rPr/>
        <w:t>and</w:t>
      </w:r>
      <w:r>
        <w:rPr>
          <w:spacing w:val="-26"/>
        </w:rPr>
        <w:t> </w:t>
      </w:r>
      <w:r>
        <w:rPr/>
        <w:t>heat</w:t>
      </w:r>
      <w:r>
        <w:rPr>
          <w:spacing w:val="-26"/>
        </w:rPr>
        <w:t> </w:t>
      </w:r>
      <w:r>
        <w:rPr/>
        <w:t>from</w:t>
      </w:r>
      <w:r>
        <w:rPr>
          <w:spacing w:val="-27"/>
        </w:rPr>
        <w:t> </w:t>
      </w:r>
      <w:r>
        <w:rPr/>
        <w:t>fossil</w:t>
      </w:r>
      <w:r>
        <w:rPr>
          <w:spacing w:val="-26"/>
        </w:rPr>
        <w:t> </w:t>
      </w:r>
      <w:r>
        <w:rPr/>
        <w:t>fuels,</w:t>
      </w:r>
      <w:r>
        <w:rPr>
          <w:spacing w:val="-26"/>
        </w:rPr>
        <w:t> </w:t>
      </w:r>
      <w:r>
        <w:rPr/>
        <w:t>even</w:t>
      </w:r>
      <w:r>
        <w:rPr>
          <w:spacing w:val="-27"/>
        </w:rPr>
        <w:t> </w:t>
      </w:r>
      <w:r>
        <w:rPr/>
        <w:t>under</w:t>
      </w:r>
      <w:r>
        <w:rPr>
          <w:spacing w:val="-26"/>
        </w:rPr>
        <w:t> </w:t>
      </w:r>
      <w:r>
        <w:rPr/>
        <w:t>more</w:t>
      </w:r>
      <w:r>
        <w:rPr>
          <w:spacing w:val="-26"/>
        </w:rPr>
        <w:t> </w:t>
      </w:r>
      <w:r>
        <w:rPr/>
        <w:t>demanding environmental regulations, because these processes are</w:t>
      </w:r>
      <w:r>
        <w:rPr>
          <w:spacing w:val="-20"/>
        </w:rPr>
        <w:t> </w:t>
      </w:r>
      <w:r>
        <w:rPr/>
        <w:t>reliable and well proven in delivering electricity and heat at prices that often set a benchmark for these services. In addition, there is   a continued effort to raise the energy conversion efficiencies of these systems through advanced materials and component development.</w:t>
      </w:r>
      <w:r>
        <w:rPr>
          <w:spacing w:val="-10"/>
        </w:rPr>
        <w:t> </w:t>
      </w:r>
      <w:r>
        <w:rPr/>
        <w:t>This</w:t>
      </w:r>
      <w:r>
        <w:rPr>
          <w:spacing w:val="-6"/>
        </w:rPr>
        <w:t> </w:t>
      </w:r>
      <w:r>
        <w:rPr/>
        <w:t>will</w:t>
      </w:r>
      <w:r>
        <w:rPr>
          <w:spacing w:val="-6"/>
        </w:rPr>
        <w:t> </w:t>
      </w:r>
      <w:r>
        <w:rPr/>
        <w:t>allow</w:t>
      </w:r>
      <w:r>
        <w:rPr>
          <w:spacing w:val="-6"/>
        </w:rPr>
        <w:t> </w:t>
      </w:r>
      <w:r>
        <w:rPr/>
        <w:t>these</w:t>
      </w:r>
      <w:r>
        <w:rPr>
          <w:spacing w:val="-6"/>
        </w:rPr>
        <w:t> </w:t>
      </w:r>
      <w:r>
        <w:rPr/>
        <w:t>systems</w:t>
      </w:r>
      <w:r>
        <w:rPr>
          <w:spacing w:val="-6"/>
        </w:rPr>
        <w:t> </w:t>
      </w:r>
      <w:r>
        <w:rPr/>
        <w:t>to</w:t>
      </w:r>
      <w:r>
        <w:rPr>
          <w:spacing w:val="-6"/>
        </w:rPr>
        <w:t> </w:t>
      </w:r>
      <w:r>
        <w:rPr/>
        <w:t>operate</w:t>
      </w:r>
      <w:r>
        <w:rPr>
          <w:spacing w:val="-6"/>
        </w:rPr>
        <w:t> </w:t>
      </w:r>
      <w:r>
        <w:rPr/>
        <w:t>at</w:t>
      </w:r>
      <w:r>
        <w:rPr>
          <w:spacing w:val="-6"/>
        </w:rPr>
        <w:t> </w:t>
      </w:r>
      <w:r>
        <w:rPr/>
        <w:t>higher temperature and higher</w:t>
      </w:r>
      <w:r>
        <w:rPr>
          <w:spacing w:val="-2"/>
        </w:rPr>
        <w:t> </w:t>
      </w:r>
      <w:r>
        <w:rPr/>
        <w:t>efficiency.</w:t>
      </w:r>
    </w:p>
    <w:p>
      <w:pPr>
        <w:pStyle w:val="BodyText"/>
        <w:spacing w:line="240" w:lineRule="exact" w:before="8"/>
        <w:ind w:left="241" w:right="723" w:firstLine="283"/>
        <w:jc w:val="both"/>
      </w:pPr>
      <w:r>
        <w:rPr/>
        <w:t>As was noted in Section 3.1, the main systems of reference for post-combustion capture are the present installed capacity of coal and natural gas power plants, with a total of 970 </w:t>
      </w:r>
      <w:r>
        <w:rPr>
          <w:spacing w:val="-6"/>
        </w:rPr>
        <w:t>GW</w:t>
      </w:r>
      <w:r>
        <w:rPr>
          <w:spacing w:val="-6"/>
          <w:position w:val="-6"/>
          <w:sz w:val="11"/>
        </w:rPr>
        <w:t>e </w:t>
      </w:r>
      <w:r>
        <w:rPr/>
        <w:t>subcritical</w:t>
      </w:r>
      <w:r>
        <w:rPr>
          <w:spacing w:val="-30"/>
        </w:rPr>
        <w:t> </w:t>
      </w:r>
      <w:r>
        <w:rPr/>
        <w:t>steam</w:t>
      </w:r>
      <w:r>
        <w:rPr>
          <w:spacing w:val="-30"/>
        </w:rPr>
        <w:t> </w:t>
      </w:r>
      <w:r>
        <w:rPr/>
        <w:t>and</w:t>
      </w:r>
      <w:r>
        <w:rPr>
          <w:spacing w:val="-30"/>
        </w:rPr>
        <w:t> </w:t>
      </w:r>
      <w:r>
        <w:rPr/>
        <w:t>155</w:t>
      </w:r>
      <w:r>
        <w:rPr>
          <w:spacing w:val="-30"/>
        </w:rPr>
        <w:t> </w:t>
      </w:r>
      <w:r>
        <w:rPr>
          <w:spacing w:val="-6"/>
        </w:rPr>
        <w:t>GW</w:t>
      </w:r>
      <w:r>
        <w:rPr>
          <w:spacing w:val="-6"/>
          <w:position w:val="-6"/>
          <w:sz w:val="11"/>
        </w:rPr>
        <w:t>e</w:t>
      </w:r>
      <w:r>
        <w:rPr>
          <w:spacing w:val="-7"/>
          <w:position w:val="-6"/>
          <w:sz w:val="11"/>
        </w:rPr>
        <w:t> </w:t>
      </w:r>
      <w:r>
        <w:rPr/>
        <w:t>of</w:t>
      </w:r>
      <w:r>
        <w:rPr>
          <w:spacing w:val="-30"/>
        </w:rPr>
        <w:t> </w:t>
      </w:r>
      <w:r>
        <w:rPr/>
        <w:t>supercritical/ultra-supercritical steam-based pulverized coal fired plants, 339 </w:t>
      </w:r>
      <w:r>
        <w:rPr>
          <w:spacing w:val="-6"/>
        </w:rPr>
        <w:t>GW</w:t>
      </w:r>
      <w:r>
        <w:rPr>
          <w:spacing w:val="-6"/>
          <w:position w:val="-6"/>
          <w:sz w:val="11"/>
        </w:rPr>
        <w:t>e </w:t>
      </w:r>
      <w:r>
        <w:rPr/>
        <w:t>of natural gas combined cycle, 333 </w:t>
      </w:r>
      <w:r>
        <w:rPr>
          <w:spacing w:val="-6"/>
        </w:rPr>
        <w:t>GW</w:t>
      </w:r>
      <w:r>
        <w:rPr>
          <w:spacing w:val="-6"/>
          <w:position w:val="-6"/>
          <w:sz w:val="11"/>
        </w:rPr>
        <w:t>e </w:t>
      </w:r>
      <w:r>
        <w:rPr/>
        <w:t>natural gas steam-electric power plants and 17 </w:t>
      </w:r>
      <w:r>
        <w:rPr>
          <w:spacing w:val="-6"/>
        </w:rPr>
        <w:t>GW</w:t>
      </w:r>
      <w:r>
        <w:rPr>
          <w:spacing w:val="-6"/>
          <w:position w:val="-6"/>
          <w:sz w:val="11"/>
        </w:rPr>
        <w:t>e </w:t>
      </w:r>
      <w:r>
        <w:rPr/>
        <w:t>of coal-fired, circulating, fluidized-bed combustion (CFBC) power plants. An additional capacity of 454</w:t>
      </w:r>
      <w:r>
        <w:rPr>
          <w:spacing w:val="-9"/>
        </w:rPr>
        <w:t> </w:t>
      </w:r>
      <w:r>
        <w:rPr>
          <w:spacing w:val="-6"/>
        </w:rPr>
        <w:t>GW</w:t>
      </w:r>
      <w:r>
        <w:rPr>
          <w:spacing w:val="-6"/>
          <w:position w:val="-6"/>
          <w:sz w:val="11"/>
        </w:rPr>
        <w:t>e</w:t>
      </w:r>
      <w:r>
        <w:rPr>
          <w:spacing w:val="15"/>
          <w:position w:val="-6"/>
          <w:sz w:val="11"/>
        </w:rPr>
        <w:t> </w:t>
      </w:r>
      <w:r>
        <w:rPr/>
        <w:t>of</w:t>
      </w:r>
      <w:r>
        <w:rPr>
          <w:spacing w:val="-8"/>
        </w:rPr>
        <w:t> </w:t>
      </w:r>
      <w:r>
        <w:rPr/>
        <w:t>oil-based</w:t>
      </w:r>
      <w:r>
        <w:rPr>
          <w:spacing w:val="-8"/>
        </w:rPr>
        <w:t> </w:t>
      </w:r>
      <w:r>
        <w:rPr/>
        <w:t>power</w:t>
      </w:r>
      <w:r>
        <w:rPr>
          <w:spacing w:val="-8"/>
        </w:rPr>
        <w:t> </w:t>
      </w:r>
      <w:r>
        <w:rPr/>
        <w:t>plant,</w:t>
      </w:r>
      <w:r>
        <w:rPr>
          <w:spacing w:val="-8"/>
        </w:rPr>
        <w:t> </w:t>
      </w:r>
      <w:r>
        <w:rPr/>
        <w:t>with</w:t>
      </w:r>
      <w:r>
        <w:rPr>
          <w:spacing w:val="-9"/>
        </w:rPr>
        <w:t> </w:t>
      </w:r>
      <w:r>
        <w:rPr/>
        <w:t>a</w:t>
      </w:r>
      <w:r>
        <w:rPr>
          <w:spacing w:val="-8"/>
        </w:rPr>
        <w:t> </w:t>
      </w:r>
      <w:r>
        <w:rPr/>
        <w:t>significant</w:t>
      </w:r>
      <w:r>
        <w:rPr>
          <w:spacing w:val="-8"/>
        </w:rPr>
        <w:t> </w:t>
      </w:r>
      <w:r>
        <w:rPr/>
        <w:t>proportion of these operating in an air-firing mode is also noted </w:t>
      </w:r>
      <w:r>
        <w:rPr>
          <w:spacing w:val="-3"/>
        </w:rPr>
        <w:t>(IEA </w:t>
      </w:r>
      <w:r>
        <w:rPr/>
        <w:t>WEO, 2004 and IEA CCC, 2005). Current projections indicate that the generation efficiency of commercial, pulverized coal fired power plants based on ultra-supercritical steam cycles would exceed 50% lower heating value (LHV) over the next decade (IEA, 2004), which will be higher than efficiencies     of between 36 and 45% reported for current subcritical and supercritical steam-based plants without capture (see Section 3.7). </w:t>
      </w:r>
      <w:r>
        <w:rPr>
          <w:spacing w:val="-3"/>
        </w:rPr>
        <w:t>Similarly, </w:t>
      </w:r>
      <w:r>
        <w:rPr/>
        <w:t>natural gas fired combined cycles are expected to have efficiencies of 65% by 2020 (IEA</w:t>
      </w:r>
      <w:r>
        <w:rPr>
          <w:spacing w:val="-39"/>
        </w:rPr>
        <w:t> </w:t>
      </w:r>
      <w:r>
        <w:rPr/>
        <w:t>GHG, 2002b) and up from</w:t>
      </w:r>
      <w:r>
        <w:rPr>
          <w:spacing w:val="-12"/>
        </w:rPr>
        <w:t> </w:t>
      </w:r>
      <w:r>
        <w:rPr/>
        <w:t>current</w:t>
      </w:r>
      <w:r>
        <w:rPr>
          <w:spacing w:val="-12"/>
        </w:rPr>
        <w:t> </w:t>
      </w:r>
      <w:r>
        <w:rPr/>
        <w:t>efficiencies</w:t>
      </w:r>
      <w:r>
        <w:rPr>
          <w:spacing w:val="-12"/>
        </w:rPr>
        <w:t> </w:t>
      </w:r>
      <w:r>
        <w:rPr/>
        <w:t>between</w:t>
      </w:r>
      <w:r>
        <w:rPr>
          <w:spacing w:val="-12"/>
        </w:rPr>
        <w:t> </w:t>
      </w:r>
      <w:r>
        <w:rPr/>
        <w:t>55</w:t>
      </w:r>
      <w:r>
        <w:rPr>
          <w:spacing w:val="-11"/>
        </w:rPr>
        <w:t> </w:t>
      </w:r>
      <w:r>
        <w:rPr/>
        <w:t>and</w:t>
      </w:r>
      <w:r>
        <w:rPr>
          <w:spacing w:val="-12"/>
        </w:rPr>
        <w:t> </w:t>
      </w:r>
      <w:r>
        <w:rPr/>
        <w:t>58%</w:t>
      </w:r>
      <w:r>
        <w:rPr>
          <w:spacing w:val="-12"/>
        </w:rPr>
        <w:t> </w:t>
      </w:r>
      <w:r>
        <w:rPr/>
        <w:t>(see</w:t>
      </w:r>
      <w:r>
        <w:rPr>
          <w:spacing w:val="-12"/>
        </w:rPr>
        <w:t> </w:t>
      </w:r>
      <w:r>
        <w:rPr/>
        <w:t>Section</w:t>
      </w:r>
      <w:r>
        <w:rPr>
          <w:spacing w:val="-11"/>
        </w:rPr>
        <w:t> </w:t>
      </w:r>
      <w:r>
        <w:rPr/>
        <w:t>3.7). In a future carbon-constrained world, these independent and ongoing developments in power cycle efficiencies will result in lower CO</w:t>
      </w:r>
      <w:r>
        <w:rPr>
          <w:position w:val="-6"/>
          <w:sz w:val="11"/>
        </w:rPr>
        <w:t>2</w:t>
      </w:r>
      <w:r>
        <w:rPr/>
        <w:t>-emissions per kWh produced and hence a lower loss in overall cycle efficiency when post-combustion capture is applied.</w:t>
      </w:r>
    </w:p>
    <w:p>
      <w:pPr>
        <w:pStyle w:val="BodyText"/>
        <w:spacing w:line="240" w:lineRule="exact"/>
        <w:ind w:left="241" w:right="733" w:firstLine="283"/>
        <w:jc w:val="both"/>
      </w:pPr>
      <w:r>
        <w:rPr/>
        <w:t>There</w:t>
      </w:r>
      <w:r>
        <w:rPr>
          <w:spacing w:val="-11"/>
        </w:rPr>
        <w:t> </w:t>
      </w:r>
      <w:r>
        <w:rPr/>
        <w:t>are</w:t>
      </w:r>
      <w:r>
        <w:rPr>
          <w:spacing w:val="-11"/>
        </w:rPr>
        <w:t> </w:t>
      </w:r>
      <w:r>
        <w:rPr/>
        <w:t>proven</w:t>
      </w:r>
      <w:r>
        <w:rPr>
          <w:spacing w:val="-11"/>
        </w:rPr>
        <w:t> </w:t>
      </w:r>
      <w:r>
        <w:rPr/>
        <w:t>post-combustion</w:t>
      </w:r>
      <w:r>
        <w:rPr>
          <w:spacing w:val="-11"/>
        </w:rPr>
        <w:t> </w:t>
      </w:r>
      <w:r>
        <w:rPr/>
        <w:t>CO</w:t>
      </w:r>
      <w:r>
        <w:rPr>
          <w:position w:val="-6"/>
          <w:sz w:val="11"/>
        </w:rPr>
        <w:t>2</w:t>
      </w:r>
      <w:r>
        <w:rPr>
          <w:spacing w:val="12"/>
          <w:position w:val="-6"/>
          <w:sz w:val="11"/>
        </w:rPr>
        <w:t> </w:t>
      </w:r>
      <w:r>
        <w:rPr/>
        <w:t>capture</w:t>
      </w:r>
      <w:r>
        <w:rPr>
          <w:spacing w:val="-10"/>
        </w:rPr>
        <w:t> </w:t>
      </w:r>
      <w:r>
        <w:rPr>
          <w:spacing w:val="-2"/>
        </w:rPr>
        <w:t>technologies </w:t>
      </w:r>
      <w:r>
        <w:rPr/>
        <w:t>based on absorption processes that are commercially available at present . They produce CO</w:t>
      </w:r>
      <w:r>
        <w:rPr>
          <w:position w:val="-6"/>
          <w:sz w:val="11"/>
        </w:rPr>
        <w:t>2 </w:t>
      </w:r>
      <w:r>
        <w:rPr/>
        <w:t>from flue gases in coal and gas- fired</w:t>
      </w:r>
      <w:r>
        <w:rPr>
          <w:spacing w:val="-8"/>
        </w:rPr>
        <w:t> </w:t>
      </w:r>
      <w:r>
        <w:rPr/>
        <w:t>installations</w:t>
      </w:r>
      <w:r>
        <w:rPr>
          <w:spacing w:val="-8"/>
        </w:rPr>
        <w:t> </w:t>
      </w:r>
      <w:r>
        <w:rPr/>
        <w:t>for</w:t>
      </w:r>
      <w:r>
        <w:rPr>
          <w:spacing w:val="-8"/>
        </w:rPr>
        <w:t> </w:t>
      </w:r>
      <w:r>
        <w:rPr/>
        <w:t>food/beverage</w:t>
      </w:r>
      <w:r>
        <w:rPr>
          <w:spacing w:val="-8"/>
        </w:rPr>
        <w:t> </w:t>
      </w:r>
      <w:r>
        <w:rPr/>
        <w:t>applications</w:t>
      </w:r>
      <w:r>
        <w:rPr>
          <w:spacing w:val="-8"/>
        </w:rPr>
        <w:t> </w:t>
      </w:r>
      <w:r>
        <w:rPr/>
        <w:t>and</w:t>
      </w:r>
      <w:r>
        <w:rPr>
          <w:spacing w:val="-8"/>
        </w:rPr>
        <w:t> </w:t>
      </w:r>
      <w:r>
        <w:rPr/>
        <w:t>chemicals</w:t>
      </w:r>
    </w:p>
    <w:p>
      <w:pPr>
        <w:spacing w:after="0" w:line="240" w:lineRule="exact"/>
        <w:jc w:val="both"/>
        <w:sectPr>
          <w:type w:val="continuous"/>
          <w:pgSz w:w="12240" w:h="15840"/>
          <w:pgMar w:top="480" w:bottom="280" w:left="620" w:right="0"/>
          <w:cols w:num="2" w:equalWidth="0">
            <w:col w:w="5560" w:space="40"/>
            <w:col w:w="6020"/>
          </w:cols>
        </w:sectPr>
      </w:pPr>
    </w:p>
    <w:p>
      <w:pPr>
        <w:pStyle w:val="BodyText"/>
        <w:spacing w:line="149" w:lineRule="exact"/>
        <w:ind w:left="513"/>
      </w:pPr>
      <w:r>
        <w:rPr/>
        <w:t>is that natural sorbents (limestones and dolomites) deactivate</w:t>
      </w:r>
    </w:p>
    <w:p>
      <w:pPr>
        <w:pStyle w:val="BodyText"/>
        <w:spacing w:line="134" w:lineRule="auto"/>
        <w:ind w:left="244"/>
        <w:rPr>
          <w:sz w:val="11"/>
        </w:rPr>
      </w:pPr>
      <w:r>
        <w:rPr/>
        <w:br w:type="column"/>
      </w:r>
      <w:r>
        <w:rPr/>
        <w:t>production</w:t>
      </w:r>
      <w:r>
        <w:rPr>
          <w:spacing w:val="-6"/>
        </w:rPr>
        <w:t> </w:t>
      </w:r>
      <w:r>
        <w:rPr/>
        <w:t>in</w:t>
      </w:r>
      <w:r>
        <w:rPr>
          <w:spacing w:val="-6"/>
        </w:rPr>
        <w:t> </w:t>
      </w:r>
      <w:r>
        <w:rPr/>
        <w:t>capacity</w:t>
      </w:r>
      <w:r>
        <w:rPr>
          <w:spacing w:val="-6"/>
        </w:rPr>
        <w:t> </w:t>
      </w:r>
      <w:r>
        <w:rPr/>
        <w:t>ranges</w:t>
      </w:r>
      <w:r>
        <w:rPr>
          <w:spacing w:val="-6"/>
        </w:rPr>
        <w:t> </w:t>
      </w:r>
      <w:r>
        <w:rPr/>
        <w:t>between</w:t>
      </w:r>
      <w:r>
        <w:rPr>
          <w:spacing w:val="-6"/>
        </w:rPr>
        <w:t> </w:t>
      </w:r>
      <w:r>
        <w:rPr/>
        <w:t>6</w:t>
      </w:r>
      <w:r>
        <w:rPr>
          <w:spacing w:val="-6"/>
        </w:rPr>
        <w:t> </w:t>
      </w:r>
      <w:r>
        <w:rPr/>
        <w:t>and</w:t>
      </w:r>
      <w:r>
        <w:rPr>
          <w:spacing w:val="-6"/>
        </w:rPr>
        <w:t> </w:t>
      </w:r>
      <w:r>
        <w:rPr/>
        <w:t>800</w:t>
      </w:r>
      <w:r>
        <w:rPr>
          <w:spacing w:val="-6"/>
        </w:rPr>
        <w:t> tCO</w:t>
      </w:r>
      <w:r>
        <w:rPr>
          <w:spacing w:val="-6"/>
          <w:position w:val="-6"/>
          <w:sz w:val="11"/>
        </w:rPr>
        <w:t>2</w:t>
      </w:r>
    </w:p>
    <w:p>
      <w:pPr>
        <w:spacing w:line="149" w:lineRule="exact" w:before="0"/>
        <w:ind w:left="3" w:right="0" w:firstLine="0"/>
        <w:jc w:val="left"/>
        <w:rPr>
          <w:sz w:val="20"/>
        </w:rPr>
      </w:pPr>
      <w:r>
        <w:rPr/>
        <w:br w:type="column"/>
      </w:r>
      <w:r>
        <w:rPr>
          <w:sz w:val="20"/>
        </w:rPr>
        <w:t>d</w:t>
      </w:r>
      <w:r>
        <w:rPr>
          <w:position w:val="7"/>
          <w:sz w:val="11"/>
        </w:rPr>
        <w:t>-1</w:t>
      </w:r>
      <w:r>
        <w:rPr>
          <w:sz w:val="20"/>
        </w:rPr>
        <w:t>. They</w:t>
      </w:r>
    </w:p>
    <w:p>
      <w:pPr>
        <w:spacing w:after="0" w:line="149" w:lineRule="exact"/>
        <w:jc w:val="left"/>
        <w:rPr>
          <w:sz w:val="20"/>
        </w:rPr>
        <w:sectPr>
          <w:type w:val="continuous"/>
          <w:pgSz w:w="12240" w:h="15840"/>
          <w:pgMar w:top="480" w:bottom="280" w:left="620" w:right="0"/>
          <w:cols w:num="3" w:equalWidth="0">
            <w:col w:w="5557" w:space="40"/>
            <w:col w:w="4547" w:space="39"/>
            <w:col w:w="1437"/>
          </w:cols>
        </w:sectPr>
      </w:pPr>
    </w:p>
    <w:p>
      <w:pPr>
        <w:pStyle w:val="BodyText"/>
        <w:spacing w:line="207" w:lineRule="exact"/>
        <w:ind w:left="513"/>
        <w:jc w:val="both"/>
      </w:pPr>
      <w:r>
        <w:rPr/>
        <w:t>rapidly,</w:t>
      </w:r>
      <w:r>
        <w:rPr>
          <w:spacing w:val="17"/>
        </w:rPr>
        <w:t> </w:t>
      </w:r>
      <w:r>
        <w:rPr/>
        <w:t>and</w:t>
      </w:r>
      <w:r>
        <w:rPr>
          <w:spacing w:val="18"/>
        </w:rPr>
        <w:t> </w:t>
      </w:r>
      <w:r>
        <w:rPr/>
        <w:t>a</w:t>
      </w:r>
      <w:r>
        <w:rPr>
          <w:spacing w:val="17"/>
        </w:rPr>
        <w:t> </w:t>
      </w:r>
      <w:r>
        <w:rPr/>
        <w:t>large</w:t>
      </w:r>
      <w:r>
        <w:rPr>
          <w:spacing w:val="18"/>
        </w:rPr>
        <w:t> </w:t>
      </w:r>
      <w:r>
        <w:rPr/>
        <w:t>make-up</w:t>
      </w:r>
      <w:r>
        <w:rPr>
          <w:spacing w:val="18"/>
        </w:rPr>
        <w:t> </w:t>
      </w:r>
      <w:r>
        <w:rPr/>
        <w:t>flow</w:t>
      </w:r>
      <w:r>
        <w:rPr>
          <w:spacing w:val="17"/>
        </w:rPr>
        <w:t> </w:t>
      </w:r>
      <w:r>
        <w:rPr/>
        <w:t>of</w:t>
      </w:r>
      <w:r>
        <w:rPr>
          <w:spacing w:val="18"/>
        </w:rPr>
        <w:t> </w:t>
      </w:r>
      <w:r>
        <w:rPr/>
        <w:t>sorbent</w:t>
      </w:r>
      <w:r>
        <w:rPr>
          <w:spacing w:val="18"/>
        </w:rPr>
        <w:t> </w:t>
      </w:r>
      <w:r>
        <w:rPr/>
        <w:t>(of</w:t>
      </w:r>
      <w:r>
        <w:rPr>
          <w:spacing w:val="17"/>
        </w:rPr>
        <w:t> </w:t>
      </w:r>
      <w:r>
        <w:rPr/>
        <w:t>the</w:t>
      </w:r>
      <w:r>
        <w:rPr>
          <w:spacing w:val="18"/>
        </w:rPr>
        <w:t> </w:t>
      </w:r>
      <w:r>
        <w:rPr/>
        <w:t>order</w:t>
      </w:r>
      <w:r>
        <w:rPr>
          <w:spacing w:val="18"/>
        </w:rPr>
        <w:t> </w:t>
      </w:r>
      <w:r>
        <w:rPr/>
        <w:t>of</w:t>
      </w:r>
    </w:p>
    <w:p>
      <w:pPr>
        <w:pStyle w:val="BodyText"/>
        <w:spacing w:line="249" w:lineRule="auto" w:before="10"/>
        <w:ind w:left="513" w:hanging="1"/>
        <w:jc w:val="both"/>
      </w:pPr>
      <w:r>
        <w:rPr/>
        <w:t>the mass flow of fuel entering the plant) is required to</w:t>
      </w:r>
      <w:r>
        <w:rPr>
          <w:spacing w:val="-25"/>
        </w:rPr>
        <w:t> </w:t>
      </w:r>
      <w:r>
        <w:rPr/>
        <w:t>maintain the activity in the capture-regeneration loop (Abanades </w:t>
      </w:r>
      <w:r>
        <w:rPr>
          <w:i/>
        </w:rPr>
        <w:t>et </w:t>
      </w:r>
      <w:r>
        <w:rPr>
          <w:i/>
          <w:spacing w:val="-4"/>
        </w:rPr>
        <w:t>al.</w:t>
      </w:r>
      <w:r>
        <w:rPr>
          <w:spacing w:val="-4"/>
        </w:rPr>
        <w:t>, </w:t>
      </w:r>
      <w:r>
        <w:rPr/>
        <w:t>2004b). Although the deactivated sorbent may find application in the cement industry and the sorbent cost is </w:t>
      </w:r>
      <w:r>
        <w:rPr>
          <w:spacing w:val="-4"/>
        </w:rPr>
        <w:t>low, </w:t>
      </w:r>
      <w:r>
        <w:rPr/>
        <w:t>a range of methods</w:t>
      </w:r>
      <w:r>
        <w:rPr>
          <w:spacing w:val="10"/>
        </w:rPr>
        <w:t> </w:t>
      </w:r>
      <w:r>
        <w:rPr/>
        <w:t>to</w:t>
      </w:r>
      <w:r>
        <w:rPr>
          <w:spacing w:val="10"/>
        </w:rPr>
        <w:t> </w:t>
      </w:r>
      <w:r>
        <w:rPr/>
        <w:t>enhance</w:t>
      </w:r>
      <w:r>
        <w:rPr>
          <w:spacing w:val="11"/>
        </w:rPr>
        <w:t> </w:t>
      </w:r>
      <w:r>
        <w:rPr/>
        <w:t>the</w:t>
      </w:r>
      <w:r>
        <w:rPr>
          <w:spacing w:val="10"/>
        </w:rPr>
        <w:t> </w:t>
      </w:r>
      <w:r>
        <w:rPr/>
        <w:t>activity</w:t>
      </w:r>
      <w:r>
        <w:rPr>
          <w:spacing w:val="10"/>
        </w:rPr>
        <w:t> </w:t>
      </w:r>
      <w:r>
        <w:rPr/>
        <w:t>of</w:t>
      </w:r>
      <w:r>
        <w:rPr>
          <w:spacing w:val="11"/>
        </w:rPr>
        <w:t> </w:t>
      </w:r>
      <w:r>
        <w:rPr/>
        <w:t>Ca-based</w:t>
      </w:r>
      <w:r>
        <w:rPr>
          <w:spacing w:val="10"/>
        </w:rPr>
        <w:t> </w:t>
      </w:r>
      <w:r>
        <w:rPr/>
        <w:t>CO</w:t>
      </w:r>
      <w:r>
        <w:rPr>
          <w:position w:val="-6"/>
          <w:sz w:val="11"/>
        </w:rPr>
        <w:t>2 </w:t>
      </w:r>
      <w:r>
        <w:rPr>
          <w:spacing w:val="5"/>
          <w:position w:val="-6"/>
          <w:sz w:val="11"/>
        </w:rPr>
        <w:t> </w:t>
      </w:r>
      <w:r>
        <w:rPr/>
        <w:t>sorbents</w:t>
      </w:r>
      <w:r>
        <w:rPr>
          <w:spacing w:val="11"/>
        </w:rPr>
        <w:t> </w:t>
      </w:r>
      <w:r>
        <w:rPr/>
        <w:t>are</w:t>
      </w:r>
    </w:p>
    <w:p>
      <w:pPr>
        <w:pStyle w:val="BodyText"/>
        <w:spacing w:line="207" w:lineRule="exact"/>
        <w:ind w:left="242"/>
        <w:jc w:val="both"/>
      </w:pPr>
      <w:r>
        <w:rPr/>
        <w:br w:type="column"/>
      </w:r>
      <w:r>
        <w:rPr/>
        <w:t>require</w:t>
      </w:r>
      <w:r>
        <w:rPr>
          <w:spacing w:val="17"/>
        </w:rPr>
        <w:t> </w:t>
      </w:r>
      <w:r>
        <w:rPr/>
        <w:t>scale</w:t>
      </w:r>
      <w:r>
        <w:rPr>
          <w:spacing w:val="18"/>
        </w:rPr>
        <w:t> </w:t>
      </w:r>
      <w:r>
        <w:rPr/>
        <w:t>up</w:t>
      </w:r>
      <w:r>
        <w:rPr>
          <w:spacing w:val="17"/>
        </w:rPr>
        <w:t> </w:t>
      </w:r>
      <w:r>
        <w:rPr/>
        <w:t>to</w:t>
      </w:r>
      <w:r>
        <w:rPr>
          <w:spacing w:val="18"/>
        </w:rPr>
        <w:t> </w:t>
      </w:r>
      <w:r>
        <w:rPr/>
        <w:t>20-50</w:t>
      </w:r>
      <w:r>
        <w:rPr>
          <w:spacing w:val="18"/>
        </w:rPr>
        <w:t> </w:t>
      </w:r>
      <w:r>
        <w:rPr/>
        <w:t>times</w:t>
      </w:r>
      <w:r>
        <w:rPr>
          <w:spacing w:val="17"/>
        </w:rPr>
        <w:t> </w:t>
      </w:r>
      <w:r>
        <w:rPr/>
        <w:t>that</w:t>
      </w:r>
      <w:r>
        <w:rPr>
          <w:spacing w:val="18"/>
        </w:rPr>
        <w:t> </w:t>
      </w:r>
      <w:r>
        <w:rPr/>
        <w:t>of</w:t>
      </w:r>
      <w:r>
        <w:rPr>
          <w:spacing w:val="17"/>
        </w:rPr>
        <w:t> </w:t>
      </w:r>
      <w:r>
        <w:rPr/>
        <w:t>current</w:t>
      </w:r>
      <w:r>
        <w:rPr>
          <w:spacing w:val="18"/>
        </w:rPr>
        <w:t> </w:t>
      </w:r>
      <w:r>
        <w:rPr/>
        <w:t>unit</w:t>
      </w:r>
      <w:r>
        <w:rPr>
          <w:spacing w:val="18"/>
        </w:rPr>
        <w:t> </w:t>
      </w:r>
      <w:r>
        <w:rPr/>
        <w:t>capacities</w:t>
      </w:r>
    </w:p>
    <w:p>
      <w:pPr>
        <w:pStyle w:val="BodyText"/>
        <w:spacing w:line="240" w:lineRule="exact" w:before="4"/>
        <w:ind w:left="242" w:right="732"/>
        <w:jc w:val="both"/>
      </w:pPr>
      <w:r>
        <w:rPr/>
        <w:t>for deployment in large-scale power plants in the 500 </w:t>
      </w:r>
      <w:r>
        <w:rPr>
          <w:spacing w:val="-6"/>
        </w:rPr>
        <w:t>MW</w:t>
      </w:r>
      <w:r>
        <w:rPr>
          <w:spacing w:val="-6"/>
          <w:position w:val="-6"/>
          <w:sz w:val="11"/>
        </w:rPr>
        <w:t>e </w:t>
      </w:r>
      <w:r>
        <w:rPr/>
        <w:t>capacity range (see Section  3.3.2). The  inherent  limitations of currently available absorption technologies when applied   to post-combustion capture systems are well known and their impact</w:t>
      </w:r>
      <w:r>
        <w:rPr>
          <w:spacing w:val="-10"/>
        </w:rPr>
        <w:t> </w:t>
      </w:r>
      <w:r>
        <w:rPr/>
        <w:t>on</w:t>
      </w:r>
      <w:r>
        <w:rPr>
          <w:spacing w:val="-9"/>
        </w:rPr>
        <w:t> </w:t>
      </w:r>
      <w:r>
        <w:rPr/>
        <w:t>system</w:t>
      </w:r>
      <w:r>
        <w:rPr>
          <w:spacing w:val="-9"/>
        </w:rPr>
        <w:t> </w:t>
      </w:r>
      <w:r>
        <w:rPr/>
        <w:t>cost</w:t>
      </w:r>
      <w:r>
        <w:rPr>
          <w:spacing w:val="-9"/>
        </w:rPr>
        <w:t> </w:t>
      </w:r>
      <w:r>
        <w:rPr/>
        <w:t>can</w:t>
      </w:r>
      <w:r>
        <w:rPr>
          <w:spacing w:val="-8"/>
        </w:rPr>
        <w:t> </w:t>
      </w:r>
      <w:r>
        <w:rPr/>
        <w:t>be</w:t>
      </w:r>
      <w:r>
        <w:rPr>
          <w:spacing w:val="-9"/>
        </w:rPr>
        <w:t> </w:t>
      </w:r>
      <w:r>
        <w:rPr/>
        <w:t>estimated</w:t>
      </w:r>
      <w:r>
        <w:rPr>
          <w:spacing w:val="-9"/>
        </w:rPr>
        <w:t> </w:t>
      </w:r>
      <w:r>
        <w:rPr/>
        <w:t>relatively</w:t>
      </w:r>
      <w:r>
        <w:rPr>
          <w:spacing w:val="-10"/>
        </w:rPr>
        <w:t> </w:t>
      </w:r>
      <w:r>
        <w:rPr/>
        <w:t>accurately</w:t>
      </w:r>
      <w:r>
        <w:rPr>
          <w:spacing w:val="-9"/>
        </w:rPr>
        <w:t> </w:t>
      </w:r>
      <w:r>
        <w:rPr/>
        <w:t>for</w:t>
      </w:r>
    </w:p>
    <w:p>
      <w:pPr>
        <w:spacing w:after="0" w:line="240" w:lineRule="exact"/>
        <w:jc w:val="both"/>
        <w:sectPr>
          <w:type w:val="continuous"/>
          <w:pgSz w:w="12240" w:h="15840"/>
          <w:pgMar w:top="480" w:bottom="280" w:left="620" w:right="0"/>
          <w:cols w:num="2" w:equalWidth="0">
            <w:col w:w="5558" w:space="40"/>
            <w:col w:w="6022"/>
          </w:cols>
        </w:sectPr>
      </w:pPr>
    </w:p>
    <w:p>
      <w:pPr>
        <w:pStyle w:val="BodyText"/>
      </w:pPr>
    </w:p>
    <w:p>
      <w:pPr>
        <w:pStyle w:val="BodyText"/>
        <w:spacing w:before="9"/>
        <w:rPr>
          <w:sz w:val="16"/>
        </w:rPr>
      </w:pPr>
    </w:p>
    <w:p>
      <w:pPr>
        <w:spacing w:after="0"/>
        <w:rPr>
          <w:sz w:val="16"/>
        </w:rPr>
        <w:sectPr>
          <w:pgSz w:w="12240" w:h="15840"/>
          <w:pgMar w:header="567" w:footer="0" w:top="760" w:bottom="280" w:left="620" w:right="0"/>
        </w:sectPr>
      </w:pPr>
    </w:p>
    <w:p>
      <w:pPr>
        <w:pStyle w:val="BodyText"/>
        <w:spacing w:line="240" w:lineRule="exact" w:before="58"/>
        <w:ind w:left="117" w:right="38"/>
        <w:jc w:val="both"/>
      </w:pPr>
      <w:bookmarkStart w:name="3.4 Oxy-fuel combustion capture systems" w:id="34"/>
      <w:bookmarkEnd w:id="34"/>
      <w:r>
        <w:rPr/>
      </w:r>
      <w:bookmarkStart w:name="3.4.1 Introduction" w:id="35"/>
      <w:bookmarkEnd w:id="35"/>
      <w:r>
        <w:rPr/>
      </w:r>
      <w:bookmarkStart w:name="3.4.2 Oxy-fuel indirect heating - steam " w:id="36"/>
      <w:bookmarkEnd w:id="36"/>
      <w:r>
        <w:rPr/>
      </w:r>
      <w:r>
        <w:rPr/>
        <w:t>a</w:t>
      </w:r>
      <w:r>
        <w:rPr>
          <w:spacing w:val="-6"/>
        </w:rPr>
        <w:t> </w:t>
      </w:r>
      <w:r>
        <w:rPr/>
        <w:t>given</w:t>
      </w:r>
      <w:r>
        <w:rPr>
          <w:spacing w:val="-5"/>
        </w:rPr>
        <w:t> </w:t>
      </w:r>
      <w:r>
        <w:rPr/>
        <w:t>application</w:t>
      </w:r>
      <w:r>
        <w:rPr>
          <w:spacing w:val="-6"/>
        </w:rPr>
        <w:t> </w:t>
      </w:r>
      <w:r>
        <w:rPr/>
        <w:t>(see</w:t>
      </w:r>
      <w:r>
        <w:rPr>
          <w:spacing w:val="-5"/>
        </w:rPr>
        <w:t> </w:t>
      </w:r>
      <w:r>
        <w:rPr/>
        <w:t>Section</w:t>
      </w:r>
      <w:r>
        <w:rPr>
          <w:spacing w:val="-6"/>
        </w:rPr>
        <w:t> </w:t>
      </w:r>
      <w:r>
        <w:rPr/>
        <w:t>3.7).</w:t>
      </w:r>
      <w:r>
        <w:rPr>
          <w:spacing w:val="-5"/>
        </w:rPr>
        <w:t> </w:t>
      </w:r>
      <w:r>
        <w:rPr/>
        <w:t>Hence,</w:t>
      </w:r>
      <w:r>
        <w:rPr>
          <w:spacing w:val="-6"/>
        </w:rPr>
        <w:t> </w:t>
      </w:r>
      <w:r>
        <w:rPr/>
        <w:t>with</w:t>
      </w:r>
      <w:r>
        <w:rPr>
          <w:spacing w:val="-5"/>
        </w:rPr>
        <w:t> </w:t>
      </w:r>
      <w:r>
        <w:rPr/>
        <w:t>the</w:t>
      </w:r>
      <w:r>
        <w:rPr>
          <w:spacing w:val="-6"/>
        </w:rPr>
        <w:t> </w:t>
      </w:r>
      <w:r>
        <w:rPr/>
        <w:t>dominant role played by air- blown energy conversion processes in </w:t>
      </w:r>
      <w:r>
        <w:rPr>
          <w:spacing w:val="-5"/>
        </w:rPr>
        <w:t>the </w:t>
      </w:r>
      <w:r>
        <w:rPr/>
        <w:t>global</w:t>
      </w:r>
      <w:r>
        <w:rPr>
          <w:spacing w:val="-15"/>
        </w:rPr>
        <w:t> </w:t>
      </w:r>
      <w:r>
        <w:rPr/>
        <w:t>energy</w:t>
      </w:r>
      <w:r>
        <w:rPr>
          <w:spacing w:val="-15"/>
        </w:rPr>
        <w:t> </w:t>
      </w:r>
      <w:r>
        <w:rPr/>
        <w:t>infrastructure,</w:t>
      </w:r>
      <w:r>
        <w:rPr>
          <w:spacing w:val="-14"/>
        </w:rPr>
        <w:t> </w:t>
      </w:r>
      <w:r>
        <w:rPr/>
        <w:t>the</w:t>
      </w:r>
      <w:r>
        <w:rPr>
          <w:spacing w:val="-15"/>
        </w:rPr>
        <w:t> </w:t>
      </w:r>
      <w:r>
        <w:rPr/>
        <w:t>availability</w:t>
      </w:r>
      <w:r>
        <w:rPr>
          <w:spacing w:val="-14"/>
        </w:rPr>
        <w:t> </w:t>
      </w:r>
      <w:r>
        <w:rPr/>
        <w:t>of</w:t>
      </w:r>
      <w:r>
        <w:rPr>
          <w:spacing w:val="-15"/>
        </w:rPr>
        <w:t> </w:t>
      </w:r>
      <w:r>
        <w:rPr/>
        <w:t>post-combustion capture</w:t>
      </w:r>
      <w:r>
        <w:rPr>
          <w:spacing w:val="-19"/>
        </w:rPr>
        <w:t> </w:t>
      </w:r>
      <w:r>
        <w:rPr/>
        <w:t>systems</w:t>
      </w:r>
      <w:r>
        <w:rPr>
          <w:spacing w:val="-19"/>
        </w:rPr>
        <w:t> </w:t>
      </w:r>
      <w:r>
        <w:rPr/>
        <w:t>is</w:t>
      </w:r>
      <w:r>
        <w:rPr>
          <w:spacing w:val="-18"/>
        </w:rPr>
        <w:t> </w:t>
      </w:r>
      <w:r>
        <w:rPr/>
        <w:t>important</w:t>
      </w:r>
      <w:r>
        <w:rPr>
          <w:spacing w:val="-19"/>
        </w:rPr>
        <w:t> </w:t>
      </w:r>
      <w:r>
        <w:rPr/>
        <w:t>if</w:t>
      </w:r>
      <w:r>
        <w:rPr>
          <w:spacing w:val="-18"/>
        </w:rPr>
        <w:t> </w:t>
      </w:r>
      <w:r>
        <w:rPr/>
        <w:t>CO</w:t>
      </w:r>
      <w:r>
        <w:rPr>
          <w:position w:val="-6"/>
          <w:sz w:val="11"/>
        </w:rPr>
        <w:t>2</w:t>
      </w:r>
      <w:r>
        <w:rPr>
          <w:spacing w:val="4"/>
          <w:position w:val="-6"/>
          <w:sz w:val="11"/>
        </w:rPr>
        <w:t> </w:t>
      </w:r>
      <w:r>
        <w:rPr/>
        <w:t>capture</w:t>
      </w:r>
      <w:r>
        <w:rPr>
          <w:spacing w:val="-18"/>
        </w:rPr>
        <w:t> </w:t>
      </w:r>
      <w:r>
        <w:rPr/>
        <w:t>and</w:t>
      </w:r>
      <w:r>
        <w:rPr>
          <w:spacing w:val="-18"/>
        </w:rPr>
        <w:t> </w:t>
      </w:r>
      <w:r>
        <w:rPr/>
        <w:t>storage</w:t>
      </w:r>
      <w:r>
        <w:rPr>
          <w:spacing w:val="-19"/>
        </w:rPr>
        <w:t> </w:t>
      </w:r>
      <w:r>
        <w:rPr/>
        <w:t>becomes a viable climate change mitigation </w:t>
      </w:r>
      <w:r>
        <w:rPr>
          <w:spacing w:val="-3"/>
        </w:rPr>
        <w:t>strategy.</w:t>
      </w:r>
    </w:p>
    <w:p>
      <w:pPr>
        <w:pStyle w:val="BodyText"/>
        <w:spacing w:line="240" w:lineRule="exact"/>
        <w:ind w:left="117" w:right="38" w:firstLine="284"/>
        <w:jc w:val="both"/>
      </w:pPr>
      <w:r>
        <w:rPr/>
        <w:t>The intense development efforts on novel solvents for improved performance and reduced energy consumption during regeneration, as well as process designs incorporating new contacting devices such as hybrid membrane-absorbent systems, solid adsorbents and high temperature regenerable sorbents, may lead to the use of more energy efficient post- combustion</w:t>
      </w:r>
      <w:r>
        <w:rPr>
          <w:spacing w:val="-10"/>
        </w:rPr>
        <w:t> </w:t>
      </w:r>
      <w:r>
        <w:rPr/>
        <w:t>capture</w:t>
      </w:r>
      <w:r>
        <w:rPr>
          <w:spacing w:val="-10"/>
        </w:rPr>
        <w:t> </w:t>
      </w:r>
      <w:r>
        <w:rPr/>
        <w:t>systems.</w:t>
      </w:r>
      <w:r>
        <w:rPr>
          <w:spacing w:val="-10"/>
        </w:rPr>
        <w:t> </w:t>
      </w:r>
      <w:r>
        <w:rPr/>
        <w:t>However,</w:t>
      </w:r>
      <w:r>
        <w:rPr>
          <w:spacing w:val="-9"/>
        </w:rPr>
        <w:t> </w:t>
      </w:r>
      <w:r>
        <w:rPr/>
        <w:t>all</w:t>
      </w:r>
      <w:r>
        <w:rPr>
          <w:spacing w:val="-10"/>
        </w:rPr>
        <w:t> </w:t>
      </w:r>
      <w:r>
        <w:rPr/>
        <w:t>these</w:t>
      </w:r>
      <w:r>
        <w:rPr>
          <w:spacing w:val="-10"/>
        </w:rPr>
        <w:t> </w:t>
      </w:r>
      <w:r>
        <w:rPr/>
        <w:t>novel</w:t>
      </w:r>
      <w:r>
        <w:rPr>
          <w:spacing w:val="-10"/>
        </w:rPr>
        <w:t> </w:t>
      </w:r>
      <w:r>
        <w:rPr/>
        <w:t>concepts still need to prove their lower costs and reliability of operation on a commercial scale. The same considerations also apply to other</w:t>
      </w:r>
      <w:r>
        <w:rPr>
          <w:spacing w:val="-11"/>
        </w:rPr>
        <w:t> </w:t>
      </w:r>
      <w:r>
        <w:rPr/>
        <w:t>advanced</w:t>
      </w:r>
      <w:r>
        <w:rPr>
          <w:spacing w:val="-10"/>
        </w:rPr>
        <w:t> </w:t>
      </w:r>
      <w:r>
        <w:rPr/>
        <w:t>CO</w:t>
      </w:r>
      <w:r>
        <w:rPr>
          <w:position w:val="-6"/>
          <w:sz w:val="11"/>
        </w:rPr>
        <w:t>2</w:t>
      </w:r>
      <w:r>
        <w:rPr>
          <w:spacing w:val="13"/>
          <w:position w:val="-6"/>
          <w:sz w:val="11"/>
        </w:rPr>
        <w:t> </w:t>
      </w:r>
      <w:r>
        <w:rPr/>
        <w:t>capture</w:t>
      </w:r>
      <w:r>
        <w:rPr>
          <w:spacing w:val="-10"/>
        </w:rPr>
        <w:t> </w:t>
      </w:r>
      <w:r>
        <w:rPr/>
        <w:t>concepts</w:t>
      </w:r>
      <w:r>
        <w:rPr>
          <w:spacing w:val="-10"/>
        </w:rPr>
        <w:t> </w:t>
      </w:r>
      <w:r>
        <w:rPr/>
        <w:t>with</w:t>
      </w:r>
      <w:r>
        <w:rPr>
          <w:spacing w:val="-10"/>
        </w:rPr>
        <w:t> </w:t>
      </w:r>
      <w:r>
        <w:rPr/>
        <w:t>oxy-fuel</w:t>
      </w:r>
      <w:r>
        <w:rPr>
          <w:spacing w:val="-10"/>
        </w:rPr>
        <w:t> </w:t>
      </w:r>
      <w:r>
        <w:rPr/>
        <w:t>combustion or</w:t>
      </w:r>
      <w:r>
        <w:rPr>
          <w:spacing w:val="-13"/>
        </w:rPr>
        <w:t> </w:t>
      </w:r>
      <w:r>
        <w:rPr/>
        <w:t>pre-combustion</w:t>
      </w:r>
      <w:r>
        <w:rPr>
          <w:spacing w:val="-13"/>
        </w:rPr>
        <w:t> </w:t>
      </w:r>
      <w:r>
        <w:rPr/>
        <w:t>capture</w:t>
      </w:r>
      <w:r>
        <w:rPr>
          <w:spacing w:val="-13"/>
        </w:rPr>
        <w:t> </w:t>
      </w:r>
      <w:r>
        <w:rPr/>
        <w:t>reviewed</w:t>
      </w:r>
      <w:r>
        <w:rPr>
          <w:spacing w:val="-13"/>
        </w:rPr>
        <w:t> </w:t>
      </w:r>
      <w:r>
        <w:rPr/>
        <w:t>in</w:t>
      </w:r>
      <w:r>
        <w:rPr>
          <w:spacing w:val="-13"/>
        </w:rPr>
        <w:t> </w:t>
      </w:r>
      <w:r>
        <w:rPr/>
        <w:t>the</w:t>
      </w:r>
      <w:r>
        <w:rPr>
          <w:spacing w:val="-12"/>
        </w:rPr>
        <w:t> </w:t>
      </w:r>
      <w:r>
        <w:rPr/>
        <w:t>following</w:t>
      </w:r>
      <w:r>
        <w:rPr>
          <w:spacing w:val="-13"/>
        </w:rPr>
        <w:t> </w:t>
      </w:r>
      <w:r>
        <w:rPr/>
        <w:t>sections</w:t>
      </w:r>
      <w:r>
        <w:rPr>
          <w:spacing w:val="-13"/>
        </w:rPr>
        <w:t> </w:t>
      </w:r>
      <w:r>
        <w:rPr/>
        <w:t>of this</w:t>
      </w:r>
      <w:r>
        <w:rPr>
          <w:spacing w:val="-14"/>
        </w:rPr>
        <w:t> </w:t>
      </w:r>
      <w:r>
        <w:rPr/>
        <w:t>chapter.</w:t>
      </w:r>
      <w:r>
        <w:rPr>
          <w:spacing w:val="-14"/>
        </w:rPr>
        <w:t> </w:t>
      </w:r>
      <w:r>
        <w:rPr/>
        <w:t>It</w:t>
      </w:r>
      <w:r>
        <w:rPr>
          <w:spacing w:val="-14"/>
        </w:rPr>
        <w:t> </w:t>
      </w:r>
      <w:r>
        <w:rPr/>
        <w:t>is</w:t>
      </w:r>
      <w:r>
        <w:rPr>
          <w:spacing w:val="-13"/>
        </w:rPr>
        <w:t> </w:t>
      </w:r>
      <w:r>
        <w:rPr/>
        <w:t>generally</w:t>
      </w:r>
      <w:r>
        <w:rPr>
          <w:spacing w:val="-14"/>
        </w:rPr>
        <w:t> </w:t>
      </w:r>
      <w:r>
        <w:rPr/>
        <w:t>not</w:t>
      </w:r>
      <w:r>
        <w:rPr>
          <w:spacing w:val="-14"/>
        </w:rPr>
        <w:t> </w:t>
      </w:r>
      <w:r>
        <w:rPr/>
        <w:t>yet</w:t>
      </w:r>
      <w:r>
        <w:rPr>
          <w:spacing w:val="-13"/>
        </w:rPr>
        <w:t> </w:t>
      </w:r>
      <w:r>
        <w:rPr/>
        <w:t>clear</w:t>
      </w:r>
      <w:r>
        <w:rPr>
          <w:spacing w:val="-14"/>
        </w:rPr>
        <w:t> </w:t>
      </w:r>
      <w:r>
        <w:rPr/>
        <w:t>which</w:t>
      </w:r>
      <w:r>
        <w:rPr>
          <w:spacing w:val="-14"/>
        </w:rPr>
        <w:t> </w:t>
      </w:r>
      <w:r>
        <w:rPr/>
        <w:t>of</w:t>
      </w:r>
      <w:r>
        <w:rPr>
          <w:spacing w:val="-13"/>
        </w:rPr>
        <w:t> </w:t>
      </w:r>
      <w:r>
        <w:rPr/>
        <w:t>these</w:t>
      </w:r>
      <w:r>
        <w:rPr>
          <w:spacing w:val="-14"/>
        </w:rPr>
        <w:t> </w:t>
      </w:r>
      <w:r>
        <w:rPr/>
        <w:t>emerging technologies, if </w:t>
      </w:r>
      <w:r>
        <w:rPr>
          <w:spacing w:val="-4"/>
        </w:rPr>
        <w:t>any, </w:t>
      </w:r>
      <w:r>
        <w:rPr/>
        <w:t>will succeed as the dominant commercial technology for energy systems incorporating CO</w:t>
      </w:r>
      <w:r>
        <w:rPr>
          <w:position w:val="-6"/>
          <w:sz w:val="11"/>
        </w:rPr>
        <w:t>2</w:t>
      </w:r>
      <w:r>
        <w:rPr>
          <w:spacing w:val="18"/>
          <w:position w:val="-6"/>
          <w:sz w:val="11"/>
        </w:rPr>
        <w:t> </w:t>
      </w:r>
      <w:r>
        <w:rPr/>
        <w:t>capture.</w:t>
      </w:r>
    </w:p>
    <w:p>
      <w:pPr>
        <w:pStyle w:val="BodyText"/>
        <w:spacing w:line="249" w:lineRule="auto" w:before="63"/>
        <w:ind w:left="117" w:right="1130"/>
        <w:jc w:val="both"/>
      </w:pPr>
      <w:r>
        <w:rPr/>
        <w:br w:type="column"/>
      </w:r>
      <w:r>
        <w:rPr/>
        <w:t>with legislation covering co-disposal of toxic or hazardous waste or to avoid operations or environmental problems with disposal in deep saline reservoirs, hydrocarbon formations or in the ocean. The carbon dioxide must also be dried to prevent water condensation and corrosion in pipelines and allow use of conventional carbon-steel materials.</w:t>
      </w:r>
    </w:p>
    <w:p>
      <w:pPr>
        <w:pStyle w:val="BodyText"/>
        <w:spacing w:line="249" w:lineRule="auto" w:before="5"/>
        <w:ind w:left="117" w:right="1130" w:firstLine="284"/>
        <w:jc w:val="both"/>
      </w:pPr>
      <w:r>
        <w:rPr/>
        <w:t>Although elements of oxy-fuel combustion technologies are in use in the aluminium, iron and steel and glass melting industries</w:t>
      </w:r>
      <w:r>
        <w:rPr>
          <w:spacing w:val="31"/>
        </w:rPr>
        <w:t> </w:t>
      </w:r>
      <w:r>
        <w:rPr>
          <w:spacing w:val="-3"/>
        </w:rPr>
        <w:t>today,</w:t>
      </w:r>
      <w:r>
        <w:rPr>
          <w:spacing w:val="31"/>
        </w:rPr>
        <w:t> </w:t>
      </w:r>
      <w:r>
        <w:rPr/>
        <w:t>oxy-fuel</w:t>
      </w:r>
      <w:r>
        <w:rPr>
          <w:spacing w:val="32"/>
        </w:rPr>
        <w:t> </w:t>
      </w:r>
      <w:r>
        <w:rPr/>
        <w:t>technologies</w:t>
      </w:r>
      <w:r>
        <w:rPr>
          <w:spacing w:val="30"/>
        </w:rPr>
        <w:t> </w:t>
      </w:r>
      <w:r>
        <w:rPr/>
        <w:t>for</w:t>
      </w:r>
      <w:r>
        <w:rPr>
          <w:spacing w:val="31"/>
        </w:rPr>
        <w:t> </w:t>
      </w:r>
      <w:r>
        <w:rPr/>
        <w:t>CO</w:t>
      </w:r>
      <w:r>
        <w:rPr>
          <w:position w:val="-6"/>
          <w:sz w:val="11"/>
        </w:rPr>
        <w:t>2 </w:t>
      </w:r>
      <w:r>
        <w:rPr>
          <w:spacing w:val="26"/>
          <w:position w:val="-6"/>
          <w:sz w:val="11"/>
        </w:rPr>
        <w:t> </w:t>
      </w:r>
      <w:r>
        <w:rPr/>
        <w:t>capture</w:t>
      </w:r>
      <w:r>
        <w:rPr>
          <w:spacing w:val="32"/>
        </w:rPr>
        <w:t> </w:t>
      </w:r>
      <w:r>
        <w:rPr>
          <w:spacing w:val="-4"/>
        </w:rPr>
        <w:t>have</w:t>
      </w:r>
    </w:p>
    <w:p>
      <w:pPr>
        <w:pStyle w:val="BodyText"/>
        <w:spacing w:line="182" w:lineRule="exact"/>
        <w:ind w:left="117"/>
        <w:jc w:val="both"/>
      </w:pPr>
      <w:r>
        <w:rPr/>
        <w:t>yet</w:t>
      </w:r>
      <w:r>
        <w:rPr>
          <w:spacing w:val="11"/>
        </w:rPr>
        <w:t> </w:t>
      </w:r>
      <w:r>
        <w:rPr/>
        <w:t>to</w:t>
      </w:r>
      <w:r>
        <w:rPr>
          <w:spacing w:val="12"/>
        </w:rPr>
        <w:t> </w:t>
      </w:r>
      <w:r>
        <w:rPr/>
        <w:t>be</w:t>
      </w:r>
      <w:r>
        <w:rPr>
          <w:spacing w:val="12"/>
        </w:rPr>
        <w:t> </w:t>
      </w:r>
      <w:r>
        <w:rPr/>
        <w:t>deployed</w:t>
      </w:r>
      <w:r>
        <w:rPr>
          <w:spacing w:val="12"/>
        </w:rPr>
        <w:t> </w:t>
      </w:r>
      <w:r>
        <w:rPr/>
        <w:t>on</w:t>
      </w:r>
      <w:r>
        <w:rPr>
          <w:spacing w:val="12"/>
        </w:rPr>
        <w:t> </w:t>
      </w:r>
      <w:r>
        <w:rPr/>
        <w:t>a</w:t>
      </w:r>
      <w:r>
        <w:rPr>
          <w:spacing w:val="12"/>
        </w:rPr>
        <w:t> </w:t>
      </w:r>
      <w:r>
        <w:rPr/>
        <w:t>commercial</w:t>
      </w:r>
      <w:r>
        <w:rPr>
          <w:spacing w:val="12"/>
        </w:rPr>
        <w:t> </w:t>
      </w:r>
      <w:r>
        <w:rPr/>
        <w:t>scale.</w:t>
      </w:r>
      <w:r>
        <w:rPr>
          <w:spacing w:val="9"/>
        </w:rPr>
        <w:t> </w:t>
      </w:r>
      <w:r>
        <w:rPr/>
        <w:t>Therefore,</w:t>
      </w:r>
      <w:r>
        <w:rPr>
          <w:spacing w:val="12"/>
        </w:rPr>
        <w:t> </w:t>
      </w:r>
      <w:r>
        <w:rPr/>
        <w:t>the</w:t>
      </w:r>
      <w:r>
        <w:rPr>
          <w:spacing w:val="12"/>
        </w:rPr>
        <w:t> </w:t>
      </w:r>
      <w:r>
        <w:rPr/>
        <w:t>first</w:t>
      </w:r>
    </w:p>
    <w:p>
      <w:pPr>
        <w:pStyle w:val="BodyText"/>
        <w:spacing w:line="240" w:lineRule="exact" w:before="5"/>
        <w:ind w:left="117" w:right="1130"/>
        <w:jc w:val="both"/>
      </w:pPr>
      <w:r>
        <w:rPr/>
        <w:t>classification between </w:t>
      </w:r>
      <w:r>
        <w:rPr>
          <w:i/>
        </w:rPr>
        <w:t>existing technologies </w:t>
      </w:r>
      <w:r>
        <w:rPr/>
        <w:t>and </w:t>
      </w:r>
      <w:r>
        <w:rPr>
          <w:i/>
          <w:spacing w:val="-3"/>
        </w:rPr>
        <w:t>emerging </w:t>
      </w:r>
      <w:r>
        <w:rPr>
          <w:i/>
        </w:rPr>
        <w:t>technologies </w:t>
      </w:r>
      <w:r>
        <w:rPr/>
        <w:t>adopted in post-combustion (Section 3.3) </w:t>
      </w:r>
      <w:r>
        <w:rPr>
          <w:spacing w:val="-5"/>
        </w:rPr>
        <w:t>and </w:t>
      </w:r>
      <w:r>
        <w:rPr/>
        <w:t>pre-combustion (Section 3.5) is not followed in this section. However, it is important to emphasize that the key separation step in most oxy-fuel capture systems (O</w:t>
      </w:r>
      <w:r>
        <w:rPr>
          <w:position w:val="-6"/>
          <w:sz w:val="11"/>
        </w:rPr>
        <w:t>2 </w:t>
      </w:r>
      <w:r>
        <w:rPr/>
        <w:t>from air) is an ‘existing technology’ (see Section 3.4.5).  Current  methods  of oxygen production by air separation comprise cryogenic distillation,</w:t>
      </w:r>
      <w:r>
        <w:rPr>
          <w:spacing w:val="-15"/>
        </w:rPr>
        <w:t> </w:t>
      </w:r>
      <w:r>
        <w:rPr/>
        <w:t>adsorption</w:t>
      </w:r>
      <w:r>
        <w:rPr>
          <w:spacing w:val="-13"/>
        </w:rPr>
        <w:t> </w:t>
      </w:r>
      <w:r>
        <w:rPr/>
        <w:t>using</w:t>
      </w:r>
      <w:r>
        <w:rPr>
          <w:spacing w:val="-13"/>
        </w:rPr>
        <w:t> </w:t>
      </w:r>
      <w:r>
        <w:rPr/>
        <w:t>multi-bed</w:t>
      </w:r>
      <w:r>
        <w:rPr>
          <w:spacing w:val="-14"/>
        </w:rPr>
        <w:t> </w:t>
      </w:r>
      <w:r>
        <w:rPr/>
        <w:t>pressure</w:t>
      </w:r>
      <w:r>
        <w:rPr>
          <w:spacing w:val="-13"/>
        </w:rPr>
        <w:t> </w:t>
      </w:r>
      <w:r>
        <w:rPr/>
        <w:t>swing</w:t>
      </w:r>
      <w:r>
        <w:rPr>
          <w:spacing w:val="-13"/>
        </w:rPr>
        <w:t> </w:t>
      </w:r>
      <w:r>
        <w:rPr/>
        <w:t>units</w:t>
      </w:r>
      <w:r>
        <w:rPr>
          <w:spacing w:val="-13"/>
        </w:rPr>
        <w:t> </w:t>
      </w:r>
      <w:r>
        <w:rPr>
          <w:spacing w:val="-4"/>
        </w:rPr>
        <w:t>and </w:t>
      </w:r>
      <w:r>
        <w:rPr/>
        <w:t>polymeric membranes. For oxy-fuel conversions requiring</w:t>
      </w:r>
      <w:r>
        <w:rPr>
          <w:spacing w:val="10"/>
        </w:rPr>
        <w:t> </w:t>
      </w:r>
      <w:r>
        <w:rPr/>
        <w:t>less</w:t>
      </w:r>
    </w:p>
    <w:p>
      <w:pPr>
        <w:spacing w:after="0" w:line="240" w:lineRule="exact"/>
        <w:jc w:val="both"/>
        <w:sectPr>
          <w:type w:val="continuous"/>
          <w:pgSz w:w="12240" w:h="15840"/>
          <w:pgMar w:top="480" w:bottom="280" w:left="620" w:right="0"/>
          <w:cols w:num="2" w:equalWidth="0">
            <w:col w:w="5202" w:space="124"/>
            <w:col w:w="6294"/>
          </w:cols>
        </w:sectPr>
      </w:pPr>
    </w:p>
    <w:p>
      <w:pPr>
        <w:pStyle w:val="BodyText"/>
        <w:spacing w:line="277" w:lineRule="exact" w:before="5"/>
        <w:jc w:val="right"/>
        <w:rPr>
          <w:sz w:val="11"/>
        </w:rPr>
      </w:pPr>
      <w:r>
        <w:rPr/>
        <w:t>than 200 tO</w:t>
      </w:r>
      <w:r>
        <w:rPr>
          <w:position w:val="-6"/>
          <w:sz w:val="11"/>
        </w:rPr>
        <w:t>2</w:t>
      </w:r>
    </w:p>
    <w:p>
      <w:pPr>
        <w:pStyle w:val="ListParagraph"/>
        <w:numPr>
          <w:ilvl w:val="0"/>
          <w:numId w:val="16"/>
        </w:numPr>
        <w:tabs>
          <w:tab w:pos="165" w:val="left" w:leader="none"/>
        </w:tabs>
        <w:spacing w:line="240" w:lineRule="auto" w:before="5" w:after="0"/>
        <w:ind w:left="164" w:right="0" w:hanging="141"/>
        <w:jc w:val="left"/>
        <w:rPr>
          <w:sz w:val="20"/>
        </w:rPr>
      </w:pPr>
      <w:r>
        <w:rPr>
          <w:w w:val="105"/>
          <w:position w:val="7"/>
          <w:sz w:val="11"/>
        </w:rPr>
        <w:br w:type="column"/>
      </w:r>
      <w:r>
        <w:rPr>
          <w:position w:val="7"/>
          <w:sz w:val="11"/>
        </w:rPr>
        <w:t>1</w:t>
      </w:r>
      <w:r>
        <w:rPr>
          <w:sz w:val="20"/>
        </w:rPr>
        <w:t>,</w:t>
      </w:r>
      <w:r>
        <w:rPr>
          <w:spacing w:val="13"/>
          <w:sz w:val="20"/>
        </w:rPr>
        <w:t> </w:t>
      </w:r>
      <w:r>
        <w:rPr>
          <w:sz w:val="20"/>
        </w:rPr>
        <w:t>the</w:t>
      </w:r>
      <w:r>
        <w:rPr>
          <w:spacing w:val="14"/>
          <w:sz w:val="20"/>
        </w:rPr>
        <w:t> </w:t>
      </w:r>
      <w:r>
        <w:rPr>
          <w:sz w:val="20"/>
        </w:rPr>
        <w:t>adsorption</w:t>
      </w:r>
      <w:r>
        <w:rPr>
          <w:spacing w:val="14"/>
          <w:sz w:val="20"/>
        </w:rPr>
        <w:t> </w:t>
      </w:r>
      <w:r>
        <w:rPr>
          <w:sz w:val="20"/>
        </w:rPr>
        <w:t>system</w:t>
      </w:r>
      <w:r>
        <w:rPr>
          <w:spacing w:val="13"/>
          <w:sz w:val="20"/>
        </w:rPr>
        <w:t> </w:t>
      </w:r>
      <w:r>
        <w:rPr>
          <w:sz w:val="20"/>
        </w:rPr>
        <w:t>will</w:t>
      </w:r>
      <w:r>
        <w:rPr>
          <w:spacing w:val="14"/>
          <w:sz w:val="20"/>
        </w:rPr>
        <w:t> </w:t>
      </w:r>
      <w:r>
        <w:rPr>
          <w:sz w:val="20"/>
        </w:rPr>
        <w:t>be</w:t>
      </w:r>
      <w:r>
        <w:rPr>
          <w:spacing w:val="14"/>
          <w:sz w:val="20"/>
        </w:rPr>
        <w:t> </w:t>
      </w:r>
      <w:r>
        <w:rPr>
          <w:sz w:val="20"/>
        </w:rPr>
        <w:t>economic.</w:t>
      </w:r>
      <w:r>
        <w:rPr>
          <w:spacing w:val="13"/>
          <w:sz w:val="20"/>
        </w:rPr>
        <w:t> </w:t>
      </w:r>
      <w:r>
        <w:rPr>
          <w:sz w:val="20"/>
        </w:rPr>
        <w:t>For</w:t>
      </w:r>
    </w:p>
    <w:p>
      <w:pPr>
        <w:spacing w:after="0" w:line="240" w:lineRule="auto"/>
        <w:jc w:val="left"/>
        <w:rPr>
          <w:sz w:val="20"/>
        </w:rPr>
        <w:sectPr>
          <w:type w:val="continuous"/>
          <w:pgSz w:w="12240" w:h="15840"/>
          <w:pgMar w:top="480" w:bottom="280" w:left="620" w:right="0"/>
          <w:cols w:num="2" w:equalWidth="0">
            <w:col w:w="6475" w:space="40"/>
            <w:col w:w="5105"/>
          </w:cols>
        </w:sectPr>
      </w:pPr>
    </w:p>
    <w:p>
      <w:pPr>
        <w:pStyle w:val="Heading1"/>
        <w:numPr>
          <w:ilvl w:val="1"/>
          <w:numId w:val="5"/>
        </w:numPr>
        <w:tabs>
          <w:tab w:pos="936" w:val="left" w:leader="none"/>
          <w:tab w:pos="937" w:val="left" w:leader="none"/>
        </w:tabs>
        <w:spacing w:line="194" w:lineRule="exact" w:before="0" w:after="0"/>
        <w:ind w:left="936" w:right="0" w:hanging="821"/>
        <w:jc w:val="left"/>
      </w:pPr>
      <w:r>
        <w:rPr/>
        <w:t>Oxy-fuel combustion capture</w:t>
      </w:r>
      <w:r>
        <w:rPr>
          <w:spacing w:val="-2"/>
        </w:rPr>
        <w:t> </w:t>
      </w:r>
      <w:r>
        <w:rPr/>
        <w:t>systems</w:t>
      </w:r>
    </w:p>
    <w:p>
      <w:pPr>
        <w:pStyle w:val="BodyText"/>
        <w:spacing w:before="8"/>
        <w:rPr>
          <w:b/>
          <w:sz w:val="21"/>
        </w:rPr>
      </w:pPr>
    </w:p>
    <w:p>
      <w:pPr>
        <w:pStyle w:val="Heading2"/>
        <w:numPr>
          <w:ilvl w:val="2"/>
          <w:numId w:val="5"/>
        </w:numPr>
        <w:tabs>
          <w:tab w:pos="936" w:val="left" w:leader="none"/>
          <w:tab w:pos="937" w:val="left" w:leader="none"/>
        </w:tabs>
        <w:spacing w:line="240" w:lineRule="auto" w:before="0" w:after="0"/>
        <w:ind w:left="936" w:right="0" w:hanging="821"/>
        <w:jc w:val="left"/>
        <w:rPr>
          <w:i/>
        </w:rPr>
      </w:pPr>
      <w:r>
        <w:rPr>
          <w:i/>
        </w:rPr>
        <w:t>Introduction</w:t>
      </w:r>
    </w:p>
    <w:p>
      <w:pPr>
        <w:pStyle w:val="BodyText"/>
        <w:spacing w:before="3"/>
        <w:rPr>
          <w:b/>
          <w:i/>
          <w:sz w:val="21"/>
        </w:rPr>
      </w:pPr>
    </w:p>
    <w:p>
      <w:pPr>
        <w:pStyle w:val="BodyText"/>
        <w:spacing w:line="240" w:lineRule="exact"/>
        <w:ind w:left="117" w:right="38"/>
        <w:jc w:val="both"/>
      </w:pPr>
      <w:r>
        <w:rPr/>
        <w:t>The oxy-fuel combustion process eliminates nitrogen from </w:t>
      </w:r>
      <w:r>
        <w:rPr>
          <w:spacing w:val="-5"/>
        </w:rPr>
        <w:t>the </w:t>
      </w:r>
      <w:r>
        <w:rPr/>
        <w:t>flue gas by combusting a hydrocarbon or carbonaceous fuel </w:t>
      </w:r>
      <w:r>
        <w:rPr>
          <w:spacing w:val="-6"/>
        </w:rPr>
        <w:t>in </w:t>
      </w:r>
      <w:r>
        <w:rPr/>
        <w:t>either pure oxygen or a mixture of pure oxygen and a CO</w:t>
      </w:r>
      <w:r>
        <w:rPr>
          <w:position w:val="-6"/>
          <w:sz w:val="11"/>
        </w:rPr>
        <w:t>2</w:t>
      </w:r>
      <w:r>
        <w:rPr/>
        <w:t>- rich recycled flue gas (carbonaceous fuels include biomass). Combustion of a fuel with pure oxygen has a combustion temperature of about 3500°C which is far too high for typical power plant materials. The combustion temperature is limited to about 1300-1400°C in a typical gas turbine cycle and </w:t>
      </w:r>
      <w:r>
        <w:rPr>
          <w:spacing w:val="-6"/>
        </w:rPr>
        <w:t>to </w:t>
      </w:r>
      <w:r>
        <w:rPr/>
        <w:t>about 1900°C in an oxy-fuel coal-fired boiler using current technology. The combustion temperature is controlled by </w:t>
      </w:r>
      <w:r>
        <w:rPr>
          <w:spacing w:val="-5"/>
        </w:rPr>
        <w:t>the </w:t>
      </w:r>
      <w:r>
        <w:rPr/>
        <w:t>proportion of flue gas and gaseous or liquid-water recycled back to the combustion</w:t>
      </w:r>
      <w:r>
        <w:rPr>
          <w:spacing w:val="-1"/>
        </w:rPr>
        <w:t> </w:t>
      </w:r>
      <w:r>
        <w:rPr/>
        <w:t>chamber.</w:t>
      </w:r>
    </w:p>
    <w:p>
      <w:pPr>
        <w:pStyle w:val="BodyText"/>
        <w:spacing w:line="240" w:lineRule="exact"/>
        <w:ind w:left="116" w:right="38" w:firstLine="284"/>
        <w:jc w:val="both"/>
      </w:pPr>
      <w:r>
        <w:rPr/>
        <w:t>The combustion products (or flue gas) consist mainly of carbon dioxide and water vapour together with excess oxygen required to ensure complete combustion of the fuel. It will also contain any other components in the fuel, any diluents in the oxygen stream supplied, any inerts in the fuel and from air leakage into the system from the atmosphere. The net flue gas, after cooling to condense water vapour, contains from about 80-98% CO</w:t>
      </w:r>
      <w:r>
        <w:rPr>
          <w:position w:val="-6"/>
          <w:sz w:val="11"/>
        </w:rPr>
        <w:t>2 </w:t>
      </w:r>
      <w:r>
        <w:rPr/>
        <w:t>depending on the fuel used and the particular oxy-fuel combustion process. This concentrated CO</w:t>
      </w:r>
      <w:r>
        <w:rPr>
          <w:position w:val="-6"/>
          <w:sz w:val="11"/>
        </w:rPr>
        <w:t>2 </w:t>
      </w:r>
      <w:r>
        <w:rPr/>
        <w:t>stream can be compressed, dried and further purified before delivery into a pipeline for storage (see Chapter 4). The CO</w:t>
      </w:r>
      <w:r>
        <w:rPr>
          <w:position w:val="-6"/>
          <w:sz w:val="11"/>
        </w:rPr>
        <w:t>2 </w:t>
      </w:r>
      <w:r>
        <w:rPr/>
        <w:t>capture efficiency</w:t>
      </w:r>
      <w:r>
        <w:rPr>
          <w:spacing w:val="-12"/>
        </w:rPr>
        <w:t> </w:t>
      </w:r>
      <w:r>
        <w:rPr/>
        <w:t>is</w:t>
      </w:r>
      <w:r>
        <w:rPr>
          <w:spacing w:val="-11"/>
        </w:rPr>
        <w:t> </w:t>
      </w:r>
      <w:r>
        <w:rPr/>
        <w:t>very</w:t>
      </w:r>
      <w:r>
        <w:rPr>
          <w:spacing w:val="-10"/>
        </w:rPr>
        <w:t> </w:t>
      </w:r>
      <w:r>
        <w:rPr/>
        <w:t>close</w:t>
      </w:r>
      <w:r>
        <w:rPr>
          <w:spacing w:val="-11"/>
        </w:rPr>
        <w:t> </w:t>
      </w:r>
      <w:r>
        <w:rPr/>
        <w:t>to</w:t>
      </w:r>
      <w:r>
        <w:rPr>
          <w:spacing w:val="-11"/>
        </w:rPr>
        <w:t> </w:t>
      </w:r>
      <w:r>
        <w:rPr/>
        <w:t>100%</w:t>
      </w:r>
      <w:r>
        <w:rPr>
          <w:spacing w:val="-10"/>
        </w:rPr>
        <w:t> </w:t>
      </w:r>
      <w:r>
        <w:rPr/>
        <w:t>in</w:t>
      </w:r>
      <w:r>
        <w:rPr>
          <w:spacing w:val="-10"/>
        </w:rPr>
        <w:t> </w:t>
      </w:r>
      <w:r>
        <w:rPr/>
        <w:t>oxy-fuel</w:t>
      </w:r>
      <w:r>
        <w:rPr>
          <w:spacing w:val="-11"/>
        </w:rPr>
        <w:t> </w:t>
      </w:r>
      <w:r>
        <w:rPr/>
        <w:t>combustion</w:t>
      </w:r>
      <w:r>
        <w:rPr>
          <w:spacing w:val="-12"/>
        </w:rPr>
        <w:t> </w:t>
      </w:r>
      <w:r>
        <w:rPr/>
        <w:t>capture systems.</w:t>
      </w:r>
      <w:r>
        <w:rPr>
          <w:spacing w:val="-9"/>
        </w:rPr>
        <w:t> </w:t>
      </w:r>
      <w:r>
        <w:rPr/>
        <w:t>Impurities</w:t>
      </w:r>
      <w:r>
        <w:rPr>
          <w:spacing w:val="-9"/>
        </w:rPr>
        <w:t> </w:t>
      </w:r>
      <w:r>
        <w:rPr/>
        <w:t>in</w:t>
      </w:r>
      <w:r>
        <w:rPr>
          <w:spacing w:val="-8"/>
        </w:rPr>
        <w:t> </w:t>
      </w:r>
      <w:r>
        <w:rPr/>
        <w:t>the</w:t>
      </w:r>
      <w:r>
        <w:rPr>
          <w:spacing w:val="-9"/>
        </w:rPr>
        <w:t> </w:t>
      </w:r>
      <w:r>
        <w:rPr/>
        <w:t>CO</w:t>
      </w:r>
      <w:r>
        <w:rPr>
          <w:position w:val="-6"/>
          <w:sz w:val="11"/>
        </w:rPr>
        <w:t>2</w:t>
      </w:r>
      <w:r>
        <w:rPr>
          <w:spacing w:val="14"/>
          <w:position w:val="-6"/>
          <w:sz w:val="11"/>
        </w:rPr>
        <w:t> </w:t>
      </w:r>
      <w:r>
        <w:rPr/>
        <w:t>are</w:t>
      </w:r>
      <w:r>
        <w:rPr>
          <w:spacing w:val="-8"/>
        </w:rPr>
        <w:t> </w:t>
      </w:r>
      <w:r>
        <w:rPr/>
        <w:t>gas</w:t>
      </w:r>
      <w:r>
        <w:rPr>
          <w:spacing w:val="-9"/>
        </w:rPr>
        <w:t> </w:t>
      </w:r>
      <w:r>
        <w:rPr/>
        <w:t>components</w:t>
      </w:r>
      <w:r>
        <w:rPr>
          <w:spacing w:val="-9"/>
        </w:rPr>
        <w:t> </w:t>
      </w:r>
      <w:r>
        <w:rPr/>
        <w:t>such</w:t>
      </w:r>
      <w:r>
        <w:rPr>
          <w:spacing w:val="-8"/>
        </w:rPr>
        <w:t> </w:t>
      </w:r>
      <w:r>
        <w:rPr/>
        <w:t>as</w:t>
      </w:r>
      <w:r>
        <w:rPr>
          <w:spacing w:val="-9"/>
        </w:rPr>
        <w:t> </w:t>
      </w:r>
      <w:r>
        <w:rPr/>
        <w:t>SO</w:t>
      </w:r>
      <w:r>
        <w:rPr>
          <w:position w:val="-6"/>
          <w:sz w:val="11"/>
        </w:rPr>
        <w:t>x</w:t>
      </w:r>
      <w:r>
        <w:rPr/>
        <w:t>, NO</w:t>
      </w:r>
      <w:r>
        <w:rPr>
          <w:position w:val="-6"/>
          <w:sz w:val="11"/>
        </w:rPr>
        <w:t>x</w:t>
      </w:r>
      <w:r>
        <w:rPr/>
        <w:t>, HCl and Hg derived from the fuel used, and the inert   gas components, such as nitrogen, argon and oxygen, derived from the oxygen feed or air leakage into the system. The CO</w:t>
      </w:r>
      <w:r>
        <w:rPr>
          <w:position w:val="-6"/>
          <w:sz w:val="11"/>
        </w:rPr>
        <w:t>2 </w:t>
      </w:r>
      <w:r>
        <w:rPr/>
        <w:t>is transported by pipeline as a dense supercritical phase. Inert gases must be reduced to a low concentration to avoid </w:t>
      </w:r>
      <w:r>
        <w:rPr>
          <w:spacing w:val="-4"/>
        </w:rPr>
        <w:t>two- </w:t>
      </w:r>
      <w:r>
        <w:rPr/>
        <w:t>phase flow conditions developing in the pipeline  systems.  The</w:t>
      </w:r>
      <w:r>
        <w:rPr>
          <w:spacing w:val="12"/>
        </w:rPr>
        <w:t> </w:t>
      </w:r>
      <w:r>
        <w:rPr/>
        <w:t>acid</w:t>
      </w:r>
      <w:r>
        <w:rPr>
          <w:spacing w:val="13"/>
        </w:rPr>
        <w:t> </w:t>
      </w:r>
      <w:r>
        <w:rPr/>
        <w:t>gas</w:t>
      </w:r>
      <w:r>
        <w:rPr>
          <w:spacing w:val="13"/>
        </w:rPr>
        <w:t> </w:t>
      </w:r>
      <w:r>
        <w:rPr/>
        <w:t>components</w:t>
      </w:r>
      <w:r>
        <w:rPr>
          <w:spacing w:val="13"/>
        </w:rPr>
        <w:t> </w:t>
      </w:r>
      <w:r>
        <w:rPr/>
        <w:t>may</w:t>
      </w:r>
      <w:r>
        <w:rPr>
          <w:spacing w:val="13"/>
        </w:rPr>
        <w:t> </w:t>
      </w:r>
      <w:r>
        <w:rPr/>
        <w:t>need</w:t>
      </w:r>
      <w:r>
        <w:rPr>
          <w:spacing w:val="13"/>
        </w:rPr>
        <w:t> </w:t>
      </w:r>
      <w:r>
        <w:rPr/>
        <w:t>to</w:t>
      </w:r>
      <w:r>
        <w:rPr>
          <w:spacing w:val="13"/>
        </w:rPr>
        <w:t> </w:t>
      </w:r>
      <w:r>
        <w:rPr/>
        <w:t>be</w:t>
      </w:r>
      <w:r>
        <w:rPr>
          <w:spacing w:val="13"/>
        </w:rPr>
        <w:t> </w:t>
      </w:r>
      <w:r>
        <w:rPr/>
        <w:t>removed</w:t>
      </w:r>
      <w:r>
        <w:rPr>
          <w:spacing w:val="13"/>
        </w:rPr>
        <w:t> </w:t>
      </w:r>
      <w:r>
        <w:rPr/>
        <w:t>to</w:t>
      </w:r>
      <w:r>
        <w:rPr>
          <w:spacing w:val="13"/>
        </w:rPr>
        <w:t> </w:t>
      </w:r>
      <w:r>
        <w:rPr/>
        <w:t>comply</w:t>
      </w:r>
    </w:p>
    <w:p>
      <w:pPr>
        <w:pStyle w:val="BodyText"/>
        <w:spacing w:line="194" w:lineRule="exact"/>
        <w:ind w:left="116"/>
        <w:jc w:val="both"/>
      </w:pPr>
      <w:r>
        <w:rPr/>
        <w:br w:type="column"/>
      </w:r>
      <w:r>
        <w:rPr/>
        <w:t>all the larger applications, which include power station boilers,</w:t>
      </w:r>
    </w:p>
    <w:p>
      <w:pPr>
        <w:pStyle w:val="BodyText"/>
        <w:spacing w:line="249" w:lineRule="auto" w:before="10"/>
        <w:ind w:left="116" w:right="1131"/>
        <w:jc w:val="both"/>
      </w:pPr>
      <w:r>
        <w:rPr/>
        <w:t>cryogenic</w:t>
      </w:r>
      <w:r>
        <w:rPr>
          <w:spacing w:val="-5"/>
        </w:rPr>
        <w:t> </w:t>
      </w:r>
      <w:r>
        <w:rPr/>
        <w:t>air</w:t>
      </w:r>
      <w:r>
        <w:rPr>
          <w:spacing w:val="-5"/>
        </w:rPr>
        <w:t> </w:t>
      </w:r>
      <w:r>
        <w:rPr/>
        <w:t>separation</w:t>
      </w:r>
      <w:r>
        <w:rPr>
          <w:spacing w:val="-6"/>
        </w:rPr>
        <w:t> </w:t>
      </w:r>
      <w:r>
        <w:rPr/>
        <w:t>is</w:t>
      </w:r>
      <w:r>
        <w:rPr>
          <w:spacing w:val="-5"/>
        </w:rPr>
        <w:t> </w:t>
      </w:r>
      <w:r>
        <w:rPr/>
        <w:t>the</w:t>
      </w:r>
      <w:r>
        <w:rPr>
          <w:spacing w:val="-5"/>
        </w:rPr>
        <w:t> </w:t>
      </w:r>
      <w:r>
        <w:rPr/>
        <w:t>economic</w:t>
      </w:r>
      <w:r>
        <w:rPr>
          <w:spacing w:val="-4"/>
        </w:rPr>
        <w:t> </w:t>
      </w:r>
      <w:r>
        <w:rPr/>
        <w:t>solution</w:t>
      </w:r>
      <w:r>
        <w:rPr>
          <w:spacing w:val="-5"/>
        </w:rPr>
        <w:t> </w:t>
      </w:r>
      <w:r>
        <w:rPr/>
        <w:t>(Wilkinson</w:t>
      </w:r>
      <w:r>
        <w:rPr>
          <w:spacing w:val="-6"/>
        </w:rPr>
        <w:t> </w:t>
      </w:r>
      <w:r>
        <w:rPr>
          <w:i/>
        </w:rPr>
        <w:t>et </w:t>
      </w:r>
      <w:r>
        <w:rPr>
          <w:i/>
        </w:rPr>
        <w:t>al.</w:t>
      </w:r>
      <w:r>
        <w:rPr/>
        <w:t>, 2003a).</w:t>
      </w:r>
    </w:p>
    <w:p>
      <w:pPr>
        <w:pStyle w:val="BodyText"/>
        <w:spacing w:line="249" w:lineRule="auto" w:before="1"/>
        <w:ind w:left="116" w:right="1131" w:firstLine="284"/>
        <w:jc w:val="both"/>
      </w:pPr>
      <w:r>
        <w:rPr/>
        <w:t>In the following sections we present the main</w:t>
      </w:r>
      <w:r>
        <w:rPr>
          <w:spacing w:val="33"/>
        </w:rPr>
        <w:t> </w:t>
      </w:r>
      <w:r>
        <w:rPr/>
        <w:t>oxy-fuel combustion systems classified according to how the heat of combustion is supplied and whether the flue gas is used as a working fluid (Sections 3.4.2, 3.4.3, 3.4.4). A brief overview of</w:t>
      </w:r>
      <w:r>
        <w:rPr>
          <w:spacing w:val="19"/>
        </w:rPr>
        <w:t> </w:t>
      </w:r>
      <w:r>
        <w:rPr/>
        <w:t>O</w:t>
      </w:r>
      <w:r>
        <w:rPr>
          <w:position w:val="-6"/>
          <w:sz w:val="11"/>
        </w:rPr>
        <w:t>2 </w:t>
      </w:r>
      <w:r>
        <w:rPr>
          <w:spacing w:val="14"/>
          <w:position w:val="-6"/>
          <w:sz w:val="11"/>
        </w:rPr>
        <w:t> </w:t>
      </w:r>
      <w:r>
        <w:rPr/>
        <w:t>production</w:t>
      </w:r>
      <w:r>
        <w:rPr>
          <w:spacing w:val="20"/>
        </w:rPr>
        <w:t> </w:t>
      </w:r>
      <w:r>
        <w:rPr/>
        <w:t>methods</w:t>
      </w:r>
      <w:r>
        <w:rPr>
          <w:spacing w:val="20"/>
        </w:rPr>
        <w:t> </w:t>
      </w:r>
      <w:r>
        <w:rPr/>
        <w:t>relevant</w:t>
      </w:r>
      <w:r>
        <w:rPr>
          <w:spacing w:val="18"/>
        </w:rPr>
        <w:t> </w:t>
      </w:r>
      <w:r>
        <w:rPr/>
        <w:t>for</w:t>
      </w:r>
      <w:r>
        <w:rPr>
          <w:spacing w:val="20"/>
        </w:rPr>
        <w:t> </w:t>
      </w:r>
      <w:r>
        <w:rPr/>
        <w:t>these</w:t>
      </w:r>
      <w:r>
        <w:rPr>
          <w:spacing w:val="20"/>
        </w:rPr>
        <w:t> </w:t>
      </w:r>
      <w:r>
        <w:rPr/>
        <w:t>systems</w:t>
      </w:r>
      <w:r>
        <w:rPr>
          <w:spacing w:val="18"/>
        </w:rPr>
        <w:t> </w:t>
      </w:r>
      <w:r>
        <w:rPr/>
        <w:t>is</w:t>
      </w:r>
      <w:r>
        <w:rPr>
          <w:spacing w:val="20"/>
        </w:rPr>
        <w:t> </w:t>
      </w:r>
      <w:r>
        <w:rPr/>
        <w:t>given</w:t>
      </w:r>
    </w:p>
    <w:p>
      <w:pPr>
        <w:pStyle w:val="BodyText"/>
        <w:spacing w:line="184" w:lineRule="exact"/>
        <w:ind w:left="116"/>
        <w:jc w:val="both"/>
      </w:pPr>
      <w:r>
        <w:rPr/>
        <w:t>(Section  3.4.5).  In  Section  3.4.6,  the  emerging </w:t>
      </w:r>
      <w:r>
        <w:rPr>
          <w:spacing w:val="46"/>
        </w:rPr>
        <w:t> </w:t>
      </w:r>
      <w:r>
        <w:rPr/>
        <w:t>technology</w:t>
      </w:r>
    </w:p>
    <w:p>
      <w:pPr>
        <w:pStyle w:val="BodyText"/>
        <w:spacing w:line="249" w:lineRule="auto" w:before="10"/>
        <w:ind w:left="116" w:right="1130"/>
        <w:jc w:val="both"/>
      </w:pPr>
      <w:r>
        <w:rPr/>
        <w:t>of chemical looping combustion is presented, in which pure oxygen is supplied by a metal oxide rather than an oxygen production</w:t>
      </w:r>
      <w:r>
        <w:rPr>
          <w:spacing w:val="-15"/>
        </w:rPr>
        <w:t> </w:t>
      </w:r>
      <w:r>
        <w:rPr/>
        <w:t>process.</w:t>
      </w:r>
      <w:r>
        <w:rPr>
          <w:spacing w:val="-19"/>
        </w:rPr>
        <w:t> </w:t>
      </w:r>
      <w:r>
        <w:rPr/>
        <w:t>The</w:t>
      </w:r>
      <w:r>
        <w:rPr>
          <w:spacing w:val="-15"/>
        </w:rPr>
        <w:t> </w:t>
      </w:r>
      <w:r>
        <w:rPr/>
        <w:t>section</w:t>
      </w:r>
      <w:r>
        <w:rPr>
          <w:spacing w:val="-16"/>
        </w:rPr>
        <w:t> </w:t>
      </w:r>
      <w:r>
        <w:rPr/>
        <w:t>on</w:t>
      </w:r>
      <w:r>
        <w:rPr>
          <w:spacing w:val="-15"/>
        </w:rPr>
        <w:t> </w:t>
      </w:r>
      <w:r>
        <w:rPr/>
        <w:t>oxy-fuel</w:t>
      </w:r>
      <w:r>
        <w:rPr>
          <w:spacing w:val="-15"/>
        </w:rPr>
        <w:t> </w:t>
      </w:r>
      <w:r>
        <w:rPr/>
        <w:t>systems</w:t>
      </w:r>
      <w:r>
        <w:rPr>
          <w:spacing w:val="-14"/>
        </w:rPr>
        <w:t> </w:t>
      </w:r>
      <w:r>
        <w:rPr/>
        <w:t>closes</w:t>
      </w:r>
      <w:r>
        <w:rPr>
          <w:spacing w:val="-15"/>
        </w:rPr>
        <w:t> </w:t>
      </w:r>
      <w:r>
        <w:rPr/>
        <w:t>with an overview of the status of the technology (Section</w:t>
      </w:r>
      <w:r>
        <w:rPr>
          <w:spacing w:val="-4"/>
        </w:rPr>
        <w:t> </w:t>
      </w:r>
      <w:r>
        <w:rPr/>
        <w:t>3.4.7).</w:t>
      </w:r>
    </w:p>
    <w:p>
      <w:pPr>
        <w:pStyle w:val="BodyText"/>
        <w:spacing w:before="2"/>
        <w:rPr>
          <w:sz w:val="21"/>
        </w:rPr>
      </w:pPr>
    </w:p>
    <w:p>
      <w:pPr>
        <w:pStyle w:val="Heading2"/>
        <w:numPr>
          <w:ilvl w:val="2"/>
          <w:numId w:val="5"/>
        </w:numPr>
        <w:tabs>
          <w:tab w:pos="937" w:val="left" w:leader="none"/>
        </w:tabs>
        <w:spacing w:line="240" w:lineRule="auto" w:before="0" w:after="0"/>
        <w:ind w:left="936" w:right="0" w:hanging="821"/>
        <w:jc w:val="both"/>
        <w:rPr>
          <w:i/>
        </w:rPr>
      </w:pPr>
      <w:r>
        <w:rPr>
          <w:i/>
        </w:rPr>
        <w:t>Oxy-fuel indirect heating - steam</w:t>
      </w:r>
      <w:r>
        <w:rPr>
          <w:i/>
          <w:spacing w:val="-5"/>
        </w:rPr>
        <w:t> </w:t>
      </w:r>
      <w:r>
        <w:rPr>
          <w:i/>
        </w:rPr>
        <w:t>cycle</w:t>
      </w:r>
    </w:p>
    <w:p>
      <w:pPr>
        <w:pStyle w:val="BodyText"/>
        <w:spacing w:before="9"/>
        <w:rPr>
          <w:b/>
          <w:i/>
          <w:sz w:val="21"/>
        </w:rPr>
      </w:pPr>
    </w:p>
    <w:p>
      <w:pPr>
        <w:pStyle w:val="BodyText"/>
        <w:spacing w:line="249" w:lineRule="auto"/>
        <w:ind w:left="116" w:right="1131"/>
        <w:jc w:val="both"/>
      </w:pPr>
      <w:r>
        <w:rPr/>
        <w:t>In these systems, the oxy-fuel combustion chamber provides heat</w:t>
      </w:r>
      <w:r>
        <w:rPr>
          <w:spacing w:val="-7"/>
        </w:rPr>
        <w:t> </w:t>
      </w:r>
      <w:r>
        <w:rPr/>
        <w:t>to</w:t>
      </w:r>
      <w:r>
        <w:rPr>
          <w:spacing w:val="-6"/>
        </w:rPr>
        <w:t> </w:t>
      </w:r>
      <w:r>
        <w:rPr/>
        <w:t>a</w:t>
      </w:r>
      <w:r>
        <w:rPr>
          <w:spacing w:val="-6"/>
        </w:rPr>
        <w:t> </w:t>
      </w:r>
      <w:r>
        <w:rPr/>
        <w:t>separate</w:t>
      </w:r>
      <w:r>
        <w:rPr>
          <w:spacing w:val="-7"/>
        </w:rPr>
        <w:t> </w:t>
      </w:r>
      <w:r>
        <w:rPr/>
        <w:t>fluid</w:t>
      </w:r>
      <w:r>
        <w:rPr>
          <w:spacing w:val="-6"/>
        </w:rPr>
        <w:t> </w:t>
      </w:r>
      <w:r>
        <w:rPr/>
        <w:t>by</w:t>
      </w:r>
      <w:r>
        <w:rPr>
          <w:spacing w:val="-6"/>
        </w:rPr>
        <w:t> </w:t>
      </w:r>
      <w:r>
        <w:rPr/>
        <w:t>heat</w:t>
      </w:r>
      <w:r>
        <w:rPr>
          <w:spacing w:val="-6"/>
        </w:rPr>
        <w:t> </w:t>
      </w:r>
      <w:r>
        <w:rPr/>
        <w:t>transfer</w:t>
      </w:r>
      <w:r>
        <w:rPr>
          <w:spacing w:val="-7"/>
        </w:rPr>
        <w:t> </w:t>
      </w:r>
      <w:r>
        <w:rPr/>
        <w:t>through</w:t>
      </w:r>
      <w:r>
        <w:rPr>
          <w:spacing w:val="-6"/>
        </w:rPr>
        <w:t> </w:t>
      </w:r>
      <w:r>
        <w:rPr/>
        <w:t>a</w:t>
      </w:r>
      <w:r>
        <w:rPr>
          <w:spacing w:val="-6"/>
        </w:rPr>
        <w:t> </w:t>
      </w:r>
      <w:r>
        <w:rPr/>
        <w:t>surface.</w:t>
      </w:r>
      <w:r>
        <w:rPr>
          <w:spacing w:val="-6"/>
        </w:rPr>
        <w:t> </w:t>
      </w:r>
      <w:r>
        <w:rPr/>
        <w:t>It</w:t>
      </w:r>
      <w:r>
        <w:rPr>
          <w:spacing w:val="-6"/>
        </w:rPr>
        <w:t> </w:t>
      </w:r>
      <w:r>
        <w:rPr/>
        <w:t>can be used for either process heating, or in a boiler with a steam cycle for power generation. The indirect system can be used with any hydrocarbon or carbon-containing</w:t>
      </w:r>
      <w:r>
        <w:rPr>
          <w:spacing w:val="-2"/>
        </w:rPr>
        <w:t> </w:t>
      </w:r>
      <w:r>
        <w:rPr/>
        <w:t>fuel.</w:t>
      </w:r>
    </w:p>
    <w:p>
      <w:pPr>
        <w:pStyle w:val="BodyText"/>
        <w:spacing w:line="225" w:lineRule="auto" w:before="12"/>
        <w:ind w:left="116" w:right="1130" w:firstLine="284"/>
        <w:jc w:val="both"/>
      </w:pPr>
      <w:r>
        <w:rPr/>
        <w:t>The application of oxy-fuel indirect heating for </w:t>
      </w:r>
      <w:r>
        <w:rPr>
          <w:spacing w:val="-6"/>
        </w:rPr>
        <w:t>CO</w:t>
      </w:r>
      <w:r>
        <w:rPr>
          <w:spacing w:val="-6"/>
          <w:position w:val="-6"/>
          <w:sz w:val="11"/>
        </w:rPr>
        <w:t>2  </w:t>
      </w:r>
      <w:r>
        <w:rPr/>
        <w:t>capture in process heating and power generation has </w:t>
      </w:r>
      <w:r>
        <w:rPr>
          <w:spacing w:val="-4"/>
        </w:rPr>
        <w:t>been </w:t>
      </w:r>
      <w:r>
        <w:rPr/>
        <w:t>examined</w:t>
      </w:r>
      <w:r>
        <w:rPr>
          <w:spacing w:val="20"/>
        </w:rPr>
        <w:t> </w:t>
      </w:r>
      <w:r>
        <w:rPr/>
        <w:t>in</w:t>
      </w:r>
      <w:r>
        <w:rPr>
          <w:spacing w:val="22"/>
        </w:rPr>
        <w:t> </w:t>
      </w:r>
      <w:r>
        <w:rPr/>
        <w:t>both</w:t>
      </w:r>
      <w:r>
        <w:rPr>
          <w:spacing w:val="21"/>
        </w:rPr>
        <w:t> </w:t>
      </w:r>
      <w:r>
        <w:rPr/>
        <w:t>pilot-scale</w:t>
      </w:r>
      <w:r>
        <w:rPr>
          <w:spacing w:val="21"/>
        </w:rPr>
        <w:t> </w:t>
      </w:r>
      <w:r>
        <w:rPr/>
        <w:t>trials</w:t>
      </w:r>
      <w:r>
        <w:rPr>
          <w:spacing w:val="20"/>
        </w:rPr>
        <w:t> </w:t>
      </w:r>
      <w:r>
        <w:rPr/>
        <w:t>evaluating</w:t>
      </w:r>
      <w:r>
        <w:rPr>
          <w:spacing w:val="21"/>
        </w:rPr>
        <w:t> </w:t>
      </w:r>
      <w:r>
        <w:rPr/>
        <w:t>the</w:t>
      </w:r>
      <w:r>
        <w:rPr>
          <w:spacing w:val="21"/>
        </w:rPr>
        <w:t> </w:t>
      </w:r>
      <w:r>
        <w:rPr/>
        <w:t>combustion</w:t>
      </w:r>
    </w:p>
    <w:p>
      <w:pPr>
        <w:pStyle w:val="BodyText"/>
        <w:spacing w:line="225" w:lineRule="auto" w:before="21"/>
        <w:ind w:left="116" w:right="1129"/>
        <w:jc w:val="both"/>
      </w:pPr>
      <w:r>
        <w:rPr/>
        <w:t>of</w:t>
      </w:r>
      <w:r>
        <w:rPr>
          <w:spacing w:val="-7"/>
        </w:rPr>
        <w:t> </w:t>
      </w:r>
      <w:r>
        <w:rPr/>
        <w:t>carbonaceous</w:t>
      </w:r>
      <w:r>
        <w:rPr>
          <w:spacing w:val="-6"/>
        </w:rPr>
        <w:t> </w:t>
      </w:r>
      <w:r>
        <w:rPr/>
        <w:t>fuels</w:t>
      </w:r>
      <w:r>
        <w:rPr>
          <w:spacing w:val="-6"/>
        </w:rPr>
        <w:t> </w:t>
      </w:r>
      <w:r>
        <w:rPr/>
        <w:t>in</w:t>
      </w:r>
      <w:r>
        <w:rPr>
          <w:spacing w:val="-7"/>
        </w:rPr>
        <w:t> </w:t>
      </w:r>
      <w:r>
        <w:rPr/>
        <w:t>oxygen</w:t>
      </w:r>
      <w:r>
        <w:rPr>
          <w:spacing w:val="-6"/>
        </w:rPr>
        <w:t> </w:t>
      </w:r>
      <w:r>
        <w:rPr/>
        <w:t>and</w:t>
      </w:r>
      <w:r>
        <w:rPr>
          <w:spacing w:val="-6"/>
        </w:rPr>
        <w:t> </w:t>
      </w:r>
      <w:r>
        <w:rPr/>
        <w:t>CO</w:t>
      </w:r>
      <w:r>
        <w:rPr>
          <w:position w:val="-6"/>
          <w:sz w:val="11"/>
        </w:rPr>
        <w:t>2</w:t>
      </w:r>
      <w:r>
        <w:rPr/>
        <w:t>-rich</w:t>
      </w:r>
      <w:r>
        <w:rPr>
          <w:spacing w:val="-6"/>
        </w:rPr>
        <w:t> </w:t>
      </w:r>
      <w:r>
        <w:rPr/>
        <w:t>recycled</w:t>
      </w:r>
      <w:r>
        <w:rPr>
          <w:spacing w:val="-7"/>
        </w:rPr>
        <w:t> </w:t>
      </w:r>
      <w:r>
        <w:rPr/>
        <w:t>flue</w:t>
      </w:r>
      <w:r>
        <w:rPr>
          <w:spacing w:val="-6"/>
        </w:rPr>
        <w:t> </w:t>
      </w:r>
      <w:r>
        <w:rPr/>
        <w:t>gas mixtures and engineering assessments of plant conversions </w:t>
      </w:r>
      <w:r>
        <w:rPr>
          <w:spacing w:val="-7"/>
        </w:rPr>
        <w:t>as </w:t>
      </w:r>
      <w:r>
        <w:rPr/>
        <w:t>described </w:t>
      </w:r>
      <w:r>
        <w:rPr>
          <w:spacing w:val="-3"/>
        </w:rPr>
        <w:t>below.</w:t>
      </w:r>
    </w:p>
    <w:p>
      <w:pPr>
        <w:pStyle w:val="BodyText"/>
        <w:spacing w:before="11"/>
        <w:rPr>
          <w:sz w:val="21"/>
        </w:rPr>
      </w:pPr>
    </w:p>
    <w:p>
      <w:pPr>
        <w:pStyle w:val="ListParagraph"/>
        <w:numPr>
          <w:ilvl w:val="3"/>
          <w:numId w:val="5"/>
        </w:numPr>
        <w:tabs>
          <w:tab w:pos="937" w:val="left" w:leader="none"/>
        </w:tabs>
        <w:spacing w:line="240" w:lineRule="auto" w:before="0" w:after="0"/>
        <w:ind w:left="936" w:right="0" w:hanging="821"/>
        <w:jc w:val="both"/>
        <w:rPr>
          <w:i/>
          <w:sz w:val="20"/>
        </w:rPr>
      </w:pPr>
      <w:r>
        <w:rPr>
          <w:i/>
          <w:sz w:val="20"/>
        </w:rPr>
        <w:t>Oxy-fuel combustion</w:t>
      </w:r>
      <w:r>
        <w:rPr>
          <w:i/>
          <w:spacing w:val="-2"/>
          <w:sz w:val="20"/>
        </w:rPr>
        <w:t> </w:t>
      </w:r>
      <w:r>
        <w:rPr>
          <w:i/>
          <w:sz w:val="20"/>
        </w:rPr>
        <w:t>trials</w:t>
      </w:r>
    </w:p>
    <w:p>
      <w:pPr>
        <w:pStyle w:val="BodyText"/>
        <w:spacing w:line="249" w:lineRule="auto" w:before="10"/>
        <w:ind w:left="116" w:right="1130"/>
        <w:jc w:val="both"/>
      </w:pPr>
      <w:r>
        <w:rPr>
          <w:spacing w:val="-4"/>
        </w:rPr>
        <w:t>Work </w:t>
      </w:r>
      <w:r>
        <w:rPr/>
        <w:t>to demonstrate the application of oxy-fuel recycle combustion in process heating and for steam generation for</w:t>
      </w:r>
      <w:r>
        <w:rPr>
          <w:spacing w:val="-23"/>
        </w:rPr>
        <w:t> </w:t>
      </w:r>
      <w:r>
        <w:rPr/>
        <w:t>use in steam power cycles have been mostly undertaken in pilot scale</w:t>
      </w:r>
      <w:r>
        <w:rPr>
          <w:spacing w:val="-6"/>
        </w:rPr>
        <w:t> </w:t>
      </w:r>
      <w:r>
        <w:rPr/>
        <w:t>tests</w:t>
      </w:r>
      <w:r>
        <w:rPr>
          <w:spacing w:val="-4"/>
        </w:rPr>
        <w:t> </w:t>
      </w:r>
      <w:r>
        <w:rPr/>
        <w:t>that</w:t>
      </w:r>
      <w:r>
        <w:rPr>
          <w:spacing w:val="-5"/>
        </w:rPr>
        <w:t> </w:t>
      </w:r>
      <w:r>
        <w:rPr/>
        <w:t>have</w:t>
      </w:r>
      <w:r>
        <w:rPr>
          <w:spacing w:val="-4"/>
        </w:rPr>
        <w:t> </w:t>
      </w:r>
      <w:r>
        <w:rPr/>
        <w:t>looked</w:t>
      </w:r>
      <w:r>
        <w:rPr>
          <w:spacing w:val="-4"/>
        </w:rPr>
        <w:t> </w:t>
      </w:r>
      <w:r>
        <w:rPr/>
        <w:t>at</w:t>
      </w:r>
      <w:r>
        <w:rPr>
          <w:spacing w:val="-5"/>
        </w:rPr>
        <w:t> </w:t>
      </w:r>
      <w:r>
        <w:rPr/>
        <w:t>the</w:t>
      </w:r>
      <w:r>
        <w:rPr>
          <w:spacing w:val="-4"/>
        </w:rPr>
        <w:t> </w:t>
      </w:r>
      <w:r>
        <w:rPr/>
        <w:t>combustion,</w:t>
      </w:r>
      <w:r>
        <w:rPr>
          <w:spacing w:val="-5"/>
        </w:rPr>
        <w:t> </w:t>
      </w:r>
      <w:r>
        <w:rPr/>
        <w:t>heat</w:t>
      </w:r>
      <w:r>
        <w:rPr>
          <w:spacing w:val="-4"/>
        </w:rPr>
        <w:t> </w:t>
      </w:r>
      <w:r>
        <w:rPr/>
        <w:t>transfer</w:t>
      </w:r>
      <w:r>
        <w:rPr>
          <w:spacing w:val="-4"/>
        </w:rPr>
        <w:t> </w:t>
      </w:r>
      <w:r>
        <w:rPr/>
        <w:t>and pollutant-forming behaviour of natural gas and coal.</w:t>
      </w:r>
    </w:p>
    <w:p>
      <w:pPr>
        <w:pStyle w:val="BodyText"/>
        <w:spacing w:before="4"/>
        <w:ind w:left="96" w:right="1131"/>
        <w:jc w:val="right"/>
      </w:pPr>
      <w:r>
        <w:rPr/>
        <w:t>One</w:t>
      </w:r>
      <w:r>
        <w:rPr>
          <w:spacing w:val="19"/>
        </w:rPr>
        <w:t> </w:t>
      </w:r>
      <w:r>
        <w:rPr/>
        <w:t>study</w:t>
      </w:r>
      <w:r>
        <w:rPr>
          <w:spacing w:val="20"/>
        </w:rPr>
        <w:t> </w:t>
      </w:r>
      <w:r>
        <w:rPr/>
        <w:t>carried</w:t>
      </w:r>
      <w:r>
        <w:rPr>
          <w:spacing w:val="20"/>
        </w:rPr>
        <w:t> </w:t>
      </w:r>
      <w:r>
        <w:rPr/>
        <w:t>out</w:t>
      </w:r>
      <w:r>
        <w:rPr>
          <w:spacing w:val="20"/>
        </w:rPr>
        <w:t> </w:t>
      </w:r>
      <w:r>
        <w:rPr/>
        <w:t>(Babcock</w:t>
      </w:r>
      <w:r>
        <w:rPr>
          <w:spacing w:val="19"/>
        </w:rPr>
        <w:t> </w:t>
      </w:r>
      <w:r>
        <w:rPr/>
        <w:t>Energy</w:t>
      </w:r>
      <w:r>
        <w:rPr>
          <w:spacing w:val="20"/>
        </w:rPr>
        <w:t> </w:t>
      </w:r>
      <w:r>
        <w:rPr/>
        <w:t>Ltd.</w:t>
      </w:r>
      <w:r>
        <w:rPr>
          <w:spacing w:val="21"/>
        </w:rPr>
        <w:t> </w:t>
      </w:r>
      <w:r>
        <w:rPr>
          <w:i/>
        </w:rPr>
        <w:t>et</w:t>
      </w:r>
      <w:r>
        <w:rPr>
          <w:i/>
          <w:spacing w:val="20"/>
        </w:rPr>
        <w:t> </w:t>
      </w:r>
      <w:r>
        <w:rPr>
          <w:i/>
        </w:rPr>
        <w:t>al.</w:t>
      </w:r>
      <w:r>
        <w:rPr/>
        <w:t>,</w:t>
      </w:r>
      <w:r>
        <w:rPr>
          <w:spacing w:val="20"/>
        </w:rPr>
        <w:t> </w:t>
      </w:r>
      <w:r>
        <w:rPr/>
        <w:t>1995)</w:t>
      </w:r>
    </w:p>
    <w:p>
      <w:pPr>
        <w:pStyle w:val="BodyText"/>
        <w:spacing w:before="10"/>
        <w:ind w:left="96" w:right="1131"/>
        <w:jc w:val="right"/>
      </w:pPr>
      <w:r>
        <w:rPr/>
        <w:t>included an oxy-fuel test with flue gas recycle using a</w:t>
      </w:r>
      <w:r>
        <w:rPr>
          <w:spacing w:val="48"/>
        </w:rPr>
        <w:t> </w:t>
      </w:r>
      <w:r>
        <w:rPr>
          <w:spacing w:val="-4"/>
        </w:rPr>
        <w:t>160kW,</w:t>
      </w:r>
    </w:p>
    <w:p>
      <w:pPr>
        <w:spacing w:after="0"/>
        <w:jc w:val="right"/>
        <w:sectPr>
          <w:type w:val="continuous"/>
          <w:pgSz w:w="12240" w:h="15840"/>
          <w:pgMar w:top="480" w:bottom="280" w:left="620" w:right="0"/>
          <w:cols w:num="2" w:equalWidth="0">
            <w:col w:w="5202" w:space="124"/>
            <w:col w:w="6294"/>
          </w:cols>
        </w:sectPr>
      </w:pPr>
    </w:p>
    <w:p>
      <w:pPr>
        <w:pStyle w:val="BodyText"/>
      </w:pPr>
    </w:p>
    <w:p>
      <w:pPr>
        <w:spacing w:after="0"/>
        <w:sectPr>
          <w:pgSz w:w="12240" w:h="15840"/>
          <w:pgMar w:header="567" w:footer="0" w:top="800" w:bottom="280" w:left="620" w:right="0"/>
        </w:sectPr>
      </w:pPr>
    </w:p>
    <w:p>
      <w:pPr>
        <w:pStyle w:val="BodyText"/>
        <w:spacing w:before="1"/>
        <w:rPr>
          <w:sz w:val="19"/>
        </w:rPr>
      </w:pPr>
    </w:p>
    <w:p>
      <w:pPr>
        <w:pStyle w:val="BodyText"/>
        <w:spacing w:line="225" w:lineRule="auto"/>
        <w:ind w:left="513"/>
        <w:jc w:val="both"/>
      </w:pPr>
      <w:r>
        <w:rPr/>
        <w:t>pulverized coal, low NO</w:t>
      </w:r>
      <w:r>
        <w:rPr>
          <w:position w:val="-6"/>
          <w:sz w:val="11"/>
        </w:rPr>
        <w:t>x </w:t>
      </w:r>
      <w:r>
        <w:rPr/>
        <w:t>burner. The system included a heat-transfer test section to simulate fouling conditions. </w:t>
      </w:r>
      <w:r>
        <w:rPr>
          <w:spacing w:val="-4"/>
        </w:rPr>
        <w:t>Test </w:t>
      </w:r>
      <w:r>
        <w:rPr/>
        <w:t>conditions included variation in recycle flow and excess O</w:t>
      </w:r>
      <w:r>
        <w:rPr>
          <w:position w:val="-6"/>
          <w:sz w:val="11"/>
        </w:rPr>
        <w:t>2 </w:t>
      </w:r>
      <w:r>
        <w:rPr/>
        <w:t>levels.</w:t>
      </w:r>
      <w:r>
        <w:rPr>
          <w:spacing w:val="-27"/>
        </w:rPr>
        <w:t> </w:t>
      </w:r>
      <w:r>
        <w:rPr/>
        <w:t>Measurements</w:t>
      </w:r>
      <w:r>
        <w:rPr>
          <w:spacing w:val="-26"/>
        </w:rPr>
        <w:t> </w:t>
      </w:r>
      <w:r>
        <w:rPr/>
        <w:t>included</w:t>
      </w:r>
      <w:r>
        <w:rPr>
          <w:spacing w:val="-27"/>
        </w:rPr>
        <w:t> </w:t>
      </w:r>
      <w:r>
        <w:rPr/>
        <w:t>all</w:t>
      </w:r>
      <w:r>
        <w:rPr>
          <w:spacing w:val="-26"/>
        </w:rPr>
        <w:t> </w:t>
      </w:r>
      <w:r>
        <w:rPr/>
        <w:t>gas</w:t>
      </w:r>
      <w:r>
        <w:rPr>
          <w:spacing w:val="-27"/>
        </w:rPr>
        <w:t> </w:t>
      </w:r>
      <w:r>
        <w:rPr/>
        <w:t>compositions,</w:t>
      </w:r>
      <w:r>
        <w:rPr>
          <w:spacing w:val="-26"/>
        </w:rPr>
        <w:t> </w:t>
      </w:r>
      <w:r>
        <w:rPr/>
        <w:t>ash</w:t>
      </w:r>
      <w:r>
        <w:rPr>
          <w:spacing w:val="-27"/>
        </w:rPr>
        <w:t> </w:t>
      </w:r>
      <w:r>
        <w:rPr/>
        <w:t>analysis and</w:t>
      </w:r>
      <w:r>
        <w:rPr>
          <w:spacing w:val="-10"/>
        </w:rPr>
        <w:t> </w:t>
      </w:r>
      <w:r>
        <w:rPr/>
        <w:t>tube</w:t>
      </w:r>
      <w:r>
        <w:rPr>
          <w:spacing w:val="-9"/>
        </w:rPr>
        <w:t> </w:t>
      </w:r>
      <w:r>
        <w:rPr/>
        <w:t>fouling</w:t>
      </w:r>
      <w:r>
        <w:rPr>
          <w:spacing w:val="-9"/>
        </w:rPr>
        <w:t> </w:t>
      </w:r>
      <w:r>
        <w:rPr/>
        <w:t>after</w:t>
      </w:r>
      <w:r>
        <w:rPr>
          <w:spacing w:val="-9"/>
        </w:rPr>
        <w:t> </w:t>
      </w:r>
      <w:r>
        <w:rPr/>
        <w:t>a</w:t>
      </w:r>
      <w:r>
        <w:rPr>
          <w:spacing w:val="-10"/>
        </w:rPr>
        <w:t> </w:t>
      </w:r>
      <w:r>
        <w:rPr/>
        <w:t>5-week</w:t>
      </w:r>
      <w:r>
        <w:rPr>
          <w:spacing w:val="-9"/>
        </w:rPr>
        <w:t> </w:t>
      </w:r>
      <w:r>
        <w:rPr/>
        <w:t>test</w:t>
      </w:r>
      <w:r>
        <w:rPr>
          <w:spacing w:val="-9"/>
        </w:rPr>
        <w:t> </w:t>
      </w:r>
      <w:r>
        <w:rPr/>
        <w:t>run.</w:t>
      </w:r>
      <w:r>
        <w:rPr>
          <w:spacing w:val="-13"/>
        </w:rPr>
        <w:t> </w:t>
      </w:r>
      <w:r>
        <w:rPr/>
        <w:t>The</w:t>
      </w:r>
      <w:r>
        <w:rPr>
          <w:spacing w:val="-9"/>
        </w:rPr>
        <w:t> </w:t>
      </w:r>
      <w:r>
        <w:rPr/>
        <w:t>work</w:t>
      </w:r>
      <w:r>
        <w:rPr>
          <w:spacing w:val="-10"/>
        </w:rPr>
        <w:t> </w:t>
      </w:r>
      <w:r>
        <w:rPr/>
        <w:t>also</w:t>
      </w:r>
      <w:r>
        <w:rPr>
          <w:spacing w:val="-9"/>
        </w:rPr>
        <w:t> </w:t>
      </w:r>
      <w:r>
        <w:rPr/>
        <w:t>included a case study on oxy-fuel operation of a 660 MW power boiler with CO</w:t>
      </w:r>
      <w:r>
        <w:rPr>
          <w:position w:val="-6"/>
          <w:sz w:val="11"/>
        </w:rPr>
        <w:t>2 </w:t>
      </w:r>
      <w:r>
        <w:rPr/>
        <w:t>capture, compression and purification. The main test results were that NO</w:t>
      </w:r>
      <w:r>
        <w:rPr>
          <w:position w:val="-6"/>
          <w:sz w:val="11"/>
        </w:rPr>
        <w:t>x </w:t>
      </w:r>
      <w:r>
        <w:rPr/>
        <w:t>levels reduced with increase in recycle rate, while SO</w:t>
      </w:r>
      <w:r>
        <w:rPr>
          <w:position w:val="-6"/>
          <w:sz w:val="11"/>
        </w:rPr>
        <w:t>2 </w:t>
      </w:r>
      <w:r>
        <w:rPr/>
        <w:t>and carbon in ash levels were insensitive to the recycle rate. Fouling in the convective test section was greater with oxy-fuel firing than with </w:t>
      </w:r>
      <w:r>
        <w:rPr>
          <w:spacing w:val="-3"/>
        </w:rPr>
        <w:t>air. </w:t>
      </w:r>
      <w:r>
        <w:rPr/>
        <w:t>High-slagging UK coal had worse</w:t>
      </w:r>
      <w:r>
        <w:rPr>
          <w:spacing w:val="-11"/>
        </w:rPr>
        <w:t> </w:t>
      </w:r>
      <w:r>
        <w:rPr/>
        <w:t>slagging</w:t>
      </w:r>
      <w:r>
        <w:rPr>
          <w:spacing w:val="-11"/>
        </w:rPr>
        <w:t> </w:t>
      </w:r>
      <w:r>
        <w:rPr/>
        <w:t>when</w:t>
      </w:r>
      <w:r>
        <w:rPr>
          <w:spacing w:val="-11"/>
        </w:rPr>
        <w:t> </w:t>
      </w:r>
      <w:r>
        <w:rPr/>
        <w:t>using</w:t>
      </w:r>
      <w:r>
        <w:rPr>
          <w:spacing w:val="-11"/>
        </w:rPr>
        <w:t> </w:t>
      </w:r>
      <w:r>
        <w:rPr/>
        <w:t>oxy-fuel</w:t>
      </w:r>
      <w:r>
        <w:rPr>
          <w:spacing w:val="-11"/>
        </w:rPr>
        <w:t> </w:t>
      </w:r>
      <w:r>
        <w:rPr/>
        <w:t>firing,</w:t>
      </w:r>
      <w:r>
        <w:rPr>
          <w:spacing w:val="-11"/>
        </w:rPr>
        <w:t> </w:t>
      </w:r>
      <w:r>
        <w:rPr/>
        <w:t>the</w:t>
      </w:r>
      <w:r>
        <w:rPr>
          <w:spacing w:val="-11"/>
        </w:rPr>
        <w:t> </w:t>
      </w:r>
      <w:r>
        <w:rPr/>
        <w:t>higher</w:t>
      </w:r>
      <w:r>
        <w:rPr>
          <w:spacing w:val="-11"/>
        </w:rPr>
        <w:t> </w:t>
      </w:r>
      <w:r>
        <w:rPr/>
        <w:t>excess</w:t>
      </w:r>
      <w:r>
        <w:rPr>
          <w:spacing w:val="-11"/>
        </w:rPr>
        <w:t> </w:t>
      </w:r>
      <w:r>
        <w:rPr/>
        <w:t>O</w:t>
      </w:r>
      <w:r>
        <w:rPr>
          <w:position w:val="-6"/>
          <w:sz w:val="11"/>
        </w:rPr>
        <w:t>2 </w:t>
      </w:r>
      <w:r>
        <w:rPr/>
        <w:t>level lowered carbon in ash and CO concentration.</w:t>
      </w:r>
    </w:p>
    <w:p>
      <w:pPr>
        <w:pStyle w:val="BodyText"/>
        <w:spacing w:line="249" w:lineRule="auto"/>
        <w:ind w:left="513" w:right="1" w:firstLine="284"/>
        <w:jc w:val="both"/>
      </w:pPr>
      <w:r>
        <w:rPr/>
        <w:t>For</w:t>
      </w:r>
      <w:r>
        <w:rPr>
          <w:spacing w:val="-12"/>
        </w:rPr>
        <w:t> </w:t>
      </w:r>
      <w:r>
        <w:rPr/>
        <w:t>the</w:t>
      </w:r>
      <w:r>
        <w:rPr>
          <w:spacing w:val="-12"/>
        </w:rPr>
        <w:t> </w:t>
      </w:r>
      <w:r>
        <w:rPr/>
        <w:t>combustion</w:t>
      </w:r>
      <w:r>
        <w:rPr>
          <w:spacing w:val="-12"/>
        </w:rPr>
        <w:t> </w:t>
      </w:r>
      <w:r>
        <w:rPr/>
        <w:t>of</w:t>
      </w:r>
      <w:r>
        <w:rPr>
          <w:spacing w:val="-11"/>
        </w:rPr>
        <w:t> </w:t>
      </w:r>
      <w:r>
        <w:rPr/>
        <w:t>pulverized</w:t>
      </w:r>
      <w:r>
        <w:rPr>
          <w:spacing w:val="-12"/>
        </w:rPr>
        <w:t> </w:t>
      </w:r>
      <w:r>
        <w:rPr/>
        <w:t>coal,</w:t>
      </w:r>
      <w:r>
        <w:rPr>
          <w:spacing w:val="-12"/>
        </w:rPr>
        <w:t> </w:t>
      </w:r>
      <w:r>
        <w:rPr/>
        <w:t>other</w:t>
      </w:r>
      <w:r>
        <w:rPr>
          <w:spacing w:val="-11"/>
        </w:rPr>
        <w:t> </w:t>
      </w:r>
      <w:r>
        <w:rPr/>
        <w:t>pilot-scale</w:t>
      </w:r>
      <w:r>
        <w:rPr>
          <w:spacing w:val="-12"/>
        </w:rPr>
        <w:t> </w:t>
      </w:r>
      <w:r>
        <w:rPr>
          <w:spacing w:val="-3"/>
        </w:rPr>
        <w:t>tests </w:t>
      </w:r>
      <w:r>
        <w:rPr/>
        <w:t>by</w:t>
      </w:r>
      <w:r>
        <w:rPr>
          <w:spacing w:val="-21"/>
        </w:rPr>
        <w:t> </w:t>
      </w:r>
      <w:r>
        <w:rPr/>
        <w:t>Croiset</w:t>
      </w:r>
      <w:r>
        <w:rPr>
          <w:spacing w:val="-21"/>
        </w:rPr>
        <w:t> </w:t>
      </w:r>
      <w:r>
        <w:rPr/>
        <w:t>and</w:t>
      </w:r>
      <w:r>
        <w:rPr>
          <w:spacing w:val="-24"/>
        </w:rPr>
        <w:t> </w:t>
      </w:r>
      <w:r>
        <w:rPr/>
        <w:t>Thambimuthu</w:t>
      </w:r>
      <w:r>
        <w:rPr>
          <w:spacing w:val="-22"/>
        </w:rPr>
        <w:t> </w:t>
      </w:r>
      <w:r>
        <w:rPr/>
        <w:t>(2000)</w:t>
      </w:r>
      <w:r>
        <w:rPr>
          <w:spacing w:val="-21"/>
        </w:rPr>
        <w:t> </w:t>
      </w:r>
      <w:r>
        <w:rPr/>
        <w:t>have</w:t>
      </w:r>
      <w:r>
        <w:rPr>
          <w:spacing w:val="-21"/>
        </w:rPr>
        <w:t> </w:t>
      </w:r>
      <w:r>
        <w:rPr/>
        <w:t>reported</w:t>
      </w:r>
      <w:r>
        <w:rPr>
          <w:spacing w:val="-20"/>
        </w:rPr>
        <w:t> </w:t>
      </w:r>
      <w:r>
        <w:rPr/>
        <w:t>that</w:t>
      </w:r>
      <w:r>
        <w:rPr>
          <w:spacing w:val="-21"/>
        </w:rPr>
        <w:t> </w:t>
      </w:r>
      <w:r>
        <w:rPr/>
        <w:t>the</w:t>
      </w:r>
      <w:r>
        <w:rPr>
          <w:spacing w:val="-21"/>
        </w:rPr>
        <w:t> </w:t>
      </w:r>
      <w:r>
        <w:rPr/>
        <w:t>flame temperature</w:t>
      </w:r>
      <w:r>
        <w:rPr>
          <w:spacing w:val="-4"/>
        </w:rPr>
        <w:t> </w:t>
      </w:r>
      <w:r>
        <w:rPr/>
        <w:t>and</w:t>
      </w:r>
      <w:r>
        <w:rPr>
          <w:spacing w:val="-4"/>
        </w:rPr>
        <w:t> </w:t>
      </w:r>
      <w:r>
        <w:rPr/>
        <w:t>heat</w:t>
      </w:r>
      <w:r>
        <w:rPr>
          <w:spacing w:val="-4"/>
        </w:rPr>
        <w:t> </w:t>
      </w:r>
      <w:r>
        <w:rPr/>
        <w:t>capacity</w:t>
      </w:r>
      <w:r>
        <w:rPr>
          <w:spacing w:val="-4"/>
        </w:rPr>
        <w:t> </w:t>
      </w:r>
      <w:r>
        <w:rPr/>
        <w:t>of</w:t>
      </w:r>
      <w:r>
        <w:rPr>
          <w:spacing w:val="-4"/>
        </w:rPr>
        <w:t> </w:t>
      </w:r>
      <w:r>
        <w:rPr/>
        <w:t>gases</w:t>
      </w:r>
      <w:r>
        <w:rPr>
          <w:spacing w:val="-4"/>
        </w:rPr>
        <w:t> </w:t>
      </w:r>
      <w:r>
        <w:rPr/>
        <w:t>to</w:t>
      </w:r>
      <w:r>
        <w:rPr>
          <w:spacing w:val="-4"/>
        </w:rPr>
        <w:t> </w:t>
      </w:r>
      <w:r>
        <w:rPr/>
        <w:t>match</w:t>
      </w:r>
      <w:r>
        <w:rPr>
          <w:spacing w:val="-4"/>
        </w:rPr>
        <w:t> </w:t>
      </w:r>
      <w:r>
        <w:rPr/>
        <w:t>fuel</w:t>
      </w:r>
      <w:r>
        <w:rPr>
          <w:spacing w:val="-4"/>
        </w:rPr>
        <w:t> </w:t>
      </w:r>
      <w:r>
        <w:rPr/>
        <w:t>burning</w:t>
      </w:r>
      <w:r>
        <w:rPr>
          <w:spacing w:val="-4"/>
        </w:rPr>
        <w:t> </w:t>
      </w:r>
      <w:r>
        <w:rPr>
          <w:spacing w:val="-6"/>
        </w:rPr>
        <w:t>in </w:t>
      </w:r>
      <w:r>
        <w:rPr/>
        <w:t>air occurs when the feed gas used in oxy-fuel combustion </w:t>
      </w:r>
      <w:r>
        <w:rPr>
          <w:spacing w:val="-5"/>
        </w:rPr>
        <w:t>has  </w:t>
      </w:r>
      <w:r>
        <w:rPr/>
        <w:t>a</w:t>
      </w:r>
      <w:r>
        <w:rPr>
          <w:spacing w:val="18"/>
        </w:rPr>
        <w:t> </w:t>
      </w:r>
      <w:r>
        <w:rPr/>
        <w:t>composition</w:t>
      </w:r>
      <w:r>
        <w:rPr>
          <w:spacing w:val="18"/>
        </w:rPr>
        <w:t> </w:t>
      </w:r>
      <w:r>
        <w:rPr/>
        <w:t>of</w:t>
      </w:r>
      <w:r>
        <w:rPr>
          <w:spacing w:val="19"/>
        </w:rPr>
        <w:t> </w:t>
      </w:r>
      <w:r>
        <w:rPr/>
        <w:t>approximately</w:t>
      </w:r>
      <w:r>
        <w:rPr>
          <w:spacing w:val="18"/>
        </w:rPr>
        <w:t> </w:t>
      </w:r>
      <w:r>
        <w:rPr/>
        <w:t>35%</w:t>
      </w:r>
      <w:r>
        <w:rPr>
          <w:spacing w:val="18"/>
        </w:rPr>
        <w:t> </w:t>
      </w:r>
      <w:r>
        <w:rPr/>
        <w:t>by</w:t>
      </w:r>
      <w:r>
        <w:rPr>
          <w:spacing w:val="19"/>
        </w:rPr>
        <w:t> </w:t>
      </w:r>
      <w:r>
        <w:rPr/>
        <w:t>volume</w:t>
      </w:r>
      <w:r>
        <w:rPr>
          <w:spacing w:val="18"/>
        </w:rPr>
        <w:t> </w:t>
      </w:r>
      <w:r>
        <w:rPr/>
        <w:t>O</w:t>
      </w:r>
      <w:r>
        <w:rPr>
          <w:position w:val="-6"/>
          <w:sz w:val="11"/>
        </w:rPr>
        <w:t>2 </w:t>
      </w:r>
      <w:r>
        <w:rPr>
          <w:spacing w:val="14"/>
          <w:position w:val="-6"/>
          <w:sz w:val="11"/>
        </w:rPr>
        <w:t> </w:t>
      </w:r>
      <w:r>
        <w:rPr/>
        <w:t>and</w:t>
      </w:r>
      <w:r>
        <w:rPr>
          <w:spacing w:val="18"/>
        </w:rPr>
        <w:t> </w:t>
      </w:r>
      <w:r>
        <w:rPr>
          <w:spacing w:val="-4"/>
        </w:rPr>
        <w:t>65%</w:t>
      </w:r>
    </w:p>
    <w:p>
      <w:pPr>
        <w:pStyle w:val="BodyText"/>
        <w:spacing w:line="180" w:lineRule="auto"/>
        <w:ind w:left="513"/>
        <w:jc w:val="both"/>
      </w:pPr>
      <w:r>
        <w:rPr/>
        <w:t>by</w:t>
      </w:r>
      <w:r>
        <w:rPr>
          <w:spacing w:val="24"/>
        </w:rPr>
        <w:t> </w:t>
      </w:r>
      <w:r>
        <w:rPr/>
        <w:t>volume</w:t>
      </w:r>
      <w:r>
        <w:rPr>
          <w:spacing w:val="25"/>
        </w:rPr>
        <w:t> </w:t>
      </w:r>
      <w:r>
        <w:rPr/>
        <w:t>of</w:t>
      </w:r>
      <w:r>
        <w:rPr>
          <w:spacing w:val="25"/>
        </w:rPr>
        <w:t> </w:t>
      </w:r>
      <w:r>
        <w:rPr/>
        <w:t>dry</w:t>
      </w:r>
      <w:r>
        <w:rPr>
          <w:spacing w:val="24"/>
        </w:rPr>
        <w:t> </w:t>
      </w:r>
      <w:r>
        <w:rPr/>
        <w:t>recycled</w:t>
      </w:r>
      <w:r>
        <w:rPr>
          <w:spacing w:val="25"/>
        </w:rPr>
        <w:t> </w:t>
      </w:r>
      <w:r>
        <w:rPr/>
        <w:t>CO</w:t>
      </w:r>
      <w:r>
        <w:rPr>
          <w:position w:val="-6"/>
          <w:sz w:val="11"/>
        </w:rPr>
        <w:t>2 </w:t>
      </w:r>
      <w:r>
        <w:rPr>
          <w:spacing w:val="19"/>
          <w:position w:val="-6"/>
          <w:sz w:val="11"/>
        </w:rPr>
        <w:t> </w:t>
      </w:r>
      <w:r>
        <w:rPr/>
        <w:t>(c.f.</w:t>
      </w:r>
      <w:r>
        <w:rPr>
          <w:spacing w:val="25"/>
        </w:rPr>
        <w:t> </w:t>
      </w:r>
      <w:r>
        <w:rPr/>
        <w:t>21%</w:t>
      </w:r>
      <w:r>
        <w:rPr>
          <w:spacing w:val="25"/>
        </w:rPr>
        <w:t> </w:t>
      </w:r>
      <w:r>
        <w:rPr/>
        <w:t>by</w:t>
      </w:r>
      <w:r>
        <w:rPr>
          <w:spacing w:val="24"/>
        </w:rPr>
        <w:t> </w:t>
      </w:r>
      <w:r>
        <w:rPr/>
        <w:t>volume</w:t>
      </w:r>
      <w:r>
        <w:rPr>
          <w:spacing w:val="25"/>
        </w:rPr>
        <w:t> </w:t>
      </w:r>
      <w:r>
        <w:rPr/>
        <w:t>O</w:t>
      </w:r>
      <w:r>
        <w:rPr>
          <w:position w:val="-6"/>
          <w:sz w:val="11"/>
        </w:rPr>
        <w:t>2 </w:t>
      </w:r>
      <w:r>
        <w:rPr>
          <w:spacing w:val="19"/>
          <w:position w:val="-6"/>
          <w:sz w:val="11"/>
        </w:rPr>
        <w:t> </w:t>
      </w:r>
      <w:r>
        <w:rPr>
          <w:spacing w:val="-5"/>
        </w:rPr>
        <w:t>and</w:t>
      </w:r>
    </w:p>
    <w:p>
      <w:pPr>
        <w:pStyle w:val="BodyText"/>
        <w:spacing w:line="213" w:lineRule="exact"/>
        <w:ind w:left="513"/>
        <w:jc w:val="both"/>
      </w:pPr>
      <w:r>
        <w:rPr/>
        <w:t>the rest nitrogen in air). In practice, the presence of inerts</w:t>
      </w:r>
      <w:r>
        <w:rPr>
          <w:spacing w:val="29"/>
        </w:rPr>
        <w:t> </w:t>
      </w:r>
      <w:r>
        <w:rPr/>
        <w:t>such</w:t>
      </w:r>
    </w:p>
    <w:p>
      <w:pPr>
        <w:pStyle w:val="BodyText"/>
        <w:spacing w:line="249" w:lineRule="auto"/>
        <w:ind w:left="513"/>
        <w:jc w:val="both"/>
      </w:pPr>
      <w:r>
        <w:rPr/>
        <w:t>as ash and inorganic components in the coal, the specific fuel composition and moisture in the recycled gas stream and the coal feed will result in minor adjustments to this feed mixture composition to keep the flame temperature at a value similar</w:t>
      </w:r>
      <w:r>
        <w:rPr>
          <w:spacing w:val="-25"/>
        </w:rPr>
        <w:t> </w:t>
      </w:r>
      <w:r>
        <w:rPr/>
        <w:t>to fuel combustion in </w:t>
      </w:r>
      <w:r>
        <w:rPr>
          <w:spacing w:val="-3"/>
        </w:rPr>
        <w:t>air.</w:t>
      </w:r>
    </w:p>
    <w:p>
      <w:pPr>
        <w:pStyle w:val="BodyText"/>
        <w:spacing w:line="225" w:lineRule="auto" w:before="8"/>
        <w:ind w:left="513" w:right="1" w:firstLine="284"/>
        <w:jc w:val="both"/>
      </w:pPr>
      <w:r>
        <w:rPr/>
        <w:t>At conditions that match O</w:t>
      </w:r>
      <w:r>
        <w:rPr>
          <w:position w:val="-6"/>
          <w:sz w:val="11"/>
        </w:rPr>
        <w:t>2</w:t>
      </w:r>
      <w:r>
        <w:rPr/>
        <w:t>/CO</w:t>
      </w:r>
      <w:r>
        <w:rPr>
          <w:position w:val="-6"/>
          <w:sz w:val="11"/>
        </w:rPr>
        <w:t>2 </w:t>
      </w:r>
      <w:r>
        <w:rPr/>
        <w:t>recycle combustion to</w:t>
      </w:r>
      <w:r>
        <w:rPr>
          <w:spacing w:val="-15"/>
        </w:rPr>
        <w:t> </w:t>
      </w:r>
      <w:r>
        <w:rPr/>
        <w:t>fuel burning in air, coal burning is reported to be complete (Croiset and Thambimuthu, 2000), with operation of the process</w:t>
      </w:r>
      <w:r>
        <w:rPr>
          <w:spacing w:val="32"/>
        </w:rPr>
        <w:t> </w:t>
      </w:r>
      <w:r>
        <w:rPr>
          <w:spacing w:val="-6"/>
        </w:rPr>
        <w:t>at</w:t>
      </w:r>
    </w:p>
    <w:p>
      <w:pPr>
        <w:pStyle w:val="BodyText"/>
        <w:spacing w:line="240" w:lineRule="exact" w:before="7"/>
        <w:ind w:left="513"/>
        <w:jc w:val="both"/>
      </w:pPr>
      <w:r>
        <w:rPr/>
        <w:t>excess O</w:t>
      </w:r>
      <w:r>
        <w:rPr>
          <w:position w:val="-6"/>
          <w:sz w:val="11"/>
        </w:rPr>
        <w:t>2 </w:t>
      </w:r>
      <w:r>
        <w:rPr/>
        <w:t>levels in the flue gas as low as 1-3% by volume O</w:t>
      </w:r>
      <w:r>
        <w:rPr>
          <w:position w:val="-6"/>
          <w:sz w:val="11"/>
        </w:rPr>
        <w:t>2</w:t>
      </w:r>
      <w:r>
        <w:rPr/>
        <w:t>, producing a flue gas stream of 95-98% by volume dry</w:t>
      </w:r>
      <w:r>
        <w:rPr>
          <w:spacing w:val="-16"/>
        </w:rPr>
        <w:t> </w:t>
      </w:r>
      <w:r>
        <w:rPr/>
        <w:t>CO</w:t>
      </w:r>
      <w:r>
        <w:rPr>
          <w:position w:val="-6"/>
          <w:sz w:val="11"/>
        </w:rPr>
        <w:t>2 </w:t>
      </w:r>
      <w:r>
        <w:rPr/>
        <w:t>(the rest being excess O</w:t>
      </w:r>
      <w:r>
        <w:rPr>
          <w:position w:val="-6"/>
          <w:sz w:val="11"/>
        </w:rPr>
        <w:t>2</w:t>
      </w:r>
      <w:r>
        <w:rPr/>
        <w:t>, NO</w:t>
      </w:r>
      <w:r>
        <w:rPr>
          <w:position w:val="-6"/>
          <w:sz w:val="11"/>
        </w:rPr>
        <w:t>x</w:t>
      </w:r>
      <w:r>
        <w:rPr/>
        <w:t>, SO</w:t>
      </w:r>
      <w:r>
        <w:rPr>
          <w:position w:val="-6"/>
          <w:sz w:val="11"/>
        </w:rPr>
        <w:t>x </w:t>
      </w:r>
      <w:r>
        <w:rPr/>
        <w:t>and argon) when a very high purity O</w:t>
      </w:r>
      <w:r>
        <w:rPr>
          <w:position w:val="-6"/>
          <w:sz w:val="11"/>
        </w:rPr>
        <w:t>2 </w:t>
      </w:r>
      <w:r>
        <w:rPr/>
        <w:t>stream is used in the combustion process with zero leakage of ambient air into the system. No differences were detected in the fly ash formation behaviour in the combustor</w:t>
      </w:r>
      <w:r>
        <w:rPr>
          <w:spacing w:val="-20"/>
        </w:rPr>
        <w:t> </w:t>
      </w:r>
      <w:r>
        <w:rPr/>
        <w:t>or SO</w:t>
      </w:r>
      <w:r>
        <w:rPr>
          <w:position w:val="-6"/>
          <w:sz w:val="11"/>
        </w:rPr>
        <w:t>2 </w:t>
      </w:r>
      <w:r>
        <w:rPr/>
        <w:t>emissions compared to conventional air firing conditions. For NO</w:t>
      </w:r>
      <w:r>
        <w:rPr>
          <w:position w:val="-6"/>
          <w:sz w:val="11"/>
        </w:rPr>
        <w:t>x </w:t>
      </w:r>
      <w:r>
        <w:rPr/>
        <w:t>on the other hand, emissions were lower due to zero thermal NO</w:t>
      </w:r>
      <w:r>
        <w:rPr>
          <w:position w:val="-6"/>
          <w:sz w:val="11"/>
        </w:rPr>
        <w:t>x </w:t>
      </w:r>
      <w:r>
        <w:rPr/>
        <w:t>formation from the absence of nitrogen in </w:t>
      </w:r>
      <w:r>
        <w:rPr>
          <w:spacing w:val="-4"/>
        </w:rPr>
        <w:t>the </w:t>
      </w:r>
      <w:r>
        <w:rPr/>
        <w:t>feed gas - with the partial recycling of NO</w:t>
      </w:r>
      <w:r>
        <w:rPr>
          <w:position w:val="-6"/>
          <w:sz w:val="11"/>
        </w:rPr>
        <w:t>x </w:t>
      </w:r>
      <w:r>
        <w:rPr/>
        <w:t>also reducing the formation and net emissions originating from the fuel </w:t>
      </w:r>
      <w:r>
        <w:rPr>
          <w:spacing w:val="-3"/>
        </w:rPr>
        <w:t>bound </w:t>
      </w:r>
      <w:r>
        <w:rPr/>
        <w:t>nitrogen.</w:t>
      </w:r>
      <w:r>
        <w:rPr>
          <w:spacing w:val="-6"/>
        </w:rPr>
        <w:t> </w:t>
      </w:r>
      <w:r>
        <w:rPr/>
        <w:t>Other</w:t>
      </w:r>
      <w:r>
        <w:rPr>
          <w:spacing w:val="-6"/>
        </w:rPr>
        <w:t> </w:t>
      </w:r>
      <w:r>
        <w:rPr/>
        <w:t>studies</w:t>
      </w:r>
      <w:r>
        <w:rPr>
          <w:spacing w:val="-6"/>
        </w:rPr>
        <w:t> </w:t>
      </w:r>
      <w:r>
        <w:rPr/>
        <w:t>have</w:t>
      </w:r>
      <w:r>
        <w:rPr>
          <w:spacing w:val="-5"/>
        </w:rPr>
        <w:t> </w:t>
      </w:r>
      <w:r>
        <w:rPr/>
        <w:t>demonstrated</w:t>
      </w:r>
      <w:r>
        <w:rPr>
          <w:spacing w:val="-6"/>
        </w:rPr>
        <w:t> </w:t>
      </w:r>
      <w:r>
        <w:rPr/>
        <w:t>that</w:t>
      </w:r>
      <w:r>
        <w:rPr>
          <w:spacing w:val="-6"/>
        </w:rPr>
        <w:t> </w:t>
      </w:r>
      <w:r>
        <w:rPr/>
        <w:t>the</w:t>
      </w:r>
      <w:r>
        <w:rPr>
          <w:spacing w:val="-4"/>
        </w:rPr>
        <w:t> </w:t>
      </w:r>
      <w:r>
        <w:rPr/>
        <w:t>level</w:t>
      </w:r>
      <w:r>
        <w:rPr>
          <w:spacing w:val="-6"/>
        </w:rPr>
        <w:t> </w:t>
      </w:r>
      <w:r>
        <w:rPr/>
        <w:t>of</w:t>
      </w:r>
      <w:r>
        <w:rPr>
          <w:spacing w:val="-5"/>
        </w:rPr>
        <w:t> </w:t>
      </w:r>
      <w:r>
        <w:rPr/>
        <w:t>NO</w:t>
      </w:r>
      <w:r>
        <w:rPr>
          <w:position w:val="-6"/>
          <w:sz w:val="11"/>
        </w:rPr>
        <w:t>x </w:t>
      </w:r>
      <w:r>
        <w:rPr/>
        <w:t>reduction is as high as 75% compared to coal burning in air (Chatel-Pelage</w:t>
      </w:r>
      <w:r>
        <w:rPr>
          <w:spacing w:val="-14"/>
        </w:rPr>
        <w:t> </w:t>
      </w:r>
      <w:r>
        <w:rPr>
          <w:i/>
        </w:rPr>
        <w:t>et</w:t>
      </w:r>
      <w:r>
        <w:rPr>
          <w:i/>
          <w:spacing w:val="-14"/>
        </w:rPr>
        <w:t> </w:t>
      </w:r>
      <w:r>
        <w:rPr>
          <w:i/>
        </w:rPr>
        <w:t>al.</w:t>
      </w:r>
      <w:r>
        <w:rPr/>
        <w:t>,</w:t>
      </w:r>
      <w:r>
        <w:rPr>
          <w:spacing w:val="-14"/>
        </w:rPr>
        <w:t> </w:t>
      </w:r>
      <w:r>
        <w:rPr/>
        <w:t>2003).</w:t>
      </w:r>
      <w:r>
        <w:rPr>
          <w:spacing w:val="-13"/>
        </w:rPr>
        <w:t> </w:t>
      </w:r>
      <w:r>
        <w:rPr/>
        <w:t>Similar</w:t>
      </w:r>
      <w:r>
        <w:rPr>
          <w:spacing w:val="-14"/>
        </w:rPr>
        <w:t> </w:t>
      </w:r>
      <w:r>
        <w:rPr/>
        <w:t>data</w:t>
      </w:r>
      <w:r>
        <w:rPr>
          <w:spacing w:val="-14"/>
        </w:rPr>
        <w:t> </w:t>
      </w:r>
      <w:r>
        <w:rPr/>
        <w:t>for</w:t>
      </w:r>
      <w:r>
        <w:rPr>
          <w:spacing w:val="-14"/>
        </w:rPr>
        <w:t> </w:t>
      </w:r>
      <w:r>
        <w:rPr/>
        <w:t>natural</w:t>
      </w:r>
      <w:r>
        <w:rPr>
          <w:spacing w:val="-13"/>
        </w:rPr>
        <w:t> </w:t>
      </w:r>
      <w:r>
        <w:rPr/>
        <w:t>gas</w:t>
      </w:r>
      <w:r>
        <w:rPr>
          <w:spacing w:val="-14"/>
        </w:rPr>
        <w:t> </w:t>
      </w:r>
      <w:r>
        <w:rPr/>
        <w:t>burning in O</w:t>
      </w:r>
      <w:r>
        <w:rPr>
          <w:position w:val="-6"/>
          <w:sz w:val="11"/>
        </w:rPr>
        <w:t>2</w:t>
      </w:r>
      <w:r>
        <w:rPr/>
        <w:t>/CO</w:t>
      </w:r>
      <w:r>
        <w:rPr>
          <w:position w:val="-6"/>
          <w:sz w:val="11"/>
        </w:rPr>
        <w:t>2 </w:t>
      </w:r>
      <w:r>
        <w:rPr/>
        <w:t>recycle mixtures report zero thermal NO</w:t>
      </w:r>
      <w:r>
        <w:rPr>
          <w:position w:val="-6"/>
          <w:sz w:val="11"/>
        </w:rPr>
        <w:t>x </w:t>
      </w:r>
      <w:r>
        <w:rPr/>
        <w:t>emissions in the absence of air leakage into the boiler, with trace</w:t>
      </w:r>
      <w:r>
        <w:rPr>
          <w:spacing w:val="-33"/>
        </w:rPr>
        <w:t> </w:t>
      </w:r>
      <w:r>
        <w:rPr/>
        <w:t>amounts produced as thermal NO</w:t>
      </w:r>
      <w:r>
        <w:rPr>
          <w:position w:val="-6"/>
          <w:sz w:val="11"/>
        </w:rPr>
        <w:t>x </w:t>
      </w:r>
      <w:r>
        <w:rPr/>
        <w:t>when residual nitrogen is present in the natural gas feed </w:t>
      </w:r>
      <w:r>
        <w:rPr>
          <w:spacing w:val="-4"/>
        </w:rPr>
        <w:t>(Tan </w:t>
      </w:r>
      <w:r>
        <w:rPr>
          <w:i/>
        </w:rPr>
        <w:t>et al.</w:t>
      </w:r>
      <w:r>
        <w:rPr/>
        <w:t>,</w:t>
      </w:r>
      <w:r>
        <w:rPr>
          <w:spacing w:val="3"/>
        </w:rPr>
        <w:t> </w:t>
      </w:r>
      <w:r>
        <w:rPr/>
        <w:t>2002).</w:t>
      </w:r>
    </w:p>
    <w:p>
      <w:pPr>
        <w:pStyle w:val="BodyText"/>
        <w:spacing w:line="249" w:lineRule="auto" w:before="6"/>
        <w:ind w:left="513" w:firstLine="284"/>
        <w:jc w:val="both"/>
      </w:pPr>
      <w:r>
        <w:rPr/>
        <w:t>The</w:t>
      </w:r>
      <w:r>
        <w:rPr>
          <w:spacing w:val="-7"/>
        </w:rPr>
        <w:t> </w:t>
      </w:r>
      <w:r>
        <w:rPr/>
        <w:t>above</w:t>
      </w:r>
      <w:r>
        <w:rPr>
          <w:spacing w:val="-8"/>
        </w:rPr>
        <w:t> </w:t>
      </w:r>
      <w:r>
        <w:rPr/>
        <w:t>and</w:t>
      </w:r>
      <w:r>
        <w:rPr>
          <w:spacing w:val="-6"/>
        </w:rPr>
        <w:t> </w:t>
      </w:r>
      <w:r>
        <w:rPr/>
        <w:t>other</w:t>
      </w:r>
      <w:r>
        <w:rPr>
          <w:spacing w:val="-7"/>
        </w:rPr>
        <w:t> </w:t>
      </w:r>
      <w:r>
        <w:rPr/>
        <w:t>findings</w:t>
      </w:r>
      <w:r>
        <w:rPr>
          <w:spacing w:val="-6"/>
        </w:rPr>
        <w:t> </w:t>
      </w:r>
      <w:r>
        <w:rPr/>
        <w:t>show</w:t>
      </w:r>
      <w:r>
        <w:rPr>
          <w:spacing w:val="-7"/>
        </w:rPr>
        <w:t> </w:t>
      </w:r>
      <w:r>
        <w:rPr/>
        <w:t>that</w:t>
      </w:r>
      <w:r>
        <w:rPr>
          <w:spacing w:val="-6"/>
        </w:rPr>
        <w:t> </w:t>
      </w:r>
      <w:r>
        <w:rPr/>
        <w:t>with</w:t>
      </w:r>
      <w:r>
        <w:rPr>
          <w:spacing w:val="-7"/>
        </w:rPr>
        <w:t> </w:t>
      </w:r>
      <w:r>
        <w:rPr/>
        <w:t>the</w:t>
      </w:r>
      <w:r>
        <w:rPr>
          <w:spacing w:val="-6"/>
        </w:rPr>
        <w:t> </w:t>
      </w:r>
      <w:r>
        <w:rPr/>
        <w:t>application of</w:t>
      </w:r>
      <w:r>
        <w:rPr>
          <w:spacing w:val="-10"/>
        </w:rPr>
        <w:t> </w:t>
      </w:r>
      <w:r>
        <w:rPr/>
        <w:t>oxy-fuel</w:t>
      </w:r>
      <w:r>
        <w:rPr>
          <w:spacing w:val="-10"/>
        </w:rPr>
        <w:t> </w:t>
      </w:r>
      <w:r>
        <w:rPr/>
        <w:t>combustion</w:t>
      </w:r>
      <w:r>
        <w:rPr>
          <w:spacing w:val="-10"/>
        </w:rPr>
        <w:t> </w:t>
      </w:r>
      <w:r>
        <w:rPr/>
        <w:t>in</w:t>
      </w:r>
      <w:r>
        <w:rPr>
          <w:spacing w:val="-9"/>
        </w:rPr>
        <w:t> </w:t>
      </w:r>
      <w:r>
        <w:rPr/>
        <w:t>modified</w:t>
      </w:r>
      <w:r>
        <w:rPr>
          <w:spacing w:val="-10"/>
        </w:rPr>
        <w:t> </w:t>
      </w:r>
      <w:r>
        <w:rPr/>
        <w:t>utility</w:t>
      </w:r>
      <w:r>
        <w:rPr>
          <w:spacing w:val="-10"/>
        </w:rPr>
        <w:t> </w:t>
      </w:r>
      <w:r>
        <w:rPr/>
        <w:t>boilers,</w:t>
      </w:r>
      <w:r>
        <w:rPr>
          <w:spacing w:val="-10"/>
        </w:rPr>
        <w:t> </w:t>
      </w:r>
      <w:r>
        <w:rPr/>
        <w:t>the</w:t>
      </w:r>
      <w:r>
        <w:rPr>
          <w:spacing w:val="-9"/>
        </w:rPr>
        <w:t> </w:t>
      </w:r>
      <w:r>
        <w:rPr/>
        <w:t>nitrogen- free</w:t>
      </w:r>
      <w:r>
        <w:rPr>
          <w:spacing w:val="-14"/>
        </w:rPr>
        <w:t> </w:t>
      </w:r>
      <w:r>
        <w:rPr/>
        <w:t>combustion</w:t>
      </w:r>
      <w:r>
        <w:rPr>
          <w:spacing w:val="-14"/>
        </w:rPr>
        <w:t> </w:t>
      </w:r>
      <w:r>
        <w:rPr/>
        <w:t>process</w:t>
      </w:r>
      <w:r>
        <w:rPr>
          <w:spacing w:val="-14"/>
        </w:rPr>
        <w:t> </w:t>
      </w:r>
      <w:r>
        <w:rPr/>
        <w:t>would</w:t>
      </w:r>
      <w:r>
        <w:rPr>
          <w:spacing w:val="-14"/>
        </w:rPr>
        <w:t> </w:t>
      </w:r>
      <w:r>
        <w:rPr/>
        <w:t>benefit</w:t>
      </w:r>
      <w:r>
        <w:rPr>
          <w:spacing w:val="-13"/>
        </w:rPr>
        <w:t> </w:t>
      </w:r>
      <w:r>
        <w:rPr/>
        <w:t>from</w:t>
      </w:r>
      <w:r>
        <w:rPr>
          <w:spacing w:val="-14"/>
        </w:rPr>
        <w:t> </w:t>
      </w:r>
      <w:r>
        <w:rPr/>
        <w:t>higher</w:t>
      </w:r>
      <w:r>
        <w:rPr>
          <w:spacing w:val="-14"/>
        </w:rPr>
        <w:t> </w:t>
      </w:r>
      <w:r>
        <w:rPr/>
        <w:t>heat</w:t>
      </w:r>
      <w:r>
        <w:rPr>
          <w:spacing w:val="-14"/>
        </w:rPr>
        <w:t> </w:t>
      </w:r>
      <w:r>
        <w:rPr/>
        <w:t>transfer rates (McDonald and Palkes, 1999), and if also constructed with higher temperature tolerant materials, are able to operate at</w:t>
      </w:r>
      <w:r>
        <w:rPr>
          <w:spacing w:val="-11"/>
        </w:rPr>
        <w:t> </w:t>
      </w:r>
      <w:r>
        <w:rPr/>
        <w:t>higher</w:t>
      </w:r>
      <w:r>
        <w:rPr>
          <w:spacing w:val="-10"/>
        </w:rPr>
        <w:t> </w:t>
      </w:r>
      <w:r>
        <w:rPr/>
        <w:t>oxygen</w:t>
      </w:r>
      <w:r>
        <w:rPr>
          <w:spacing w:val="-10"/>
        </w:rPr>
        <w:t> </w:t>
      </w:r>
      <w:r>
        <w:rPr/>
        <w:t>concentration</w:t>
      </w:r>
      <w:r>
        <w:rPr>
          <w:spacing w:val="-12"/>
        </w:rPr>
        <w:t> </w:t>
      </w:r>
      <w:r>
        <w:rPr/>
        <w:t>and</w:t>
      </w:r>
      <w:r>
        <w:rPr>
          <w:spacing w:val="-10"/>
        </w:rPr>
        <w:t> </w:t>
      </w:r>
      <w:r>
        <w:rPr/>
        <w:t>lower</w:t>
      </w:r>
      <w:r>
        <w:rPr>
          <w:spacing w:val="-10"/>
        </w:rPr>
        <w:t> </w:t>
      </w:r>
      <w:r>
        <w:rPr/>
        <w:t>flue</w:t>
      </w:r>
      <w:r>
        <w:rPr>
          <w:spacing w:val="-11"/>
        </w:rPr>
        <w:t> </w:t>
      </w:r>
      <w:r>
        <w:rPr/>
        <w:t>gas</w:t>
      </w:r>
      <w:r>
        <w:rPr>
          <w:spacing w:val="-10"/>
        </w:rPr>
        <w:t> </w:t>
      </w:r>
      <w:r>
        <w:rPr/>
        <w:t>recycle</w:t>
      </w:r>
      <w:r>
        <w:rPr>
          <w:spacing w:val="-10"/>
        </w:rPr>
        <w:t> </w:t>
      </w:r>
      <w:r>
        <w:rPr/>
        <w:t>flows</w:t>
      </w:r>
    </w:p>
    <w:p>
      <w:pPr>
        <w:pStyle w:val="BodyText"/>
        <w:spacing w:before="5"/>
        <w:ind w:left="513"/>
        <w:jc w:val="both"/>
      </w:pPr>
      <w:r>
        <w:rPr/>
        <w:t>– both of which will considerably reduce overall volume</w:t>
      </w:r>
      <w:r>
        <w:rPr>
          <w:spacing w:val="3"/>
        </w:rPr>
        <w:t> </w:t>
      </w:r>
      <w:r>
        <w:rPr/>
        <w:t>flows</w:t>
      </w:r>
    </w:p>
    <w:p>
      <w:pPr>
        <w:pStyle w:val="BodyText"/>
        <w:spacing w:before="10"/>
        <w:ind w:left="513"/>
        <w:jc w:val="both"/>
      </w:pPr>
      <w:r>
        <w:rPr/>
        <w:t>and size of the boiler.</w:t>
      </w:r>
    </w:p>
    <w:p>
      <w:pPr>
        <w:pStyle w:val="BodyText"/>
        <w:spacing w:before="10"/>
        <w:ind w:left="797"/>
        <w:jc w:val="both"/>
      </w:pPr>
      <w:r>
        <w:rPr/>
        <w:t>It</w:t>
      </w:r>
      <w:r>
        <w:rPr>
          <w:spacing w:val="7"/>
        </w:rPr>
        <w:t> </w:t>
      </w:r>
      <w:r>
        <w:rPr/>
        <w:t>should</w:t>
      </w:r>
      <w:r>
        <w:rPr>
          <w:spacing w:val="7"/>
        </w:rPr>
        <w:t> </w:t>
      </w:r>
      <w:r>
        <w:rPr/>
        <w:t>be</w:t>
      </w:r>
      <w:r>
        <w:rPr>
          <w:spacing w:val="6"/>
        </w:rPr>
        <w:t> </w:t>
      </w:r>
      <w:r>
        <w:rPr/>
        <w:t>noted</w:t>
      </w:r>
      <w:r>
        <w:rPr>
          <w:spacing w:val="7"/>
        </w:rPr>
        <w:t> </w:t>
      </w:r>
      <w:r>
        <w:rPr/>
        <w:t>that</w:t>
      </w:r>
      <w:r>
        <w:rPr>
          <w:spacing w:val="7"/>
        </w:rPr>
        <w:t> </w:t>
      </w:r>
      <w:r>
        <w:rPr/>
        <w:t>even</w:t>
      </w:r>
      <w:r>
        <w:rPr>
          <w:spacing w:val="6"/>
        </w:rPr>
        <w:t> </w:t>
      </w:r>
      <w:r>
        <w:rPr/>
        <w:t>when</w:t>
      </w:r>
      <w:r>
        <w:rPr>
          <w:spacing w:val="7"/>
        </w:rPr>
        <w:t> </w:t>
      </w:r>
      <w:r>
        <w:rPr/>
        <w:t>deploying</w:t>
      </w:r>
      <w:r>
        <w:rPr>
          <w:spacing w:val="6"/>
        </w:rPr>
        <w:t> </w:t>
      </w:r>
      <w:r>
        <w:rPr/>
        <w:t>a</w:t>
      </w:r>
      <w:r>
        <w:rPr>
          <w:spacing w:val="7"/>
        </w:rPr>
        <w:t> </w:t>
      </w:r>
      <w:r>
        <w:rPr/>
        <w:t>2/3</w:t>
      </w:r>
      <w:r>
        <w:rPr>
          <w:spacing w:val="7"/>
        </w:rPr>
        <w:t> </w:t>
      </w:r>
      <w:r>
        <w:rPr/>
        <w:t>flue</w:t>
      </w:r>
      <w:r>
        <w:rPr>
          <w:spacing w:val="7"/>
        </w:rPr>
        <w:t> </w:t>
      </w:r>
      <w:r>
        <w:rPr/>
        <w:t>gas</w:t>
      </w:r>
    </w:p>
    <w:p>
      <w:pPr>
        <w:pStyle w:val="BodyText"/>
        <w:spacing w:before="10"/>
        <w:ind w:left="513"/>
        <w:jc w:val="both"/>
      </w:pPr>
      <w:r>
        <w:rPr/>
        <w:t>recycle</w:t>
      </w:r>
      <w:r>
        <w:rPr>
          <w:spacing w:val="27"/>
        </w:rPr>
        <w:t> </w:t>
      </w:r>
      <w:r>
        <w:rPr/>
        <w:t>gas</w:t>
      </w:r>
      <w:r>
        <w:rPr>
          <w:spacing w:val="27"/>
        </w:rPr>
        <w:t> </w:t>
      </w:r>
      <w:r>
        <w:rPr/>
        <w:t>ratio</w:t>
      </w:r>
      <w:r>
        <w:rPr>
          <w:spacing w:val="27"/>
        </w:rPr>
        <w:t> </w:t>
      </w:r>
      <w:r>
        <w:rPr/>
        <w:t>to</w:t>
      </w:r>
      <w:r>
        <w:rPr>
          <w:spacing w:val="27"/>
        </w:rPr>
        <w:t> </w:t>
      </w:r>
      <w:r>
        <w:rPr/>
        <w:t>maintain</w:t>
      </w:r>
      <w:r>
        <w:rPr>
          <w:spacing w:val="27"/>
        </w:rPr>
        <w:t> </w:t>
      </w:r>
      <w:r>
        <w:rPr/>
        <w:t>a</w:t>
      </w:r>
      <w:r>
        <w:rPr>
          <w:spacing w:val="28"/>
        </w:rPr>
        <w:t> </w:t>
      </w:r>
      <w:r>
        <w:rPr/>
        <w:t>35%</w:t>
      </w:r>
      <w:r>
        <w:rPr>
          <w:spacing w:val="27"/>
        </w:rPr>
        <w:t> </w:t>
      </w:r>
      <w:r>
        <w:rPr/>
        <w:t>by</w:t>
      </w:r>
      <w:r>
        <w:rPr>
          <w:spacing w:val="27"/>
        </w:rPr>
        <w:t> </w:t>
      </w:r>
      <w:r>
        <w:rPr/>
        <w:t>volume</w:t>
      </w:r>
      <w:r>
        <w:rPr>
          <w:spacing w:val="27"/>
        </w:rPr>
        <w:t> </w:t>
      </w:r>
      <w:r>
        <w:rPr/>
        <w:t>O</w:t>
      </w:r>
      <w:r>
        <w:rPr>
          <w:position w:val="-6"/>
          <w:sz w:val="11"/>
        </w:rPr>
        <w:t>2 </w:t>
      </w:r>
      <w:r>
        <w:rPr>
          <w:spacing w:val="23"/>
          <w:position w:val="-6"/>
          <w:sz w:val="11"/>
        </w:rPr>
        <w:t> </w:t>
      </w:r>
      <w:r>
        <w:rPr/>
        <w:t>feed</w:t>
      </w:r>
      <w:r>
        <w:rPr>
          <w:spacing w:val="27"/>
        </w:rPr>
        <w:t> </w:t>
      </w:r>
      <w:r>
        <w:rPr/>
        <w:t>to</w:t>
      </w:r>
      <w:r>
        <w:rPr>
          <w:spacing w:val="27"/>
        </w:rPr>
        <w:t> </w:t>
      </w:r>
      <w:r>
        <w:rPr/>
        <w:t>a</w:t>
      </w:r>
    </w:p>
    <w:p>
      <w:pPr>
        <w:pStyle w:val="BodyText"/>
        <w:spacing w:before="10"/>
        <w:rPr>
          <w:sz w:val="17"/>
        </w:rPr>
      </w:pPr>
      <w:r>
        <w:rPr/>
        <w:br w:type="column"/>
      </w:r>
      <w:r>
        <w:rPr>
          <w:sz w:val="17"/>
        </w:rPr>
      </w:r>
    </w:p>
    <w:p>
      <w:pPr>
        <w:pStyle w:val="BodyText"/>
        <w:spacing w:line="240" w:lineRule="exact"/>
        <w:ind w:left="241" w:right="733"/>
        <w:jc w:val="both"/>
      </w:pPr>
      <w:r>
        <w:rPr/>
        <w:t>pulverized coal fired boiler, hot recycling of the flue gas prior to CO</w:t>
      </w:r>
      <w:r>
        <w:rPr>
          <w:position w:val="-6"/>
          <w:sz w:val="11"/>
        </w:rPr>
        <w:t>2 </w:t>
      </w:r>
      <w:r>
        <w:rPr/>
        <w:t>purification and compression also reduces the size of all unit operations in the stream leaving the boiler to 1/5 that of similar equipment deployed in conventional air blown combustion systems (Chatel-Pelage </w:t>
      </w:r>
      <w:r>
        <w:rPr>
          <w:i/>
        </w:rPr>
        <w:t>et al.</w:t>
      </w:r>
      <w:r>
        <w:rPr/>
        <w:t>, 2003). Use of a low temperature gas purification step prior to CO</w:t>
      </w:r>
      <w:r>
        <w:rPr>
          <w:position w:val="-6"/>
          <w:sz w:val="11"/>
        </w:rPr>
        <w:t>2 </w:t>
      </w:r>
      <w:r>
        <w:rPr/>
        <w:t>compression (see Section 3.4.2.2) will also eliminate the need to deploy conventional selective catalytic reduction for NO</w:t>
      </w:r>
      <w:r>
        <w:rPr>
          <w:position w:val="-6"/>
          <w:sz w:val="11"/>
        </w:rPr>
        <w:t>x </w:t>
      </w:r>
      <w:r>
        <w:rPr/>
        <w:t>removal and flue gas desulphurization to purify the gas, a practice typically adopted in conventional air-blown combustion processes </w:t>
      </w:r>
      <w:r>
        <w:rPr>
          <w:spacing w:val="-4"/>
        </w:rPr>
        <w:t>(see </w:t>
      </w:r>
      <w:hyperlink w:history="true" w:anchor="_bookmark6">
        <w:r>
          <w:rPr/>
          <w:t>Figure </w:t>
        </w:r>
      </w:hyperlink>
      <w:r>
        <w:rPr/>
        <w:t>3.3). The overall reduction in flow volumes, equipment scale and simplification of gas purification steps will thus have the benefit of reducing both capital and operating costs</w:t>
      </w:r>
      <w:r>
        <w:rPr>
          <w:spacing w:val="21"/>
        </w:rPr>
        <w:t> </w:t>
      </w:r>
      <w:r>
        <w:rPr/>
        <w:t>of equipment deployed for combustion, heat transfer and final</w:t>
      </w:r>
      <w:r>
        <w:rPr>
          <w:spacing w:val="-23"/>
        </w:rPr>
        <w:t> </w:t>
      </w:r>
      <w:r>
        <w:rPr/>
        <w:t>gas purification in process and power plant applications (Marin </w:t>
      </w:r>
      <w:r>
        <w:rPr>
          <w:i/>
        </w:rPr>
        <w:t>et </w:t>
      </w:r>
      <w:r>
        <w:rPr>
          <w:i/>
        </w:rPr>
        <w:t>al.</w:t>
      </w:r>
      <w:r>
        <w:rPr/>
        <w:t>, 2003).</w:t>
      </w:r>
    </w:p>
    <w:p>
      <w:pPr>
        <w:pStyle w:val="BodyText"/>
        <w:spacing w:line="240" w:lineRule="exact"/>
        <w:ind w:left="241" w:right="733" w:firstLine="284"/>
        <w:jc w:val="both"/>
      </w:pPr>
      <w:r>
        <w:rPr/>
        <w:t>As noted above for pulverized coal, oil, natural gas and biomass combustion, fluidized beds could also be fired with O</w:t>
      </w:r>
      <w:r>
        <w:rPr>
          <w:position w:val="-6"/>
          <w:sz w:val="11"/>
        </w:rPr>
        <w:t>2 </w:t>
      </w:r>
      <w:r>
        <w:rPr/>
        <w:t>instead of air to supply heat for the steam cycle.  The intense solid mixing in a fluidized bed combustion system   can provide very good temperature control even in </w:t>
      </w:r>
      <w:r>
        <w:rPr>
          <w:spacing w:val="-3"/>
        </w:rPr>
        <w:t>highly </w:t>
      </w:r>
      <w:r>
        <w:rPr/>
        <w:t>exothermic conditions, thereby minimizing the need for flue gas recycling. In principle, a variety of commercial designs for fluidized combustion boilers exist that could be retrofitted for oxygen firing. A circulating fluidized bed combustor with O</w:t>
      </w:r>
      <w:r>
        <w:rPr>
          <w:position w:val="-6"/>
          <w:sz w:val="11"/>
        </w:rPr>
        <w:t>2 </w:t>
      </w:r>
      <w:r>
        <w:rPr/>
        <w:t>firing was proposed by Shimizu </w:t>
      </w:r>
      <w:r>
        <w:rPr>
          <w:i/>
        </w:rPr>
        <w:t>et al. </w:t>
      </w:r>
      <w:r>
        <w:rPr/>
        <w:t>(1999) to generate the heat required for the calcination of CaCO</w:t>
      </w:r>
      <w:r>
        <w:rPr>
          <w:position w:val="-6"/>
          <w:sz w:val="11"/>
        </w:rPr>
        <w:t>3 </w:t>
      </w:r>
      <w:r>
        <w:rPr/>
        <w:t>(see also Section 3.3.3.4). More recently, plans for pilot testing of an oxy-fired circulating</w:t>
      </w:r>
      <w:r>
        <w:rPr>
          <w:spacing w:val="-10"/>
        </w:rPr>
        <w:t> </w:t>
      </w:r>
      <w:r>
        <w:rPr/>
        <w:t>fluidized</w:t>
      </w:r>
      <w:r>
        <w:rPr>
          <w:spacing w:val="-9"/>
        </w:rPr>
        <w:t> </w:t>
      </w:r>
      <w:r>
        <w:rPr/>
        <w:t>bed</w:t>
      </w:r>
      <w:r>
        <w:rPr>
          <w:spacing w:val="-9"/>
        </w:rPr>
        <w:t> </w:t>
      </w:r>
      <w:r>
        <w:rPr/>
        <w:t>boiler</w:t>
      </w:r>
      <w:r>
        <w:rPr>
          <w:spacing w:val="-9"/>
        </w:rPr>
        <w:t> </w:t>
      </w:r>
      <w:r>
        <w:rPr/>
        <w:t>have</w:t>
      </w:r>
      <w:r>
        <w:rPr>
          <w:spacing w:val="-9"/>
        </w:rPr>
        <w:t> </w:t>
      </w:r>
      <w:r>
        <w:rPr/>
        <w:t>been</w:t>
      </w:r>
      <w:r>
        <w:rPr>
          <w:spacing w:val="-9"/>
        </w:rPr>
        <w:t> </w:t>
      </w:r>
      <w:r>
        <w:rPr/>
        <w:t>published</w:t>
      </w:r>
      <w:r>
        <w:rPr>
          <w:spacing w:val="-9"/>
        </w:rPr>
        <w:t> </w:t>
      </w:r>
      <w:r>
        <w:rPr/>
        <w:t>by</w:t>
      </w:r>
      <w:r>
        <w:rPr>
          <w:spacing w:val="-9"/>
        </w:rPr>
        <w:t> </w:t>
      </w:r>
      <w:r>
        <w:rPr/>
        <w:t>Nsakala </w:t>
      </w:r>
      <w:r>
        <w:rPr>
          <w:i/>
        </w:rPr>
        <w:t>et al.</w:t>
      </w:r>
      <w:r>
        <w:rPr>
          <w:i/>
          <w:spacing w:val="-1"/>
        </w:rPr>
        <w:t> </w:t>
      </w:r>
      <w:r>
        <w:rPr/>
        <w:t>(2003).</w:t>
      </w:r>
    </w:p>
    <w:p>
      <w:pPr>
        <w:pStyle w:val="BodyText"/>
        <w:spacing w:before="4"/>
        <w:rPr>
          <w:sz w:val="21"/>
        </w:rPr>
      </w:pPr>
    </w:p>
    <w:p>
      <w:pPr>
        <w:pStyle w:val="ListParagraph"/>
        <w:numPr>
          <w:ilvl w:val="3"/>
          <w:numId w:val="5"/>
        </w:numPr>
        <w:tabs>
          <w:tab w:pos="1062" w:val="left" w:leader="none"/>
        </w:tabs>
        <w:spacing w:line="249" w:lineRule="auto" w:before="0" w:after="0"/>
        <w:ind w:left="1061" w:right="1485" w:hanging="821"/>
        <w:jc w:val="both"/>
        <w:rPr>
          <w:i/>
          <w:sz w:val="20"/>
        </w:rPr>
      </w:pPr>
      <w:r>
        <w:rPr>
          <w:i/>
          <w:sz w:val="20"/>
        </w:rPr>
        <w:t>Assessments of plants converted to oxy-fuel </w:t>
      </w:r>
      <w:r>
        <w:rPr>
          <w:i/>
          <w:sz w:val="20"/>
        </w:rPr>
        <w:t>combustion</w:t>
      </w:r>
    </w:p>
    <w:p>
      <w:pPr>
        <w:pStyle w:val="BodyText"/>
        <w:spacing w:line="249" w:lineRule="auto" w:before="2"/>
        <w:ind w:left="241" w:right="733"/>
        <w:jc w:val="both"/>
      </w:pPr>
      <w:r>
        <w:rPr>
          <w:spacing w:val="-8"/>
        </w:rPr>
        <w:t>We</w:t>
      </w:r>
      <w:r>
        <w:rPr>
          <w:spacing w:val="-10"/>
        </w:rPr>
        <w:t> </w:t>
      </w:r>
      <w:r>
        <w:rPr/>
        <w:t>now</w:t>
      </w:r>
      <w:r>
        <w:rPr>
          <w:spacing w:val="-9"/>
        </w:rPr>
        <w:t> </w:t>
      </w:r>
      <w:r>
        <w:rPr/>
        <w:t>discuss</w:t>
      </w:r>
      <w:r>
        <w:rPr>
          <w:spacing w:val="-10"/>
        </w:rPr>
        <w:t> </w:t>
      </w:r>
      <w:r>
        <w:rPr/>
        <w:t>performance</w:t>
      </w:r>
      <w:r>
        <w:rPr>
          <w:spacing w:val="-9"/>
        </w:rPr>
        <w:t> </w:t>
      </w:r>
      <w:r>
        <w:rPr/>
        <w:t>data</w:t>
      </w:r>
      <w:r>
        <w:rPr>
          <w:spacing w:val="-10"/>
        </w:rPr>
        <w:t> </w:t>
      </w:r>
      <w:r>
        <w:rPr/>
        <w:t>from</w:t>
      </w:r>
      <w:r>
        <w:rPr>
          <w:spacing w:val="-9"/>
        </w:rPr>
        <w:t> </w:t>
      </w:r>
      <w:r>
        <w:rPr/>
        <w:t>a</w:t>
      </w:r>
      <w:r>
        <w:rPr>
          <w:spacing w:val="-10"/>
        </w:rPr>
        <w:t> </w:t>
      </w:r>
      <w:r>
        <w:rPr/>
        <w:t>recent</w:t>
      </w:r>
      <w:r>
        <w:rPr>
          <w:spacing w:val="-9"/>
        </w:rPr>
        <w:t> </w:t>
      </w:r>
      <w:r>
        <w:rPr/>
        <w:t>comprehensive design</w:t>
      </w:r>
      <w:r>
        <w:rPr>
          <w:spacing w:val="-9"/>
        </w:rPr>
        <w:t> </w:t>
      </w:r>
      <w:r>
        <w:rPr/>
        <w:t>study</w:t>
      </w:r>
      <w:r>
        <w:rPr>
          <w:spacing w:val="-8"/>
        </w:rPr>
        <w:t> </w:t>
      </w:r>
      <w:r>
        <w:rPr/>
        <w:t>for</w:t>
      </w:r>
      <w:r>
        <w:rPr>
          <w:spacing w:val="-9"/>
        </w:rPr>
        <w:t> </w:t>
      </w:r>
      <w:r>
        <w:rPr/>
        <w:t>an</w:t>
      </w:r>
      <w:r>
        <w:rPr>
          <w:spacing w:val="-8"/>
        </w:rPr>
        <w:t> </w:t>
      </w:r>
      <w:r>
        <w:rPr/>
        <w:t>application</w:t>
      </w:r>
      <w:r>
        <w:rPr>
          <w:spacing w:val="-8"/>
        </w:rPr>
        <w:t> </w:t>
      </w:r>
      <w:r>
        <w:rPr/>
        <w:t>of</w:t>
      </w:r>
      <w:r>
        <w:rPr>
          <w:spacing w:val="-9"/>
        </w:rPr>
        <w:t> </w:t>
      </w:r>
      <w:r>
        <w:rPr/>
        <w:t>oxy-fuel</w:t>
      </w:r>
      <w:r>
        <w:rPr>
          <w:spacing w:val="-8"/>
        </w:rPr>
        <w:t> </w:t>
      </w:r>
      <w:r>
        <w:rPr/>
        <w:t>combustion</w:t>
      </w:r>
      <w:r>
        <w:rPr>
          <w:spacing w:val="-9"/>
        </w:rPr>
        <w:t> </w:t>
      </w:r>
      <w:r>
        <w:rPr/>
        <w:t>in</w:t>
      </w:r>
      <w:r>
        <w:rPr>
          <w:spacing w:val="-8"/>
        </w:rPr>
        <w:t> </w:t>
      </w:r>
      <w:r>
        <w:rPr/>
        <w:t>a</w:t>
      </w:r>
      <w:r>
        <w:rPr>
          <w:spacing w:val="-8"/>
        </w:rPr>
        <w:t> </w:t>
      </w:r>
      <w:r>
        <w:rPr/>
        <w:t>new build pulverized coal fired power boiler using a supercritical steam cycle (see </w:t>
      </w:r>
      <w:hyperlink w:history="true" w:anchor="_bookmark13">
        <w:r>
          <w:rPr/>
          <w:t>Figure 3.8; </w:t>
        </w:r>
      </w:hyperlink>
      <w:r>
        <w:rPr/>
        <w:t>Dillon </w:t>
      </w:r>
      <w:r>
        <w:rPr>
          <w:i/>
        </w:rPr>
        <w:t>et al.</w:t>
      </w:r>
      <w:r>
        <w:rPr/>
        <w:t>, 2005). The overall thermal efficiency on a lower heating value basis is reduced from 44.2% to 35.4%. The net power output is reduced from 677 </w:t>
      </w:r>
      <w:r>
        <w:rPr>
          <w:spacing w:val="-6"/>
        </w:rPr>
        <w:t>MW</w:t>
      </w:r>
      <w:r>
        <w:rPr>
          <w:spacing w:val="-6"/>
          <w:position w:val="-6"/>
          <w:sz w:val="11"/>
        </w:rPr>
        <w:t>e </w:t>
      </w:r>
      <w:r>
        <w:rPr/>
        <w:t>to 532</w:t>
      </w:r>
      <w:r>
        <w:rPr>
          <w:spacing w:val="-15"/>
        </w:rPr>
        <w:t> </w:t>
      </w:r>
      <w:r>
        <w:rPr>
          <w:spacing w:val="-5"/>
        </w:rPr>
        <w:t>MW</w:t>
      </w:r>
      <w:r>
        <w:rPr>
          <w:spacing w:val="-5"/>
          <w:position w:val="-6"/>
          <w:sz w:val="11"/>
        </w:rPr>
        <w:t>e</w:t>
      </w:r>
      <w:r>
        <w:rPr>
          <w:spacing w:val="-5"/>
        </w:rPr>
        <w:t>.</w:t>
      </w:r>
    </w:p>
    <w:p>
      <w:pPr>
        <w:pStyle w:val="BodyText"/>
        <w:spacing w:before="195"/>
        <w:ind w:left="241"/>
        <w:jc w:val="both"/>
      </w:pPr>
      <w:r>
        <w:rPr/>
        <w:t>Important features of the system include:</w:t>
      </w:r>
    </w:p>
    <w:p>
      <w:pPr>
        <w:pStyle w:val="ListParagraph"/>
        <w:numPr>
          <w:ilvl w:val="0"/>
          <w:numId w:val="17"/>
        </w:numPr>
        <w:tabs>
          <w:tab w:pos="525" w:val="left" w:leader="none"/>
        </w:tabs>
        <w:spacing w:line="249" w:lineRule="auto" w:before="10" w:after="0"/>
        <w:ind w:left="525" w:right="733" w:hanging="284"/>
        <w:jc w:val="both"/>
        <w:rPr>
          <w:sz w:val="20"/>
        </w:rPr>
      </w:pPr>
      <w:r>
        <w:rPr>
          <w:sz w:val="20"/>
        </w:rPr>
        <w:t>Burner design and gas recycle flow rate have been selected to achieve the same temperatures as in air combustion (compatible temperatures with existing materials in </w:t>
      </w:r>
      <w:r>
        <w:rPr>
          <w:spacing w:val="-4"/>
          <w:sz w:val="20"/>
        </w:rPr>
        <w:t>the </w:t>
      </w:r>
      <w:r>
        <w:rPr>
          <w:sz w:val="20"/>
        </w:rPr>
        <w:t>boiler).</w:t>
      </w:r>
    </w:p>
    <w:p>
      <w:pPr>
        <w:pStyle w:val="ListParagraph"/>
        <w:numPr>
          <w:ilvl w:val="0"/>
          <w:numId w:val="17"/>
        </w:numPr>
        <w:tabs>
          <w:tab w:pos="526" w:val="left" w:leader="none"/>
        </w:tabs>
        <w:spacing w:line="225" w:lineRule="auto" w:before="11" w:after="0"/>
        <w:ind w:left="525" w:right="733" w:hanging="284"/>
        <w:jc w:val="both"/>
        <w:rPr>
          <w:sz w:val="20"/>
        </w:rPr>
      </w:pPr>
      <w:r>
        <w:rPr>
          <w:sz w:val="20"/>
        </w:rPr>
        <w:t>The CO</w:t>
      </w:r>
      <w:r>
        <w:rPr>
          <w:position w:val="-6"/>
          <w:sz w:val="11"/>
        </w:rPr>
        <w:t>2</w:t>
      </w:r>
      <w:r>
        <w:rPr>
          <w:sz w:val="20"/>
        </w:rPr>
        <w:t>-rich flue gas from the boiler is divided into three gas</w:t>
      </w:r>
      <w:r>
        <w:rPr>
          <w:spacing w:val="-15"/>
          <w:sz w:val="20"/>
        </w:rPr>
        <w:t> </w:t>
      </w:r>
      <w:r>
        <w:rPr>
          <w:sz w:val="20"/>
        </w:rPr>
        <w:t>streams:</w:t>
      </w:r>
      <w:r>
        <w:rPr>
          <w:spacing w:val="-15"/>
          <w:sz w:val="20"/>
        </w:rPr>
        <w:t> </w:t>
      </w:r>
      <w:r>
        <w:rPr>
          <w:sz w:val="20"/>
        </w:rPr>
        <w:t>one</w:t>
      </w:r>
      <w:r>
        <w:rPr>
          <w:spacing w:val="-14"/>
          <w:sz w:val="20"/>
        </w:rPr>
        <w:t> </w:t>
      </w:r>
      <w:r>
        <w:rPr>
          <w:sz w:val="20"/>
        </w:rPr>
        <w:t>to</w:t>
      </w:r>
      <w:r>
        <w:rPr>
          <w:spacing w:val="-15"/>
          <w:sz w:val="20"/>
        </w:rPr>
        <w:t> </w:t>
      </w:r>
      <w:r>
        <w:rPr>
          <w:sz w:val="20"/>
        </w:rPr>
        <w:t>be</w:t>
      </w:r>
      <w:r>
        <w:rPr>
          <w:spacing w:val="-14"/>
          <w:sz w:val="20"/>
        </w:rPr>
        <w:t> </w:t>
      </w:r>
      <w:r>
        <w:rPr>
          <w:sz w:val="20"/>
        </w:rPr>
        <w:t>recycled</w:t>
      </w:r>
      <w:r>
        <w:rPr>
          <w:spacing w:val="-15"/>
          <w:sz w:val="20"/>
        </w:rPr>
        <w:t> </w:t>
      </w:r>
      <w:r>
        <w:rPr>
          <w:sz w:val="20"/>
        </w:rPr>
        <w:t>back</w:t>
      </w:r>
      <w:r>
        <w:rPr>
          <w:spacing w:val="-15"/>
          <w:sz w:val="20"/>
        </w:rPr>
        <w:t> </w:t>
      </w:r>
      <w:r>
        <w:rPr>
          <w:sz w:val="20"/>
        </w:rPr>
        <w:t>to</w:t>
      </w:r>
      <w:r>
        <w:rPr>
          <w:spacing w:val="-14"/>
          <w:sz w:val="20"/>
        </w:rPr>
        <w:t> </w:t>
      </w:r>
      <w:r>
        <w:rPr>
          <w:sz w:val="20"/>
        </w:rPr>
        <w:t>the</w:t>
      </w:r>
      <w:r>
        <w:rPr>
          <w:spacing w:val="-14"/>
          <w:sz w:val="20"/>
        </w:rPr>
        <w:t> </w:t>
      </w:r>
      <w:r>
        <w:rPr>
          <w:sz w:val="20"/>
        </w:rPr>
        <w:t>combustor,</w:t>
      </w:r>
      <w:r>
        <w:rPr>
          <w:spacing w:val="-15"/>
          <w:sz w:val="20"/>
        </w:rPr>
        <w:t> </w:t>
      </w:r>
      <w:r>
        <w:rPr>
          <w:sz w:val="20"/>
        </w:rPr>
        <w:t>one</w:t>
      </w:r>
      <w:r>
        <w:rPr>
          <w:spacing w:val="-14"/>
          <w:sz w:val="20"/>
        </w:rPr>
        <w:t> </w:t>
      </w:r>
      <w:r>
        <w:rPr>
          <w:sz w:val="20"/>
        </w:rPr>
        <w:t>to be used as transport and drying gas of the coal feed, and</w:t>
      </w:r>
      <w:r>
        <w:rPr>
          <w:spacing w:val="-24"/>
          <w:sz w:val="20"/>
        </w:rPr>
        <w:t> </w:t>
      </w:r>
      <w:r>
        <w:rPr>
          <w:spacing w:val="-5"/>
          <w:sz w:val="20"/>
        </w:rPr>
        <w:t>the</w:t>
      </w:r>
    </w:p>
    <w:p>
      <w:pPr>
        <w:pStyle w:val="BodyText"/>
        <w:spacing w:line="240" w:lineRule="exact" w:before="8"/>
        <w:ind w:left="525" w:right="734"/>
        <w:jc w:val="both"/>
      </w:pPr>
      <w:r>
        <w:rPr/>
        <w:t>third</w:t>
      </w:r>
      <w:r>
        <w:rPr>
          <w:spacing w:val="-12"/>
        </w:rPr>
        <w:t> </w:t>
      </w:r>
      <w:r>
        <w:rPr/>
        <w:t>as</w:t>
      </w:r>
      <w:r>
        <w:rPr>
          <w:spacing w:val="-11"/>
        </w:rPr>
        <w:t> </w:t>
      </w:r>
      <w:r>
        <w:rPr/>
        <w:t>product</w:t>
      </w:r>
      <w:r>
        <w:rPr>
          <w:spacing w:val="-11"/>
        </w:rPr>
        <w:t> </w:t>
      </w:r>
      <w:r>
        <w:rPr/>
        <w:t>gas.</w:t>
      </w:r>
      <w:r>
        <w:rPr>
          <w:spacing w:val="-13"/>
        </w:rPr>
        <w:t> </w:t>
      </w:r>
      <w:r>
        <w:rPr/>
        <w:t>The</w:t>
      </w:r>
      <w:r>
        <w:rPr>
          <w:spacing w:val="-11"/>
        </w:rPr>
        <w:t> </w:t>
      </w:r>
      <w:r>
        <w:rPr/>
        <w:t>first</w:t>
      </w:r>
      <w:r>
        <w:rPr>
          <w:spacing w:val="-12"/>
        </w:rPr>
        <w:t> </w:t>
      </w:r>
      <w:r>
        <w:rPr/>
        <w:t>recycle</w:t>
      </w:r>
      <w:r>
        <w:rPr>
          <w:spacing w:val="-11"/>
        </w:rPr>
        <w:t> </w:t>
      </w:r>
      <w:r>
        <w:rPr/>
        <w:t>and</w:t>
      </w:r>
      <w:r>
        <w:rPr>
          <w:spacing w:val="-11"/>
        </w:rPr>
        <w:t> </w:t>
      </w:r>
      <w:r>
        <w:rPr/>
        <w:t>the</w:t>
      </w:r>
      <w:r>
        <w:rPr>
          <w:spacing w:val="-11"/>
        </w:rPr>
        <w:t> </w:t>
      </w:r>
      <w:r>
        <w:rPr/>
        <w:t>product</w:t>
      </w:r>
      <w:r>
        <w:rPr>
          <w:spacing w:val="-11"/>
        </w:rPr>
        <w:t> </w:t>
      </w:r>
      <w:r>
        <w:rPr/>
        <w:t>stream are cooled by direct water scrubbing to remove residual particulates, water vapour and soluble acid gases such as SO</w:t>
      </w:r>
      <w:r>
        <w:rPr>
          <w:position w:val="-6"/>
          <w:sz w:val="11"/>
        </w:rPr>
        <w:t>3 </w:t>
      </w:r>
      <w:r>
        <w:rPr/>
        <w:t>and HCl. Oxygen and entrained coal dust together with the second recycle stream flow to the</w:t>
      </w:r>
      <w:r>
        <w:rPr>
          <w:spacing w:val="-9"/>
        </w:rPr>
        <w:t> </w:t>
      </w:r>
      <w:r>
        <w:rPr/>
        <w:t>burners.</w:t>
      </w:r>
    </w:p>
    <w:p>
      <w:pPr>
        <w:pStyle w:val="ListParagraph"/>
        <w:numPr>
          <w:ilvl w:val="0"/>
          <w:numId w:val="17"/>
        </w:numPr>
        <w:tabs>
          <w:tab w:pos="526" w:val="left" w:leader="none"/>
        </w:tabs>
        <w:spacing w:line="240" w:lineRule="auto" w:before="5" w:after="0"/>
        <w:ind w:left="525" w:right="0" w:hanging="285"/>
        <w:jc w:val="both"/>
        <w:rPr>
          <w:sz w:val="20"/>
        </w:rPr>
      </w:pPr>
      <w:r>
        <w:rPr>
          <w:sz w:val="20"/>
        </w:rPr>
        <w:t>The</w:t>
      </w:r>
      <w:r>
        <w:rPr>
          <w:spacing w:val="20"/>
          <w:sz w:val="20"/>
        </w:rPr>
        <w:t> </w:t>
      </w:r>
      <w:r>
        <w:rPr>
          <w:sz w:val="20"/>
        </w:rPr>
        <w:t>air</w:t>
      </w:r>
      <w:r>
        <w:rPr>
          <w:spacing w:val="20"/>
          <w:sz w:val="20"/>
        </w:rPr>
        <w:t> </w:t>
      </w:r>
      <w:r>
        <w:rPr>
          <w:sz w:val="20"/>
        </w:rPr>
        <w:t>leakage</w:t>
      </w:r>
      <w:r>
        <w:rPr>
          <w:spacing w:val="19"/>
          <w:sz w:val="20"/>
        </w:rPr>
        <w:t> </w:t>
      </w:r>
      <w:r>
        <w:rPr>
          <w:sz w:val="20"/>
        </w:rPr>
        <w:t>into</w:t>
      </w:r>
      <w:r>
        <w:rPr>
          <w:spacing w:val="20"/>
          <w:sz w:val="20"/>
        </w:rPr>
        <w:t> </w:t>
      </w:r>
      <w:r>
        <w:rPr>
          <w:sz w:val="20"/>
        </w:rPr>
        <w:t>the</w:t>
      </w:r>
      <w:r>
        <w:rPr>
          <w:spacing w:val="20"/>
          <w:sz w:val="20"/>
        </w:rPr>
        <w:t> </w:t>
      </w:r>
      <w:r>
        <w:rPr>
          <w:sz w:val="20"/>
        </w:rPr>
        <w:t>boiler</w:t>
      </w:r>
      <w:r>
        <w:rPr>
          <w:spacing w:val="20"/>
          <w:sz w:val="20"/>
        </w:rPr>
        <w:t> </w:t>
      </w:r>
      <w:r>
        <w:rPr>
          <w:sz w:val="20"/>
        </w:rPr>
        <w:t>is</w:t>
      </w:r>
      <w:r>
        <w:rPr>
          <w:spacing w:val="20"/>
          <w:sz w:val="20"/>
        </w:rPr>
        <w:t> </w:t>
      </w:r>
      <w:r>
        <w:rPr>
          <w:sz w:val="20"/>
        </w:rPr>
        <w:t>sufficient</w:t>
      </w:r>
      <w:r>
        <w:rPr>
          <w:spacing w:val="20"/>
          <w:sz w:val="20"/>
        </w:rPr>
        <w:t> </w:t>
      </w:r>
      <w:r>
        <w:rPr>
          <w:sz w:val="20"/>
        </w:rPr>
        <w:t>to</w:t>
      </w:r>
      <w:r>
        <w:rPr>
          <w:spacing w:val="20"/>
          <w:sz w:val="20"/>
        </w:rPr>
        <w:t> </w:t>
      </w:r>
      <w:r>
        <w:rPr>
          <w:sz w:val="20"/>
        </w:rPr>
        <w:t>give</w:t>
      </w:r>
      <w:r>
        <w:rPr>
          <w:spacing w:val="20"/>
          <w:sz w:val="20"/>
        </w:rPr>
        <w:t> </w:t>
      </w:r>
      <w:r>
        <w:rPr>
          <w:sz w:val="20"/>
        </w:rPr>
        <w:t>a</w:t>
      </w:r>
      <w:r>
        <w:rPr>
          <w:spacing w:val="20"/>
          <w:sz w:val="20"/>
        </w:rPr>
        <w:t> </w:t>
      </w:r>
      <w:r>
        <w:rPr>
          <w:sz w:val="20"/>
        </w:rPr>
        <w:t>high</w:t>
      </w:r>
    </w:p>
    <w:p>
      <w:pPr>
        <w:pStyle w:val="BodyText"/>
        <w:spacing w:before="10"/>
        <w:ind w:left="525"/>
        <w:jc w:val="both"/>
      </w:pPr>
      <w:r>
        <w:rPr/>
        <w:t>enough inerts level to require a low temperature inert gas</w:t>
      </w:r>
    </w:p>
    <w:p>
      <w:pPr>
        <w:spacing w:after="0"/>
        <w:jc w:val="both"/>
        <w:sectPr>
          <w:type w:val="continuous"/>
          <w:pgSz w:w="12240" w:h="15840"/>
          <w:pgMar w:top="480" w:bottom="280" w:left="620" w:right="0"/>
          <w:cols w:num="2" w:equalWidth="0">
            <w:col w:w="5559" w:space="40"/>
            <w:col w:w="6021"/>
          </w:cols>
        </w:sectPr>
      </w:pPr>
    </w:p>
    <w:p>
      <w:pPr>
        <w:pStyle w:val="BodyText"/>
      </w:pPr>
    </w:p>
    <w:p>
      <w:pPr>
        <w:pStyle w:val="BodyText"/>
        <w:spacing w:before="8"/>
        <w:rPr>
          <w:sz w:val="26"/>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59"/>
      </w:tblGrid>
      <w:tr>
        <w:trPr>
          <w:trHeight w:val="5139" w:hRule="atLeast"/>
        </w:trPr>
        <w:tc>
          <w:tcPr>
            <w:tcW w:w="10359" w:type="dxa"/>
          </w:tcPr>
          <w:p>
            <w:pPr>
              <w:pStyle w:val="TableParagraph"/>
              <w:spacing w:before="6"/>
              <w:jc w:val="left"/>
              <w:rPr>
                <w:sz w:val="9"/>
              </w:rPr>
            </w:pPr>
          </w:p>
          <w:p>
            <w:pPr>
              <w:pStyle w:val="TableParagraph"/>
              <w:ind w:left="917"/>
              <w:jc w:val="left"/>
              <w:rPr>
                <w:sz w:val="20"/>
              </w:rPr>
            </w:pPr>
            <w:r>
              <w:rPr>
                <w:sz w:val="20"/>
              </w:rPr>
              <w:drawing>
                <wp:inline distT="0" distB="0" distL="0" distR="0">
                  <wp:extent cx="4510313" cy="3133344"/>
                  <wp:effectExtent l="0" t="0" r="0" b="0"/>
                  <wp:docPr id="15" name="image31.png"/>
                  <wp:cNvGraphicFramePr>
                    <a:graphicFrameLocks noChangeAspect="1"/>
                  </wp:cNvGraphicFramePr>
                  <a:graphic>
                    <a:graphicData uri="http://schemas.openxmlformats.org/drawingml/2006/picture">
                      <pic:pic>
                        <pic:nvPicPr>
                          <pic:cNvPr id="16" name="image31.png"/>
                          <pic:cNvPicPr/>
                        </pic:nvPicPr>
                        <pic:blipFill>
                          <a:blip r:embed="rId37" cstate="print"/>
                          <a:stretch>
                            <a:fillRect/>
                          </a:stretch>
                        </pic:blipFill>
                        <pic:spPr>
                          <a:xfrm>
                            <a:off x="0" y="0"/>
                            <a:ext cx="4510313" cy="3133344"/>
                          </a:xfrm>
                          <a:prstGeom prst="rect">
                            <a:avLst/>
                          </a:prstGeom>
                        </pic:spPr>
                      </pic:pic>
                    </a:graphicData>
                  </a:graphic>
                </wp:inline>
              </w:drawing>
            </w:r>
            <w:r>
              <w:rPr>
                <w:sz w:val="20"/>
              </w:rPr>
            </w:r>
          </w:p>
        </w:tc>
      </w:tr>
    </w:tbl>
    <w:p>
      <w:pPr>
        <w:spacing w:before="89"/>
        <w:ind w:left="117" w:right="0" w:firstLine="0"/>
        <w:jc w:val="left"/>
        <w:rPr>
          <w:sz w:val="18"/>
        </w:rPr>
      </w:pPr>
      <w:bookmarkStart w:name="_bookmark13" w:id="37"/>
      <w:bookmarkEnd w:id="37"/>
      <w:r>
        <w:rPr/>
      </w:r>
      <w:r>
        <w:rPr>
          <w:b/>
          <w:sz w:val="18"/>
        </w:rPr>
        <w:t>Figure 3.8 </w:t>
      </w:r>
      <w:r>
        <w:rPr>
          <w:sz w:val="18"/>
        </w:rPr>
        <w:t>Schematic of an oxy-fuel, pulverized coal fired power plant.</w:t>
      </w:r>
    </w:p>
    <w:p>
      <w:pPr>
        <w:pStyle w:val="BodyText"/>
        <w:spacing w:before="7"/>
        <w:rPr>
          <w:sz w:val="16"/>
        </w:rPr>
      </w:pPr>
    </w:p>
    <w:p>
      <w:pPr>
        <w:spacing w:after="0"/>
        <w:rPr>
          <w:sz w:val="16"/>
        </w:rPr>
        <w:sectPr>
          <w:pgSz w:w="12240" w:h="15840"/>
          <w:pgMar w:header="567" w:footer="0" w:top="760" w:bottom="280" w:left="620" w:right="0"/>
        </w:sectPr>
      </w:pPr>
    </w:p>
    <w:p>
      <w:pPr>
        <w:pStyle w:val="BodyText"/>
        <w:spacing w:line="240" w:lineRule="exact" w:before="58"/>
        <w:ind w:left="400" w:right="39"/>
        <w:jc w:val="both"/>
      </w:pPr>
      <w:r>
        <w:rPr/>
        <w:t>removal unit to be installed, even if pure O</w:t>
      </w:r>
      <w:r>
        <w:rPr>
          <w:position w:val="-6"/>
          <w:sz w:val="11"/>
        </w:rPr>
        <w:t>2 </w:t>
      </w:r>
      <w:r>
        <w:rPr/>
        <w:t>were used as the oxidant in the boiler. The cryogenic oxygen plant will, in this case, produce 95% O</w:t>
      </w:r>
      <w:r>
        <w:rPr>
          <w:position w:val="-6"/>
          <w:sz w:val="11"/>
        </w:rPr>
        <w:t>2 </w:t>
      </w:r>
      <w:r>
        <w:rPr/>
        <w:t>purity to minimize power consumption and capital cost.</w:t>
      </w:r>
    </w:p>
    <w:p>
      <w:pPr>
        <w:pStyle w:val="ListParagraph"/>
        <w:numPr>
          <w:ilvl w:val="1"/>
          <w:numId w:val="16"/>
        </w:numPr>
        <w:tabs>
          <w:tab w:pos="401" w:val="left" w:leader="none"/>
        </w:tabs>
        <w:spacing w:line="240" w:lineRule="exact" w:before="0" w:after="0"/>
        <w:ind w:left="400" w:right="38" w:hanging="284"/>
        <w:jc w:val="both"/>
        <w:rPr>
          <w:sz w:val="20"/>
        </w:rPr>
      </w:pPr>
      <w:r>
        <w:rPr>
          <w:sz w:val="20"/>
        </w:rPr>
        <w:t>The low temperature (-55°C) CO</w:t>
      </w:r>
      <w:r>
        <w:rPr>
          <w:position w:val="-6"/>
          <w:sz w:val="11"/>
        </w:rPr>
        <w:t>2 </w:t>
      </w:r>
      <w:r>
        <w:rPr>
          <w:sz w:val="20"/>
        </w:rPr>
        <w:t>purification plant (Wilkinson</w:t>
      </w:r>
      <w:r>
        <w:rPr>
          <w:spacing w:val="-21"/>
          <w:sz w:val="20"/>
        </w:rPr>
        <w:t> </w:t>
      </w:r>
      <w:r>
        <w:rPr>
          <w:sz w:val="20"/>
        </w:rPr>
        <w:t>et</w:t>
      </w:r>
      <w:r>
        <w:rPr>
          <w:spacing w:val="-20"/>
          <w:sz w:val="20"/>
        </w:rPr>
        <w:t> </w:t>
      </w:r>
      <w:r>
        <w:rPr>
          <w:sz w:val="20"/>
        </w:rPr>
        <w:t>al.,</w:t>
      </w:r>
      <w:r>
        <w:rPr>
          <w:spacing w:val="-20"/>
          <w:sz w:val="20"/>
        </w:rPr>
        <w:t> </w:t>
      </w:r>
      <w:r>
        <w:rPr>
          <w:sz w:val="20"/>
        </w:rPr>
        <w:t>2003b)</w:t>
      </w:r>
      <w:r>
        <w:rPr>
          <w:spacing w:val="-20"/>
          <w:sz w:val="20"/>
        </w:rPr>
        <w:t> </w:t>
      </w:r>
      <w:r>
        <w:rPr>
          <w:sz w:val="20"/>
        </w:rPr>
        <w:t>integrated</w:t>
      </w:r>
      <w:r>
        <w:rPr>
          <w:spacing w:val="-20"/>
          <w:sz w:val="20"/>
        </w:rPr>
        <w:t> </w:t>
      </w:r>
      <w:r>
        <w:rPr>
          <w:sz w:val="20"/>
        </w:rPr>
        <w:t>with</w:t>
      </w:r>
      <w:r>
        <w:rPr>
          <w:spacing w:val="-20"/>
          <w:sz w:val="20"/>
        </w:rPr>
        <w:t> </w:t>
      </w:r>
      <w:r>
        <w:rPr>
          <w:sz w:val="20"/>
        </w:rPr>
        <w:t>the</w:t>
      </w:r>
      <w:r>
        <w:rPr>
          <w:spacing w:val="-20"/>
          <w:sz w:val="20"/>
        </w:rPr>
        <w:t> </w:t>
      </w:r>
      <w:r>
        <w:rPr>
          <w:sz w:val="20"/>
        </w:rPr>
        <w:t>CO</w:t>
      </w:r>
      <w:r>
        <w:rPr>
          <w:position w:val="-6"/>
          <w:sz w:val="11"/>
        </w:rPr>
        <w:t>2</w:t>
      </w:r>
      <w:r>
        <w:rPr>
          <w:spacing w:val="3"/>
          <w:position w:val="-6"/>
          <w:sz w:val="11"/>
        </w:rPr>
        <w:t> </w:t>
      </w:r>
      <w:r>
        <w:rPr>
          <w:sz w:val="20"/>
        </w:rPr>
        <w:t>compressor will not only remove excess O</w:t>
      </w:r>
      <w:r>
        <w:rPr>
          <w:position w:val="-6"/>
          <w:sz w:val="11"/>
        </w:rPr>
        <w:t>2</w:t>
      </w:r>
      <w:r>
        <w:rPr>
          <w:sz w:val="20"/>
        </w:rPr>
        <w:t>, N</w:t>
      </w:r>
      <w:r>
        <w:rPr>
          <w:position w:val="-6"/>
          <w:sz w:val="11"/>
        </w:rPr>
        <w:t>2</w:t>
      </w:r>
      <w:r>
        <w:rPr>
          <w:sz w:val="20"/>
        </w:rPr>
        <w:t>, argon but can also remove all NO</w:t>
      </w:r>
      <w:r>
        <w:rPr>
          <w:position w:val="-6"/>
          <w:sz w:val="11"/>
        </w:rPr>
        <w:t>x </w:t>
      </w:r>
      <w:r>
        <w:rPr>
          <w:sz w:val="20"/>
        </w:rPr>
        <w:t>and SO</w:t>
      </w:r>
      <w:r>
        <w:rPr>
          <w:position w:val="-6"/>
          <w:sz w:val="11"/>
        </w:rPr>
        <w:t>2 </w:t>
      </w:r>
      <w:r>
        <w:rPr>
          <w:sz w:val="20"/>
        </w:rPr>
        <w:t>from the CO</w:t>
      </w:r>
      <w:r>
        <w:rPr>
          <w:position w:val="-6"/>
          <w:sz w:val="11"/>
        </w:rPr>
        <w:t>2 </w:t>
      </w:r>
      <w:r>
        <w:rPr>
          <w:sz w:val="20"/>
        </w:rPr>
        <w:t>stream, if  high purity CO</w:t>
      </w:r>
      <w:r>
        <w:rPr>
          <w:position w:val="-6"/>
          <w:sz w:val="11"/>
        </w:rPr>
        <w:t>2 </w:t>
      </w:r>
      <w:r>
        <w:rPr>
          <w:sz w:val="20"/>
        </w:rPr>
        <w:t>is required for storage. Significantly, removal of these components before final CO</w:t>
      </w:r>
      <w:r>
        <w:rPr>
          <w:position w:val="-6"/>
          <w:sz w:val="11"/>
        </w:rPr>
        <w:t>2 </w:t>
      </w:r>
      <w:r>
        <w:rPr>
          <w:sz w:val="20"/>
        </w:rPr>
        <w:t>compression eliminates the need to otherwise incorporate upstream NO</w:t>
      </w:r>
      <w:r>
        <w:rPr>
          <w:position w:val="-6"/>
          <w:sz w:val="11"/>
        </w:rPr>
        <w:t>x </w:t>
      </w:r>
      <w:r>
        <w:rPr>
          <w:sz w:val="20"/>
        </w:rPr>
        <w:t>and SO</w:t>
      </w:r>
      <w:r>
        <w:rPr>
          <w:position w:val="-6"/>
          <w:sz w:val="11"/>
        </w:rPr>
        <w:t>x</w:t>
      </w:r>
      <w:r>
        <w:rPr>
          <w:sz w:val="11"/>
        </w:rPr>
        <w:t> </w:t>
      </w:r>
      <w:r>
        <w:rPr>
          <w:sz w:val="20"/>
        </w:rPr>
        <w:t>removal equipment in the net flue gas stream leaving the boiler. Elimination of N</w:t>
      </w:r>
      <w:r>
        <w:rPr>
          <w:position w:val="-6"/>
          <w:sz w:val="11"/>
        </w:rPr>
        <w:t>2 </w:t>
      </w:r>
      <w:r>
        <w:rPr>
          <w:sz w:val="20"/>
        </w:rPr>
        <w:t>from the flue gas results in higher SO</w:t>
      </w:r>
      <w:r>
        <w:rPr>
          <w:position w:val="-6"/>
          <w:sz w:val="11"/>
        </w:rPr>
        <w:t>x </w:t>
      </w:r>
      <w:r>
        <w:rPr>
          <w:sz w:val="20"/>
        </w:rPr>
        <w:t>concentrations in the boiler and reduced NO</w:t>
      </w:r>
      <w:r>
        <w:rPr>
          <w:position w:val="-6"/>
          <w:sz w:val="11"/>
        </w:rPr>
        <w:t>x </w:t>
      </w:r>
      <w:r>
        <w:rPr>
          <w:sz w:val="20"/>
        </w:rPr>
        <w:t>levels. Suitable corrosion resistant materials of construction must be chosen.</w:t>
      </w:r>
    </w:p>
    <w:p>
      <w:pPr>
        <w:pStyle w:val="ListParagraph"/>
        <w:numPr>
          <w:ilvl w:val="1"/>
          <w:numId w:val="16"/>
        </w:numPr>
        <w:tabs>
          <w:tab w:pos="401" w:val="left" w:leader="none"/>
        </w:tabs>
        <w:spacing w:line="240" w:lineRule="exact" w:before="0" w:after="0"/>
        <w:ind w:left="400" w:right="38" w:hanging="284"/>
        <w:jc w:val="both"/>
        <w:rPr>
          <w:sz w:val="20"/>
        </w:rPr>
      </w:pPr>
      <w:r>
        <w:rPr>
          <w:sz w:val="20"/>
        </w:rPr>
        <w:t>The overall heat transfer is improved in oxy-fuel firing because</w:t>
      </w:r>
      <w:r>
        <w:rPr>
          <w:spacing w:val="-13"/>
          <w:sz w:val="20"/>
        </w:rPr>
        <w:t> </w:t>
      </w:r>
      <w:r>
        <w:rPr>
          <w:sz w:val="20"/>
        </w:rPr>
        <w:t>of</w:t>
      </w:r>
      <w:r>
        <w:rPr>
          <w:spacing w:val="-13"/>
          <w:sz w:val="20"/>
        </w:rPr>
        <w:t> </w:t>
      </w:r>
      <w:r>
        <w:rPr>
          <w:sz w:val="20"/>
        </w:rPr>
        <w:t>the</w:t>
      </w:r>
      <w:r>
        <w:rPr>
          <w:spacing w:val="-13"/>
          <w:sz w:val="20"/>
        </w:rPr>
        <w:t> </w:t>
      </w:r>
      <w:r>
        <w:rPr>
          <w:sz w:val="20"/>
        </w:rPr>
        <w:t>higher</w:t>
      </w:r>
      <w:r>
        <w:rPr>
          <w:spacing w:val="-13"/>
          <w:sz w:val="20"/>
        </w:rPr>
        <w:t> </w:t>
      </w:r>
      <w:r>
        <w:rPr>
          <w:sz w:val="20"/>
        </w:rPr>
        <w:t>emissivity</w:t>
      </w:r>
      <w:r>
        <w:rPr>
          <w:spacing w:val="-12"/>
          <w:sz w:val="20"/>
        </w:rPr>
        <w:t> </w:t>
      </w:r>
      <w:r>
        <w:rPr>
          <w:sz w:val="20"/>
        </w:rPr>
        <w:t>of</w:t>
      </w:r>
      <w:r>
        <w:rPr>
          <w:spacing w:val="-13"/>
          <w:sz w:val="20"/>
        </w:rPr>
        <w:t> </w:t>
      </w:r>
      <w:r>
        <w:rPr>
          <w:sz w:val="20"/>
        </w:rPr>
        <w:t>the</w:t>
      </w:r>
      <w:r>
        <w:rPr>
          <w:spacing w:val="-13"/>
          <w:sz w:val="20"/>
        </w:rPr>
        <w:t> </w:t>
      </w:r>
      <w:r>
        <w:rPr>
          <w:sz w:val="20"/>
        </w:rPr>
        <w:t>CO</w:t>
      </w:r>
      <w:r>
        <w:rPr>
          <w:position w:val="-6"/>
          <w:sz w:val="11"/>
        </w:rPr>
        <w:t>2</w:t>
      </w:r>
      <w:r>
        <w:rPr>
          <w:sz w:val="20"/>
        </w:rPr>
        <w:t>/H</w:t>
      </w:r>
      <w:r>
        <w:rPr>
          <w:position w:val="-6"/>
          <w:sz w:val="11"/>
        </w:rPr>
        <w:t>2</w:t>
      </w:r>
      <w:r>
        <w:rPr>
          <w:sz w:val="20"/>
        </w:rPr>
        <w:t>O</w:t>
      </w:r>
      <w:r>
        <w:rPr>
          <w:spacing w:val="-13"/>
          <w:sz w:val="20"/>
        </w:rPr>
        <w:t> </w:t>
      </w:r>
      <w:r>
        <w:rPr>
          <w:sz w:val="20"/>
        </w:rPr>
        <w:t>gas</w:t>
      </w:r>
      <w:r>
        <w:rPr>
          <w:spacing w:val="-13"/>
          <w:sz w:val="20"/>
        </w:rPr>
        <w:t> </w:t>
      </w:r>
      <w:r>
        <w:rPr>
          <w:sz w:val="20"/>
        </w:rPr>
        <w:t>mixture in the boiler compared to nitrogen and the improved </w:t>
      </w:r>
      <w:r>
        <w:rPr>
          <w:spacing w:val="-4"/>
          <w:sz w:val="20"/>
        </w:rPr>
        <w:t>heat </w:t>
      </w:r>
      <w:r>
        <w:rPr>
          <w:sz w:val="20"/>
        </w:rPr>
        <w:t>transfer in the convection section. These improvements, together with the recycle of hot flue gas, increase the boiler efficiency and steam generation by about</w:t>
      </w:r>
      <w:r>
        <w:rPr>
          <w:spacing w:val="-5"/>
          <w:sz w:val="20"/>
        </w:rPr>
        <w:t> </w:t>
      </w:r>
      <w:r>
        <w:rPr>
          <w:sz w:val="20"/>
        </w:rPr>
        <w:t>5%.</w:t>
      </w:r>
    </w:p>
    <w:p>
      <w:pPr>
        <w:pStyle w:val="ListParagraph"/>
        <w:numPr>
          <w:ilvl w:val="1"/>
          <w:numId w:val="16"/>
        </w:numPr>
        <w:tabs>
          <w:tab w:pos="401" w:val="left" w:leader="none"/>
        </w:tabs>
        <w:spacing w:line="225" w:lineRule="auto" w:before="16" w:after="0"/>
        <w:ind w:left="400" w:right="38" w:hanging="284"/>
        <w:jc w:val="both"/>
        <w:rPr>
          <w:sz w:val="20"/>
        </w:rPr>
      </w:pPr>
      <w:r>
        <w:rPr>
          <w:sz w:val="20"/>
        </w:rPr>
        <w:t>The overall thermal efficiency is improved by running the O</w:t>
      </w:r>
      <w:r>
        <w:rPr>
          <w:position w:val="-6"/>
          <w:sz w:val="11"/>
        </w:rPr>
        <w:t>2  </w:t>
      </w:r>
      <w:r>
        <w:rPr>
          <w:sz w:val="20"/>
        </w:rPr>
        <w:t>plant air compressor and the first and final stages of   the CO</w:t>
      </w:r>
      <w:r>
        <w:rPr>
          <w:position w:val="-6"/>
          <w:sz w:val="11"/>
        </w:rPr>
        <w:t>2 </w:t>
      </w:r>
      <w:r>
        <w:rPr>
          <w:sz w:val="20"/>
        </w:rPr>
        <w:t>compressor without cooling, and recovering the compression heat for boiler feed water heating prior</w:t>
      </w:r>
      <w:r>
        <w:rPr>
          <w:spacing w:val="38"/>
          <w:sz w:val="20"/>
        </w:rPr>
        <w:t> </w:t>
      </w:r>
      <w:r>
        <w:rPr>
          <w:sz w:val="20"/>
        </w:rPr>
        <w:t>to de-aeration.</w:t>
      </w:r>
    </w:p>
    <w:p>
      <w:pPr>
        <w:pStyle w:val="BodyText"/>
        <w:spacing w:before="5"/>
        <w:rPr>
          <w:sz w:val="21"/>
        </w:rPr>
      </w:pPr>
    </w:p>
    <w:p>
      <w:pPr>
        <w:pStyle w:val="BodyText"/>
        <w:spacing w:line="249" w:lineRule="auto" w:before="1"/>
        <w:ind w:left="117" w:right="39"/>
        <w:jc w:val="both"/>
      </w:pPr>
      <w:r>
        <w:rPr/>
        <w:t>Engineering studies have also been reported by Simbeck and McDonald (2001b) and by McDonald and Palkes  (1999).  This work has confirmed that the concept of retrofitting oxy- fuel combustion with CO</w:t>
      </w:r>
      <w:r>
        <w:rPr>
          <w:position w:val="-6"/>
          <w:sz w:val="11"/>
        </w:rPr>
        <w:t>2 </w:t>
      </w:r>
      <w:r>
        <w:rPr/>
        <w:t>capture to existing coal-fired</w:t>
      </w:r>
      <w:r>
        <w:rPr>
          <w:spacing w:val="41"/>
        </w:rPr>
        <w:t> </w:t>
      </w:r>
      <w:r>
        <w:rPr/>
        <w:t>power</w:t>
      </w:r>
    </w:p>
    <w:p>
      <w:pPr>
        <w:pStyle w:val="BodyText"/>
        <w:spacing w:line="249" w:lineRule="auto" w:before="63"/>
        <w:ind w:left="117" w:right="1131"/>
        <w:jc w:val="both"/>
      </w:pPr>
      <w:r>
        <w:rPr/>
        <w:br w:type="column"/>
      </w:r>
      <w:r>
        <w:rPr/>
        <w:t>stations does not have any technical barriers and can make use of existing technology systems.</w:t>
      </w:r>
    </w:p>
    <w:p>
      <w:pPr>
        <w:pStyle w:val="BodyText"/>
        <w:spacing w:line="249" w:lineRule="auto" w:before="2"/>
        <w:ind w:left="117" w:right="1130" w:firstLine="284"/>
        <w:jc w:val="both"/>
      </w:pPr>
      <w:r>
        <w:rPr/>
        <w:t>It has been reported (Wilkinson </w:t>
      </w:r>
      <w:r>
        <w:rPr>
          <w:i/>
        </w:rPr>
        <w:t>et al.</w:t>
      </w:r>
      <w:r>
        <w:rPr/>
        <w:t>, 2003b) that the application of oxy-fuel technology for the retrofit of </w:t>
      </w:r>
      <w:r>
        <w:rPr>
          <w:spacing w:val="-3"/>
        </w:rPr>
        <w:t>power  </w:t>
      </w:r>
      <w:r>
        <w:rPr/>
        <w:t>plant boilers and a range of refinery heaters in a refinery complex (Grangemouth refinery in Scotland) is technically feasible at a competitive cost compared to other  types  of  CO</w:t>
      </w:r>
      <w:r>
        <w:rPr>
          <w:position w:val="-6"/>
          <w:sz w:val="11"/>
        </w:rPr>
        <w:t>2 </w:t>
      </w:r>
      <w:r>
        <w:rPr>
          <w:spacing w:val="25"/>
          <w:position w:val="-6"/>
          <w:sz w:val="11"/>
        </w:rPr>
        <w:t> </w:t>
      </w:r>
      <w:r>
        <w:rPr/>
        <w:t>capture</w:t>
      </w:r>
      <w:r>
        <w:rPr>
          <w:spacing w:val="32"/>
        </w:rPr>
        <w:t> </w:t>
      </w:r>
      <w:r>
        <w:rPr/>
        <w:t>technologies.</w:t>
      </w:r>
      <w:r>
        <w:rPr>
          <w:spacing w:val="31"/>
        </w:rPr>
        <w:t> </w:t>
      </w:r>
      <w:r>
        <w:rPr/>
        <w:t>In</w:t>
      </w:r>
      <w:r>
        <w:rPr>
          <w:spacing w:val="31"/>
        </w:rPr>
        <w:t> </w:t>
      </w:r>
      <w:r>
        <w:rPr/>
        <w:t>this</w:t>
      </w:r>
      <w:r>
        <w:rPr>
          <w:spacing w:val="32"/>
        </w:rPr>
        <w:t> </w:t>
      </w:r>
      <w:r>
        <w:rPr/>
        <w:t>case,</w:t>
      </w:r>
      <w:r>
        <w:rPr>
          <w:spacing w:val="31"/>
        </w:rPr>
        <w:t> </w:t>
      </w:r>
      <w:r>
        <w:rPr/>
        <w:t>the</w:t>
      </w:r>
      <w:r>
        <w:rPr>
          <w:spacing w:val="31"/>
        </w:rPr>
        <w:t> </w:t>
      </w:r>
      <w:r>
        <w:rPr/>
        <w:t>existing</w:t>
      </w:r>
      <w:r>
        <w:rPr>
          <w:spacing w:val="32"/>
        </w:rPr>
        <w:t> </w:t>
      </w:r>
      <w:r>
        <w:rPr/>
        <w:t>boiler</w:t>
      </w:r>
      <w:r>
        <w:rPr>
          <w:spacing w:val="31"/>
        </w:rPr>
        <w:t> </w:t>
      </w:r>
      <w:r>
        <w:rPr>
          <w:spacing w:val="-7"/>
        </w:rPr>
        <w:t>is</w:t>
      </w:r>
    </w:p>
    <w:p>
      <w:pPr>
        <w:pStyle w:val="BodyText"/>
        <w:spacing w:line="184" w:lineRule="exact"/>
        <w:ind w:left="117"/>
        <w:jc w:val="both"/>
      </w:pPr>
      <w:r>
        <w:rPr/>
        <w:t>adapted</w:t>
      </w:r>
      <w:r>
        <w:rPr>
          <w:spacing w:val="14"/>
        </w:rPr>
        <w:t> </w:t>
      </w:r>
      <w:r>
        <w:rPr/>
        <w:t>to</w:t>
      </w:r>
      <w:r>
        <w:rPr>
          <w:spacing w:val="15"/>
        </w:rPr>
        <w:t> </w:t>
      </w:r>
      <w:r>
        <w:rPr/>
        <w:t>allow</w:t>
      </w:r>
      <w:r>
        <w:rPr>
          <w:spacing w:val="14"/>
        </w:rPr>
        <w:t> </w:t>
      </w:r>
      <w:r>
        <w:rPr/>
        <w:t>combustion</w:t>
      </w:r>
      <w:r>
        <w:rPr>
          <w:spacing w:val="15"/>
        </w:rPr>
        <w:t> </w:t>
      </w:r>
      <w:r>
        <w:rPr/>
        <w:t>of</w:t>
      </w:r>
      <w:r>
        <w:rPr>
          <w:spacing w:val="14"/>
        </w:rPr>
        <w:t> </w:t>
      </w:r>
      <w:r>
        <w:rPr/>
        <w:t>refinery</w:t>
      </w:r>
      <w:r>
        <w:rPr>
          <w:spacing w:val="15"/>
        </w:rPr>
        <w:t> </w:t>
      </w:r>
      <w:r>
        <w:rPr/>
        <w:t>gas</w:t>
      </w:r>
      <w:r>
        <w:rPr>
          <w:spacing w:val="14"/>
        </w:rPr>
        <w:t> </w:t>
      </w:r>
      <w:r>
        <w:rPr/>
        <w:t>and</w:t>
      </w:r>
      <w:r>
        <w:rPr>
          <w:spacing w:val="15"/>
        </w:rPr>
        <w:t> </w:t>
      </w:r>
      <w:r>
        <w:rPr/>
        <w:t>fuel</w:t>
      </w:r>
      <w:r>
        <w:rPr>
          <w:spacing w:val="14"/>
        </w:rPr>
        <w:t> </w:t>
      </w:r>
      <w:r>
        <w:rPr/>
        <w:t>oil</w:t>
      </w:r>
      <w:r>
        <w:rPr>
          <w:spacing w:val="15"/>
        </w:rPr>
        <w:t> </w:t>
      </w:r>
      <w:r>
        <w:rPr/>
        <w:t>with</w:t>
      </w:r>
    </w:p>
    <w:p>
      <w:pPr>
        <w:pStyle w:val="BodyText"/>
        <w:spacing w:line="240" w:lineRule="exact" w:before="4"/>
        <w:ind w:left="117" w:right="1130"/>
        <w:jc w:val="both"/>
      </w:pPr>
      <w:r>
        <w:rPr/>
        <w:t>highly enriched oxygen and with partial flue gas recycling for temperature control. Oxy-fuel boiler conversions only needed minor burner modifications, a new O</w:t>
      </w:r>
      <w:r>
        <w:rPr>
          <w:position w:val="-6"/>
          <w:sz w:val="11"/>
        </w:rPr>
        <w:t>2 </w:t>
      </w:r>
      <w:r>
        <w:rPr/>
        <w:t>injection system and controls,</w:t>
      </w:r>
      <w:r>
        <w:rPr>
          <w:spacing w:val="-9"/>
        </w:rPr>
        <w:t> </w:t>
      </w:r>
      <w:r>
        <w:rPr/>
        <w:t>and</w:t>
      </w:r>
      <w:r>
        <w:rPr>
          <w:spacing w:val="-8"/>
        </w:rPr>
        <w:t> </w:t>
      </w:r>
      <w:r>
        <w:rPr/>
        <w:t>a</w:t>
      </w:r>
      <w:r>
        <w:rPr>
          <w:spacing w:val="-8"/>
        </w:rPr>
        <w:t> </w:t>
      </w:r>
      <w:r>
        <w:rPr/>
        <w:t>new</w:t>
      </w:r>
      <w:r>
        <w:rPr>
          <w:spacing w:val="-8"/>
        </w:rPr>
        <w:t> </w:t>
      </w:r>
      <w:r>
        <w:rPr/>
        <w:t>flue</w:t>
      </w:r>
      <w:r>
        <w:rPr>
          <w:spacing w:val="-8"/>
        </w:rPr>
        <w:t> </w:t>
      </w:r>
      <w:r>
        <w:rPr/>
        <w:t>gas</w:t>
      </w:r>
      <w:r>
        <w:rPr>
          <w:spacing w:val="-8"/>
        </w:rPr>
        <w:t> </w:t>
      </w:r>
      <w:r>
        <w:rPr/>
        <w:t>recycle</w:t>
      </w:r>
      <w:r>
        <w:rPr>
          <w:spacing w:val="-8"/>
        </w:rPr>
        <w:t> </w:t>
      </w:r>
      <w:r>
        <w:rPr/>
        <w:t>line</w:t>
      </w:r>
      <w:r>
        <w:rPr>
          <w:spacing w:val="-8"/>
        </w:rPr>
        <w:t> </w:t>
      </w:r>
      <w:r>
        <w:rPr/>
        <w:t>with</w:t>
      </w:r>
      <w:r>
        <w:rPr>
          <w:spacing w:val="-8"/>
        </w:rPr>
        <w:t> </w:t>
      </w:r>
      <w:r>
        <w:rPr/>
        <w:t>a</w:t>
      </w:r>
      <w:r>
        <w:rPr>
          <w:spacing w:val="-8"/>
        </w:rPr>
        <w:t> </w:t>
      </w:r>
      <w:r>
        <w:rPr/>
        <w:t>separate</w:t>
      </w:r>
      <w:r>
        <w:rPr>
          <w:spacing w:val="-8"/>
        </w:rPr>
        <w:t> </w:t>
      </w:r>
      <w:r>
        <w:rPr/>
        <w:t>blower. These are cheap and relatively simple modifications and result in an increase in boiler/heater thermal efficiency due to the recycle</w:t>
      </w:r>
      <w:r>
        <w:rPr>
          <w:spacing w:val="-6"/>
        </w:rPr>
        <w:t> </w:t>
      </w:r>
      <w:r>
        <w:rPr/>
        <w:t>of</w:t>
      </w:r>
      <w:r>
        <w:rPr>
          <w:spacing w:val="-5"/>
        </w:rPr>
        <w:t> </w:t>
      </w:r>
      <w:r>
        <w:rPr/>
        <w:t>hot</w:t>
      </w:r>
      <w:r>
        <w:rPr>
          <w:spacing w:val="-5"/>
        </w:rPr>
        <w:t> </w:t>
      </w:r>
      <w:r>
        <w:rPr/>
        <w:t>gas.</w:t>
      </w:r>
      <w:r>
        <w:rPr>
          <w:spacing w:val="-6"/>
        </w:rPr>
        <w:t> </w:t>
      </w:r>
      <w:r>
        <w:rPr/>
        <w:t>Modifications</w:t>
      </w:r>
      <w:r>
        <w:rPr>
          <w:spacing w:val="-5"/>
        </w:rPr>
        <w:t> </w:t>
      </w:r>
      <w:r>
        <w:rPr/>
        <w:t>to</w:t>
      </w:r>
      <w:r>
        <w:rPr>
          <w:spacing w:val="-5"/>
        </w:rPr>
        <w:t> </w:t>
      </w:r>
      <w:r>
        <w:rPr/>
        <w:t>a</w:t>
      </w:r>
      <w:r>
        <w:rPr>
          <w:spacing w:val="-5"/>
        </w:rPr>
        <w:t> </w:t>
      </w:r>
      <w:r>
        <w:rPr/>
        <w:t>coal-fired</w:t>
      </w:r>
      <w:r>
        <w:rPr>
          <w:spacing w:val="-6"/>
        </w:rPr>
        <w:t> </w:t>
      </w:r>
      <w:r>
        <w:rPr/>
        <w:t>boiler</w:t>
      </w:r>
      <w:r>
        <w:rPr>
          <w:spacing w:val="-5"/>
        </w:rPr>
        <w:t> </w:t>
      </w:r>
      <w:r>
        <w:rPr/>
        <w:t>are</w:t>
      </w:r>
      <w:r>
        <w:rPr>
          <w:spacing w:val="-5"/>
        </w:rPr>
        <w:t> </w:t>
      </w:r>
      <w:r>
        <w:rPr/>
        <w:t>more complex. In this </w:t>
      </w:r>
      <w:r>
        <w:rPr>
          <w:spacing w:val="-3"/>
        </w:rPr>
        <w:t>study, </w:t>
      </w:r>
      <w:r>
        <w:rPr/>
        <w:t>it was found to be more economic to design the air separation units for only 95% O</w:t>
      </w:r>
      <w:r>
        <w:rPr>
          <w:position w:val="-6"/>
          <w:sz w:val="11"/>
        </w:rPr>
        <w:t>2 </w:t>
      </w:r>
      <w:r>
        <w:rPr/>
        <w:t>purity instead of 99.5% to comply with practical levels of air leakage into boilers and to separate the associated argon and nitrogen in  the CO</w:t>
      </w:r>
      <w:r>
        <w:rPr>
          <w:position w:val="-6"/>
          <w:sz w:val="11"/>
        </w:rPr>
        <w:t>2 </w:t>
      </w:r>
      <w:r>
        <w:rPr/>
        <w:t>inert gas removal system to produce a purity of CO</w:t>
      </w:r>
      <w:r>
        <w:rPr>
          <w:position w:val="-6"/>
          <w:sz w:val="11"/>
        </w:rPr>
        <w:t>2 </w:t>
      </w:r>
      <w:r>
        <w:rPr/>
        <w:t>suitable for geological storage. After conversion of the boiler, the CO</w:t>
      </w:r>
      <w:r>
        <w:rPr>
          <w:position w:val="-6"/>
          <w:sz w:val="11"/>
        </w:rPr>
        <w:t>2 </w:t>
      </w:r>
      <w:r>
        <w:rPr/>
        <w:t>concentration in the flue gas increases from 17 to 60% while the water content increases from 10 to 30%. Impurities (SO</w:t>
      </w:r>
      <w:r>
        <w:rPr>
          <w:position w:val="-6"/>
          <w:sz w:val="11"/>
        </w:rPr>
        <w:t>x</w:t>
      </w:r>
      <w:r>
        <w:rPr/>
        <w:t>, NO</w:t>
      </w:r>
      <w:r>
        <w:rPr>
          <w:position w:val="-6"/>
          <w:sz w:val="11"/>
        </w:rPr>
        <w:t>x</w:t>
      </w:r>
      <w:r>
        <w:rPr/>
        <w:t>) and gases (excess O</w:t>
      </w:r>
      <w:r>
        <w:rPr>
          <w:position w:val="-6"/>
          <w:sz w:val="11"/>
        </w:rPr>
        <w:t>2</w:t>
      </w:r>
      <w:r>
        <w:rPr/>
        <w:t>, N</w:t>
      </w:r>
      <w:r>
        <w:rPr>
          <w:position w:val="-6"/>
          <w:sz w:val="11"/>
        </w:rPr>
        <w:t>2</w:t>
      </w:r>
      <w:r>
        <w:rPr/>
        <w:t>, argon) representing </w:t>
      </w:r>
      <w:r>
        <w:rPr>
          <w:spacing w:val="-3"/>
        </w:rPr>
        <w:t>about </w:t>
      </w:r>
      <w:r>
        <w:rPr/>
        <w:t>10% of the stream are separated from CO</w:t>
      </w:r>
      <w:r>
        <w:rPr>
          <w:position w:val="-6"/>
          <w:sz w:val="11"/>
        </w:rPr>
        <w:t>2 </w:t>
      </w:r>
      <w:r>
        <w:rPr/>
        <w:t>at low temperature (-55°C).</w:t>
      </w:r>
      <w:r>
        <w:rPr>
          <w:spacing w:val="-22"/>
        </w:rPr>
        <w:t> </w:t>
      </w:r>
      <w:r>
        <w:rPr/>
        <w:t>After</w:t>
      </w:r>
      <w:r>
        <w:rPr>
          <w:spacing w:val="-10"/>
        </w:rPr>
        <w:t> </w:t>
      </w:r>
      <w:r>
        <w:rPr/>
        <w:t>cooling,</w:t>
      </w:r>
      <w:r>
        <w:rPr>
          <w:spacing w:val="-11"/>
        </w:rPr>
        <w:t> </w:t>
      </w:r>
      <w:r>
        <w:rPr/>
        <w:t>compression</w:t>
      </w:r>
      <w:r>
        <w:rPr>
          <w:spacing w:val="-10"/>
        </w:rPr>
        <w:t> </w:t>
      </w:r>
      <w:r>
        <w:rPr/>
        <w:t>and</w:t>
      </w:r>
      <w:r>
        <w:rPr>
          <w:spacing w:val="-11"/>
        </w:rPr>
        <w:t> </w:t>
      </w:r>
      <w:r>
        <w:rPr/>
        <w:t>drying</w:t>
      </w:r>
      <w:r>
        <w:rPr>
          <w:spacing w:val="-11"/>
        </w:rPr>
        <w:t> </w:t>
      </w:r>
      <w:r>
        <w:rPr/>
        <w:t>of</w:t>
      </w:r>
      <w:r>
        <w:rPr>
          <w:spacing w:val="-10"/>
        </w:rPr>
        <w:t> </w:t>
      </w:r>
      <w:r>
        <w:rPr/>
        <w:t>the</w:t>
      </w:r>
      <w:r>
        <w:rPr>
          <w:spacing w:val="-11"/>
        </w:rPr>
        <w:t> </w:t>
      </w:r>
      <w:r>
        <w:rPr/>
        <w:t>separated or non-recycled flue gas, the product for storage comprises 96% CO</w:t>
      </w:r>
      <w:r>
        <w:rPr>
          <w:position w:val="-6"/>
          <w:sz w:val="11"/>
        </w:rPr>
        <w:t>2 </w:t>
      </w:r>
      <w:r>
        <w:rPr/>
        <w:t>contaminated with 2% N</w:t>
      </w:r>
      <w:r>
        <w:rPr>
          <w:position w:val="-6"/>
          <w:sz w:val="11"/>
        </w:rPr>
        <w:t>2</w:t>
      </w:r>
      <w:r>
        <w:rPr/>
        <w:t>, 1% argon and less than 1% O</w:t>
      </w:r>
      <w:r>
        <w:rPr>
          <w:position w:val="-6"/>
          <w:sz w:val="11"/>
        </w:rPr>
        <w:t>2 </w:t>
      </w:r>
      <w:r>
        <w:rPr/>
        <w:t>and SO</w:t>
      </w:r>
      <w:r>
        <w:rPr>
          <w:position w:val="-6"/>
          <w:sz w:val="11"/>
        </w:rPr>
        <w:t>2</w:t>
      </w:r>
      <w:r>
        <w:rPr/>
        <w:t>. Production of ultra-pure CO</w:t>
      </w:r>
      <w:r>
        <w:rPr>
          <w:position w:val="-6"/>
          <w:sz w:val="11"/>
        </w:rPr>
        <w:t>2 </w:t>
      </w:r>
      <w:r>
        <w:rPr/>
        <w:t>for storage</w:t>
      </w:r>
      <w:r>
        <w:rPr>
          <w:spacing w:val="-28"/>
        </w:rPr>
        <w:t> </w:t>
      </w:r>
      <w:r>
        <w:rPr/>
        <w:t>would also be possible if distillation steps are added to the separation process.</w:t>
      </w:r>
    </w:p>
    <w:p>
      <w:pPr>
        <w:spacing w:after="0" w:line="240" w:lineRule="exact"/>
        <w:jc w:val="both"/>
        <w:sectPr>
          <w:type w:val="continuous"/>
          <w:pgSz w:w="12240" w:h="15840"/>
          <w:pgMar w:top="480" w:bottom="280" w:left="620" w:right="0"/>
          <w:cols w:num="2" w:equalWidth="0">
            <w:col w:w="5202" w:space="124"/>
            <w:col w:w="6294"/>
          </w:cols>
        </w:sectPr>
      </w:pPr>
    </w:p>
    <w:p>
      <w:pPr>
        <w:pStyle w:val="BodyText"/>
        <w:spacing w:before="11"/>
        <w:rPr>
          <w:sz w:val="27"/>
        </w:r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69"/>
      </w:tblGrid>
      <w:tr>
        <w:trPr>
          <w:trHeight w:val="3991" w:hRule="atLeast"/>
        </w:trPr>
        <w:tc>
          <w:tcPr>
            <w:tcW w:w="10369" w:type="dxa"/>
          </w:tcPr>
          <w:p>
            <w:pPr>
              <w:pStyle w:val="TableParagraph"/>
              <w:jc w:val="left"/>
              <w:rPr>
                <w:sz w:val="20"/>
              </w:rPr>
            </w:pPr>
          </w:p>
          <w:p>
            <w:pPr>
              <w:pStyle w:val="TableParagraph"/>
              <w:jc w:val="left"/>
              <w:rPr>
                <w:sz w:val="15"/>
              </w:rPr>
            </w:pPr>
          </w:p>
          <w:p>
            <w:pPr>
              <w:pStyle w:val="TableParagraph"/>
              <w:ind w:left="286"/>
              <w:jc w:val="left"/>
              <w:rPr>
                <w:sz w:val="20"/>
              </w:rPr>
            </w:pPr>
            <w:r>
              <w:rPr>
                <w:sz w:val="20"/>
              </w:rPr>
              <w:pict>
                <v:group style="width:498.3pt;height:145.85pt;mso-position-horizontal-relative:char;mso-position-vertical-relative:line" coordorigin="0,0" coordsize="9966,2917">
                  <v:shape style="position:absolute;left:1353;top:781;width:2087;height:837" type="#_x0000_t75" stroked="false">
                    <v:imagedata r:id="rId38" o:title=""/>
                  </v:shape>
                  <v:rect style="position:absolute;left:1353;top:781;width:2087;height:837" filled="false" stroked="true" strokeweight="1pt" strokecolor="#000000">
                    <v:stroke dashstyle="solid"/>
                  </v:rect>
                  <v:shape style="position:absolute;left:1353;top:781;width:2087;height:419" type="#_x0000_t75" stroked="false">
                    <v:imagedata r:id="rId39" o:title=""/>
                  </v:shape>
                  <v:rect style="position:absolute;left:1353;top:781;width:2087;height:419" filled="false" stroked="true" strokeweight="1pt" strokecolor="#000000">
                    <v:stroke dashstyle="solid"/>
                  </v:rect>
                  <v:rect style="position:absolute;left:1240;top:2321;width:4581;height:155" filled="true" fillcolor="#9c9d9f" stroked="false">
                    <v:fill type="solid"/>
                  </v:rect>
                  <v:rect style="position:absolute;left:1240;top:2321;width:4631;height:155" filled="false" stroked="true" strokeweight="1pt" strokecolor="#000000">
                    <v:stroke dashstyle="solid"/>
                  </v:rect>
                  <v:shape style="position:absolute;left:921;top:1906;width:600;height:1000" type="#_x0000_t75" stroked="false">
                    <v:imagedata r:id="rId40" o:title=""/>
                  </v:shape>
                  <v:shape style="position:absolute;left:921;top:1906;width:600;height:1000" coordorigin="921,1907" coordsize="600,1000" path="m921,1907l921,2382,921,2384,921,2906,1520,2659,1520,2613,1520,2384,1520,2382,1520,2154,921,1907xe" filled="false" stroked="true" strokeweight="1pt" strokecolor="#000000">
                    <v:path arrowok="t"/>
                    <v:stroke dashstyle="solid"/>
                  </v:shape>
                  <v:shape style="position:absolute;left:3222;top:1895;width:600;height:1000" type="#_x0000_t75" stroked="false">
                    <v:imagedata r:id="rId41" o:title=""/>
                  </v:shape>
                  <v:shape style="position:absolute;left:3222;top:1895;width:600;height:1000" coordorigin="3223,1895" coordsize="600,1000" path="m3822,2895l3822,2419,3822,2417,3822,1895,3223,2143,3223,2417,3223,2419,3223,2647,3822,2895xe" filled="false" stroked="true" strokeweight="1pt" strokecolor="#000000">
                    <v:path arrowok="t"/>
                    <v:stroke dashstyle="solid"/>
                  </v:shape>
                  <v:shape style="position:absolute;left:4587;top:1895;width:600;height:1000" type="#_x0000_t75" stroked="false">
                    <v:imagedata r:id="rId42" o:title=""/>
                  </v:shape>
                  <v:shape style="position:absolute;left:4587;top:1895;width:600;height:1000" coordorigin="4588,1895" coordsize="600,1000" path="m5187,2895l5187,2419,5187,2417,5187,1895,4588,2143,4588,2417,4588,2419,4588,2647,5187,2895xe" filled="false" stroked="true" strokeweight="1pt" strokecolor="#000000">
                    <v:path arrowok="t"/>
                    <v:stroke dashstyle="solid"/>
                  </v:shape>
                  <v:shape style="position:absolute;left:3125;top:1761;width:223;height:223" type="#_x0000_t75" stroked="false">
                    <v:imagedata r:id="rId43" o:title=""/>
                  </v:shape>
                  <v:shape style="position:absolute;left:3115;top:1751;width:243;height:243" type="#_x0000_t75" stroked="false">
                    <v:imagedata r:id="rId44" o:title=""/>
                  </v:shape>
                  <v:shape style="position:absolute;left:1519;top:1450;width:1700;height:843" coordorigin="1520,1451" coordsize="1700,843" path="m1520,2293l1520,1451,3219,1451,3219,1685e" filled="false" stroked="true" strokeweight="1.0pt" strokecolor="#000000">
                    <v:path arrowok="t"/>
                    <v:stroke dashstyle="solid"/>
                  </v:shape>
                  <v:shape style="position:absolute;left:3157;top:1645;width:126;height:109" coordorigin="3158,1645" coordsize="126,109" path="m3283,1645l3158,1645,3220,1753,3283,1645xe" filled="true" fillcolor="#000000" stroked="false">
                    <v:path arrowok="t"/>
                    <v:fill type="solid"/>
                  </v:shape>
                  <v:shape style="position:absolute;left:3358;top:1806;width:109;height:125" coordorigin="3358,1807" coordsize="109,125" path="m3466,1807l3358,1869,3466,1932,3466,1807xe" filled="true" fillcolor="#000000" stroked="false">
                    <v:path arrowok="t"/>
                    <v:fill type="solid"/>
                  </v:shape>
                  <v:line style="position:absolute" from="3666,1872" to="3445,1872" stroked="true" strokeweight="1pt" strokecolor="#000000">
                    <v:stroke dashstyle="solid"/>
                  </v:line>
                  <v:shape style="position:absolute;left:3166;top:2028;width:125;height:109" coordorigin="3166,2028" coordsize="125,109" path="m3291,2028l3166,2028,3229,2137,3291,2028xe" filled="true" fillcolor="#000000" stroked="false">
                    <v:path arrowok="t"/>
                    <v:fill type="solid"/>
                  </v:shape>
                  <v:line style="position:absolute" from="3231,1978" to="3231,2050" stroked="true" strokeweight="1pt" strokecolor="#000000">
                    <v:stroke dashstyle="solid"/>
                  </v:line>
                  <v:shape style="position:absolute;left:3332;top:871;width:109;height:125" coordorigin="3332,872" coordsize="109,125" path="m3332,872l3332,997,3441,934,3332,872xe" filled="true" fillcolor="#000000" stroked="false">
                    <v:path arrowok="t"/>
                    <v:fill type="solid"/>
                  </v:shape>
                  <v:line style="position:absolute" from="1468,932" to="3354,932" stroked="true" strokeweight="1.003000pt" strokecolor="#000000">
                    <v:stroke dashstyle="solid"/>
                  </v:line>
                  <v:shape style="position:absolute;left:1408;top:815;width:125;height:109" coordorigin="1409,816" coordsize="125,109" path="m1534,816l1409,816,1471,924,1534,816xe" filled="true" fillcolor="#000000" stroked="false">
                    <v:path arrowok="t"/>
                    <v:fill type="solid"/>
                  </v:shape>
                  <v:shape style="position:absolute;left:7344;top:700;width:533;height:625" type="#_x0000_t75" stroked="false">
                    <v:imagedata r:id="rId45" o:title=""/>
                  </v:shape>
                  <v:shape style="position:absolute;left:7344;top:700;width:533;height:625" coordorigin="7344,700" coordsize="533,625" path="m7877,1325l7877,1028,7877,1026,7877,700,7344,855,7344,1026,7344,1028,7344,1170,7877,1325xe" filled="false" stroked="true" strokeweight="1pt" strokecolor="#000000">
                    <v:path arrowok="t"/>
                    <v:stroke dashstyle="solid"/>
                  </v:shape>
                  <v:shape style="position:absolute;left:1473;top:341;width:5881;height:496" coordorigin="1474,342" coordsize="5881,496" path="m1474,837l1474,342,7354,342e" filled="false" stroked="true" strokeweight="1pt" strokecolor="#000000">
                    <v:path arrowok="t"/>
                    <v:stroke dashstyle="solid"/>
                  </v:shape>
                  <v:shape style="position:absolute;left:3155;top:1219;width:125;height:109" coordorigin="3155,1219" coordsize="125,109" path="m3280,1219l3155,1219,3218,1328,3280,1219xe" filled="true" fillcolor="#000000" stroked="false">
                    <v:path arrowok="t"/>
                    <v:fill type="solid"/>
                  </v:shape>
                  <v:line style="position:absolute" from="3220,1002" to="3220,1241" stroked="true" strokeweight="1pt" strokecolor="#000000">
                    <v:stroke dashstyle="solid"/>
                  </v:line>
                  <v:shape style="position:absolute;left:6077;top:1127;width:109;height:125" coordorigin="6078,1127" coordsize="109,125" path="m6078,1127l6078,1252,6186,1190,6078,1127xe" filled="true" fillcolor="#000000" stroked="false">
                    <v:path arrowok="t"/>
                    <v:fill type="solid"/>
                  </v:shape>
                  <v:line style="position:absolute" from="5500,1187" to="6099,1187" stroked="true" strokeweight="1pt" strokecolor="#000000">
                    <v:stroke dashstyle="solid"/>
                  </v:line>
                  <v:shape style="position:absolute;left:4367;top:1127;width:109;height:125" coordorigin="4368,1127" coordsize="109,125" path="m4368,1127l4368,1252,4476,1190,4368,1127xe" filled="true" fillcolor="#000000" stroked="false">
                    <v:path arrowok="t"/>
                    <v:fill type="solid"/>
                  </v:shape>
                  <v:shape style="position:absolute;left:3821;top:1187;width:568;height:815" coordorigin="3821,1187" coordsize="568,815" path="m4389,1187l3821,1187,3821,2002e" filled="false" stroked="true" strokeweight="1pt" strokecolor="#000000">
                    <v:path arrowok="t"/>
                    <v:stroke dashstyle="solid"/>
                  </v:shape>
                  <v:shape style="position:absolute;left:3714;top:422;width:125;height:116" coordorigin="3714,422" coordsize="125,116" path="m3838,422l3714,438,3790,538,3838,422xe" filled="true" fillcolor="#000000" stroked="false">
                    <v:path arrowok="t"/>
                    <v:fill type="solid"/>
                  </v:shape>
                  <v:shape style="position:absolute;left:3793;top:473;width:617;height:118" coordorigin="3793,474" coordsize="617,118" path="m3793,474l4077,592,4410,592e" filled="false" stroked="true" strokeweight="1pt" strokecolor="#000000">
                    <v:path arrowok="t"/>
                    <v:stroke dashstyle="solid"/>
                  </v:shape>
                  <v:shape style="position:absolute;left:1465;top:1252;width:125;height:109" coordorigin="1465,1253" coordsize="125,109" path="m1590,1253l1465,1253,1528,1361,1590,1253xe" filled="true" fillcolor="#000000" stroked="false">
                    <v:path arrowok="t"/>
                    <v:fill type="solid"/>
                  </v:shape>
                  <v:line style="position:absolute" from="1530,1035" to="1530,1274" stroked="true" strokeweight="1pt" strokecolor="#000000">
                    <v:stroke dashstyle="solid"/>
                  </v:line>
                  <v:shape style="position:absolute;left:802;top:2685;width:109;height:125" coordorigin="803,2685" coordsize="109,125" path="m803,2685l803,2810,911,2748,803,2685xe" filled="true" fillcolor="#000000" stroked="false">
                    <v:path arrowok="t"/>
                    <v:fill type="solid"/>
                  </v:shape>
                  <v:line style="position:absolute" from="0,2745" to="824,2745" stroked="true" strokeweight="1pt" strokecolor="#000000">
                    <v:stroke dashstyle="solid"/>
                  </v:line>
                  <v:shape style="position:absolute;left:2262;top:941;width:125;height:109" coordorigin="2262,942" coordsize="125,109" path="m2325,942l2262,1050,2387,1050,2325,942xe" filled="true" fillcolor="#000000" stroked="false">
                    <v:path arrowok="t"/>
                    <v:fill type="solid"/>
                  </v:shape>
                  <v:line style="position:absolute" from="2322,1445" to="2322,1028" stroked="true" strokeweight="1pt" strokecolor="#000000">
                    <v:stroke dashstyle="solid"/>
                  </v:line>
                  <v:shape style="position:absolute;left:3413;top:431;width:227;height:504" coordorigin="3413,432" coordsize="227,504" path="m3413,935l3640,935,3640,432e" filled="false" stroked="true" strokeweight="1pt" strokecolor="#000000">
                    <v:path arrowok="t"/>
                    <v:stroke dashstyle="solid"/>
                  </v:shape>
                  <v:shape style="position:absolute;left:3443;top:211;width:287;height:287" type="#_x0000_t75" stroked="false">
                    <v:imagedata r:id="rId46" o:title=""/>
                  </v:shape>
                  <v:shape style="position:absolute;left:3433;top:201;width:307;height:307" type="#_x0000_t75" stroked="false">
                    <v:imagedata r:id="rId47" o:title=""/>
                  </v:shape>
                  <v:line style="position:absolute" from="2107,2812" to="3110,1895" stroked="true" strokeweight="1.0pt" strokecolor="#000000">
                    <v:stroke dashstyle="shortdash"/>
                  </v:line>
                  <v:rect style="position:absolute;left:5820;top:2096;width:615;height:510" filled="true" fillcolor="#000000" stroked="false">
                    <v:fill type="solid"/>
                  </v:rect>
                  <v:shape style="position:absolute;left:4490;top:861;width:1007;height:627" type="#_x0000_t75" stroked="false">
                    <v:imagedata r:id="rId48" o:title=""/>
                  </v:shape>
                  <v:rect style="position:absolute;left:4490;top:861;width:1007;height:627" filled="false" stroked="true" strokeweight="1pt" strokecolor="#000000">
                    <v:stroke dashstyle="solid"/>
                  </v:rect>
                  <v:shape style="position:absolute;left:4960;top:1463;width:125;height:109" coordorigin="4960,1463" coordsize="125,109" path="m5023,1463l4960,1572,5085,1572,5023,1463xe" filled="true" fillcolor="#000000" stroked="false">
                    <v:path arrowok="t"/>
                    <v:fill type="solid"/>
                  </v:shape>
                  <v:line style="position:absolute" from="5020,1968" to="5020,1550" stroked="true" strokeweight="1pt" strokecolor="#000000">
                    <v:stroke dashstyle="solid"/>
                  </v:line>
                  <v:shape style="position:absolute;left:5453;top:1389;width:109;height:125" coordorigin="5454,1390" coordsize="109,125" path="m5562,1390l5454,1452,5562,1515,5562,1390xe" filled="true" fillcolor="#000000" stroked="false">
                    <v:path arrowok="t"/>
                    <v:fill type="solid"/>
                  </v:shape>
                  <v:shape style="position:absolute;left:5190;top:1454;width:644;height:521" coordorigin="5190,1455" coordsize="644,521" path="m5540,1455l5833,1455,5833,1975,5190,1975e" filled="false" stroked="true" strokeweight="1pt" strokecolor="#000000">
                    <v:path arrowok="t"/>
                    <v:stroke dashstyle="solid"/>
                  </v:shape>
                  <v:shape style="position:absolute;left:4660;top:1966;width:125;height:109" coordorigin="4660,1967" coordsize="125,109" path="m4785,1967l4660,1967,4723,2075,4785,1967xe" filled="true" fillcolor="#000000" stroked="false">
                    <v:path arrowok="t"/>
                    <v:fill type="solid"/>
                  </v:shape>
                  <v:line style="position:absolute" from="4725,1493" to="4725,2012" stroked="true" strokeweight="1pt" strokecolor="#000000">
                    <v:stroke dashstyle="solid"/>
                  </v:line>
                  <v:shape style="position:absolute;left:7280;top:814;width:125;height:109" coordorigin="7280,815" coordsize="125,109" path="m7405,815l7280,815,7343,923,7405,815xe" filled="true" fillcolor="#000000" stroked="false">
                    <v:path arrowok="t"/>
                    <v:fill type="solid"/>
                  </v:shape>
                  <v:line style="position:absolute" from="7345,341" to="7345,860" stroked="true" strokeweight="1pt" strokecolor="#000000">
                    <v:stroke dashstyle="solid"/>
                  </v:line>
                  <v:shape style="position:absolute;left:5693;top:1574;width:287;height:287" type="#_x0000_t75" stroked="false">
                    <v:imagedata r:id="rId49" o:title=""/>
                  </v:shape>
                  <v:shape style="position:absolute;left:5683;top:1564;width:307;height:307" type="#_x0000_t75" stroked="false">
                    <v:imagedata r:id="rId50" o:title=""/>
                  </v:shape>
                  <v:rect style="position:absolute;left:6929;top:918;width:167;height:203" filled="true" fillcolor="#000000" stroked="false">
                    <v:fill type="solid"/>
                  </v:rect>
                  <v:line style="position:absolute" from="7090,999" to="7345,999" stroked="true" strokeweight=".5pt" strokecolor="#000000">
                    <v:stroke dashstyle="solid"/>
                  </v:line>
                  <v:line style="position:absolute" from="7090,1058" to="7345,1058" stroked="true" strokeweight=".5pt" strokecolor="#000000">
                    <v:stroke dashstyle="solid"/>
                  </v:line>
                  <v:shape style="position:absolute;left:9587;top:2077;width:109;height:125" coordorigin="9588,2077" coordsize="109,125" path="m9588,2077l9588,2202,9696,2140,9588,2077xe" filled="true" fillcolor="#000000" stroked="false">
                    <v:path arrowok="t"/>
                    <v:fill type="solid"/>
                  </v:shape>
                  <v:line style="position:absolute" from="8819,2137" to="9609,2137" stroked="true" strokeweight="1pt" strokecolor="#000000">
                    <v:stroke dashstyle="solid"/>
                  </v:line>
                  <v:shape style="position:absolute;left:8561;top:2656;width:125;height:109" coordorigin="8562,2656" coordsize="125,109" path="m8687,2656l8562,2656,8624,2765,8687,2656xe" filled="true" fillcolor="#50b1e0" stroked="false">
                    <v:path arrowok="t"/>
                    <v:fill type="solid"/>
                  </v:shape>
                  <v:line style="position:absolute" from="8627,2225" to="8627,2678" stroked="true" strokeweight="0pt" strokecolor="#50b1e0">
                    <v:stroke dashstyle="solid"/>
                  </v:line>
                  <v:line style="position:absolute" from="8627,2225" to="8627,2678" stroked="true" strokeweight="1pt" strokecolor="#50b1e0">
                    <v:stroke dashstyle="solid"/>
                  </v:line>
                  <v:shape style="position:absolute;left:8503;top:1853;width:125;height:109" coordorigin="8504,1853" coordsize="125,109" path="m8629,1853l8504,1853,8566,1962,8629,1853xe" filled="true" fillcolor="#000000" stroked="false">
                    <v:path arrowok="t"/>
                    <v:fill type="solid"/>
                  </v:shape>
                  <v:line style="position:absolute" from="8569,1335" to="8569,1868" stroked="true" strokeweight="1pt" strokecolor="#000000">
                    <v:stroke dashstyle="solid"/>
                  </v:line>
                  <v:shape style="position:absolute;left:8389;top:1945;width:427;height:427" type="#_x0000_t75" stroked="false">
                    <v:imagedata r:id="rId51" o:title=""/>
                  </v:shape>
                  <v:line style="position:absolute" from="7890,1340" to="8563,1340" stroked="true" strokeweight=".5pt" strokecolor="#000000">
                    <v:stroke dashstyle="solid"/>
                  </v:line>
                  <v:line style="position:absolute" from="2047,1199" to="2676,1199" stroked="true" strokeweight="1pt" strokecolor="#50b1e0">
                    <v:stroke dashstyle="dot"/>
                  </v:line>
                  <v:shape style="position:absolute;left:158;top:2483;width:218;height:129" type="#_x0000_t75" stroked="false">
                    <v:imagedata r:id="rId52" o:title=""/>
                  </v:shape>
                  <v:shape style="position:absolute;left:1558;top:1753;width:218;height:129" type="#_x0000_t75" stroked="false">
                    <v:imagedata r:id="rId52" o:title=""/>
                  </v:shape>
                  <v:shape style="position:absolute;left:2044;top:543;width:278;height:129" type="#_x0000_t75" stroked="false">
                    <v:imagedata r:id="rId53" o:title=""/>
                  </v:shape>
                  <v:shape style="position:absolute;left:2397;top:550;width:556;height:124" type="#_x0000_t75" stroked="false">
                    <v:imagedata r:id="rId54" o:title=""/>
                  </v:shape>
                  <v:shape style="position:absolute;left:7347;top:1917;width:2618;height:736" type="#_x0000_t75" stroked="false">
                    <v:imagedata r:id="rId55" o:title=""/>
                  </v:shape>
                  <v:shape style="position:absolute;left:5737;top:2770;width:799;height:135" type="#_x0000_t75" stroked="false">
                    <v:imagedata r:id="rId56" o:title=""/>
                  </v:shape>
                  <v:shape style="position:absolute;left:6087;top:1540;width:116;height:135" coordorigin="6088,1540" coordsize="116,135" path="m6149,1540l6122,1545,6103,1560,6092,1581,6088,1608,6091,1634,6102,1655,6121,1669,6147,1675,6169,1671,6186,1661,6186,1660,6149,1660,6129,1656,6115,1644,6107,1627,6105,1606,6107,1587,6115,1570,6129,1559,6148,1554,6187,1554,6184,1551,6168,1543,6149,1540xm6203,1623l6186,1623,6182,1638,6175,1650,6164,1657,6149,1660,6186,1660,6197,1645,6203,1623xm6187,1554l6148,1554,6161,1556,6172,1561,6180,1570,6184,1582,6202,1582,6195,1564,6187,1554xe" filled="true" fillcolor="#000000" stroked="false">
                    <v:path arrowok="t"/>
                    <v:fill type="solid"/>
                  </v:shape>
                  <v:shape style="position:absolute;left:6216;top:1576;width:91;height:98" coordorigin="6217,1576" coordsize="91,98" path="m6262,1576l6242,1580,6228,1590,6219,1606,6217,1625,6219,1644,6228,1660,6242,1670,6262,1674,6281,1670,6294,1660,6262,1660,6250,1658,6241,1651,6235,1640,6233,1625,6235,1610,6241,1599,6250,1592,6262,1590,6294,1590,6281,1580,6262,1576xm6294,1590l6262,1590,6273,1592,6282,1599,6288,1610,6291,1625,6288,1640,6282,1651,6273,1658,6262,1660,6294,1660,6295,1660,6304,1644,6307,1625,6304,1606,6295,1590,6294,1590xe" filled="true" fillcolor="#000000" stroked="false">
                    <v:path arrowok="t"/>
                    <v:fill type="solid"/>
                  </v:shape>
                  <v:shape style="position:absolute;left:6324;top:1576;width:78;height:96" coordorigin="6325,1576" coordsize="78,96" path="m6339,1579l6325,1579,6325,1672,6340,1672,6340,1619,6342,1607,6347,1598,6354,1593,6339,1593,6339,1579xm6397,1590l6379,1590,6387,1597,6387,1672,6402,1672,6402,1610,6400,1597,6397,1590xm6370,1576l6356,1576,6346,1582,6340,1593,6354,1593,6356,1592,6368,1590,6397,1590,6395,1586,6385,1579,6370,1576xe" filled="true" fillcolor="#000000" stroked="false">
                    <v:path arrowok="t"/>
                    <v:fill type="solid"/>
                  </v:shape>
                  <v:shape style="position:absolute;left:6419;top:1543;width:89;height:131" coordorigin="6420,1543" coordsize="89,131" path="m6472,1576l6462,1576,6444,1580,6430,1591,6423,1606,6420,1625,6423,1644,6431,1659,6444,1670,6463,1674,6475,1674,6487,1669,6492,1660,6465,1660,6452,1657,6443,1650,6438,1639,6436,1626,6437,1613,6442,1601,6451,1593,6464,1590,6492,1590,6486,1580,6472,1576xm6508,1659l6493,1659,6493,1672,6508,1672,6508,1659xm6492,1590l6464,1590,6477,1593,6487,1601,6492,1612,6493,1625,6493,1626,6492,1638,6487,1649,6478,1657,6465,1660,6492,1660,6492,1659,6508,1659,6508,1591,6492,1591,6492,1590xm6508,1543l6493,1543,6493,1591,6508,1591,6508,1543xe" filled="true" fillcolor="#000000" stroked="false">
                    <v:path arrowok="t"/>
                    <v:fill type="solid"/>
                  </v:shape>
                  <v:shape style="position:absolute;left:6526;top:1576;width:86;height:98" coordorigin="6527,1576" coordsize="86,98" path="m6570,1576l6553,1580,6539,1590,6530,1605,6527,1625,6530,1644,6538,1660,6552,1670,6571,1674,6586,1672,6597,1666,6602,1660,6572,1660,6559,1658,6549,1651,6544,1641,6543,1630,6612,1630,6611,1616,6543,1616,6544,1602,6553,1590,6599,1590,6591,1582,6570,1576xm6611,1642l6596,1642,6593,1654,6584,1660,6602,1660,6606,1656,6611,1642xm6599,1590l6585,1590,6596,1602,6596,1616,6611,1616,6611,1612,6604,1595,6599,1590xe" filled="true" fillcolor="#000000" stroked="false">
                    <v:path arrowok="t"/>
                    <v:fill type="solid"/>
                  </v:shape>
                  <v:shape style="position:absolute;left:6628;top:1576;width:78;height:96" coordorigin="6628,1576" coordsize="78,96" path="m6643,1579l6628,1579,6628,1672,6644,1672,6644,1619,6645,1607,6650,1598,6657,1593,6643,1593,6643,1579xm6700,1590l6683,1590,6690,1597,6690,1672,6705,1672,6705,1610,6704,1597,6700,1590xm6673,1576l6660,1576,6650,1582,6643,1593,6657,1593,6659,1592,6671,1590,6700,1590,6699,1586,6689,1579,6673,1576xe" filled="true" fillcolor="#000000" stroked="false">
                    <v:path arrowok="t"/>
                    <v:fill type="solid"/>
                  </v:shape>
                  <v:shape style="position:absolute;left:6722;top:1576;width:80;height:98" coordorigin="6722,1576" coordsize="80,98" path="m6738,1642l6722,1642,6726,1657,6735,1667,6747,1672,6762,1674,6776,1672,6789,1667,6796,1660,6750,1660,6738,1656,6738,1642xm6759,1576l6747,1578,6736,1583,6728,1591,6724,1603,6727,1614,6734,1621,6744,1626,6755,1629,6770,1633,6785,1635,6785,1658,6772,1660,6796,1660,6798,1658,6801,1644,6799,1633,6792,1626,6782,1621,6771,1618,6757,1615,6741,1613,6741,1592,6751,1590,6792,1590,6785,1582,6774,1578,6759,1576xm6792,1590l6771,1590,6781,1594,6782,1606,6797,1606,6794,1591,6792,1590xe" filled="true" fillcolor="#000000" stroked="false">
                    <v:path arrowok="t"/>
                    <v:fill type="solid"/>
                  </v:shape>
                  <v:shape style="position:absolute;left:6813;top:1576;width:86;height:98" coordorigin="6813,1576" coordsize="86,98" path="m6857,1576l6840,1580,6826,1590,6817,1605,6813,1625,6817,1644,6825,1660,6839,1670,6858,1674,6872,1672,6884,1666,6889,1660,6858,1660,6845,1658,6836,1651,6831,1641,6830,1630,6899,1630,6898,1616,6830,1616,6831,1602,6840,1590,6886,1590,6878,1582,6857,1576xm6898,1642l6883,1642,6880,1654,6871,1660,6889,1660,6893,1656,6898,1642xm6886,1590l6871,1590,6882,1602,6883,1616,6898,1616,6898,1612,6891,1595,6886,1590xe" filled="true" fillcolor="#000000" stroked="false">
                    <v:path arrowok="t"/>
                    <v:fill type="solid"/>
                  </v:shape>
                  <v:shape style="position:absolute;left:6914;top:1576;width:49;height:96" coordorigin="6915,1576" coordsize="49,96" path="m6929,1579l6915,1579,6915,1672,6930,1672,6930,1630,6932,1614,6937,1603,6944,1598,6929,1598,6929,1579xm6963,1576l6952,1577,6943,1581,6935,1588,6929,1598,6944,1598,6948,1595,6963,1593,6963,1576xe" filled="true" fillcolor="#000000" stroked="false">
                    <v:path arrowok="t"/>
                    <v:fill type="solid"/>
                  </v:shape>
                  <v:shape style="position:absolute;left:8061;top:630;width:936;height:350" type="#_x0000_t75" stroked="false">
                    <v:imagedata r:id="rId57" o:title=""/>
                  </v:shape>
                  <v:shape style="position:absolute;left:2091;top:1690;width:200;height:172" type="#_x0000_t75" stroked="false">
                    <v:imagedata r:id="rId58" o:title=""/>
                  </v:shape>
                  <v:shape style="position:absolute;left:2355;top:1693;width:689;height:165" type="#_x0000_t75" stroked="false">
                    <v:imagedata r:id="rId59" o:title=""/>
                  </v:shape>
                  <v:shape style="position:absolute;left:2478;top:1909;width:191;height:131" type="#_x0000_t75" stroked="false">
                    <v:imagedata r:id="rId60" o:title=""/>
                  </v:shape>
                  <v:shape style="position:absolute;left:2456;top:970;width:200;height:172" type="#_x0000_t75" stroked="false">
                    <v:imagedata r:id="rId61" o:title=""/>
                  </v:shape>
                  <v:shape style="position:absolute;left:2074;top:153;width:622;height:166" type="#_x0000_t75" stroked="false">
                    <v:imagedata r:id="rId62" o:title=""/>
                  </v:shape>
                  <v:shape style="position:absolute;left:3237;top:0;width:116;height:135" coordorigin="3238,0" coordsize="116,135" path="m3299,0l3272,5,3253,20,3242,41,3238,68,3241,94,3252,115,3271,129,3297,135,3319,131,3336,121,3336,120,3299,120,3279,116,3265,104,3257,87,3255,66,3257,47,3265,30,3279,19,3298,14,3337,14,3334,11,3318,3,3299,0xm3353,83l3336,83,3332,98,3325,110,3314,117,3299,120,3336,120,3347,105,3353,83xm3337,14l3298,14,3311,16,3322,21,3330,30,3334,42,3352,42,3345,24,3337,14xe" filled="true" fillcolor="#000000" stroked="false">
                    <v:path arrowok="t"/>
                    <v:fill type="solid"/>
                  </v:shape>
                  <v:shape style="position:absolute;left:3366;top:36;width:91;height:98" coordorigin="3366,36" coordsize="91,98" path="m3412,36l3392,40,3378,50,3369,66,3366,85,3369,104,3378,120,3392,130,3412,134,3431,130,3444,120,3412,120,3400,118,3391,111,3385,100,3383,85,3385,70,3391,59,3400,52,3412,50,3444,50,3431,40,3412,36xm3444,50l3412,50,3423,52,3432,59,3438,70,3441,85,3438,100,3432,111,3423,118,3412,120,3444,120,3445,120,3454,104,3457,85,3454,66,3445,50,3444,50xe" filled="true" fillcolor="#000000" stroked="false">
                    <v:path arrowok="t"/>
                    <v:fill type="solid"/>
                  </v:shape>
                  <v:shape style="position:absolute;left:3474;top:36;width:131;height:96" coordorigin="3475,36" coordsize="131,96" path="m3489,39l3475,39,3475,132,3490,132,3490,67,3496,52,3489,52,3489,39xm3544,50l3529,50,3532,58,3532,132,3548,132,3548,59,3555,52,3545,52,3544,50xm3602,50l3587,50,3590,58,3590,132,3605,132,3605,63,3603,51,3602,50xm3531,36l3507,36,3496,42,3490,52,3496,52,3497,50,3544,50,3541,41,3531,36xm3574,36l3562,36,3551,42,3545,52,3555,52,3557,50,3602,50,3597,43,3587,38,3574,36xe" filled="true" fillcolor="#000000" stroked="false">
                    <v:path arrowok="t"/>
                    <v:fill type="solid"/>
                  </v:shape>
                  <v:shape style="position:absolute;left:3628;top:3;width:89;height:131" coordorigin="3629,3" coordsize="89,131" path="m3668,119l3645,119,3651,130,3665,134,3675,134,3693,130,3705,120,3673,120,3668,119xm3644,3l3629,3,3629,132,3644,132,3644,119,3668,119,3660,117,3650,109,3645,98,3644,85,3644,84,3645,72,3650,61,3659,53,3667,51,3644,51,3644,3xm3705,50l3672,50,3685,53,3694,61,3699,72,3701,84,3699,98,3695,109,3686,117,3673,120,3705,120,3707,119,3714,104,3717,85,3714,67,3706,51,3705,50xm3674,36l3661,36,3650,41,3645,51,3667,51,3672,50,3705,50,3693,40,3674,36xe" filled="true" fillcolor="#000000" stroked="false">
                    <v:path arrowok="t"/>
                    <v:fill type="solid"/>
                  </v:shape>
                  <v:shape style="position:absolute;left:3735;top:38;width:78;height:96" coordorigin="3735,39" coordsize="78,96" path="m3750,39l3735,39,3735,100,3737,113,3742,124,3752,131,3767,134,3780,134,3791,128,3795,120,3758,120,3750,113,3750,39xm3812,117l3798,117,3798,132,3812,132,3812,117xm3812,39l3797,39,3797,91,3795,103,3790,112,3781,118,3769,120,3795,120,3797,117,3812,117,3812,39xe" filled="true" fillcolor="#000000" stroked="false">
                    <v:path arrowok="t"/>
                    <v:fill type="solid"/>
                  </v:shape>
                  <v:shape style="position:absolute;left:3829;top:36;width:80;height:98" coordorigin="3829,36" coordsize="80,98" path="m3845,102l3829,102,3833,117,3841,127,3854,132,3869,134,3883,132,3896,127,3903,120,3857,120,3845,116,3845,102xm3866,36l3854,38,3843,43,3834,51,3831,63,3834,74,3841,81,3851,86,3862,89,3877,93,3892,94,3892,118,3879,120,3903,120,3905,118,3908,104,3906,93,3899,86,3889,81,3878,78,3864,75,3847,73,3847,52,3858,50,3899,50,3892,42,3880,38,3866,36xm3899,50l3877,50,3888,54,3889,66,3904,66,3901,51,3899,50xe" filled="true" fillcolor="#000000" stroked="false">
                    <v:path arrowok="t"/>
                    <v:fill type="solid"/>
                  </v:shape>
                  <v:shape style="position:absolute;left:3915;top:10;width:50;height:121" coordorigin="3915,11" coordsize="50,121" path="m3946,52l3931,52,3931,128,3937,132,3965,132,3965,118,3948,118,3946,117,3946,52xm3965,39l3915,39,3915,52,3965,52,3965,39xm3946,11l3931,11,3931,39,3946,39,3946,11xe" filled="true" fillcolor="#000000" stroked="false">
                    <v:path arrowok="t"/>
                    <v:fill type="solid"/>
                  </v:shape>
                  <v:shape style="position:absolute;left:3982;top:3;width:16;height:129" coordorigin="3983,3" coordsize="16,129" path="m3998,39l3983,39,3983,132,3998,132,3998,39xm3998,3l3983,3,3983,22,3998,22,3998,3xe" filled="true" fillcolor="#000000" stroked="false">
                    <v:path arrowok="t"/>
                    <v:fill type="solid"/>
                  </v:shape>
                  <v:shape style="position:absolute;left:4016;top:36;width:91;height:98" coordorigin="4017,36" coordsize="91,98" path="m4062,36l4042,40,4028,50,4020,66,4017,85,4020,104,4028,120,4042,130,4062,134,4081,130,4095,120,4062,120,4051,118,4041,111,4035,100,4033,85,4035,70,4041,59,4051,52,4062,50,4095,50,4081,40,4062,36xm4095,50l4062,50,4073,52,4082,59,4089,70,4091,85,4089,100,4082,111,4073,118,4062,120,4095,120,4096,120,4104,104,4107,85,4104,66,4096,50,4095,50xe" filled="true" fillcolor="#000000" stroked="false">
                    <v:path arrowok="t"/>
                    <v:fill type="solid"/>
                  </v:shape>
                  <v:shape style="position:absolute;left:4125;top:36;width:78;height:96" coordorigin="4125,36" coordsize="78,96" path="m4140,39l4125,39,4125,132,4140,132,4140,79,4142,67,4147,58,4154,53,4140,53,4140,39xm4197,50l4180,50,4187,57,4187,132,4202,132,4202,70,4201,57,4197,50xm4170,36l4157,36,4146,42,4140,53,4154,53,4156,52,4168,50,4197,50,4195,46,4185,39,4170,36xe" filled="true" fillcolor="#000000" stroked="false">
                    <v:path arrowok="t"/>
                    <v:fill type="solid"/>
                  </v:shape>
                  <v:shape style="position:absolute;left:4484;top:513;width:314;height:131" type="#_x0000_t75" stroked="false">
                    <v:imagedata r:id="rId63" o:title=""/>
                  </v:shape>
                  <v:shape style="position:absolute;left:1584;top:1033;width:361;height:131" type="#_x0000_t75" stroked="false">
                    <v:imagedata r:id="rId64" o:title=""/>
                  </v:shape>
                  <v:shape style="position:absolute;left:2814;top:1033;width:361;height:131" type="#_x0000_t75" stroked="false">
                    <v:imagedata r:id="rId64" o:title=""/>
                  </v:shape>
                  <v:shape style="position:absolute;left:4609;top:990;width:767;height:386" type="#_x0000_t75" stroked="false">
                    <v:imagedata r:id="rId65" o:title=""/>
                  </v:shape>
                </v:group>
              </w:pict>
            </w:r>
            <w:r>
              <w:rPr>
                <w:sz w:val="20"/>
              </w:rPr>
            </w:r>
          </w:p>
          <w:p>
            <w:pPr>
              <w:pStyle w:val="TableParagraph"/>
              <w:tabs>
                <w:tab w:pos="4843" w:val="left" w:leader="none"/>
                <w:tab w:pos="8790" w:val="left" w:leader="none"/>
              </w:tabs>
              <w:ind w:left="1349"/>
              <w:jc w:val="left"/>
              <w:rPr>
                <w:sz w:val="20"/>
              </w:rPr>
            </w:pPr>
            <w:r>
              <w:rPr>
                <w:sz w:val="20"/>
              </w:rPr>
              <w:drawing>
                <wp:inline distT="0" distB="0" distL="0" distR="0">
                  <wp:extent cx="1057541" cy="223837"/>
                  <wp:effectExtent l="0" t="0" r="0" b="0"/>
                  <wp:docPr id="17" name="image60.png"/>
                  <wp:cNvGraphicFramePr>
                    <a:graphicFrameLocks noChangeAspect="1"/>
                  </wp:cNvGraphicFramePr>
                  <a:graphic>
                    <a:graphicData uri="http://schemas.openxmlformats.org/drawingml/2006/picture">
                      <pic:pic>
                        <pic:nvPicPr>
                          <pic:cNvPr id="18" name="image60.png"/>
                          <pic:cNvPicPr/>
                        </pic:nvPicPr>
                        <pic:blipFill>
                          <a:blip r:embed="rId66" cstate="print"/>
                          <a:stretch>
                            <a:fillRect/>
                          </a:stretch>
                        </pic:blipFill>
                        <pic:spPr>
                          <a:xfrm>
                            <a:off x="0" y="0"/>
                            <a:ext cx="1057541" cy="223837"/>
                          </a:xfrm>
                          <a:prstGeom prst="rect">
                            <a:avLst/>
                          </a:prstGeom>
                        </pic:spPr>
                      </pic:pic>
                    </a:graphicData>
                  </a:graphic>
                </wp:inline>
              </w:drawing>
            </w:r>
            <w:r>
              <w:rPr>
                <w:sz w:val="20"/>
              </w:rPr>
            </w:r>
            <w:r>
              <w:rPr>
                <w:sz w:val="20"/>
              </w:rPr>
              <w:tab/>
            </w:r>
            <w:r>
              <w:rPr>
                <w:position w:val="19"/>
                <w:sz w:val="20"/>
              </w:rPr>
              <w:drawing>
                <wp:inline distT="0" distB="0" distL="0" distR="0">
                  <wp:extent cx="365821" cy="85725"/>
                  <wp:effectExtent l="0" t="0" r="0" b="0"/>
                  <wp:docPr id="19" name="image61.png"/>
                  <wp:cNvGraphicFramePr>
                    <a:graphicFrameLocks noChangeAspect="1"/>
                  </wp:cNvGraphicFramePr>
                  <a:graphic>
                    <a:graphicData uri="http://schemas.openxmlformats.org/drawingml/2006/picture">
                      <pic:pic>
                        <pic:nvPicPr>
                          <pic:cNvPr id="20" name="image61.png"/>
                          <pic:cNvPicPr/>
                        </pic:nvPicPr>
                        <pic:blipFill>
                          <a:blip r:embed="rId67" cstate="print"/>
                          <a:stretch>
                            <a:fillRect/>
                          </a:stretch>
                        </pic:blipFill>
                        <pic:spPr>
                          <a:xfrm>
                            <a:off x="0" y="0"/>
                            <a:ext cx="365821" cy="85725"/>
                          </a:xfrm>
                          <a:prstGeom prst="rect">
                            <a:avLst/>
                          </a:prstGeom>
                        </pic:spPr>
                      </pic:pic>
                    </a:graphicData>
                  </a:graphic>
                </wp:inline>
              </w:drawing>
            </w:r>
            <w:r>
              <w:rPr>
                <w:position w:val="19"/>
                <w:sz w:val="20"/>
              </w:rPr>
            </w:r>
            <w:r>
              <w:rPr>
                <w:position w:val="19"/>
                <w:sz w:val="20"/>
              </w:rPr>
              <w:tab/>
            </w:r>
            <w:r>
              <w:rPr>
                <w:position w:val="20"/>
                <w:sz w:val="20"/>
              </w:rPr>
              <w:drawing>
                <wp:inline distT="0" distB="0" distL="0" distR="0">
                  <wp:extent cx="205573" cy="108966"/>
                  <wp:effectExtent l="0" t="0" r="0" b="0"/>
                  <wp:docPr id="21" name="image62.png"/>
                  <wp:cNvGraphicFramePr>
                    <a:graphicFrameLocks noChangeAspect="1"/>
                  </wp:cNvGraphicFramePr>
                  <a:graphic>
                    <a:graphicData uri="http://schemas.openxmlformats.org/drawingml/2006/picture">
                      <pic:pic>
                        <pic:nvPicPr>
                          <pic:cNvPr id="22" name="image62.png"/>
                          <pic:cNvPicPr/>
                        </pic:nvPicPr>
                        <pic:blipFill>
                          <a:blip r:embed="rId68" cstate="print"/>
                          <a:stretch>
                            <a:fillRect/>
                          </a:stretch>
                        </pic:blipFill>
                        <pic:spPr>
                          <a:xfrm>
                            <a:off x="0" y="0"/>
                            <a:ext cx="205573" cy="108966"/>
                          </a:xfrm>
                          <a:prstGeom prst="rect">
                            <a:avLst/>
                          </a:prstGeom>
                        </pic:spPr>
                      </pic:pic>
                    </a:graphicData>
                  </a:graphic>
                </wp:inline>
              </w:drawing>
            </w:r>
            <w:r>
              <w:rPr>
                <w:position w:val="20"/>
                <w:sz w:val="20"/>
              </w:rPr>
            </w:r>
          </w:p>
        </w:tc>
      </w:tr>
    </w:tbl>
    <w:p>
      <w:pPr>
        <w:spacing w:before="134"/>
        <w:ind w:left="513" w:right="0" w:firstLine="0"/>
        <w:jc w:val="left"/>
        <w:rPr>
          <w:sz w:val="18"/>
        </w:rPr>
      </w:pPr>
      <w:bookmarkStart w:name="3.4.3 Oxy-fuel direct heating - gas turb" w:id="38"/>
      <w:bookmarkEnd w:id="38"/>
      <w:r>
        <w:rPr/>
      </w:r>
      <w:r>
        <w:rPr>
          <w:b/>
          <w:sz w:val="18"/>
        </w:rPr>
        <w:t>Figure 3.9 </w:t>
      </w:r>
      <w:r>
        <w:rPr>
          <w:sz w:val="18"/>
        </w:rPr>
        <w:t>Principle flow scheme of the advanced zero emission power plant cycle.</w:t>
      </w:r>
    </w:p>
    <w:p>
      <w:pPr>
        <w:pStyle w:val="BodyText"/>
        <w:spacing w:before="11"/>
        <w:rPr>
          <w:sz w:val="22"/>
        </w:rPr>
      </w:pPr>
    </w:p>
    <w:p>
      <w:pPr>
        <w:spacing w:after="0"/>
        <w:rPr>
          <w:sz w:val="22"/>
        </w:rPr>
        <w:sectPr>
          <w:pgSz w:w="12240" w:h="15840"/>
          <w:pgMar w:header="567" w:footer="0" w:top="800" w:bottom="280" w:left="620" w:right="0"/>
        </w:sectPr>
      </w:pPr>
    </w:p>
    <w:p>
      <w:pPr>
        <w:pStyle w:val="ListParagraph"/>
        <w:numPr>
          <w:ilvl w:val="3"/>
          <w:numId w:val="5"/>
        </w:numPr>
        <w:tabs>
          <w:tab w:pos="1334" w:val="left" w:leader="none"/>
        </w:tabs>
        <w:spacing w:line="240" w:lineRule="auto" w:before="63" w:after="0"/>
        <w:ind w:left="1333" w:right="0" w:hanging="821"/>
        <w:jc w:val="both"/>
        <w:rPr>
          <w:i/>
          <w:sz w:val="20"/>
        </w:rPr>
      </w:pPr>
      <w:r>
        <w:rPr>
          <w:i/>
          <w:sz w:val="20"/>
        </w:rPr>
        <w:t>Advanced </w:t>
      </w:r>
      <w:r>
        <w:rPr>
          <w:i/>
          <w:spacing w:val="-3"/>
          <w:sz w:val="20"/>
        </w:rPr>
        <w:t>zero </w:t>
      </w:r>
      <w:r>
        <w:rPr>
          <w:i/>
          <w:sz w:val="20"/>
        </w:rPr>
        <w:t>emission power</w:t>
      </w:r>
      <w:r>
        <w:rPr>
          <w:i/>
          <w:spacing w:val="3"/>
          <w:sz w:val="20"/>
        </w:rPr>
        <w:t> </w:t>
      </w:r>
      <w:r>
        <w:rPr>
          <w:i/>
          <w:sz w:val="20"/>
        </w:rPr>
        <w:t>plant</w:t>
      </w:r>
    </w:p>
    <w:p>
      <w:pPr>
        <w:pStyle w:val="BodyText"/>
        <w:spacing w:line="249" w:lineRule="auto" w:before="10"/>
        <w:ind w:left="513"/>
        <w:jc w:val="both"/>
      </w:pPr>
      <w:r>
        <w:rPr/>
        <w:t>The</w:t>
      </w:r>
      <w:r>
        <w:rPr>
          <w:spacing w:val="-19"/>
        </w:rPr>
        <w:t> </w:t>
      </w:r>
      <w:r>
        <w:rPr/>
        <w:t>advanced</w:t>
      </w:r>
      <w:r>
        <w:rPr>
          <w:spacing w:val="-18"/>
        </w:rPr>
        <w:t> </w:t>
      </w:r>
      <w:r>
        <w:rPr/>
        <w:t>zero</w:t>
      </w:r>
      <w:r>
        <w:rPr>
          <w:spacing w:val="-18"/>
        </w:rPr>
        <w:t> </w:t>
      </w:r>
      <w:r>
        <w:rPr/>
        <w:t>emission</w:t>
      </w:r>
      <w:r>
        <w:rPr>
          <w:spacing w:val="-19"/>
        </w:rPr>
        <w:t> </w:t>
      </w:r>
      <w:r>
        <w:rPr/>
        <w:t>power</w:t>
      </w:r>
      <w:r>
        <w:rPr>
          <w:spacing w:val="-17"/>
        </w:rPr>
        <w:t> </w:t>
      </w:r>
      <w:r>
        <w:rPr/>
        <w:t>plant</w:t>
      </w:r>
      <w:r>
        <w:rPr>
          <w:spacing w:val="-18"/>
        </w:rPr>
        <w:t> </w:t>
      </w:r>
      <w:r>
        <w:rPr/>
        <w:t>(or</w:t>
      </w:r>
      <w:r>
        <w:rPr>
          <w:spacing w:val="-29"/>
        </w:rPr>
        <w:t> </w:t>
      </w:r>
      <w:r>
        <w:rPr/>
        <w:t>AZEP</w:t>
      </w:r>
      <w:r>
        <w:rPr>
          <w:spacing w:val="-25"/>
        </w:rPr>
        <w:t> </w:t>
      </w:r>
      <w:r>
        <w:rPr/>
        <w:t>as</w:t>
      </w:r>
      <w:r>
        <w:rPr>
          <w:spacing w:val="-17"/>
        </w:rPr>
        <w:t> </w:t>
      </w:r>
      <w:r>
        <w:rPr/>
        <w:t>outlined</w:t>
      </w:r>
      <w:r>
        <w:rPr>
          <w:spacing w:val="-18"/>
        </w:rPr>
        <w:t> </w:t>
      </w:r>
      <w:r>
        <w:rPr/>
        <w:t>in Figure</w:t>
      </w:r>
      <w:r>
        <w:rPr>
          <w:spacing w:val="-12"/>
        </w:rPr>
        <w:t> </w:t>
      </w:r>
      <w:r>
        <w:rPr/>
        <w:t>3.9;</w:t>
      </w:r>
      <w:r>
        <w:rPr>
          <w:spacing w:val="-12"/>
        </w:rPr>
        <w:t> </w:t>
      </w:r>
      <w:r>
        <w:rPr/>
        <w:t>Griffin</w:t>
      </w:r>
      <w:r>
        <w:rPr>
          <w:spacing w:val="-11"/>
        </w:rPr>
        <w:t> </w:t>
      </w:r>
      <w:r>
        <w:rPr>
          <w:i/>
        </w:rPr>
        <w:t>et</w:t>
      </w:r>
      <w:r>
        <w:rPr>
          <w:i/>
          <w:spacing w:val="-12"/>
        </w:rPr>
        <w:t> </w:t>
      </w:r>
      <w:r>
        <w:rPr>
          <w:i/>
        </w:rPr>
        <w:t>al.</w:t>
      </w:r>
      <w:r>
        <w:rPr/>
        <w:t>,</w:t>
      </w:r>
      <w:r>
        <w:rPr>
          <w:spacing w:val="-12"/>
        </w:rPr>
        <w:t> </w:t>
      </w:r>
      <w:r>
        <w:rPr/>
        <w:t>2003)</w:t>
      </w:r>
      <w:r>
        <w:rPr>
          <w:spacing w:val="-12"/>
        </w:rPr>
        <w:t> </w:t>
      </w:r>
      <w:r>
        <w:rPr/>
        <w:t>is</w:t>
      </w:r>
      <w:r>
        <w:rPr>
          <w:spacing w:val="-12"/>
        </w:rPr>
        <w:t> </w:t>
      </w:r>
      <w:r>
        <w:rPr/>
        <w:t>an</w:t>
      </w:r>
      <w:r>
        <w:rPr>
          <w:spacing w:val="-12"/>
        </w:rPr>
        <w:t> </w:t>
      </w:r>
      <w:r>
        <w:rPr/>
        <w:t>indirect</w:t>
      </w:r>
      <w:r>
        <w:rPr>
          <w:spacing w:val="-12"/>
        </w:rPr>
        <w:t> </w:t>
      </w:r>
      <w:r>
        <w:rPr/>
        <w:t>heating</w:t>
      </w:r>
      <w:r>
        <w:rPr>
          <w:spacing w:val="-12"/>
        </w:rPr>
        <w:t> </w:t>
      </w:r>
      <w:r>
        <w:rPr/>
        <w:t>gas</w:t>
      </w:r>
      <w:r>
        <w:rPr>
          <w:spacing w:val="-12"/>
        </w:rPr>
        <w:t> </w:t>
      </w:r>
      <w:r>
        <w:rPr/>
        <w:t>turbine cycle that incorporates a high-temperature oxygen transport membrane, operating at about 800°C -1000°C (see</w:t>
      </w:r>
      <w:r>
        <w:rPr>
          <w:spacing w:val="29"/>
        </w:rPr>
        <w:t> </w:t>
      </w:r>
      <w:r>
        <w:rPr/>
        <w:t>Section 3.4.5.2). This process uses a standard air-based gas turbine in  a combined cycle arrangement. Three process steps take place in a reactor system that replaces the combustion chamber of    a standard gas turbine: 1) separation of oxygen from hot air using</w:t>
      </w:r>
      <w:r>
        <w:rPr>
          <w:spacing w:val="-7"/>
        </w:rPr>
        <w:t> </w:t>
      </w:r>
      <w:r>
        <w:rPr/>
        <w:t>the</w:t>
      </w:r>
      <w:r>
        <w:rPr>
          <w:spacing w:val="-7"/>
        </w:rPr>
        <w:t> </w:t>
      </w:r>
      <w:r>
        <w:rPr/>
        <w:t>membrane</w:t>
      </w:r>
      <w:r>
        <w:rPr>
          <w:spacing w:val="-7"/>
        </w:rPr>
        <w:t> </w:t>
      </w:r>
      <w:r>
        <w:rPr/>
        <w:t>and</w:t>
      </w:r>
      <w:r>
        <w:rPr>
          <w:spacing w:val="-6"/>
        </w:rPr>
        <w:t> </w:t>
      </w:r>
      <w:r>
        <w:rPr/>
        <w:t>transport</w:t>
      </w:r>
      <w:r>
        <w:rPr>
          <w:spacing w:val="-7"/>
        </w:rPr>
        <w:t> </w:t>
      </w:r>
      <w:r>
        <w:rPr/>
        <w:t>to</w:t>
      </w:r>
      <w:r>
        <w:rPr>
          <w:spacing w:val="-7"/>
        </w:rPr>
        <w:t> </w:t>
      </w:r>
      <w:r>
        <w:rPr/>
        <w:t>the</w:t>
      </w:r>
      <w:r>
        <w:rPr>
          <w:spacing w:val="-7"/>
        </w:rPr>
        <w:t> </w:t>
      </w:r>
      <w:r>
        <w:rPr/>
        <w:t>combustion</w:t>
      </w:r>
      <w:r>
        <w:rPr>
          <w:spacing w:val="-7"/>
        </w:rPr>
        <w:t> </w:t>
      </w:r>
      <w:r>
        <w:rPr/>
        <w:t>section;</w:t>
      </w:r>
      <w:r>
        <w:rPr>
          <w:spacing w:val="-6"/>
        </w:rPr>
        <w:t> </w:t>
      </w:r>
      <w:r>
        <w:rPr/>
        <w:t>2) combustion</w:t>
      </w:r>
      <w:r>
        <w:rPr>
          <w:spacing w:val="-14"/>
        </w:rPr>
        <w:t> </w:t>
      </w:r>
      <w:r>
        <w:rPr/>
        <w:t>and</w:t>
      </w:r>
      <w:r>
        <w:rPr>
          <w:spacing w:val="-13"/>
        </w:rPr>
        <w:t> </w:t>
      </w:r>
      <w:r>
        <w:rPr/>
        <w:t>3)</w:t>
      </w:r>
      <w:r>
        <w:rPr>
          <w:spacing w:val="-13"/>
        </w:rPr>
        <w:t> </w:t>
      </w:r>
      <w:r>
        <w:rPr/>
        <w:t>heat</w:t>
      </w:r>
      <w:r>
        <w:rPr>
          <w:spacing w:val="-13"/>
        </w:rPr>
        <w:t> </w:t>
      </w:r>
      <w:r>
        <w:rPr/>
        <w:t>exchange</w:t>
      </w:r>
      <w:r>
        <w:rPr>
          <w:spacing w:val="-13"/>
        </w:rPr>
        <w:t> </w:t>
      </w:r>
      <w:r>
        <w:rPr/>
        <w:t>from</w:t>
      </w:r>
      <w:r>
        <w:rPr>
          <w:spacing w:val="-14"/>
        </w:rPr>
        <w:t> </w:t>
      </w:r>
      <w:r>
        <w:rPr/>
        <w:t>the</w:t>
      </w:r>
      <w:r>
        <w:rPr>
          <w:spacing w:val="-13"/>
        </w:rPr>
        <w:t> </w:t>
      </w:r>
      <w:r>
        <w:rPr/>
        <w:t>combustion</w:t>
      </w:r>
      <w:r>
        <w:rPr>
          <w:spacing w:val="-13"/>
        </w:rPr>
        <w:t> </w:t>
      </w:r>
      <w:r>
        <w:rPr/>
        <w:t>products to the compressed </w:t>
      </w:r>
      <w:r>
        <w:rPr>
          <w:spacing w:val="-3"/>
        </w:rPr>
        <w:t>air.</w:t>
      </w:r>
    </w:p>
    <w:p>
      <w:pPr>
        <w:pStyle w:val="BodyText"/>
        <w:spacing w:line="240" w:lineRule="exact" w:before="4"/>
        <w:ind w:left="513" w:firstLine="283"/>
        <w:jc w:val="both"/>
      </w:pPr>
      <w:r>
        <w:rPr/>
        <w:t>A net efficiency for advanced zero emission power cycle </w:t>
      </w:r>
      <w:r>
        <w:rPr>
          <w:spacing w:val="-8"/>
        </w:rPr>
        <w:t>of </w:t>
      </w:r>
      <w:r>
        <w:rPr/>
        <w:t>around</w:t>
      </w:r>
      <w:r>
        <w:rPr>
          <w:spacing w:val="-12"/>
        </w:rPr>
        <w:t> </w:t>
      </w:r>
      <w:r>
        <w:rPr/>
        <w:t>49–50%</w:t>
      </w:r>
      <w:r>
        <w:rPr>
          <w:spacing w:val="-11"/>
        </w:rPr>
        <w:t> </w:t>
      </w:r>
      <w:r>
        <w:rPr/>
        <w:t>LHV</w:t>
      </w:r>
      <w:r>
        <w:rPr>
          <w:spacing w:val="-15"/>
        </w:rPr>
        <w:t> </w:t>
      </w:r>
      <w:r>
        <w:rPr/>
        <w:t>is</w:t>
      </w:r>
      <w:r>
        <w:rPr>
          <w:spacing w:val="-10"/>
        </w:rPr>
        <w:t> </w:t>
      </w:r>
      <w:r>
        <w:rPr/>
        <w:t>claimed</w:t>
      </w:r>
      <w:r>
        <w:rPr>
          <w:spacing w:val="-12"/>
        </w:rPr>
        <w:t> </w:t>
      </w:r>
      <w:r>
        <w:rPr/>
        <w:t>including</w:t>
      </w:r>
      <w:r>
        <w:rPr>
          <w:spacing w:val="-12"/>
        </w:rPr>
        <w:t> </w:t>
      </w:r>
      <w:r>
        <w:rPr/>
        <w:t>CO</w:t>
      </w:r>
      <w:r>
        <w:rPr>
          <w:position w:val="-6"/>
          <w:sz w:val="11"/>
        </w:rPr>
        <w:t>2</w:t>
      </w:r>
      <w:r>
        <w:rPr>
          <w:spacing w:val="12"/>
          <w:position w:val="-6"/>
          <w:sz w:val="11"/>
        </w:rPr>
        <w:t> </w:t>
      </w:r>
      <w:r>
        <w:rPr/>
        <w:t>compression</w:t>
      </w:r>
      <w:r>
        <w:rPr>
          <w:spacing w:val="-12"/>
        </w:rPr>
        <w:t> </w:t>
      </w:r>
      <w:r>
        <w:rPr>
          <w:spacing w:val="-4"/>
        </w:rPr>
        <w:t>for </w:t>
      </w:r>
      <w:r>
        <w:rPr/>
        <w:t>transport. In order to get full advantage of the potential of </w:t>
      </w:r>
      <w:r>
        <w:rPr>
          <w:spacing w:val="-6"/>
        </w:rPr>
        <w:t>the </w:t>
      </w:r>
      <w:r>
        <w:rPr/>
        <w:t>most advanced gas turbines, which have inlet temperatures of 1300°C-1400°C,</w:t>
      </w:r>
      <w:r>
        <w:rPr>
          <w:spacing w:val="-12"/>
        </w:rPr>
        <w:t> </w:t>
      </w:r>
      <w:r>
        <w:rPr/>
        <w:t>an</w:t>
      </w:r>
      <w:r>
        <w:rPr>
          <w:spacing w:val="-12"/>
        </w:rPr>
        <w:t> </w:t>
      </w:r>
      <w:r>
        <w:rPr/>
        <w:t>afterburner</w:t>
      </w:r>
      <w:r>
        <w:rPr>
          <w:spacing w:val="-12"/>
        </w:rPr>
        <w:t> </w:t>
      </w:r>
      <w:r>
        <w:rPr/>
        <w:t>fired</w:t>
      </w:r>
      <w:r>
        <w:rPr>
          <w:spacing w:val="-12"/>
        </w:rPr>
        <w:t> </w:t>
      </w:r>
      <w:r>
        <w:rPr/>
        <w:t>with</w:t>
      </w:r>
      <w:r>
        <w:rPr>
          <w:spacing w:val="-12"/>
        </w:rPr>
        <w:t> </w:t>
      </w:r>
      <w:r>
        <w:rPr/>
        <w:t>natural</w:t>
      </w:r>
      <w:r>
        <w:rPr>
          <w:spacing w:val="-12"/>
        </w:rPr>
        <w:t> </w:t>
      </w:r>
      <w:r>
        <w:rPr/>
        <w:t>gas</w:t>
      </w:r>
      <w:r>
        <w:rPr>
          <w:spacing w:val="-12"/>
        </w:rPr>
        <w:t> </w:t>
      </w:r>
      <w:r>
        <w:rPr/>
        <w:t>in</w:t>
      </w:r>
      <w:r>
        <w:rPr>
          <w:spacing w:val="-12"/>
        </w:rPr>
        <w:t> </w:t>
      </w:r>
      <w:r>
        <w:rPr/>
        <w:t>air</w:t>
      </w:r>
      <w:r>
        <w:rPr>
          <w:spacing w:val="-12"/>
        </w:rPr>
        <w:t> </w:t>
      </w:r>
      <w:r>
        <w:rPr/>
        <w:t>may be added behind the reactor system. The efficiency then</w:t>
      </w:r>
      <w:r>
        <w:rPr>
          <w:spacing w:val="-20"/>
        </w:rPr>
        <w:t> </w:t>
      </w:r>
      <w:r>
        <w:rPr/>
        <w:t>climbs up to 52% but now 15% of the CO</w:t>
      </w:r>
      <w:r>
        <w:rPr>
          <w:position w:val="-6"/>
          <w:sz w:val="11"/>
        </w:rPr>
        <w:t>2 </w:t>
      </w:r>
      <w:r>
        <w:rPr/>
        <w:t>generated by combustion </w:t>
      </w:r>
      <w:r>
        <w:rPr>
          <w:spacing w:val="-7"/>
        </w:rPr>
        <w:t>is </w:t>
      </w:r>
      <w:r>
        <w:rPr/>
        <w:t>released at the stack and is not</w:t>
      </w:r>
      <w:r>
        <w:rPr>
          <w:spacing w:val="-2"/>
        </w:rPr>
        <w:t> </w:t>
      </w:r>
      <w:r>
        <w:rPr/>
        <w:t>captured.</w:t>
      </w:r>
    </w:p>
    <w:p>
      <w:pPr>
        <w:pStyle w:val="BodyText"/>
        <w:spacing w:before="4"/>
        <w:rPr>
          <w:sz w:val="21"/>
        </w:rPr>
      </w:pPr>
    </w:p>
    <w:p>
      <w:pPr>
        <w:pStyle w:val="Heading2"/>
        <w:numPr>
          <w:ilvl w:val="2"/>
          <w:numId w:val="5"/>
        </w:numPr>
        <w:tabs>
          <w:tab w:pos="1334" w:val="left" w:leader="none"/>
        </w:tabs>
        <w:spacing w:line="240" w:lineRule="auto" w:before="0" w:after="0"/>
        <w:ind w:left="1333" w:right="0" w:hanging="821"/>
        <w:jc w:val="both"/>
        <w:rPr>
          <w:i/>
        </w:rPr>
      </w:pPr>
      <w:r>
        <w:rPr>
          <w:i/>
        </w:rPr>
        <w:t>Oxy-fuel direct heating - gas turbine</w:t>
      </w:r>
      <w:r>
        <w:rPr>
          <w:i/>
          <w:spacing w:val="-6"/>
        </w:rPr>
        <w:t> </w:t>
      </w:r>
      <w:r>
        <w:rPr>
          <w:i/>
        </w:rPr>
        <w:t>cycle</w:t>
      </w:r>
    </w:p>
    <w:p>
      <w:pPr>
        <w:pStyle w:val="BodyText"/>
        <w:spacing w:before="3"/>
        <w:rPr>
          <w:b/>
          <w:i/>
          <w:sz w:val="21"/>
        </w:rPr>
      </w:pPr>
    </w:p>
    <w:p>
      <w:pPr>
        <w:pStyle w:val="BodyText"/>
        <w:spacing w:line="240" w:lineRule="exact"/>
        <w:ind w:left="513"/>
        <w:jc w:val="both"/>
      </w:pPr>
      <w:r>
        <w:rPr/>
        <w:t>Oxy-fuel combustion takes place in a pressurized CO</w:t>
      </w:r>
      <w:r>
        <w:rPr>
          <w:position w:val="-6"/>
          <w:sz w:val="11"/>
        </w:rPr>
        <w:t>2</w:t>
      </w:r>
      <w:r>
        <w:rPr/>
        <w:t>-rich recirculating stream in a modified gas turbine. The hot gas is expanded in the turbine producing power. The turbine exhaust is cooled to provide heat for a steam cycle and water vapour is condensed</w:t>
      </w:r>
      <w:r>
        <w:rPr>
          <w:spacing w:val="-19"/>
        </w:rPr>
        <w:t> </w:t>
      </w:r>
      <w:r>
        <w:rPr/>
        <w:t>by</w:t>
      </w:r>
      <w:r>
        <w:rPr>
          <w:spacing w:val="-19"/>
        </w:rPr>
        <w:t> </w:t>
      </w:r>
      <w:r>
        <w:rPr/>
        <w:t>further</w:t>
      </w:r>
      <w:r>
        <w:rPr>
          <w:spacing w:val="-19"/>
        </w:rPr>
        <w:t> </w:t>
      </w:r>
      <w:r>
        <w:rPr/>
        <w:t>cooling.</w:t>
      </w:r>
      <w:r>
        <w:rPr>
          <w:spacing w:val="-21"/>
        </w:rPr>
        <w:t> </w:t>
      </w:r>
      <w:r>
        <w:rPr/>
        <w:t>The</w:t>
      </w:r>
      <w:r>
        <w:rPr>
          <w:spacing w:val="-19"/>
        </w:rPr>
        <w:t> </w:t>
      </w:r>
      <w:r>
        <w:rPr/>
        <w:t>CO</w:t>
      </w:r>
      <w:r>
        <w:rPr>
          <w:position w:val="-6"/>
          <w:sz w:val="11"/>
        </w:rPr>
        <w:t>2</w:t>
      </w:r>
      <w:r>
        <w:rPr/>
        <w:t>-rich</w:t>
      </w:r>
      <w:r>
        <w:rPr>
          <w:spacing w:val="-19"/>
        </w:rPr>
        <w:t> </w:t>
      </w:r>
      <w:r>
        <w:rPr/>
        <w:t>gas</w:t>
      </w:r>
      <w:r>
        <w:rPr>
          <w:spacing w:val="-19"/>
        </w:rPr>
        <w:t> </w:t>
      </w:r>
      <w:r>
        <w:rPr/>
        <w:t>is</w:t>
      </w:r>
      <w:r>
        <w:rPr>
          <w:spacing w:val="-18"/>
        </w:rPr>
        <w:t> </w:t>
      </w:r>
      <w:r>
        <w:rPr/>
        <w:t>compressed</w:t>
      </w:r>
      <w:r>
        <w:rPr>
          <w:spacing w:val="-19"/>
        </w:rPr>
        <w:t> </w:t>
      </w:r>
      <w:r>
        <w:rPr>
          <w:spacing w:val="-6"/>
        </w:rPr>
        <w:t>in </w:t>
      </w:r>
      <w:r>
        <w:rPr/>
        <w:t>the</w:t>
      </w:r>
      <w:r>
        <w:rPr>
          <w:spacing w:val="-12"/>
        </w:rPr>
        <w:t> </w:t>
      </w:r>
      <w:r>
        <w:rPr/>
        <w:t>compressor</w:t>
      </w:r>
      <w:r>
        <w:rPr>
          <w:spacing w:val="-12"/>
        </w:rPr>
        <w:t> </w:t>
      </w:r>
      <w:r>
        <w:rPr/>
        <w:t>section.</w:t>
      </w:r>
      <w:r>
        <w:rPr>
          <w:spacing w:val="-15"/>
        </w:rPr>
        <w:t> </w:t>
      </w:r>
      <w:r>
        <w:rPr/>
        <w:t>The</w:t>
      </w:r>
      <w:r>
        <w:rPr>
          <w:spacing w:val="-12"/>
        </w:rPr>
        <w:t> </w:t>
      </w:r>
      <w:r>
        <w:rPr/>
        <w:t>net</w:t>
      </w:r>
      <w:r>
        <w:rPr>
          <w:spacing w:val="-11"/>
        </w:rPr>
        <w:t> </w:t>
      </w:r>
      <w:r>
        <w:rPr/>
        <w:t>CO</w:t>
      </w:r>
      <w:r>
        <w:rPr>
          <w:position w:val="-6"/>
          <w:sz w:val="11"/>
        </w:rPr>
        <w:t>2</w:t>
      </w:r>
      <w:r>
        <w:rPr/>
        <w:t>-rich</w:t>
      </w:r>
      <w:r>
        <w:rPr>
          <w:spacing w:val="-12"/>
        </w:rPr>
        <w:t> </w:t>
      </w:r>
      <w:r>
        <w:rPr/>
        <w:t>combustion</w:t>
      </w:r>
      <w:r>
        <w:rPr>
          <w:spacing w:val="-12"/>
        </w:rPr>
        <w:t> </w:t>
      </w:r>
      <w:r>
        <w:rPr/>
        <w:t>product</w:t>
      </w:r>
      <w:r>
        <w:rPr>
          <w:spacing w:val="-11"/>
        </w:rPr>
        <w:t> </w:t>
      </w:r>
      <w:r>
        <w:rPr/>
        <w:t>is removed from the system. Only natural gas, light</w:t>
      </w:r>
      <w:r>
        <w:rPr>
          <w:spacing w:val="-33"/>
        </w:rPr>
        <w:t> </w:t>
      </w:r>
      <w:r>
        <w:rPr/>
        <w:t>hydrocarbons and syngas (CO + H</w:t>
      </w:r>
      <w:r>
        <w:rPr>
          <w:position w:val="-6"/>
          <w:sz w:val="11"/>
        </w:rPr>
        <w:t>2</w:t>
      </w:r>
      <w:r>
        <w:rPr/>
        <w:t>) can be used as</w:t>
      </w:r>
      <w:r>
        <w:rPr>
          <w:spacing w:val="-2"/>
        </w:rPr>
        <w:t> </w:t>
      </w:r>
      <w:r>
        <w:rPr/>
        <w:t>fuel.</w:t>
      </w:r>
    </w:p>
    <w:p>
      <w:pPr>
        <w:pStyle w:val="BodyText"/>
        <w:spacing w:before="4"/>
        <w:rPr>
          <w:sz w:val="21"/>
        </w:rPr>
      </w:pPr>
    </w:p>
    <w:p>
      <w:pPr>
        <w:pStyle w:val="ListParagraph"/>
        <w:numPr>
          <w:ilvl w:val="3"/>
          <w:numId w:val="5"/>
        </w:numPr>
        <w:tabs>
          <w:tab w:pos="1334" w:val="left" w:leader="none"/>
        </w:tabs>
        <w:spacing w:line="240" w:lineRule="auto" w:before="0" w:after="0"/>
        <w:ind w:left="1333" w:right="0" w:hanging="821"/>
        <w:jc w:val="both"/>
        <w:rPr>
          <w:i/>
          <w:sz w:val="20"/>
        </w:rPr>
      </w:pPr>
      <w:r>
        <w:rPr>
          <w:i/>
          <w:sz w:val="20"/>
        </w:rPr>
        <w:t>Cycle description and performance</w:t>
      </w:r>
    </w:p>
    <w:p>
      <w:pPr>
        <w:pStyle w:val="BodyText"/>
        <w:spacing w:line="240" w:lineRule="exact" w:before="5"/>
        <w:ind w:left="513" w:right="1"/>
        <w:jc w:val="both"/>
      </w:pPr>
      <w:hyperlink w:history="true" w:anchor="_bookmark14">
        <w:r>
          <w:rPr/>
          <w:t>Figure 3.10</w:t>
        </w:r>
      </w:hyperlink>
      <w:r>
        <w:rPr/>
        <w:t> shows how a gas turbine can be adapted to run with oxy-fuel firing using CO</w:t>
      </w:r>
      <w:r>
        <w:rPr>
          <w:position w:val="-6"/>
          <w:sz w:val="11"/>
        </w:rPr>
        <w:t>2 </w:t>
      </w:r>
      <w:r>
        <w:rPr/>
        <w:t>as a working fluid. Exhaust gas leaving</w:t>
      </w:r>
      <w:r>
        <w:rPr>
          <w:spacing w:val="-9"/>
        </w:rPr>
        <w:t> </w:t>
      </w:r>
      <w:r>
        <w:rPr/>
        <w:t>the</w:t>
      </w:r>
      <w:r>
        <w:rPr>
          <w:spacing w:val="-9"/>
        </w:rPr>
        <w:t> </w:t>
      </w:r>
      <w:r>
        <w:rPr/>
        <w:t>heat</w:t>
      </w:r>
      <w:r>
        <w:rPr>
          <w:spacing w:val="-8"/>
        </w:rPr>
        <w:t> </w:t>
      </w:r>
      <w:r>
        <w:rPr/>
        <w:t>recovery</w:t>
      </w:r>
      <w:r>
        <w:rPr>
          <w:spacing w:val="-9"/>
        </w:rPr>
        <w:t> </w:t>
      </w:r>
      <w:r>
        <w:rPr/>
        <w:t>steam</w:t>
      </w:r>
      <w:r>
        <w:rPr>
          <w:spacing w:val="-9"/>
        </w:rPr>
        <w:t> </w:t>
      </w:r>
      <w:r>
        <w:rPr/>
        <w:t>generator</w:t>
      </w:r>
      <w:r>
        <w:rPr>
          <w:spacing w:val="-8"/>
        </w:rPr>
        <w:t> </w:t>
      </w:r>
      <w:r>
        <w:rPr/>
        <w:t>is</w:t>
      </w:r>
      <w:r>
        <w:rPr>
          <w:spacing w:val="-9"/>
        </w:rPr>
        <w:t> </w:t>
      </w:r>
      <w:r>
        <w:rPr/>
        <w:t>cooled</w:t>
      </w:r>
      <w:r>
        <w:rPr>
          <w:spacing w:val="-9"/>
        </w:rPr>
        <w:t> </w:t>
      </w:r>
      <w:r>
        <w:rPr/>
        <w:t>to</w:t>
      </w:r>
      <w:r>
        <w:rPr>
          <w:spacing w:val="-8"/>
        </w:rPr>
        <w:t> </w:t>
      </w:r>
      <w:r>
        <w:rPr/>
        <w:t>condense </w:t>
      </w:r>
      <w:r>
        <w:rPr>
          <w:spacing w:val="-3"/>
        </w:rPr>
        <w:t>water.</w:t>
      </w:r>
      <w:r>
        <w:rPr>
          <w:spacing w:val="-10"/>
        </w:rPr>
        <w:t> </w:t>
      </w:r>
      <w:r>
        <w:rPr/>
        <w:t>The</w:t>
      </w:r>
      <w:r>
        <w:rPr>
          <w:spacing w:val="-5"/>
        </w:rPr>
        <w:t> </w:t>
      </w:r>
      <w:r>
        <w:rPr/>
        <w:t>net</w:t>
      </w:r>
      <w:r>
        <w:rPr>
          <w:spacing w:val="-6"/>
        </w:rPr>
        <w:t> </w:t>
      </w:r>
      <w:r>
        <w:rPr/>
        <w:t>CO</w:t>
      </w:r>
      <w:r>
        <w:rPr>
          <w:position w:val="-6"/>
          <w:sz w:val="11"/>
        </w:rPr>
        <w:t>2</w:t>
      </w:r>
      <w:r>
        <w:rPr>
          <w:spacing w:val="17"/>
          <w:position w:val="-6"/>
          <w:sz w:val="11"/>
        </w:rPr>
        <w:t> </w:t>
      </w:r>
      <w:r>
        <w:rPr/>
        <w:t>product</w:t>
      </w:r>
      <w:r>
        <w:rPr>
          <w:spacing w:val="-5"/>
        </w:rPr>
        <w:t> </w:t>
      </w:r>
      <w:r>
        <w:rPr/>
        <w:t>is</w:t>
      </w:r>
      <w:r>
        <w:rPr>
          <w:spacing w:val="-6"/>
        </w:rPr>
        <w:t> </w:t>
      </w:r>
      <w:r>
        <w:rPr/>
        <w:t>removed</w:t>
      </w:r>
      <w:r>
        <w:rPr>
          <w:spacing w:val="-6"/>
        </w:rPr>
        <w:t> </w:t>
      </w:r>
      <w:r>
        <w:rPr/>
        <w:t>and</w:t>
      </w:r>
      <w:r>
        <w:rPr>
          <w:spacing w:val="-5"/>
        </w:rPr>
        <w:t> </w:t>
      </w:r>
      <w:r>
        <w:rPr/>
        <w:t>the</w:t>
      </w:r>
      <w:r>
        <w:rPr>
          <w:spacing w:val="-6"/>
        </w:rPr>
        <w:t> </w:t>
      </w:r>
      <w:r>
        <w:rPr/>
        <w:t>remaining</w:t>
      </w:r>
      <w:r>
        <w:rPr>
          <w:spacing w:val="-6"/>
        </w:rPr>
        <w:t> </w:t>
      </w:r>
      <w:r>
        <w:rPr/>
        <w:t>gas</w:t>
      </w:r>
      <w:r>
        <w:rPr>
          <w:spacing w:val="-6"/>
        </w:rPr>
        <w:t> is</w:t>
      </w:r>
    </w:p>
    <w:p>
      <w:pPr>
        <w:pStyle w:val="BodyText"/>
        <w:spacing w:line="240" w:lineRule="exact" w:before="58"/>
        <w:ind w:left="241" w:right="734"/>
        <w:jc w:val="both"/>
      </w:pPr>
      <w:r>
        <w:rPr/>
        <w:br w:type="column"/>
      </w:r>
      <w:r>
        <w:rPr/>
        <w:t>recycled to the compressor. Suitable fuels are natural gas, light to medium hydrocarbons or (H</w:t>
      </w:r>
      <w:r>
        <w:rPr>
          <w:position w:val="-6"/>
          <w:sz w:val="11"/>
        </w:rPr>
        <w:t>2 </w:t>
      </w:r>
      <w:r>
        <w:rPr/>
        <w:t>+ CO) syngas, which could be derived from coal. The use of CO</w:t>
      </w:r>
      <w:r>
        <w:rPr>
          <w:position w:val="-6"/>
          <w:sz w:val="11"/>
        </w:rPr>
        <w:t>2 </w:t>
      </w:r>
      <w:r>
        <w:rPr/>
        <w:t>as the working fluid in the turbine will necessitate a complete redesign of the gas turbine (see Section 3.4.3.2). A recent study (Dillon </w:t>
      </w:r>
      <w:r>
        <w:rPr>
          <w:i/>
        </w:rPr>
        <w:t>et al.</w:t>
      </w:r>
      <w:r>
        <w:rPr/>
        <w:t>, 2005) gives an overall efficiency including CO</w:t>
      </w:r>
      <w:r>
        <w:rPr>
          <w:position w:val="-6"/>
          <w:sz w:val="11"/>
        </w:rPr>
        <w:t>2 </w:t>
      </w:r>
      <w:r>
        <w:rPr/>
        <w:t>compression of 45%.</w:t>
      </w:r>
    </w:p>
    <w:p>
      <w:pPr>
        <w:pStyle w:val="BodyText"/>
        <w:spacing w:line="240" w:lineRule="exact"/>
        <w:ind w:left="241" w:right="733" w:firstLine="284"/>
        <w:jc w:val="both"/>
      </w:pPr>
      <w:r>
        <w:rPr/>
        <w:t>Two typical variants of this configuration are the so-called Matiant and Graz cycles (Mathieu, 2003; Jericha </w:t>
      </w:r>
      <w:r>
        <w:rPr>
          <w:i/>
        </w:rPr>
        <w:t>et al.</w:t>
      </w:r>
      <w:r>
        <w:rPr/>
        <w:t>, 2003). The Matiant cycle uses CO</w:t>
      </w:r>
      <w:r>
        <w:rPr>
          <w:position w:val="-6"/>
          <w:sz w:val="11"/>
        </w:rPr>
        <w:t>2 </w:t>
      </w:r>
      <w:r>
        <w:rPr/>
        <w:t>as the working fluid, and consists of features like intercooled compressor and turbine reheat. The exhaust gas is preheating the recycled CO</w:t>
      </w:r>
      <w:r>
        <w:rPr>
          <w:position w:val="-6"/>
          <w:sz w:val="11"/>
        </w:rPr>
        <w:t>2 </w:t>
      </w:r>
      <w:r>
        <w:rPr/>
        <w:t>in a heat exchanger. The CO</w:t>
      </w:r>
      <w:r>
        <w:rPr>
          <w:position w:val="-6"/>
          <w:sz w:val="11"/>
        </w:rPr>
        <w:t>2 </w:t>
      </w:r>
      <w:r>
        <w:rPr/>
        <w:t>generated in combustion is extracted from the cycle behind the compressor. The net overall LHV efficiency is expected to be 45-47% and can increase above 50% in a combined cycle configuration similar to that shown in </w:t>
      </w:r>
      <w:hyperlink w:history="true" w:anchor="_bookmark15">
        <w:r>
          <w:rPr/>
          <w:t>Figure</w:t>
        </w:r>
      </w:hyperlink>
    </w:p>
    <w:p>
      <w:pPr>
        <w:pStyle w:val="BodyText"/>
        <w:spacing w:line="249" w:lineRule="auto" w:before="5"/>
        <w:ind w:left="241" w:right="733"/>
        <w:jc w:val="both"/>
      </w:pPr>
      <w:hyperlink w:history="true" w:anchor="_bookmark14">
        <w:r>
          <w:rPr/>
          <w:t>3.10. </w:t>
        </w:r>
      </w:hyperlink>
      <w:r>
        <w:rPr/>
        <w:t>The Graz cycle consists of an integrated gas turbine and steam turbine cycle. A net LHV efficiency of above 50% has been calculated for this cycle (Jericha </w:t>
      </w:r>
      <w:r>
        <w:rPr>
          <w:i/>
        </w:rPr>
        <w:t>et al.</w:t>
      </w:r>
      <w:r>
        <w:rPr/>
        <w:t>, 2003).</w:t>
      </w:r>
    </w:p>
    <w:p>
      <w:pPr>
        <w:pStyle w:val="BodyText"/>
        <w:spacing w:line="225" w:lineRule="auto" w:before="14"/>
        <w:ind w:left="241" w:right="734" w:firstLine="283"/>
        <w:jc w:val="both"/>
      </w:pPr>
      <w:r>
        <w:rPr/>
        <w:t>A recent comprehensive review of gas turbine cycles with CO</w:t>
      </w:r>
      <w:r>
        <w:rPr>
          <w:position w:val="-6"/>
          <w:sz w:val="11"/>
        </w:rPr>
        <w:t>2 </w:t>
      </w:r>
      <w:r>
        <w:rPr/>
        <w:t>capture provides efficiencies of different cycles on a common basis (Kvamsdal </w:t>
      </w:r>
      <w:r>
        <w:rPr>
          <w:i/>
        </w:rPr>
        <w:t>et al.</w:t>
      </w:r>
      <w:r>
        <w:rPr/>
        <w:t>, 2004).</w:t>
      </w:r>
    </w:p>
    <w:p>
      <w:pPr>
        <w:pStyle w:val="BodyText"/>
        <w:spacing w:before="8"/>
        <w:rPr>
          <w:sz w:val="21"/>
        </w:rPr>
      </w:pPr>
    </w:p>
    <w:p>
      <w:pPr>
        <w:pStyle w:val="ListParagraph"/>
        <w:numPr>
          <w:ilvl w:val="3"/>
          <w:numId w:val="5"/>
        </w:numPr>
        <w:tabs>
          <w:tab w:pos="1062" w:val="left" w:leader="none"/>
        </w:tabs>
        <w:spacing w:line="260" w:lineRule="exact" w:before="0" w:after="0"/>
        <w:ind w:left="1061" w:right="0" w:hanging="821"/>
        <w:jc w:val="both"/>
        <w:rPr>
          <w:i/>
          <w:sz w:val="20"/>
        </w:rPr>
      </w:pPr>
      <w:r>
        <w:rPr>
          <w:i/>
          <w:sz w:val="20"/>
        </w:rPr>
        <w:t>The CO</w:t>
      </w:r>
      <w:r>
        <w:rPr>
          <w:i/>
          <w:position w:val="-6"/>
          <w:sz w:val="11"/>
        </w:rPr>
        <w:t>2</w:t>
      </w:r>
      <w:r>
        <w:rPr>
          <w:i/>
          <w:sz w:val="20"/>
        </w:rPr>
        <w:t>/oxy-fuel gas</w:t>
      </w:r>
      <w:r>
        <w:rPr>
          <w:i/>
          <w:spacing w:val="-1"/>
          <w:sz w:val="20"/>
        </w:rPr>
        <w:t> </w:t>
      </w:r>
      <w:r>
        <w:rPr>
          <w:i/>
          <w:sz w:val="20"/>
        </w:rPr>
        <w:t>turbine</w:t>
      </w:r>
    </w:p>
    <w:p>
      <w:pPr>
        <w:pStyle w:val="BodyText"/>
        <w:spacing w:line="210" w:lineRule="exact"/>
        <w:ind w:left="241"/>
        <w:jc w:val="both"/>
      </w:pPr>
      <w:r>
        <w:rPr/>
        <w:t>In existing gas turbines the molecular weight of the gases in</w:t>
      </w:r>
    </w:p>
    <w:p>
      <w:pPr>
        <w:pStyle w:val="BodyText"/>
        <w:spacing w:line="240" w:lineRule="exact" w:before="5"/>
        <w:ind w:left="241" w:right="733"/>
        <w:jc w:val="both"/>
      </w:pPr>
      <w:r>
        <w:rPr/>
        <w:t>the compressor and turbine are close to that of air (28.8). In </w:t>
      </w:r>
      <w:r>
        <w:rPr>
          <w:spacing w:val="-5"/>
        </w:rPr>
        <w:t>the </w:t>
      </w:r>
      <w:r>
        <w:rPr/>
        <w:t>case of oxy-fuel combustion with CO</w:t>
      </w:r>
      <w:r>
        <w:rPr>
          <w:position w:val="-6"/>
          <w:sz w:val="11"/>
        </w:rPr>
        <w:t>2</w:t>
      </w:r>
      <w:r>
        <w:rPr/>
        <w:t>-recycle the compressor fluid molecular weight is about 43 and about 40 in the turbine. The change in working fluid from air to a CO</w:t>
      </w:r>
      <w:r>
        <w:rPr>
          <w:position w:val="-6"/>
          <w:sz w:val="11"/>
        </w:rPr>
        <w:t>2</w:t>
      </w:r>
      <w:r>
        <w:rPr/>
        <w:t>-rich gas results in a number of changes in properties that are of importance for the design of the compressor, combustor and the hot gas path including the turbine:</w:t>
      </w:r>
    </w:p>
    <w:p>
      <w:pPr>
        <w:pStyle w:val="ListParagraph"/>
        <w:numPr>
          <w:ilvl w:val="0"/>
          <w:numId w:val="18"/>
        </w:numPr>
        <w:tabs>
          <w:tab w:pos="525" w:val="left" w:leader="none"/>
        </w:tabs>
        <w:spacing w:line="240" w:lineRule="auto" w:before="5" w:after="0"/>
        <w:ind w:left="524" w:right="0" w:hanging="284"/>
        <w:jc w:val="both"/>
        <w:rPr>
          <w:sz w:val="20"/>
        </w:rPr>
      </w:pPr>
      <w:r>
        <w:rPr>
          <w:sz w:val="20"/>
        </w:rPr>
        <w:t>The speed of sound is 80% of</w:t>
      </w:r>
      <w:r>
        <w:rPr>
          <w:spacing w:val="-3"/>
          <w:sz w:val="20"/>
        </w:rPr>
        <w:t> </w:t>
      </w:r>
      <w:r>
        <w:rPr>
          <w:sz w:val="20"/>
        </w:rPr>
        <w:t>air;</w:t>
      </w:r>
    </w:p>
    <w:p>
      <w:pPr>
        <w:pStyle w:val="ListParagraph"/>
        <w:numPr>
          <w:ilvl w:val="0"/>
          <w:numId w:val="18"/>
        </w:numPr>
        <w:tabs>
          <w:tab w:pos="525" w:val="left" w:leader="none"/>
        </w:tabs>
        <w:spacing w:line="240" w:lineRule="auto" w:before="10" w:after="0"/>
        <w:ind w:left="524" w:right="0" w:hanging="284"/>
        <w:jc w:val="both"/>
        <w:rPr>
          <w:sz w:val="20"/>
        </w:rPr>
      </w:pPr>
      <w:r>
        <w:rPr>
          <w:sz w:val="20"/>
        </w:rPr>
        <w:t>The gas density is 50% higher than air;</w:t>
      </w:r>
    </w:p>
    <w:p>
      <w:pPr>
        <w:pStyle w:val="ListParagraph"/>
        <w:numPr>
          <w:ilvl w:val="0"/>
          <w:numId w:val="18"/>
        </w:numPr>
        <w:tabs>
          <w:tab w:pos="525" w:val="left" w:leader="none"/>
        </w:tabs>
        <w:spacing w:line="249" w:lineRule="auto" w:before="10" w:after="0"/>
        <w:ind w:left="524" w:right="732" w:hanging="284"/>
        <w:jc w:val="both"/>
        <w:rPr>
          <w:sz w:val="20"/>
        </w:rPr>
      </w:pPr>
      <w:r>
        <w:rPr>
          <w:sz w:val="20"/>
        </w:rPr>
        <w:t>The specific heat ratio is lower than air resulting in a lower temperature change on adiabatic compression or</w:t>
      </w:r>
      <w:r>
        <w:rPr>
          <w:spacing w:val="-36"/>
          <w:sz w:val="20"/>
        </w:rPr>
        <w:t> </w:t>
      </w:r>
      <w:r>
        <w:rPr>
          <w:sz w:val="20"/>
        </w:rPr>
        <w:t>expansion. An oxy-fuel gas turbine in a combined cycle has a higher optimal</w:t>
      </w:r>
      <w:r>
        <w:rPr>
          <w:spacing w:val="23"/>
          <w:sz w:val="20"/>
        </w:rPr>
        <w:t> </w:t>
      </w:r>
      <w:r>
        <w:rPr>
          <w:sz w:val="20"/>
        </w:rPr>
        <w:t>pressure</w:t>
      </w:r>
      <w:r>
        <w:rPr>
          <w:spacing w:val="24"/>
          <w:sz w:val="20"/>
        </w:rPr>
        <w:t> </w:t>
      </w:r>
      <w:r>
        <w:rPr>
          <w:sz w:val="20"/>
        </w:rPr>
        <w:t>ratio,</w:t>
      </w:r>
      <w:r>
        <w:rPr>
          <w:spacing w:val="23"/>
          <w:sz w:val="20"/>
        </w:rPr>
        <w:t> </w:t>
      </w:r>
      <w:r>
        <w:rPr>
          <w:sz w:val="20"/>
        </w:rPr>
        <w:t>typically</w:t>
      </w:r>
      <w:r>
        <w:rPr>
          <w:spacing w:val="23"/>
          <w:sz w:val="20"/>
        </w:rPr>
        <w:t> </w:t>
      </w:r>
      <w:r>
        <w:rPr>
          <w:sz w:val="20"/>
        </w:rPr>
        <w:t>30</w:t>
      </w:r>
      <w:r>
        <w:rPr>
          <w:spacing w:val="24"/>
          <w:sz w:val="20"/>
        </w:rPr>
        <w:t> </w:t>
      </w:r>
      <w:r>
        <w:rPr>
          <w:sz w:val="20"/>
        </w:rPr>
        <w:t>to</w:t>
      </w:r>
      <w:r>
        <w:rPr>
          <w:spacing w:val="25"/>
          <w:sz w:val="20"/>
        </w:rPr>
        <w:t> </w:t>
      </w:r>
      <w:r>
        <w:rPr>
          <w:sz w:val="20"/>
        </w:rPr>
        <w:t>35</w:t>
      </w:r>
      <w:r>
        <w:rPr>
          <w:spacing w:val="24"/>
          <w:sz w:val="20"/>
        </w:rPr>
        <w:t> </w:t>
      </w:r>
      <w:r>
        <w:rPr>
          <w:sz w:val="20"/>
        </w:rPr>
        <w:t>compared</w:t>
      </w:r>
      <w:r>
        <w:rPr>
          <w:spacing w:val="23"/>
          <w:sz w:val="20"/>
        </w:rPr>
        <w:t> </w:t>
      </w:r>
      <w:r>
        <w:rPr>
          <w:sz w:val="20"/>
        </w:rPr>
        <w:t>to</w:t>
      </w:r>
      <w:r>
        <w:rPr>
          <w:spacing w:val="24"/>
          <w:sz w:val="20"/>
        </w:rPr>
        <w:t> </w:t>
      </w:r>
      <w:r>
        <w:rPr>
          <w:spacing w:val="-6"/>
          <w:sz w:val="20"/>
        </w:rPr>
        <w:t>15</w:t>
      </w:r>
    </w:p>
    <w:p>
      <w:pPr>
        <w:spacing w:after="0" w:line="249" w:lineRule="auto"/>
        <w:jc w:val="both"/>
        <w:rPr>
          <w:sz w:val="20"/>
        </w:rPr>
        <w:sectPr>
          <w:type w:val="continuous"/>
          <w:pgSz w:w="12240" w:h="15840"/>
          <w:pgMar w:top="480" w:bottom="280" w:left="620" w:right="0"/>
          <w:cols w:num="2" w:equalWidth="0">
            <w:col w:w="5559" w:space="40"/>
            <w:col w:w="6021"/>
          </w:cols>
        </w:sectPr>
      </w:pPr>
    </w:p>
    <w:p>
      <w:pPr>
        <w:pStyle w:val="BodyText"/>
      </w:pPr>
    </w:p>
    <w:p>
      <w:pPr>
        <w:pStyle w:val="BodyText"/>
        <w:rPr>
          <w:sz w:val="25"/>
        </w:rPr>
      </w:pPr>
    </w:p>
    <w:p>
      <w:pPr>
        <w:pStyle w:val="BodyText"/>
        <w:spacing w:line="172" w:lineRule="exact"/>
        <w:ind w:left="5639"/>
        <w:rPr>
          <w:sz w:val="17"/>
        </w:rPr>
      </w:pPr>
      <w:r>
        <w:rPr>
          <w:position w:val="-2"/>
          <w:sz w:val="17"/>
        </w:rPr>
        <w:pict>
          <v:group style="width:37.35pt;height:8.65pt;mso-position-horizontal-relative:char;mso-position-vertical-relative:line" coordorigin="0,0" coordsize="747,173">
            <v:shape style="position:absolute;left:0;top:6;width:348;height:130" type="#_x0000_t75" stroked="false">
              <v:imagedata r:id="rId69" o:title=""/>
            </v:shape>
            <v:shape style="position:absolute;left:412;top:0;width:335;height:173" type="#_x0000_t75" stroked="false">
              <v:imagedata r:id="rId70" o:title=""/>
            </v:shape>
          </v:group>
        </w:pict>
      </w:r>
      <w:r>
        <w:rPr>
          <w:position w:val="-2"/>
          <w:sz w:val="17"/>
        </w:rPr>
      </w:r>
    </w:p>
    <w:p>
      <w:pPr>
        <w:pStyle w:val="BodyText"/>
        <w:spacing w:before="3"/>
        <w:rPr>
          <w:sz w:val="6"/>
        </w:rPr>
      </w:pPr>
      <w:r>
        <w:rPr/>
        <w:pict>
          <v:group style="position:absolute;margin-left:312.891998pt;margin-top:5.926pt;width:16.850pt;height:6.45pt;mso-position-horizontal-relative:page;mso-position-vertical-relative:paragraph;z-index:-251625472;mso-wrap-distance-left:0;mso-wrap-distance-right:0" coordorigin="6258,119" coordsize="337,129">
            <v:shape style="position:absolute;left:6257;top:118;width:47;height:126" coordorigin="6258,119" coordsize="47,126" path="m6304,119l6292,119,6290,128,6286,134,6277,140,6269,141,6258,143,6258,155,6288,155,6288,244,6304,244,6304,119xe" filled="true" fillcolor="#000000" stroked="false">
              <v:path arrowok="t"/>
              <v:fill type="solid"/>
            </v:shape>
            <v:shape style="position:absolute;left:6346;top:118;width:248;height:129" type="#_x0000_t75" stroked="false">
              <v:imagedata r:id="rId71" o:title=""/>
            </v:shape>
            <w10:wrap type="topAndBottom"/>
          </v:group>
        </w:pict>
      </w:r>
      <w:r>
        <w:rPr/>
        <w:drawing>
          <wp:anchor distT="0" distB="0" distL="0" distR="0" allowOverlap="1" layoutInCell="1" locked="0" behindDoc="0" simplePos="0" relativeHeight="33">
            <wp:simplePos x="0" y="0"/>
            <wp:positionH relativeFrom="page">
              <wp:posOffset>4232262</wp:posOffset>
            </wp:positionH>
            <wp:positionV relativeFrom="paragraph">
              <wp:posOffset>70700</wp:posOffset>
            </wp:positionV>
            <wp:extent cx="207390" cy="109537"/>
            <wp:effectExtent l="0" t="0" r="0" b="0"/>
            <wp:wrapTopAndBottom/>
            <wp:docPr id="23" name="image66.png"/>
            <wp:cNvGraphicFramePr>
              <a:graphicFrameLocks noChangeAspect="1"/>
            </wp:cNvGraphicFramePr>
            <a:graphic>
              <a:graphicData uri="http://schemas.openxmlformats.org/drawingml/2006/picture">
                <pic:pic>
                  <pic:nvPicPr>
                    <pic:cNvPr id="24" name="image66.png"/>
                    <pic:cNvPicPr/>
                  </pic:nvPicPr>
                  <pic:blipFill>
                    <a:blip r:embed="rId72" cstate="print"/>
                    <a:stretch>
                      <a:fillRect/>
                    </a:stretch>
                  </pic:blipFill>
                  <pic:spPr>
                    <a:xfrm>
                      <a:off x="0" y="0"/>
                      <a:ext cx="207390" cy="109537"/>
                    </a:xfrm>
                    <a:prstGeom prst="rect">
                      <a:avLst/>
                    </a:prstGeom>
                  </pic:spPr>
                </pic:pic>
              </a:graphicData>
            </a:graphic>
          </wp:anchor>
        </w:drawing>
      </w:r>
    </w:p>
    <w:p>
      <w:pPr>
        <w:pStyle w:val="BodyText"/>
        <w:spacing w:before="4"/>
        <w:rPr>
          <w:sz w:val="5"/>
        </w:rPr>
      </w:pPr>
    </w:p>
    <w:p>
      <w:pPr>
        <w:pStyle w:val="BodyText"/>
        <w:ind w:left="435"/>
      </w:pPr>
      <w:r>
        <w:rPr/>
        <w:pict>
          <v:group style="width:488.15pt;height:197.85pt;mso-position-horizontal-relative:char;mso-position-vertical-relative:line" coordorigin="0,0" coordsize="9763,3957">
            <v:shape style="position:absolute;left:6851;top:1607;width:125;height:109" coordorigin="6852,1607" coordsize="125,109" path="m6977,1607l6852,1607,6914,1716,6977,1607xe" filled="true" fillcolor="#50b1e0" stroked="false">
              <v:path arrowok="t"/>
              <v:fill type="solid"/>
            </v:shape>
            <v:line style="position:absolute" from="6917,1176" to="6917,1629" stroked="true" strokeweight="0pt" strokecolor="#50b1e0">
              <v:stroke dashstyle="solid"/>
            </v:line>
            <v:line style="position:absolute" from="6917,1176" to="6917,1629" stroked="true" strokeweight="1pt" strokecolor="#50b1e0">
              <v:stroke dashstyle="solid"/>
            </v:line>
            <v:shape style="position:absolute;left:6663;top:805;width:477;height:477" type="#_x0000_t75" stroked="false">
              <v:imagedata r:id="rId73" o:title=""/>
            </v:shape>
            <v:shape style="position:absolute;left:6663;top:805;width:477;height:477" coordorigin="6664,806" coordsize="477,477" path="m6902,1282l6827,1270,6761,1237,6710,1185,6676,1119,6664,1044,6676,969,6710,903,6761,852,6827,818,6902,806,6977,818,7043,852,7094,903,7128,969,7140,1044,7128,1119,7094,1185,7043,1237,6977,1270,6902,1282xe" filled="false" stroked="true" strokeweight="1pt" strokecolor="#000000">
              <v:path arrowok="t"/>
              <v:stroke dashstyle="solid"/>
            </v:shape>
            <v:shape style="position:absolute;left:6590;top:816;width:584;height:360" coordorigin="6590,817" coordsize="584,360" path="m7173,817l7017,963,6922,963,6848,1044,6763,1054,6590,1176e" filled="false" stroked="true" strokeweight="1.488pt" strokecolor="#000000">
              <v:path arrowok="t"/>
              <v:stroke dashstyle="solid"/>
            </v:shape>
            <v:shape style="position:absolute;left:6475;top:1122;width:168;height:137" coordorigin="6476,1122" coordsize="168,137" path="m6590,1122l6476,1259,6643,1198,6590,1122xe" filled="true" fillcolor="#000000" stroked="false">
              <v:path arrowok="t"/>
              <v:fill type="solid"/>
            </v:shape>
            <v:shape style="position:absolute;left:6543;top:956;width:109;height:125" coordorigin="6544,957" coordsize="109,125" path="m6544,957l6544,1082,6652,1019,6544,957xe" filled="true" fillcolor="#000000" stroked="false">
              <v:path arrowok="t"/>
              <v:fill type="solid"/>
            </v:shape>
            <v:rect style="position:absolute;left:1447;top:2275;width:3841;height:155" filled="true" fillcolor="#9c9d9f" stroked="false">
              <v:fill type="solid"/>
            </v:rect>
            <v:rect style="position:absolute;left:1447;top:2275;width:3891;height:155" filled="false" stroked="true" strokeweight=".917pt" strokecolor="#000000">
              <v:stroke dashstyle="solid"/>
            </v:rect>
            <v:shape style="position:absolute;left:2394;top:1849;width:712;height:1000" type="#_x0000_t75" stroked="false">
              <v:imagedata r:id="rId74" o:title=""/>
            </v:shape>
            <v:shape style="position:absolute;left:2394;top:1849;width:712;height:1000" coordorigin="2394,1849" coordsize="712,1000" path="m3106,2849l3106,2373,3106,2371,3106,1849,2394,2097,2394,2371,2394,2373,2394,2601,3106,2849xe" filled="false" stroked="true" strokeweight="1pt" strokecolor="#000000">
              <v:path arrowok="t"/>
              <v:stroke dashstyle="solid"/>
            </v:shape>
            <v:shape style="position:absolute;left:1042;top:1849;width:712;height:1000" type="#_x0000_t75" stroked="false">
              <v:imagedata r:id="rId75" o:title=""/>
            </v:shape>
            <v:shape style="position:absolute;left:1042;top:1849;width:712;height:1000" coordorigin="1043,1849" coordsize="712,1000" path="m1043,1849l1043,2325,1043,2327,1043,2849,1754,2601,1754,2327,1754,2325,1754,2097,1043,1849xe" filled="false" stroked="true" strokeweight="1pt" strokecolor="#000000">
              <v:path arrowok="t"/>
              <v:stroke dashstyle="solid"/>
            </v:shape>
            <v:shape style="position:absolute;left:3881;top:1771;width:741;height:1136" type="#_x0000_t75" stroked="false">
              <v:imagedata r:id="rId76" o:title=""/>
            </v:shape>
            <v:shape style="position:absolute;left:3881;top:1771;width:741;height:1136" coordorigin="3881,1771" coordsize="741,1136" path="m4621,2907l4621,2367,4621,2365,4621,1771,3881,2052,3881,2365,3881,2367,3881,2626,4621,2907xe" filled="false" stroked="true" strokeweight="1pt" strokecolor="#000000">
              <v:path arrowok="t"/>
              <v:stroke dashstyle="solid"/>
            </v:shape>
            <v:rect style="position:absolute;left:5288;top:2050;width:712;height:591" filled="true" fillcolor="#000000" stroked="false">
              <v:fill type="solid"/>
            </v:rect>
            <v:shape style="position:absolute;left:1759;top:1444;width:623;height:278" type="#_x0000_t75" stroked="false">
              <v:imagedata r:id="rId77" o:title=""/>
            </v:shape>
            <v:rect style="position:absolute;left:1759;top:1444;width:623;height:278" filled="false" stroked="true" strokeweight="1.089pt" strokecolor="#000000">
              <v:stroke dashstyle="solid"/>
            </v:rect>
            <v:shape style="position:absolute;left:1632;top:1483;width:109;height:125" coordorigin="1633,1484" coordsize="109,125" path="m1633,1484l1633,1609,1741,1546,1633,1484xe" filled="true" fillcolor="#000000" stroked="false">
              <v:path arrowok="t"/>
              <v:fill type="solid"/>
            </v:shape>
            <v:shape style="position:absolute;left:696;top:932;width:959;height:611" coordorigin="696,933" coordsize="959,611" path="m1654,1544l1249,1544,1249,933,696,933e" filled="false" stroked="true" strokeweight=".7pt" strokecolor="#000000">
              <v:path arrowok="t"/>
              <v:stroke dashstyle="solid"/>
            </v:shape>
            <v:shape style="position:absolute;left:2317;top:1987;width:125;height:109" coordorigin="2317,1988" coordsize="125,109" path="m2442,1988l2317,1988,2380,2096,2442,1988xe" filled="true" fillcolor="#000000" stroked="false">
              <v:path arrowok="t"/>
              <v:fill type="solid"/>
            </v:shape>
            <v:line style="position:absolute" from="2382,1591" to="2382,2009" stroked="true" strokeweight="1pt" strokecolor="#000000">
              <v:stroke dashstyle="solid"/>
            </v:line>
            <v:shape style="position:absolute;left:3990;top:1900;width:125;height:109" coordorigin="3991,1901" coordsize="125,109" path="m4116,1901l3991,1901,4053,2009,4116,1901xe" filled="true" fillcolor="#000000" stroked="false">
              <v:path arrowok="t"/>
              <v:fill type="solid"/>
            </v:shape>
            <v:shape style="position:absolute;left:3666;top:632;width:1381;height:734" type="#_x0000_t75" stroked="false">
              <v:imagedata r:id="rId78" o:title=""/>
            </v:shape>
            <v:rect style="position:absolute;left:3666;top:632;width:1381;height:734" filled="false" stroked="true" strokeweight="1pt" strokecolor="#000000">
              <v:stroke dashstyle="solid"/>
            </v:rect>
            <v:line style="position:absolute" from="4056,1376" to="4056,1922" stroked="true" strokeweight=".7pt" strokecolor="#000000">
              <v:stroke dashstyle="solid"/>
            </v:line>
            <v:shape style="position:absolute;left:4324;top:1329;width:125;height:109" coordorigin="4324,1329" coordsize="125,109" path="m4387,1329l4324,1437,4449,1437,4387,1329xe" filled="true" fillcolor="#000000" stroked="false">
              <v:path arrowok="t"/>
              <v:fill type="solid"/>
            </v:shape>
            <v:line style="position:absolute" from="4384,1856" to="4384,1416" stroked="true" strokeweight=".7pt" strokecolor="#000000">
              <v:stroke dashstyle="solid"/>
            </v:line>
            <v:shape style="position:absolute;left:5063;top:1190;width:109;height:125" coordorigin="5063,1190" coordsize="109,125" path="m5171,1190l5063,1253,5171,1315,5171,1190xe" filled="true" fillcolor="#000000" stroked="false">
              <v:path arrowok="t"/>
              <v:fill type="solid"/>
            </v:shape>
            <v:shape style="position:absolute;left:4627;top:1254;width:714;height:588" coordorigin="4627,1255" coordsize="714,588" path="m5150,1255l5340,1255,5340,1843,4627,1843e" filled="false" stroked="true" strokeweight=".7pt" strokecolor="#000000">
              <v:path arrowok="t"/>
              <v:stroke dashstyle="solid"/>
            </v:shape>
            <v:shape style="position:absolute;left:3550;top:956;width:109;height:125" coordorigin="3550,957" coordsize="109,125" path="m3550,957l3550,1082,3659,1019,3550,957xe" filled="true" fillcolor="#000000" stroked="false">
              <v:path arrowok="t"/>
              <v:fill type="solid"/>
            </v:shape>
            <v:shape style="position:absolute;left:3105;top:1015;width:467;height:831" coordorigin="3105,1015" coordsize="467,831" path="m3572,1017l3108,1015,3105,1845e" filled="false" stroked="true" strokeweight=".7pt" strokecolor="#000000">
              <v:path arrowok="t"/>
              <v:stroke dashstyle="solid"/>
            </v:shape>
            <v:line style="position:absolute" from="6565,1017" to="5060,1015" stroked="true" strokeweight=".7pt" strokecolor="#000000">
              <v:stroke dashstyle="solid"/>
            </v:line>
            <v:shape style="position:absolute;left:1937;top:1240;width:125;height:109" coordorigin="1937,1241" coordsize="125,109" path="m2062,1241l1937,1241,2000,1349,2062,1241xe" filled="true" fillcolor="#000000" stroked="false">
              <v:path arrowok="t"/>
              <v:fill type="solid"/>
            </v:shape>
            <v:line style="position:absolute" from="2002,763" to="2002,1262" stroked="true" strokeweight=".7pt" strokecolor="#000000">
              <v:stroke dashstyle="solid"/>
            </v:line>
            <v:shape style="position:absolute;left:911;top:2721;width:109;height:125" coordorigin="912,2722" coordsize="109,125" path="m912,2722l912,2847,1020,2784,912,2722xe" filled="true" fillcolor="#000000" stroked="false">
              <v:path arrowok="t"/>
              <v:fill type="solid"/>
            </v:shape>
            <v:line style="position:absolute" from="5,2782" to="933,2782" stroked="true" strokeweight=".7pt" strokecolor="#000000">
              <v:stroke dashstyle="solid"/>
            </v:line>
            <v:shape style="position:absolute;left:1694;top:1730;width:125;height:109" coordorigin="1694,1731" coordsize="125,109" path="m1757,1731l1694,1839,1819,1839,1757,1731xe" filled="true" fillcolor="#000000" stroked="false">
              <v:path arrowok="t"/>
              <v:fill type="solid"/>
            </v:shape>
            <v:line style="position:absolute" from="1754,2236" to="1754,1818" stroked="true" strokeweight="1pt" strokecolor="#000000">
              <v:stroke dashstyle="solid"/>
            </v:line>
            <v:shape style="position:absolute;left:5153;top:1385;width:347;height:347" type="#_x0000_t75" stroked="false">
              <v:imagedata r:id="rId79" o:title=""/>
            </v:shape>
            <v:shape style="position:absolute;left:5143;top:1375;width:367;height:367" type="#_x0000_t75" stroked="false">
              <v:imagedata r:id="rId80" o:title=""/>
            </v:shape>
            <v:shape style="position:absolute;left:7;top:1009;width:8234;height:2940" coordorigin="7,1009" coordsize="8234,2940" path="m7147,1009l8240,1009,8240,3949,7,3949,7,2771e" filled="false" stroked="true" strokeweight=".7pt" strokecolor="#000000">
              <v:path arrowok="t"/>
              <v:stroke dashstyle="solid"/>
            </v:shape>
            <v:shape style="position:absolute;left:9653;top:2366;width:109;height:125" coordorigin="9654,2366" coordsize="109,125" path="m9654,2366l9654,2491,9762,2429,9654,2366xe" filled="true" fillcolor="#000000" stroked="false">
              <v:path arrowok="t"/>
              <v:fill type="solid"/>
            </v:shape>
            <v:line style="position:absolute" from="8423,2426" to="9675,2426" stroked="true" strokeweight=".7pt" strokecolor="#000000">
              <v:stroke dashstyle="solid"/>
            </v:line>
            <v:shape style="position:absolute;left:8073;top:2265;width:347;height:347" type="#_x0000_t75" stroked="false">
              <v:imagedata r:id="rId81" o:title=""/>
            </v:shape>
            <v:shape style="position:absolute;left:8063;top:2255;width:367;height:367" type="#_x0000_t75" stroked="false">
              <v:imagedata r:id="rId82" o:title=""/>
            </v:shape>
            <v:shape style="position:absolute;left:108;top:883;width:323;height:133" type="#_x0000_t75" stroked="false">
              <v:imagedata r:id="rId83" o:title=""/>
            </v:shape>
            <v:shape style="position:absolute;left:1583;top:479;width:564;height:137" type="#_x0000_t75" stroked="false">
              <v:imagedata r:id="rId84" o:title=""/>
            </v:shape>
            <v:shape style="position:absolute;left:5263;top:2871;width:764;height:386" type="#_x0000_t75" stroked="false">
              <v:imagedata r:id="rId85" o:title=""/>
            </v:shape>
            <v:shape style="position:absolute;left:3806;top:3094;width:540;height:352" type="#_x0000_t75" stroked="false">
              <v:imagedata r:id="rId86" o:title=""/>
            </v:shape>
            <v:shape style="position:absolute;left:4011;top:814;width:764;height:389" type="#_x0000_t75" stroked="false">
              <v:imagedata r:id="rId87" o:title=""/>
            </v:shape>
            <v:shape style="position:absolute;left:1626;top:2907;width:914;height:137" type="#_x0000_t75" stroked="false">
              <v:imagedata r:id="rId88" o:title=""/>
            </v:shape>
            <v:shape style="position:absolute;left:7359;top:614;width:1412;height:137" type="#_x0000_t75" stroked="false">
              <v:imagedata r:id="rId89" o:title=""/>
            </v:shape>
            <v:shape style="position:absolute;left:5921;top:828;width:47;height:126" coordorigin="5922,829" coordsize="47,126" path="m5968,829l5956,829,5954,838,5950,844,5941,850,5933,851,5922,853,5922,865,5952,865,5952,954,5968,954,5968,829xe" filled="true" fillcolor="#000000" stroked="false">
              <v:path arrowok="t"/>
              <v:fill type="solid"/>
            </v:shape>
            <v:shape style="position:absolute;left:6065;top:824;width:249;height:133" type="#_x0000_t75" stroked="false">
              <v:imagedata r:id="rId90" o:title=""/>
            </v:shape>
            <v:shape style="position:absolute;left:5612;top:1374;width:114;height:136" coordorigin="5613,1375" coordsize="114,136" path="m5688,1375l5672,1375,5659,1376,5647,1380,5636,1386,5627,1395,5621,1404,5616,1415,5613,1428,5613,1441,5614,1459,5617,1474,5624,1487,5632,1497,5642,1506,5655,1511,5670,1511,5682,1510,5693,1506,5702,1501,5710,1495,5658,1495,5648,1490,5634,1472,5631,1460,5631,1441,5631,1432,5633,1420,5637,1411,5642,1404,5650,1395,5660,1390,5713,1390,5701,1379,5688,1375xm5726,1460l5708,1460,5707,1468,5704,1475,5701,1480,5694,1490,5684,1495,5710,1495,5711,1494,5719,1485,5724,1473,5726,1460xm5713,1390l5683,1390,5691,1393,5702,1402,5706,1409,5708,1417,5725,1417,5724,1406,5719,1396,5713,1390xe" filled="true" fillcolor="#000000" stroked="false">
              <v:path arrowok="t"/>
              <v:fill type="solid"/>
            </v:shape>
            <v:shape style="position:absolute;left:5739;top:1410;width:88;height:100" coordorigin="5740,1411" coordsize="88,100" path="m5796,1411l5771,1411,5760,1415,5752,1425,5744,1434,5740,1446,5740,1477,5744,1489,5759,1506,5769,1510,5797,1510,5809,1505,5815,1497,5774,1497,5767,1493,5758,1480,5756,1472,5756,1451,5758,1443,5758,1442,5767,1428,5774,1424,5816,1424,5806,1415,5796,1411xm5816,1424l5795,1424,5802,1429,5807,1437,5810,1443,5811,1450,5811,1468,5809,1477,5801,1493,5794,1497,5815,1497,5823,1486,5827,1473,5827,1442,5823,1431,5816,1424xe" filled="true" fillcolor="#000000" stroked="false">
              <v:path arrowok="t"/>
              <v:fill type="solid"/>
            </v:shape>
            <v:shape style="position:absolute;left:5846;top:1410;width:77;height:97" coordorigin="5846,1411" coordsize="77,97" path="m5861,1413l5846,1413,5846,1507,5862,1507,5862,1452,5863,1447,5864,1440,5866,1437,5872,1430,5876,1427,5880,1426,5861,1426,5861,1413xm5920,1425l5897,1425,5902,1428,5906,1437,5907,1442,5907,1507,5923,1507,5923,1437,5922,1430,5920,1425xm5906,1411l5886,1411,5881,1412,5871,1417,5866,1421,5861,1426,5880,1426,5883,1425,5886,1425,5920,1425,5915,1415,5906,1411xe" filled="true" fillcolor="#000000" stroked="false">
              <v:path arrowok="t"/>
              <v:fill type="solid"/>
            </v:shape>
            <v:shape style="position:absolute;left:5939;top:1377;width:83;height:133" coordorigin="5940,1378" coordsize="83,133" path="m5987,1411l5967,1411,5957,1416,5943,1436,5940,1448,5940,1477,5944,1488,5959,1506,5968,1510,5985,1510,5990,1509,6000,1504,6005,1500,6007,1497,5974,1497,5967,1493,5959,1480,5957,1472,5956,1449,5959,1440,5969,1428,5975,1425,6007,1425,6004,1421,6001,1418,5993,1413,5987,1411xm6023,1494l6008,1494,6008,1507,6023,1507,6023,1494xm6023,1378l6007,1378,6007,1425,5990,1425,5996,1428,6005,1439,6008,1448,6008,1472,6005,1481,5996,1493,5990,1497,6007,1497,6008,1494,6023,1494,6023,1378xe" filled="true" fillcolor="#000000" stroked="false">
              <v:path arrowok="t"/>
              <v:fill type="solid"/>
            </v:shape>
            <v:shape style="position:absolute;left:6041;top:1410;width:86;height:100" coordorigin="6041,1411" coordsize="86,100" path="m6092,1411l6072,1411,6062,1415,6045,1434,6042,1446,6041,1477,6045,1489,6061,1506,6071,1510,6088,1510,6092,1510,6096,1509,6103,1507,6109,1504,6113,1499,6116,1497,6116,1497,6076,1497,6069,1494,6061,1482,6058,1474,6058,1465,6127,1465,6127,1456,6126,1452,6058,1452,6059,1444,6061,1438,6071,1427,6077,1424,6117,1424,6116,1423,6111,1418,6098,1412,6092,1411xm6125,1477l6110,1477,6109,1482,6107,1485,6104,1488,6099,1494,6092,1497,6116,1497,6119,1493,6124,1485,6125,1481,6125,1477xm6117,1424l6094,1424,6102,1428,6108,1440,6110,1446,6110,1452,6126,1452,6126,1449,6125,1444,6124,1438,6122,1432,6117,1424xe" filled="true" fillcolor="#000000" stroked="false">
              <v:path arrowok="t"/>
              <v:fill type="solid"/>
            </v:shape>
            <v:shape style="position:absolute;left:6146;top:1410;width:77;height:97" coordorigin="6147,1411" coordsize="77,97" path="m6162,1413l6147,1413,6147,1507,6163,1507,6163,1452,6163,1447,6165,1440,6166,1437,6172,1430,6176,1427,6180,1426,6162,1426,6162,1413xm6220,1425l6197,1425,6202,1428,6207,1437,6208,1442,6208,1507,6224,1507,6224,1437,6222,1430,6220,1425xm6206,1411l6186,1411,6181,1412,6171,1417,6166,1421,6162,1426,6180,1426,6183,1425,6186,1425,6220,1425,6215,1415,6206,1411xe" filled="true" fillcolor="#000000" stroked="false">
              <v:path arrowok="t"/>
              <v:fill type="solid"/>
            </v:shape>
            <v:shape style="position:absolute;left:6241;top:1410;width:78;height:101" coordorigin="6241,1411" coordsize="78,101" path="m6256,1478l6241,1478,6242,1487,6245,1495,6256,1508,6266,1511,6293,1511,6303,1508,6314,1497,6271,1497,6264,1495,6260,1490,6258,1487,6257,1483,6256,1478xm6294,1411l6268,1411,6260,1413,6247,1424,6244,1432,6244,1448,6247,1454,6254,1458,6258,1461,6264,1463,6291,1470,6296,1471,6302,1475,6303,1478,6303,1487,6301,1491,6297,1493,6292,1496,6287,1497,6314,1497,6316,1496,6319,1488,6319,1471,6316,1465,6310,1461,6306,1458,6298,1456,6272,1449,6268,1448,6262,1444,6260,1441,6260,1433,6261,1430,6268,1425,6272,1424,6311,1424,6304,1415,6294,1411xm6311,1424l6287,1424,6293,1426,6297,1431,6299,1433,6301,1437,6301,1440,6316,1440,6316,1434,6314,1428,6311,1424xe" filled="true" fillcolor="#000000" stroked="false">
              <v:path arrowok="t"/>
              <v:fill type="solid"/>
            </v:shape>
            <v:shape style="position:absolute;left:6331;top:1410;width:86;height:100" coordorigin="6332,1411" coordsize="86,100" path="m6382,1411l6362,1411,6352,1415,6336,1434,6332,1446,6332,1477,6336,1489,6352,1506,6362,1510,6378,1510,6382,1510,6386,1509,6393,1507,6399,1504,6404,1499,6407,1497,6407,1497,6366,1497,6359,1494,6351,1482,6349,1474,6348,1465,6417,1465,6417,1456,6417,1452,6349,1452,6349,1444,6352,1438,6361,1427,6367,1424,6407,1424,6406,1423,6401,1418,6389,1412,6382,1411xm6416,1477l6400,1477,6399,1482,6397,1485,6394,1488,6389,1494,6383,1497,6407,1497,6409,1493,6414,1485,6415,1481,6416,1477xm6407,1424l6385,1424,6392,1428,6398,1440,6400,1446,6401,1452,6417,1452,6416,1449,6415,1444,6414,1438,6412,1432,6407,1424xe" filled="true" fillcolor="#000000" stroked="false">
              <v:path arrowok="t"/>
              <v:fill type="solid"/>
            </v:shape>
            <v:shape style="position:absolute;left:6437;top:1410;width:46;height:97" coordorigin="6438,1411" coordsize="46,97" path="m6453,1413l6438,1413,6438,1507,6453,1507,6453,1446,6456,1440,6464,1430,6467,1429,6453,1429,6453,1413xm6472,1411l6466,1413,6457,1422,6454,1426,6453,1429,6467,1429,6470,1427,6483,1427,6483,1411,6479,1411,6472,1411xm6483,1427l6479,1427,6482,1427,6483,1427,6483,1427xe" filled="true" fillcolor="#000000" stroked="false">
              <v:path arrowok="t"/>
              <v:fill type="solid"/>
            </v:shape>
            <v:shape style="position:absolute;left:6771;top:1850;width:327;height:173" type="#_x0000_t75" stroked="false">
              <v:imagedata r:id="rId91" o:title=""/>
            </v:shape>
            <v:shape style="position:absolute;left:8403;top:3099;width:348;height:130" type="#_x0000_t75" stroked="false">
              <v:imagedata r:id="rId92" o:title=""/>
            </v:shape>
            <v:shape style="position:absolute;left:8815;top:3093;width:335;height:173" type="#_x0000_t75" stroked="false">
              <v:imagedata r:id="rId93" o:title=""/>
            </v:shape>
            <v:shape style="position:absolute;left:8722;top:1853;width:1004;height:386" type="#_x0000_t75" stroked="false">
              <v:imagedata r:id="rId94" o:title=""/>
            </v:shape>
            <v:shape style="position:absolute;left:8389;top:3376;width:677;height:436" type="#_x0000_t75" stroked="false">
              <v:imagedata r:id="rId95" o:title=""/>
            </v:shape>
            <v:shape style="position:absolute;left:5199;top:6;width:248;height:130" type="#_x0000_t75" stroked="false">
              <v:imagedata r:id="rId96" o:title=""/>
            </v:shape>
            <v:shape style="position:absolute;left:5510;top:0;width:206;height:173" type="#_x0000_t75" stroked="false">
              <v:imagedata r:id="rId97" o:title=""/>
            </v:shape>
            <v:line style="position:absolute" from="5473,180" to="5473,1016" stroked="true" strokeweight="0pt" strokecolor="#000000">
              <v:stroke dashstyle="solid"/>
            </v:line>
            <v:line style="position:absolute" from="5473,1016" to="5473,180" stroked="true" strokeweight="1.031pt" strokecolor="#000000">
              <v:stroke dashstyle="shortdash"/>
            </v:line>
          </v:group>
        </w:pict>
      </w:r>
      <w:r>
        <w:rPr/>
      </w:r>
    </w:p>
    <w:p>
      <w:pPr>
        <w:pStyle w:val="BodyText"/>
        <w:spacing w:before="5"/>
        <w:rPr>
          <w:sz w:val="8"/>
        </w:rPr>
      </w:pPr>
      <w:r>
        <w:rPr/>
        <w:drawing>
          <wp:anchor distT="0" distB="0" distL="0" distR="0" allowOverlap="1" layoutInCell="1" locked="0" behindDoc="0" simplePos="0" relativeHeight="35">
            <wp:simplePos x="0" y="0"/>
            <wp:positionH relativeFrom="page">
              <wp:posOffset>2956204</wp:posOffset>
            </wp:positionH>
            <wp:positionV relativeFrom="paragraph">
              <wp:posOffset>86642</wp:posOffset>
            </wp:positionV>
            <wp:extent cx="937182" cy="107346"/>
            <wp:effectExtent l="0" t="0" r="0" b="0"/>
            <wp:wrapTopAndBottom/>
            <wp:docPr id="25" name="image92.png"/>
            <wp:cNvGraphicFramePr>
              <a:graphicFrameLocks noChangeAspect="1"/>
            </wp:cNvGraphicFramePr>
            <a:graphic>
              <a:graphicData uri="http://schemas.openxmlformats.org/drawingml/2006/picture">
                <pic:pic>
                  <pic:nvPicPr>
                    <pic:cNvPr id="26" name="image92.png"/>
                    <pic:cNvPicPr/>
                  </pic:nvPicPr>
                  <pic:blipFill>
                    <a:blip r:embed="rId98" cstate="print"/>
                    <a:stretch>
                      <a:fillRect/>
                    </a:stretch>
                  </pic:blipFill>
                  <pic:spPr>
                    <a:xfrm>
                      <a:off x="0" y="0"/>
                      <a:ext cx="937182" cy="107346"/>
                    </a:xfrm>
                    <a:prstGeom prst="rect">
                      <a:avLst/>
                    </a:prstGeom>
                  </pic:spPr>
                </pic:pic>
              </a:graphicData>
            </a:graphic>
          </wp:anchor>
        </w:drawing>
      </w:r>
    </w:p>
    <w:p>
      <w:pPr>
        <w:pStyle w:val="BodyText"/>
        <w:spacing w:before="5"/>
        <w:rPr>
          <w:sz w:val="10"/>
        </w:rPr>
      </w:pPr>
    </w:p>
    <w:p>
      <w:pPr>
        <w:spacing w:line="254" w:lineRule="auto" w:before="67"/>
        <w:ind w:left="122" w:right="731" w:firstLine="0"/>
        <w:jc w:val="left"/>
        <w:rPr>
          <w:sz w:val="18"/>
        </w:rPr>
      </w:pPr>
      <w:bookmarkStart w:name="3.4.4 Oxy-fuel direct heating - steam tu" w:id="39"/>
      <w:bookmarkEnd w:id="39"/>
      <w:r>
        <w:rPr/>
      </w:r>
      <w:bookmarkStart w:name="_bookmark14" w:id="40"/>
      <w:bookmarkEnd w:id="40"/>
      <w:r>
        <w:rPr/>
      </w:r>
      <w:bookmarkStart w:name="_bookmark15" w:id="41"/>
      <w:bookmarkEnd w:id="41"/>
      <w:r>
        <w:rPr/>
      </w:r>
      <w:r>
        <w:rPr>
          <w:b/>
          <w:sz w:val="18"/>
        </w:rPr>
        <w:t>Figure 3.10 </w:t>
      </w:r>
      <w:r>
        <w:rPr>
          <w:sz w:val="18"/>
        </w:rPr>
        <w:t>Principle of the oxy-fuel gas turbine combined cycle. Exhaust gas is recycled, compressed and used in the combustion chamber to control the temperature entering the turbine.</w:t>
      </w:r>
    </w:p>
    <w:p>
      <w:pPr>
        <w:pStyle w:val="BodyText"/>
        <w:spacing w:before="11"/>
        <w:rPr>
          <w:sz w:val="15"/>
        </w:rPr>
      </w:pPr>
    </w:p>
    <w:p>
      <w:pPr>
        <w:spacing w:after="0"/>
        <w:rPr>
          <w:sz w:val="15"/>
        </w:rPr>
        <w:sectPr>
          <w:pgSz w:w="12240" w:h="15840"/>
          <w:pgMar w:header="567" w:footer="0" w:top="760" w:bottom="280" w:left="620" w:right="0"/>
        </w:sectPr>
      </w:pPr>
    </w:p>
    <w:p>
      <w:pPr>
        <w:pStyle w:val="BodyText"/>
        <w:spacing w:line="247" w:lineRule="auto" w:before="63"/>
        <w:ind w:left="400" w:right="47"/>
        <w:jc w:val="both"/>
      </w:pPr>
      <w:r>
        <w:rPr/>
        <w:pict>
          <v:shape style="position:absolute;margin-left:132.512009pt;margin-top:103.116966pt;width:46.15pt;height:6.7pt;mso-position-horizontal-relative:page;mso-position-vertical-relative:page;z-index:-272435200" coordorigin="2650,2062" coordsize="923,134" path="m2746,2088l2743,2079,2742,2078,2729,2066,2728,2066,2728,2090,2728,2108,2726,2114,2716,2121,2710,2122,2668,2122,2668,2078,2709,2078,2714,2079,2718,2081,2725,2084,2728,2090,2728,2066,2719,2063,2650,2063,2650,2192,2668,2192,2668,2137,2721,2137,2730,2133,2740,2122,2743,2118,2746,2110,2746,2088m2813,2095l2809,2095,2802,2095,2796,2097,2786,2106,2783,2110,2782,2113,2782,2098,2767,2098,2767,2192,2783,2192,2783,2130,2785,2125,2794,2114,2796,2113,2800,2112,2809,2112,2811,2112,2813,2112,2813,2112,2813,2095m2907,2140l2906,2137,2906,2133,2905,2129,2904,2122,2902,2117,2897,2109,2896,2107,2891,2103,2890,2103,2890,2137,2838,2137,2839,2129,2841,2122,2851,2112,2857,2109,2874,2109,2882,2113,2888,2125,2890,2130,2890,2137,2890,2103,2878,2097,2872,2095,2852,2095,2842,2100,2825,2119,2821,2130,2821,2162,2825,2173,2841,2191,2851,2195,2868,2195,2872,2194,2876,2193,2883,2192,2889,2189,2893,2184,2896,2181,2896,2181,2899,2178,2903,2169,2905,2165,2905,2162,2890,2162,2888,2166,2887,2170,2884,2173,2879,2178,2872,2181,2855,2181,2849,2178,2841,2167,2838,2159,2838,2150,2907,2150,2907,2140m2999,2156l2996,2150,2990,2145,2986,2143,2978,2140,2952,2134,2948,2133,2942,2129,2940,2125,2940,2118,2941,2115,2947,2110,2952,2109,2967,2109,2973,2111,2977,2115,2979,2118,2980,2121,2981,2125,2996,2125,2996,2119,2994,2113,2991,2109,2984,2099,2973,2095,2948,2095,2940,2098,2927,2109,2923,2116,2923,2133,2927,2139,2934,2143,2938,2145,2943,2148,2971,2154,2975,2156,2978,2157,2981,2159,2983,2162,2983,2172,2981,2175,2972,2180,2967,2182,2951,2182,2944,2179,2938,2171,2937,2167,2936,2162,2921,2162,2921,2172,2925,2180,2936,2192,2946,2195,2973,2195,2983,2192,2994,2182,2996,2180,2999,2173,2999,2156m3089,2156l3086,2150,3080,2145,3076,2143,3068,2140,3042,2134,3038,2133,3032,2129,3030,2125,3030,2118,3031,2115,3037,2110,3042,2109,3057,2109,3063,2111,3067,2115,3069,2118,3070,2121,3071,2125,3086,2125,3086,2119,3084,2113,3081,2109,3074,2099,3063,2095,3038,2095,3030,2098,3017,2109,3013,2116,3013,2133,3017,2139,3024,2143,3028,2145,3033,2148,3061,2154,3065,2156,3068,2157,3071,2159,3073,2162,3073,2172,3071,2175,3062,2180,3057,2182,3041,2182,3034,2179,3028,2171,3027,2167,3026,2162,3011,2162,3011,2172,3015,2180,3026,2192,3036,2195,3063,2195,3073,2192,3084,2182,3086,2180,3089,2173,3089,2156m3181,2098l3165,2098,3165,2153,3164,2160,3158,2176,3151,2180,3133,2180,3127,2178,3123,2169,3123,2165,3123,2098,3107,2098,3107,2170,3108,2176,3110,2181,3115,2190,3124,2194,3146,2194,3153,2192,3162,2184,3164,2182,3165,2180,3166,2178,3166,2192,3181,2192,3181,2178,3181,2098m3253,2095l3249,2095,3242,2095,3236,2097,3227,2106,3224,2110,3222,2113,3222,2098,3207,2098,3207,2192,3223,2192,3223,2130,3225,2125,3234,2114,3236,2113,3240,2112,3249,2112,3251,2112,3253,2112,3253,2112,3253,2095m3283,2098l3267,2098,3267,2192,3283,2192,3283,2098m3283,2062l3267,2062,3267,2081,3283,2081,3283,2062m3379,2178l3322,2178,3377,2110,3377,2098,3304,2098,3304,2112,3355,2112,3300,2179,3300,2192,3379,2192,3379,2178m3477,2140l3476,2137,3476,2133,3475,2129,3474,2122,3472,2117,3467,2109,3466,2107,3461,2103,3460,2103,3460,2137,3409,2137,3409,2129,3411,2122,3421,2112,3427,2109,3444,2109,3452,2113,3458,2125,3460,2130,3460,2137,3460,2103,3449,2097,3442,2095,3422,2095,3412,2100,3395,2119,3392,2130,3391,2162,3395,2173,3412,2191,3421,2195,3438,2195,3442,2194,3446,2193,3453,2192,3459,2189,3464,2184,3466,2181,3466,2181,3469,2178,3474,2169,3475,2165,3475,2162,3460,2162,3459,2166,3457,2170,3454,2173,3449,2178,3443,2181,3426,2181,3419,2178,3411,2167,3408,2159,3408,2150,3477,2150,3477,2140m3573,2062l3558,2062,3558,2133,3558,2156,3556,2165,3546,2178,3540,2181,3524,2181,3517,2178,3509,2164,3507,2156,3507,2134,3509,2125,3519,2113,3525,2110,3540,2110,3546,2112,3556,2124,3558,2133,3558,2062,3558,2062,3558,2110,3554,2105,3551,2102,3543,2097,3537,2096,3517,2096,3508,2101,3494,2121,3490,2133,3490,2161,3494,2173,3509,2190,3518,2195,3535,2195,3541,2194,3551,2188,3555,2184,3557,2181,3559,2178,3559,2192,3573,2192,3573,2178,3573,2062e" filled="true" fillcolor="#000000" stroked="false">
            <v:path arrowok="t"/>
            <v:fill type="solid"/>
            <w10:wrap type="none"/>
          </v:shape>
        </w:pict>
      </w:r>
      <w:r>
        <w:rPr/>
        <w:t>to 18 used with air in a combined cycle system. With the highest turbine inlet temperature consistent with material limitations, the rather high-pressure ratio results in an exhaust gas temperature of about 600</w:t>
      </w:r>
      <w:r>
        <w:rPr>
          <w:rFonts w:ascii="Symbol" w:hAnsi="Symbol"/>
        </w:rPr>
        <w:t></w:t>
      </w:r>
      <w:r>
        <w:rPr/>
        <w:t>C, which is optimal for the steam cycle.</w:t>
      </w:r>
    </w:p>
    <w:p>
      <w:pPr>
        <w:pStyle w:val="BodyText"/>
        <w:spacing w:before="5"/>
      </w:pPr>
    </w:p>
    <w:p>
      <w:pPr>
        <w:pStyle w:val="BodyText"/>
        <w:spacing w:line="240" w:lineRule="exact"/>
        <w:ind w:left="117" w:right="46"/>
        <w:jc w:val="both"/>
      </w:pPr>
      <w:r>
        <w:rPr/>
        <w:t>These changes in the fundamental properties of the working fluid will have a significant impact on gas turbine components, requiring completely new designs of compressors, combustors (to account for aerodynamic changes and acoustic feedbacks) and hot gas path (O</w:t>
      </w:r>
      <w:r>
        <w:rPr>
          <w:position w:val="-6"/>
          <w:sz w:val="11"/>
        </w:rPr>
        <w:t>2 </w:t>
      </w:r>
      <w:r>
        <w:rPr/>
        <w:t>partial pressure must be low in oxy-fuel systems</w:t>
      </w:r>
      <w:r>
        <w:rPr>
          <w:spacing w:val="-5"/>
        </w:rPr>
        <w:t> </w:t>
      </w:r>
      <w:r>
        <w:rPr/>
        <w:t>but</w:t>
      </w:r>
      <w:r>
        <w:rPr>
          <w:spacing w:val="-5"/>
        </w:rPr>
        <w:t> </w:t>
      </w:r>
      <w:r>
        <w:rPr/>
        <w:t>it</w:t>
      </w:r>
      <w:r>
        <w:rPr>
          <w:spacing w:val="-4"/>
        </w:rPr>
        <w:t> </w:t>
      </w:r>
      <w:r>
        <w:rPr/>
        <w:t>is</w:t>
      </w:r>
      <w:r>
        <w:rPr>
          <w:spacing w:val="-5"/>
        </w:rPr>
        <w:t> </w:t>
      </w:r>
      <w:r>
        <w:rPr/>
        <w:t>also</w:t>
      </w:r>
      <w:r>
        <w:rPr>
          <w:spacing w:val="-4"/>
        </w:rPr>
        <w:t> </w:t>
      </w:r>
      <w:r>
        <w:rPr/>
        <w:t>important</w:t>
      </w:r>
      <w:r>
        <w:rPr>
          <w:spacing w:val="-5"/>
        </w:rPr>
        <w:t> </w:t>
      </w:r>
      <w:r>
        <w:rPr/>
        <w:t>to</w:t>
      </w:r>
      <w:r>
        <w:rPr>
          <w:spacing w:val="-5"/>
        </w:rPr>
        <w:t> </w:t>
      </w:r>
      <w:r>
        <w:rPr/>
        <w:t>avoid</w:t>
      </w:r>
      <w:r>
        <w:rPr>
          <w:spacing w:val="-4"/>
        </w:rPr>
        <w:t> </w:t>
      </w:r>
      <w:r>
        <w:rPr/>
        <w:t>reducing</w:t>
      </w:r>
      <w:r>
        <w:rPr>
          <w:spacing w:val="-5"/>
        </w:rPr>
        <w:t> </w:t>
      </w:r>
      <w:r>
        <w:rPr/>
        <w:t>conditions</w:t>
      </w:r>
      <w:r>
        <w:rPr>
          <w:spacing w:val="-4"/>
        </w:rPr>
        <w:t> </w:t>
      </w:r>
      <w:r>
        <w:rPr/>
        <w:t>for the materials of the turbine or the change to materials allowing much lower O</w:t>
      </w:r>
      <w:r>
        <w:rPr>
          <w:position w:val="-6"/>
          <w:sz w:val="11"/>
        </w:rPr>
        <w:t>2 </w:t>
      </w:r>
      <w:r>
        <w:rPr/>
        <w:t>partial</w:t>
      </w:r>
      <w:r>
        <w:rPr>
          <w:spacing w:val="-5"/>
        </w:rPr>
        <w:t> </w:t>
      </w:r>
      <w:r>
        <w:rPr/>
        <w:t>pressures).</w:t>
      </w:r>
    </w:p>
    <w:p>
      <w:pPr>
        <w:pStyle w:val="BodyText"/>
        <w:spacing w:before="4"/>
        <w:rPr>
          <w:sz w:val="21"/>
        </w:rPr>
      </w:pPr>
    </w:p>
    <w:p>
      <w:pPr>
        <w:pStyle w:val="Heading2"/>
        <w:numPr>
          <w:ilvl w:val="2"/>
          <w:numId w:val="5"/>
        </w:numPr>
        <w:tabs>
          <w:tab w:pos="936" w:val="left" w:leader="none"/>
          <w:tab w:pos="937" w:val="left" w:leader="none"/>
        </w:tabs>
        <w:spacing w:line="240" w:lineRule="auto" w:before="0" w:after="0"/>
        <w:ind w:left="936" w:right="0" w:hanging="821"/>
        <w:jc w:val="left"/>
        <w:rPr>
          <w:i/>
        </w:rPr>
      </w:pPr>
      <w:r>
        <w:rPr>
          <w:i/>
        </w:rPr>
        <w:t>Oxy-fuel direct heating - steam turbine</w:t>
      </w:r>
      <w:r>
        <w:rPr>
          <w:i/>
          <w:spacing w:val="-9"/>
        </w:rPr>
        <w:t> </w:t>
      </w:r>
      <w:r>
        <w:rPr>
          <w:i/>
        </w:rPr>
        <w:t>cycle</w:t>
      </w:r>
    </w:p>
    <w:p>
      <w:pPr>
        <w:pStyle w:val="BodyText"/>
        <w:spacing w:before="3"/>
        <w:rPr>
          <w:b/>
          <w:i/>
          <w:sz w:val="21"/>
        </w:rPr>
      </w:pPr>
    </w:p>
    <w:p>
      <w:pPr>
        <w:pStyle w:val="BodyText"/>
        <w:spacing w:line="240" w:lineRule="exact"/>
        <w:ind w:left="117" w:right="47"/>
        <w:jc w:val="both"/>
      </w:pPr>
      <w:r>
        <w:rPr/>
        <w:t>In an oxy-fuel steam turbine cycle, water is pressurized as a liquid and is then evaporated, heated by the direct injection and combustion of a fuel with pure oxygen and expanded in a turbine. Most of the water in the low pressure turbine exhaust gas is cooled and condensed, prior to pumping back to a </w:t>
      </w:r>
      <w:r>
        <w:rPr>
          <w:spacing w:val="-4"/>
        </w:rPr>
        <w:t>high </w:t>
      </w:r>
      <w:r>
        <w:rPr/>
        <w:t>pressure while the CO</w:t>
      </w:r>
      <w:r>
        <w:rPr>
          <w:position w:val="-6"/>
          <w:sz w:val="11"/>
        </w:rPr>
        <w:t>2 </w:t>
      </w:r>
      <w:r>
        <w:rPr/>
        <w:t>produced from combustion is removed and</w:t>
      </w:r>
      <w:r>
        <w:rPr>
          <w:spacing w:val="-2"/>
        </w:rPr>
        <w:t> </w:t>
      </w:r>
      <w:r>
        <w:rPr/>
        <w:t>compressed</w:t>
      </w:r>
      <w:r>
        <w:rPr>
          <w:spacing w:val="-2"/>
        </w:rPr>
        <w:t> </w:t>
      </w:r>
      <w:r>
        <w:rPr/>
        <w:t>for</w:t>
      </w:r>
      <w:r>
        <w:rPr>
          <w:spacing w:val="-2"/>
        </w:rPr>
        <w:t> </w:t>
      </w:r>
      <w:r>
        <w:rPr/>
        <w:t>pipeline</w:t>
      </w:r>
      <w:r>
        <w:rPr>
          <w:spacing w:val="-2"/>
        </w:rPr>
        <w:t> </w:t>
      </w:r>
      <w:r>
        <w:rPr/>
        <w:t>transport.</w:t>
      </w:r>
      <w:r>
        <w:rPr>
          <w:spacing w:val="-13"/>
        </w:rPr>
        <w:t> </w:t>
      </w:r>
      <w:r>
        <w:rPr/>
        <w:t>A</w:t>
      </w:r>
      <w:r>
        <w:rPr>
          <w:spacing w:val="-13"/>
        </w:rPr>
        <w:t> </w:t>
      </w:r>
      <w:r>
        <w:rPr/>
        <w:t>variant</w:t>
      </w:r>
      <w:r>
        <w:rPr>
          <w:spacing w:val="-2"/>
        </w:rPr>
        <w:t> </w:t>
      </w:r>
      <w:r>
        <w:rPr/>
        <w:t>of</w:t>
      </w:r>
      <w:r>
        <w:rPr>
          <w:spacing w:val="-2"/>
        </w:rPr>
        <w:t> </w:t>
      </w:r>
      <w:r>
        <w:rPr/>
        <w:t>this</w:t>
      </w:r>
      <w:r>
        <w:rPr>
          <w:spacing w:val="-2"/>
        </w:rPr>
        <w:t> </w:t>
      </w:r>
      <w:r>
        <w:rPr/>
        <w:t>cycle</w:t>
      </w:r>
      <w:r>
        <w:rPr>
          <w:spacing w:val="-2"/>
        </w:rPr>
        <w:t> </w:t>
      </w:r>
      <w:r>
        <w:rPr>
          <w:spacing w:val="-7"/>
        </w:rPr>
        <w:t>in </w:t>
      </w:r>
      <w:r>
        <w:rPr/>
        <w:t>which the heat is provided by burning natural gas fuel in-situ with pure oxygen was proposed by Yantovskii </w:t>
      </w:r>
      <w:r>
        <w:rPr>
          <w:i/>
        </w:rPr>
        <w:t>et al</w:t>
      </w:r>
      <w:r>
        <w:rPr/>
        <w:t>.</w:t>
      </w:r>
      <w:r>
        <w:rPr>
          <w:spacing w:val="-27"/>
        </w:rPr>
        <w:t> </w:t>
      </w:r>
      <w:r>
        <w:rPr/>
        <w:t>(1992).</w:t>
      </w:r>
    </w:p>
    <w:p>
      <w:pPr>
        <w:pStyle w:val="BodyText"/>
        <w:spacing w:line="240" w:lineRule="exact"/>
        <w:ind w:left="117" w:right="38" w:firstLine="283"/>
        <w:jc w:val="both"/>
      </w:pPr>
      <w:r>
        <w:rPr/>
        <w:t>The</w:t>
      </w:r>
      <w:r>
        <w:rPr>
          <w:spacing w:val="-10"/>
        </w:rPr>
        <w:t> </w:t>
      </w:r>
      <w:r>
        <w:rPr/>
        <w:t>direct</w:t>
      </w:r>
      <w:r>
        <w:rPr>
          <w:spacing w:val="-10"/>
        </w:rPr>
        <w:t> </w:t>
      </w:r>
      <w:r>
        <w:rPr/>
        <w:t>combustion</w:t>
      </w:r>
      <w:r>
        <w:rPr>
          <w:spacing w:val="-10"/>
        </w:rPr>
        <w:t> </w:t>
      </w:r>
      <w:r>
        <w:rPr/>
        <w:t>of</w:t>
      </w:r>
      <w:r>
        <w:rPr>
          <w:spacing w:val="-10"/>
        </w:rPr>
        <w:t> </w:t>
      </w:r>
      <w:r>
        <w:rPr/>
        <w:t>fuel</w:t>
      </w:r>
      <w:r>
        <w:rPr>
          <w:spacing w:val="-10"/>
        </w:rPr>
        <w:t> </w:t>
      </w:r>
      <w:r>
        <w:rPr/>
        <w:t>and</w:t>
      </w:r>
      <w:r>
        <w:rPr>
          <w:spacing w:val="-10"/>
        </w:rPr>
        <w:t> </w:t>
      </w:r>
      <w:r>
        <w:rPr/>
        <w:t>oxygen</w:t>
      </w:r>
      <w:r>
        <w:rPr>
          <w:spacing w:val="-10"/>
        </w:rPr>
        <w:t> </w:t>
      </w:r>
      <w:r>
        <w:rPr/>
        <w:t>has</w:t>
      </w:r>
      <w:r>
        <w:rPr>
          <w:spacing w:val="-10"/>
        </w:rPr>
        <w:t> </w:t>
      </w:r>
      <w:r>
        <w:rPr/>
        <w:t>been</w:t>
      </w:r>
      <w:r>
        <w:rPr>
          <w:spacing w:val="-10"/>
        </w:rPr>
        <w:t> </w:t>
      </w:r>
      <w:r>
        <w:rPr/>
        <w:t>practised for many years in the metallurgical and glass industries where burners operate at near stoichiometric conditions with flame temperatures of up to 3500°C. A water quenched H</w:t>
      </w:r>
      <w:r>
        <w:rPr>
          <w:position w:val="-6"/>
          <w:sz w:val="11"/>
        </w:rPr>
        <w:t>2</w:t>
      </w:r>
      <w:r>
        <w:rPr/>
        <w:t>/O</w:t>
      </w:r>
      <w:r>
        <w:rPr>
          <w:position w:val="-6"/>
          <w:sz w:val="11"/>
        </w:rPr>
        <w:t>2 </w:t>
      </w:r>
      <w:r>
        <w:rPr/>
        <w:t>burner capable of producing 60 tonne h</w:t>
      </w:r>
      <w:r>
        <w:rPr>
          <w:position w:val="7"/>
          <w:sz w:val="11"/>
        </w:rPr>
        <w:t>-1</w:t>
      </w:r>
      <w:r>
        <w:rPr/>
        <w:t>, 6 MPa super heated steam was</w:t>
      </w:r>
      <w:r>
        <w:rPr>
          <w:spacing w:val="11"/>
        </w:rPr>
        <w:t> </w:t>
      </w:r>
      <w:r>
        <w:rPr/>
        <w:t>demonstrated</w:t>
      </w:r>
      <w:r>
        <w:rPr>
          <w:spacing w:val="12"/>
        </w:rPr>
        <w:t> </w:t>
      </w:r>
      <w:r>
        <w:rPr/>
        <w:t>in</w:t>
      </w:r>
      <w:r>
        <w:rPr>
          <w:spacing w:val="12"/>
        </w:rPr>
        <w:t> </w:t>
      </w:r>
      <w:r>
        <w:rPr/>
        <w:t>the</w:t>
      </w:r>
      <w:r>
        <w:rPr>
          <w:spacing w:val="12"/>
        </w:rPr>
        <w:t> </w:t>
      </w:r>
      <w:r>
        <w:rPr/>
        <w:t>mid-1980s</w:t>
      </w:r>
      <w:r>
        <w:rPr>
          <w:spacing w:val="11"/>
        </w:rPr>
        <w:t> </w:t>
      </w:r>
      <w:r>
        <w:rPr/>
        <w:t>(Ramsaier</w:t>
      </w:r>
      <w:r>
        <w:rPr>
          <w:spacing w:val="11"/>
        </w:rPr>
        <w:t> </w:t>
      </w:r>
      <w:r>
        <w:rPr>
          <w:i/>
        </w:rPr>
        <w:t>et</w:t>
      </w:r>
      <w:r>
        <w:rPr>
          <w:i/>
          <w:spacing w:val="12"/>
        </w:rPr>
        <w:t> </w:t>
      </w:r>
      <w:r>
        <w:rPr>
          <w:i/>
        </w:rPr>
        <w:t>al.</w:t>
      </w:r>
      <w:r>
        <w:rPr/>
        <w:t>,</w:t>
      </w:r>
      <w:r>
        <w:rPr>
          <w:spacing w:val="12"/>
        </w:rPr>
        <w:t> </w:t>
      </w:r>
      <w:r>
        <w:rPr/>
        <w:t>1985). </w:t>
      </w:r>
      <w:r>
        <w:rPr>
          <w:spacing w:val="-13"/>
        </w:rPr>
        <w:t>A</w:t>
      </w:r>
    </w:p>
    <w:p>
      <w:pPr>
        <w:pStyle w:val="BodyText"/>
        <w:spacing w:line="240" w:lineRule="exact" w:before="58"/>
        <w:ind w:left="116" w:right="1130"/>
        <w:jc w:val="both"/>
      </w:pPr>
      <w:r>
        <w:rPr/>
        <w:br w:type="column"/>
      </w:r>
      <w:r>
        <w:rPr/>
        <w:t>recent development by Clean Energy Systems incorporating these</w:t>
      </w:r>
      <w:r>
        <w:rPr>
          <w:spacing w:val="-6"/>
        </w:rPr>
        <w:t> </w:t>
      </w:r>
      <w:r>
        <w:rPr/>
        <w:t>concepts</w:t>
      </w:r>
      <w:r>
        <w:rPr>
          <w:spacing w:val="-5"/>
        </w:rPr>
        <w:t> </w:t>
      </w:r>
      <w:r>
        <w:rPr/>
        <w:t>where</w:t>
      </w:r>
      <w:r>
        <w:rPr>
          <w:spacing w:val="-6"/>
        </w:rPr>
        <w:t> </w:t>
      </w:r>
      <w:r>
        <w:rPr/>
        <w:t>a</w:t>
      </w:r>
      <w:r>
        <w:rPr>
          <w:spacing w:val="-5"/>
        </w:rPr>
        <w:t> </w:t>
      </w:r>
      <w:r>
        <w:rPr/>
        <w:t>mixture</w:t>
      </w:r>
      <w:r>
        <w:rPr>
          <w:spacing w:val="-6"/>
        </w:rPr>
        <w:t> </w:t>
      </w:r>
      <w:r>
        <w:rPr/>
        <w:t>of</w:t>
      </w:r>
      <w:r>
        <w:rPr>
          <w:spacing w:val="-5"/>
        </w:rPr>
        <w:t> </w:t>
      </w:r>
      <w:r>
        <w:rPr/>
        <w:t>90</w:t>
      </w:r>
      <w:r>
        <w:rPr>
          <w:spacing w:val="-5"/>
        </w:rPr>
        <w:t> </w:t>
      </w:r>
      <w:r>
        <w:rPr/>
        <w:t>%</w:t>
      </w:r>
      <w:r>
        <w:rPr>
          <w:spacing w:val="-6"/>
        </w:rPr>
        <w:t> </w:t>
      </w:r>
      <w:r>
        <w:rPr/>
        <w:t>by</w:t>
      </w:r>
      <w:r>
        <w:rPr>
          <w:spacing w:val="-5"/>
        </w:rPr>
        <w:t> </w:t>
      </w:r>
      <w:r>
        <w:rPr/>
        <w:t>volume</w:t>
      </w:r>
      <w:r>
        <w:rPr>
          <w:spacing w:val="-6"/>
        </w:rPr>
        <w:t> </w:t>
      </w:r>
      <w:r>
        <w:rPr/>
        <w:t>superheated steam and 10% CO</w:t>
      </w:r>
      <w:r>
        <w:rPr>
          <w:position w:val="-6"/>
          <w:sz w:val="11"/>
        </w:rPr>
        <w:t>2 </w:t>
      </w:r>
      <w:r>
        <w:rPr/>
        <w:t>is produced at high temperature and pressure to power conventional or advanced steam turbines    is shown in </w:t>
      </w:r>
      <w:hyperlink w:history="true" w:anchor="_bookmark16">
        <w:r>
          <w:rPr/>
          <w:t>Figure 3.1</w:t>
        </w:r>
      </w:hyperlink>
      <w:r>
        <w:rPr/>
        <w:t>1. The steam is condensed in a low- pressure condenser and recycled, while CO</w:t>
      </w:r>
      <w:r>
        <w:rPr>
          <w:position w:val="-6"/>
          <w:sz w:val="11"/>
        </w:rPr>
        <w:t>2 </w:t>
      </w:r>
      <w:r>
        <w:rPr/>
        <w:t>is extracted from the condenser, purified and compressed. (Anderson </w:t>
      </w:r>
      <w:r>
        <w:rPr>
          <w:i/>
        </w:rPr>
        <w:t>et al.</w:t>
      </w:r>
      <w:r>
        <w:rPr/>
        <w:t>, </w:t>
      </w:r>
      <w:r>
        <w:rPr>
          <w:spacing w:val="-3"/>
        </w:rPr>
        <w:t>2003 </w:t>
      </w:r>
      <w:r>
        <w:rPr/>
        <w:t>and Marin </w:t>
      </w:r>
      <w:r>
        <w:rPr>
          <w:i/>
        </w:rPr>
        <w:t>et al.</w:t>
      </w:r>
      <w:r>
        <w:rPr/>
        <w:t>,</w:t>
      </w:r>
      <w:r>
        <w:rPr>
          <w:spacing w:val="-1"/>
        </w:rPr>
        <w:t> </w:t>
      </w:r>
      <w:r>
        <w:rPr/>
        <w:t>2003).</w:t>
      </w:r>
    </w:p>
    <w:p>
      <w:pPr>
        <w:pStyle w:val="BodyText"/>
        <w:spacing w:line="240" w:lineRule="exact"/>
        <w:ind w:left="116" w:right="1131" w:firstLine="284"/>
        <w:jc w:val="both"/>
      </w:pPr>
      <w:r>
        <w:rPr/>
        <w:t>Plants of this type require a clean gaseous or liquid fuel  and will operate at 20 to 50 MPa pressure. The steam plus  CO</w:t>
      </w:r>
      <w:r>
        <w:rPr>
          <w:position w:val="-6"/>
          <w:sz w:val="11"/>
        </w:rPr>
        <w:t>2 </w:t>
      </w:r>
      <w:r>
        <w:rPr/>
        <w:t>generator is very compact. Control systems must be very precise as start-up and increase to full flow in a preheated plant can</w:t>
      </w:r>
      <w:r>
        <w:rPr>
          <w:spacing w:val="-11"/>
        </w:rPr>
        <w:t> </w:t>
      </w:r>
      <w:r>
        <w:rPr/>
        <w:t>take</w:t>
      </w:r>
      <w:r>
        <w:rPr>
          <w:spacing w:val="-10"/>
        </w:rPr>
        <w:t> </w:t>
      </w:r>
      <w:r>
        <w:rPr/>
        <w:t>place</w:t>
      </w:r>
      <w:r>
        <w:rPr>
          <w:spacing w:val="-10"/>
        </w:rPr>
        <w:t> </w:t>
      </w:r>
      <w:r>
        <w:rPr/>
        <w:t>in</w:t>
      </w:r>
      <w:r>
        <w:rPr>
          <w:spacing w:val="-10"/>
        </w:rPr>
        <w:t> </w:t>
      </w:r>
      <w:r>
        <w:rPr/>
        <w:t>less</w:t>
      </w:r>
      <w:r>
        <w:rPr>
          <w:spacing w:val="-10"/>
        </w:rPr>
        <w:t> </w:t>
      </w:r>
      <w:r>
        <w:rPr/>
        <w:t>than</w:t>
      </w:r>
      <w:r>
        <w:rPr>
          <w:spacing w:val="-10"/>
        </w:rPr>
        <w:t> </w:t>
      </w:r>
      <w:r>
        <w:rPr/>
        <w:t>2</w:t>
      </w:r>
      <w:r>
        <w:rPr>
          <w:spacing w:val="-10"/>
        </w:rPr>
        <w:t> </w:t>
      </w:r>
      <w:r>
        <w:rPr/>
        <w:t>seconds.</w:t>
      </w:r>
      <w:r>
        <w:rPr>
          <w:spacing w:val="-10"/>
        </w:rPr>
        <w:t> </w:t>
      </w:r>
      <w:r>
        <w:rPr/>
        <w:t>Precise</w:t>
      </w:r>
      <w:r>
        <w:rPr>
          <w:spacing w:val="-11"/>
        </w:rPr>
        <w:t> </w:t>
      </w:r>
      <w:r>
        <w:rPr/>
        <w:t>control</w:t>
      </w:r>
      <w:r>
        <w:rPr>
          <w:spacing w:val="-10"/>
        </w:rPr>
        <w:t> </w:t>
      </w:r>
      <w:r>
        <w:rPr/>
        <w:t>of</w:t>
      </w:r>
      <w:r>
        <w:rPr>
          <w:spacing w:val="-10"/>
        </w:rPr>
        <w:t> </w:t>
      </w:r>
      <w:r>
        <w:rPr/>
        <w:t>this</w:t>
      </w:r>
      <w:r>
        <w:rPr>
          <w:spacing w:val="-10"/>
        </w:rPr>
        <w:t> </w:t>
      </w:r>
      <w:r>
        <w:rPr/>
        <w:t>very rapid start was demonstrated (Ramsaier </w:t>
      </w:r>
      <w:r>
        <w:rPr>
          <w:i/>
        </w:rPr>
        <w:t>et al.</w:t>
      </w:r>
      <w:r>
        <w:rPr/>
        <w:t>, 1985) in a 60 tonne steam h</w:t>
      </w:r>
      <w:r>
        <w:rPr>
          <w:position w:val="7"/>
          <w:sz w:val="11"/>
        </w:rPr>
        <w:t>-1 </w:t>
      </w:r>
      <w:r>
        <w:rPr/>
        <w:t>unit. The Clean Energy Systems studies claim efficiencies as high as 55% with CO</w:t>
      </w:r>
      <w:r>
        <w:rPr>
          <w:position w:val="-6"/>
          <w:sz w:val="11"/>
        </w:rPr>
        <w:t>2 </w:t>
      </w:r>
      <w:r>
        <w:rPr/>
        <w:t>capture depending on the process conditions used.</w:t>
      </w:r>
    </w:p>
    <w:p>
      <w:pPr>
        <w:pStyle w:val="BodyText"/>
        <w:spacing w:line="249" w:lineRule="auto" w:before="5"/>
        <w:ind w:left="116" w:right="1129" w:firstLine="284"/>
        <w:jc w:val="both"/>
      </w:pPr>
      <w:r>
        <w:rPr/>
        <w:t>The Clean Energy Systems technology can be initially applied with current steam turbines (565°C inlet temperature). The main technical issue is clearly the design of the steam turbines</w:t>
      </w:r>
      <w:r>
        <w:rPr>
          <w:spacing w:val="-8"/>
        </w:rPr>
        <w:t> </w:t>
      </w:r>
      <w:r>
        <w:rPr/>
        <w:t>which</w:t>
      </w:r>
      <w:r>
        <w:rPr>
          <w:spacing w:val="-9"/>
        </w:rPr>
        <w:t> </w:t>
      </w:r>
      <w:r>
        <w:rPr/>
        <w:t>could</w:t>
      </w:r>
      <w:r>
        <w:rPr>
          <w:spacing w:val="-7"/>
        </w:rPr>
        <w:t> </w:t>
      </w:r>
      <w:r>
        <w:rPr/>
        <w:t>be</w:t>
      </w:r>
      <w:r>
        <w:rPr>
          <w:spacing w:val="-8"/>
        </w:rPr>
        <w:t> </w:t>
      </w:r>
      <w:r>
        <w:rPr/>
        <w:t>used</w:t>
      </w:r>
      <w:r>
        <w:rPr>
          <w:spacing w:val="-7"/>
        </w:rPr>
        <w:t> </w:t>
      </w:r>
      <w:r>
        <w:rPr/>
        <w:t>at</w:t>
      </w:r>
      <w:r>
        <w:rPr>
          <w:spacing w:val="-8"/>
        </w:rPr>
        <w:t> </w:t>
      </w:r>
      <w:r>
        <w:rPr/>
        <w:t>inlet</w:t>
      </w:r>
      <w:r>
        <w:rPr>
          <w:spacing w:val="-9"/>
        </w:rPr>
        <w:t> </w:t>
      </w:r>
      <w:r>
        <w:rPr/>
        <w:t>temperatures</w:t>
      </w:r>
      <w:r>
        <w:rPr>
          <w:spacing w:val="-8"/>
        </w:rPr>
        <w:t> </w:t>
      </w:r>
      <w:r>
        <w:rPr/>
        <w:t>up</w:t>
      </w:r>
      <w:r>
        <w:rPr>
          <w:spacing w:val="-8"/>
        </w:rPr>
        <w:t> </w:t>
      </w:r>
      <w:r>
        <w:rPr/>
        <w:t>to</w:t>
      </w:r>
      <w:r>
        <w:rPr>
          <w:spacing w:val="-7"/>
        </w:rPr>
        <w:t> </w:t>
      </w:r>
      <w:r>
        <w:rPr/>
        <w:t>1300</w:t>
      </w:r>
      <w:r>
        <w:rPr>
          <w:rFonts w:ascii="Symbol" w:hAnsi="Symbol"/>
        </w:rPr>
        <w:t></w:t>
      </w:r>
      <w:r>
        <w:rPr/>
        <w:t>C by applying technology similar to that used in the hot path     of gas turbines. The combustor itself (the ‘gas generator’) </w:t>
      </w:r>
      <w:r>
        <w:rPr>
          <w:spacing w:val="-7"/>
        </w:rPr>
        <w:t>is </w:t>
      </w:r>
      <w:r>
        <w:rPr/>
        <w:t>adapted from existing rocket engine technology. In 2000,</w:t>
      </w:r>
      <w:r>
        <w:rPr>
          <w:spacing w:val="-33"/>
        </w:rPr>
        <w:t> </w:t>
      </w:r>
      <w:r>
        <w:rPr>
          <w:spacing w:val="-3"/>
        </w:rPr>
        <w:t>Clean </w:t>
      </w:r>
      <w:r>
        <w:rPr/>
        <w:t>Energy</w:t>
      </w:r>
      <w:r>
        <w:rPr>
          <w:spacing w:val="-7"/>
        </w:rPr>
        <w:t> </w:t>
      </w:r>
      <w:r>
        <w:rPr/>
        <w:t>Systems</w:t>
      </w:r>
      <w:r>
        <w:rPr>
          <w:spacing w:val="-6"/>
        </w:rPr>
        <w:t> </w:t>
      </w:r>
      <w:r>
        <w:rPr/>
        <w:t>proved</w:t>
      </w:r>
      <w:r>
        <w:rPr>
          <w:spacing w:val="-6"/>
        </w:rPr>
        <w:t> </w:t>
      </w:r>
      <w:r>
        <w:rPr/>
        <w:t>the</w:t>
      </w:r>
      <w:r>
        <w:rPr>
          <w:spacing w:val="-6"/>
        </w:rPr>
        <w:t> </w:t>
      </w:r>
      <w:r>
        <w:rPr/>
        <w:t>concept</w:t>
      </w:r>
      <w:r>
        <w:rPr>
          <w:spacing w:val="-6"/>
        </w:rPr>
        <w:t> </w:t>
      </w:r>
      <w:r>
        <w:rPr/>
        <w:t>with</w:t>
      </w:r>
      <w:r>
        <w:rPr>
          <w:spacing w:val="-6"/>
        </w:rPr>
        <w:t> </w:t>
      </w:r>
      <w:r>
        <w:rPr/>
        <w:t>a</w:t>
      </w:r>
      <w:r>
        <w:rPr>
          <w:spacing w:val="-7"/>
        </w:rPr>
        <w:t> </w:t>
      </w:r>
      <w:r>
        <w:rPr>
          <w:spacing w:val="-3"/>
        </w:rPr>
        <w:t>110</w:t>
      </w:r>
      <w:r>
        <w:rPr>
          <w:spacing w:val="-6"/>
        </w:rPr>
        <w:t> </w:t>
      </w:r>
      <w:r>
        <w:rPr/>
        <w:t>kW</w:t>
      </w:r>
      <w:r>
        <w:rPr>
          <w:spacing w:val="-9"/>
        </w:rPr>
        <w:t> </w:t>
      </w:r>
      <w:r>
        <w:rPr/>
        <w:t>pilot</w:t>
      </w:r>
      <w:r>
        <w:rPr>
          <w:spacing w:val="-6"/>
        </w:rPr>
        <w:t> </w:t>
      </w:r>
      <w:r>
        <w:rPr/>
        <w:t>project conducted at the University of California Davis. A 20 MW thermal gas generator was successfully operated in a test  run of the order of a few minutes in early 2003. A zero emissions demonstration plant (up to 6 MW electrical) is now on-line.</w:t>
      </w:r>
      <w:r>
        <w:rPr>
          <w:spacing w:val="-27"/>
        </w:rPr>
        <w:t> </w:t>
      </w:r>
      <w:r>
        <w:rPr/>
        <w:t>US Department</w:t>
      </w:r>
      <w:r>
        <w:rPr>
          <w:spacing w:val="-32"/>
        </w:rPr>
        <w:t> </w:t>
      </w:r>
      <w:r>
        <w:rPr/>
        <w:t>of</w:t>
      </w:r>
      <w:r>
        <w:rPr>
          <w:spacing w:val="-32"/>
        </w:rPr>
        <w:t> </w:t>
      </w:r>
      <w:r>
        <w:rPr/>
        <w:t>Energy’s</w:t>
      </w:r>
      <w:r>
        <w:rPr>
          <w:spacing w:val="-31"/>
        </w:rPr>
        <w:t> </w:t>
      </w:r>
      <w:r>
        <w:rPr/>
        <w:t>National</w:t>
      </w:r>
      <w:r>
        <w:rPr>
          <w:spacing w:val="-31"/>
        </w:rPr>
        <w:t> </w:t>
      </w:r>
      <w:r>
        <w:rPr/>
        <w:t>Energy</w:t>
      </w:r>
      <w:r>
        <w:rPr>
          <w:spacing w:val="-34"/>
        </w:rPr>
        <w:t> </w:t>
      </w:r>
      <w:r>
        <w:rPr/>
        <w:t>Technology</w:t>
      </w:r>
      <w:r>
        <w:rPr>
          <w:spacing w:val="-31"/>
        </w:rPr>
        <w:t> </w:t>
      </w:r>
      <w:r>
        <w:rPr/>
        <w:t>Laboratory designed the reheater (Richards, 2003) and NASA tested it in 2002.</w:t>
      </w:r>
      <w:r>
        <w:rPr>
          <w:spacing w:val="12"/>
        </w:rPr>
        <w:t> </w:t>
      </w:r>
      <w:r>
        <w:rPr/>
        <w:t>Much</w:t>
      </w:r>
      <w:r>
        <w:rPr>
          <w:spacing w:val="13"/>
        </w:rPr>
        <w:t> </w:t>
      </w:r>
      <w:r>
        <w:rPr/>
        <w:t>more</w:t>
      </w:r>
      <w:r>
        <w:rPr>
          <w:spacing w:val="12"/>
        </w:rPr>
        <w:t> </w:t>
      </w:r>
      <w:r>
        <w:rPr/>
        <w:t>technology</w:t>
      </w:r>
      <w:r>
        <w:rPr>
          <w:spacing w:val="13"/>
        </w:rPr>
        <w:t> </w:t>
      </w:r>
      <w:r>
        <w:rPr/>
        <w:t>development</w:t>
      </w:r>
      <w:r>
        <w:rPr>
          <w:spacing w:val="12"/>
        </w:rPr>
        <w:t> </w:t>
      </w:r>
      <w:r>
        <w:rPr/>
        <w:t>and</w:t>
      </w:r>
      <w:r>
        <w:rPr>
          <w:spacing w:val="13"/>
        </w:rPr>
        <w:t> </w:t>
      </w:r>
      <w:r>
        <w:rPr/>
        <w:t>demonstration</w:t>
      </w:r>
    </w:p>
    <w:p>
      <w:pPr>
        <w:spacing w:after="0" w:line="249" w:lineRule="auto"/>
        <w:jc w:val="both"/>
        <w:sectPr>
          <w:type w:val="continuous"/>
          <w:pgSz w:w="12240" w:h="15840"/>
          <w:pgMar w:top="480" w:bottom="280" w:left="620" w:right="0"/>
          <w:cols w:num="2" w:equalWidth="0">
            <w:col w:w="5233" w:space="72"/>
            <w:col w:w="6315"/>
          </w:cols>
        </w:sectPr>
      </w:pPr>
    </w:p>
    <w:p>
      <w:pPr>
        <w:pStyle w:val="BodyText"/>
        <w:spacing w:before="11"/>
        <w:rPr>
          <w:sz w:val="27"/>
        </w:rPr>
      </w:pPr>
    </w:p>
    <w:tbl>
      <w:tblPr>
        <w:tblW w:w="0" w:type="auto"/>
        <w:jc w:val="left"/>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59"/>
      </w:tblGrid>
      <w:tr>
        <w:trPr>
          <w:trHeight w:val="6495" w:hRule="atLeast"/>
        </w:trPr>
        <w:tc>
          <w:tcPr>
            <w:tcW w:w="10359" w:type="dxa"/>
          </w:tcPr>
          <w:p>
            <w:pPr>
              <w:pStyle w:val="TableParagraph"/>
              <w:jc w:val="left"/>
              <w:rPr>
                <w:sz w:val="20"/>
              </w:rPr>
            </w:pPr>
          </w:p>
          <w:p>
            <w:pPr>
              <w:pStyle w:val="TableParagraph"/>
              <w:jc w:val="left"/>
              <w:rPr>
                <w:sz w:val="20"/>
              </w:rPr>
            </w:pPr>
          </w:p>
          <w:p>
            <w:pPr>
              <w:pStyle w:val="TableParagraph"/>
              <w:spacing w:before="1"/>
              <w:jc w:val="left"/>
              <w:rPr>
                <w:sz w:val="10"/>
              </w:rPr>
            </w:pPr>
          </w:p>
          <w:p>
            <w:pPr>
              <w:pStyle w:val="TableParagraph"/>
              <w:spacing w:line="169" w:lineRule="exact"/>
              <w:ind w:left="1706"/>
              <w:jc w:val="left"/>
              <w:rPr>
                <w:sz w:val="16"/>
              </w:rPr>
            </w:pPr>
            <w:r>
              <w:rPr>
                <w:position w:val="-2"/>
                <w:sz w:val="16"/>
              </w:rPr>
              <w:drawing>
                <wp:inline distT="0" distB="0" distL="0" distR="0">
                  <wp:extent cx="415659" cy="107346"/>
                  <wp:effectExtent l="0" t="0" r="0" b="0"/>
                  <wp:docPr id="27" name="image93.png"/>
                  <wp:cNvGraphicFramePr>
                    <a:graphicFrameLocks noChangeAspect="1"/>
                  </wp:cNvGraphicFramePr>
                  <a:graphic>
                    <a:graphicData uri="http://schemas.openxmlformats.org/drawingml/2006/picture">
                      <pic:pic>
                        <pic:nvPicPr>
                          <pic:cNvPr id="28" name="image93.png"/>
                          <pic:cNvPicPr/>
                        </pic:nvPicPr>
                        <pic:blipFill>
                          <a:blip r:embed="rId99" cstate="print"/>
                          <a:stretch>
                            <a:fillRect/>
                          </a:stretch>
                        </pic:blipFill>
                        <pic:spPr>
                          <a:xfrm>
                            <a:off x="0" y="0"/>
                            <a:ext cx="415659" cy="107346"/>
                          </a:xfrm>
                          <a:prstGeom prst="rect">
                            <a:avLst/>
                          </a:prstGeom>
                        </pic:spPr>
                      </pic:pic>
                    </a:graphicData>
                  </a:graphic>
                </wp:inline>
              </w:drawing>
            </w:r>
            <w:r>
              <w:rPr>
                <w:position w:val="-2"/>
                <w:sz w:val="16"/>
              </w:rPr>
            </w: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8" w:after="1"/>
              <w:jc w:val="left"/>
              <w:rPr>
                <w:sz w:val="18"/>
              </w:rPr>
            </w:pPr>
          </w:p>
          <w:p>
            <w:pPr>
              <w:pStyle w:val="TableParagraph"/>
              <w:spacing w:line="213" w:lineRule="exact"/>
              <w:ind w:left="332"/>
              <w:jc w:val="left"/>
              <w:rPr>
                <w:sz w:val="12"/>
              </w:rPr>
            </w:pPr>
            <w:r>
              <w:rPr>
                <w:position w:val="8"/>
                <w:sz w:val="8"/>
              </w:rPr>
              <w:pict>
                <v:group style="width:3.5pt;height:4.350pt;mso-position-horizontal-relative:char;mso-position-vertical-relative:line" coordorigin="0,0" coordsize="70,87">
                  <v:shape style="position:absolute;left:0;top:0;width:70;height:87" coordorigin="0,0" coordsize="70,87" path="m42,55l28,55,28,59,27,63,27,86,43,86,43,63,43,59,42,55xm6,21l0,24,0,30,6,37,12,40,17,42,22,44,17,45,12,47,7,50,1,57,1,63,6,67,15,64,20,61,25,58,28,55,42,55,42,54,67,54,63,49,57,46,52,44,47,43,52,41,57,39,62,36,66,32,27,32,24,29,20,26,14,23,6,21xm67,54l42,54,45,57,49,60,55,64,64,66,69,62,69,56,67,54xm42,0l26,0,26,23,26,27,27,32,66,32,66,32,41,32,42,27,42,23,42,0xm63,20l54,22,49,25,44,28,41,32,66,32,69,29,68,23,63,20xe" filled="true" fillcolor="#000000" stroked="false">
                    <v:path arrowok="t"/>
                    <v:fill type="solid"/>
                  </v:shape>
                </v:group>
              </w:pict>
            </w:r>
            <w:r>
              <w:rPr>
                <w:position w:val="8"/>
                <w:sz w:val="8"/>
              </w:rPr>
            </w:r>
            <w:r>
              <w:rPr>
                <w:spacing w:val="-5"/>
                <w:position w:val="8"/>
                <w:sz w:val="17"/>
              </w:rPr>
              <w:t> </w:t>
            </w:r>
            <w:r>
              <w:rPr>
                <w:spacing w:val="-5"/>
                <w:position w:val="-3"/>
                <w:sz w:val="17"/>
              </w:rPr>
              <w:drawing>
                <wp:inline distT="0" distB="0" distL="0" distR="0">
                  <wp:extent cx="230797" cy="109537"/>
                  <wp:effectExtent l="0" t="0" r="0" b="0"/>
                  <wp:docPr id="29" name="image94.png"/>
                  <wp:cNvGraphicFramePr>
                    <a:graphicFrameLocks noChangeAspect="1"/>
                  </wp:cNvGraphicFramePr>
                  <a:graphic>
                    <a:graphicData uri="http://schemas.openxmlformats.org/drawingml/2006/picture">
                      <pic:pic>
                        <pic:nvPicPr>
                          <pic:cNvPr id="30" name="image94.png"/>
                          <pic:cNvPicPr/>
                        </pic:nvPicPr>
                        <pic:blipFill>
                          <a:blip r:embed="rId100" cstate="print"/>
                          <a:stretch>
                            <a:fillRect/>
                          </a:stretch>
                        </pic:blipFill>
                        <pic:spPr>
                          <a:xfrm>
                            <a:off x="0" y="0"/>
                            <a:ext cx="230797" cy="109537"/>
                          </a:xfrm>
                          <a:prstGeom prst="rect">
                            <a:avLst/>
                          </a:prstGeom>
                        </pic:spPr>
                      </pic:pic>
                    </a:graphicData>
                  </a:graphic>
                </wp:inline>
              </w:drawing>
            </w:r>
            <w:r>
              <w:rPr>
                <w:spacing w:val="-5"/>
                <w:position w:val="-3"/>
                <w:sz w:val="17"/>
              </w:rPr>
            </w:r>
            <w:r>
              <w:rPr>
                <w:spacing w:val="34"/>
                <w:position w:val="-3"/>
                <w:sz w:val="16"/>
              </w:rPr>
              <w:t> </w:t>
            </w:r>
            <w:r>
              <w:rPr>
                <w:spacing w:val="34"/>
                <w:position w:val="-2"/>
                <w:sz w:val="16"/>
              </w:rPr>
              <w:drawing>
                <wp:inline distT="0" distB="0" distL="0" distR="0">
                  <wp:extent cx="189238" cy="102012"/>
                  <wp:effectExtent l="0" t="0" r="0" b="0"/>
                  <wp:docPr id="31" name="image95.png"/>
                  <wp:cNvGraphicFramePr>
                    <a:graphicFrameLocks noChangeAspect="1"/>
                  </wp:cNvGraphicFramePr>
                  <a:graphic>
                    <a:graphicData uri="http://schemas.openxmlformats.org/drawingml/2006/picture">
                      <pic:pic>
                        <pic:nvPicPr>
                          <pic:cNvPr id="32" name="image95.png"/>
                          <pic:cNvPicPr/>
                        </pic:nvPicPr>
                        <pic:blipFill>
                          <a:blip r:embed="rId101" cstate="print"/>
                          <a:stretch>
                            <a:fillRect/>
                          </a:stretch>
                        </pic:blipFill>
                        <pic:spPr>
                          <a:xfrm>
                            <a:off x="0" y="0"/>
                            <a:ext cx="189238" cy="102012"/>
                          </a:xfrm>
                          <a:prstGeom prst="rect">
                            <a:avLst/>
                          </a:prstGeom>
                        </pic:spPr>
                      </pic:pic>
                    </a:graphicData>
                  </a:graphic>
                </wp:inline>
              </w:drawing>
            </w:r>
            <w:r>
              <w:rPr>
                <w:spacing w:val="34"/>
                <w:position w:val="-2"/>
                <w:sz w:val="16"/>
              </w:rPr>
            </w:r>
            <w:r>
              <w:rPr>
                <w:spacing w:val="38"/>
                <w:position w:val="-2"/>
                <w:sz w:val="16"/>
              </w:rPr>
              <w:t> </w:t>
            </w:r>
            <w:r>
              <w:rPr>
                <w:spacing w:val="38"/>
                <w:position w:val="-3"/>
                <w:sz w:val="16"/>
              </w:rPr>
              <w:drawing>
                <wp:inline distT="0" distB="0" distL="0" distR="0">
                  <wp:extent cx="144276" cy="107346"/>
                  <wp:effectExtent l="0" t="0" r="0" b="0"/>
                  <wp:docPr id="33" name="image96.png"/>
                  <wp:cNvGraphicFramePr>
                    <a:graphicFrameLocks noChangeAspect="1"/>
                  </wp:cNvGraphicFramePr>
                  <a:graphic>
                    <a:graphicData uri="http://schemas.openxmlformats.org/drawingml/2006/picture">
                      <pic:pic>
                        <pic:nvPicPr>
                          <pic:cNvPr id="34" name="image96.png"/>
                          <pic:cNvPicPr/>
                        </pic:nvPicPr>
                        <pic:blipFill>
                          <a:blip r:embed="rId102" cstate="print"/>
                          <a:stretch>
                            <a:fillRect/>
                          </a:stretch>
                        </pic:blipFill>
                        <pic:spPr>
                          <a:xfrm>
                            <a:off x="0" y="0"/>
                            <a:ext cx="144276" cy="107346"/>
                          </a:xfrm>
                          <a:prstGeom prst="rect">
                            <a:avLst/>
                          </a:prstGeom>
                        </pic:spPr>
                      </pic:pic>
                    </a:graphicData>
                  </a:graphic>
                </wp:inline>
              </w:drawing>
            </w:r>
            <w:r>
              <w:rPr>
                <w:spacing w:val="38"/>
                <w:position w:val="-3"/>
                <w:sz w:val="16"/>
              </w:rPr>
            </w:r>
            <w:r>
              <w:rPr>
                <w:spacing w:val="42"/>
                <w:position w:val="-3"/>
                <w:sz w:val="12"/>
              </w:rPr>
              <w:t> </w:t>
            </w:r>
            <w:r>
              <w:rPr>
                <w:spacing w:val="42"/>
                <w:position w:val="0"/>
                <w:sz w:val="12"/>
              </w:rPr>
              <w:drawing>
                <wp:inline distT="0" distB="0" distL="0" distR="0">
                  <wp:extent cx="168845" cy="77724"/>
                  <wp:effectExtent l="0" t="0" r="0" b="0"/>
                  <wp:docPr id="35" name="image97.png"/>
                  <wp:cNvGraphicFramePr>
                    <a:graphicFrameLocks noChangeAspect="1"/>
                  </wp:cNvGraphicFramePr>
                  <a:graphic>
                    <a:graphicData uri="http://schemas.openxmlformats.org/drawingml/2006/picture">
                      <pic:pic>
                        <pic:nvPicPr>
                          <pic:cNvPr id="36" name="image97.png"/>
                          <pic:cNvPicPr/>
                        </pic:nvPicPr>
                        <pic:blipFill>
                          <a:blip r:embed="rId103" cstate="print"/>
                          <a:stretch>
                            <a:fillRect/>
                          </a:stretch>
                        </pic:blipFill>
                        <pic:spPr>
                          <a:xfrm>
                            <a:off x="0" y="0"/>
                            <a:ext cx="168845" cy="77724"/>
                          </a:xfrm>
                          <a:prstGeom prst="rect">
                            <a:avLst/>
                          </a:prstGeom>
                        </pic:spPr>
                      </pic:pic>
                    </a:graphicData>
                  </a:graphic>
                </wp:inline>
              </w:drawing>
            </w:r>
            <w:r>
              <w:rPr>
                <w:spacing w:val="42"/>
                <w:position w:val="0"/>
                <w:sz w:val="12"/>
              </w:rPr>
            </w:r>
          </w:p>
        </w:tc>
      </w:tr>
    </w:tbl>
    <w:p>
      <w:pPr>
        <w:spacing w:line="278" w:lineRule="auto" w:before="102"/>
        <w:ind w:left="513" w:right="731" w:firstLine="0"/>
        <w:jc w:val="left"/>
        <w:rPr>
          <w:sz w:val="18"/>
        </w:rPr>
      </w:pPr>
      <w:r>
        <w:rPr/>
        <w:pict>
          <v:group style="position:absolute;margin-left:178.798996pt;margin-top:-286.779205pt;width:379.95pt;height:250.35pt;mso-position-horizontal-relative:page;mso-position-vertical-relative:paragraph;z-index:-272433152" coordorigin="3576,-5736" coordsize="7599,5007">
            <v:shape style="position:absolute;left:9548;top:-5736;width:1627;height:1264" type="#_x0000_t75" stroked="false">
              <v:imagedata r:id="rId104" o:title=""/>
            </v:shape>
            <v:shape style="position:absolute;left:9418;top:-4503;width:257;height:113" type="#_x0000_t75" stroked="false">
              <v:imagedata r:id="rId105" o:title=""/>
            </v:shape>
            <v:line style="position:absolute" from="6365,-4448" to="8242,-4448" stroked="true" strokeweight="3.219pt" strokecolor="#000000">
              <v:stroke dashstyle="solid"/>
            </v:line>
            <v:shape style="position:absolute;left:4314;top:-5035;width:2171;height:797" coordorigin="4315,-5035" coordsize="2171,797" path="m4315,-4238l4318,-5035,6485,-5035e" filled="false" stroked="true" strokeweight=".5pt" strokecolor="#e2001a">
              <v:path arrowok="t"/>
              <v:stroke dashstyle="solid"/>
            </v:shape>
            <v:shape style="position:absolute;left:6456;top:-5072;width:182;height:75" coordorigin="6457,-5072" coordsize="182,75" path="m6457,-5072l6472,-5035,6457,-4998,6638,-5035,6457,-5072xe" filled="true" fillcolor="#e2001a" stroked="false">
              <v:path arrowok="t"/>
              <v:fill type="solid"/>
            </v:shape>
            <v:shape style="position:absolute;left:4451;top:-4935;width:2034;height:270" coordorigin="4451,-4935" coordsize="2034,270" path="m4451,-4665l4455,-4935,6485,-4935e" filled="false" stroked="true" strokeweight=".5pt" strokecolor="#1fa12d">
              <v:path arrowok="t"/>
              <v:stroke dashstyle="solid"/>
            </v:shape>
            <v:shape style="position:absolute;left:8227;top:-4503;width:257;height:113" type="#_x0000_t75" stroked="false">
              <v:imagedata r:id="rId106" o:title=""/>
            </v:shape>
            <v:shape style="position:absolute;left:8324;top:-4797;width:1264;height:729" coordorigin="8324,-4797" coordsize="1264,729" path="m9573,-4151l8339,-4151,8339,-4071,8896,-4068,8896,-4068,8928,-4068,8928,-4068,9573,-4071,9573,-4151xm8928,-4068l8913,-4068,8928,-4068,8928,-4068xm9405,-4797l8508,-4797,8486,-4796,8475,-4793,8471,-4783,8471,-4765,8419,-4748,8372,-4703,8338,-4640,8324,-4567,8325,-4507,8325,-4425,8327,-4322,8330,-4251,8346,-4209,8387,-4181,8466,-4151,9446,-4151,9526,-4199,9567,-4255,9583,-4302,9586,-4322,9587,-4435,9588,-4498,9588,-4534,9588,-4567,9575,-4640,9540,-4703,9493,-4748,9441,-4765,9436,-4783,9423,-4793,9410,-4796,9405,-4797xe" filled="true" fillcolor="#d9dadb" stroked="false">
              <v:path arrowok="t"/>
              <v:fill type="solid"/>
            </v:shape>
            <v:shape style="position:absolute;left:8324;top:-4797;width:1264;height:729" coordorigin="8324,-4797" coordsize="1264,729" path="m9586,-4322l9587,-4435,9588,-4498,9588,-4534,9588,-4567,9575,-4640,9540,-4703,9493,-4748,9441,-4765,9436,-4783,9423,-4793,9410,-4796,9405,-4797,8926,-4797,8899,-4797,8508,-4797,8486,-4796,8475,-4793,8471,-4783,8471,-4765,8419,-4748,8372,-4703,8338,-4640,8324,-4567,8325,-4507,8325,-4425,8326,-4353,8327,-4322,8330,-4251,8346,-4209,8387,-4181,8466,-4151,8339,-4151,8339,-4071,8896,-4068,8896,-4068,8913,-4068,8928,-4068,8928,-4068,9573,-4071,9573,-4151,9446,-4151,9526,-4199,9567,-4255,9583,-4302,9586,-4322xm8471,-4765l8471,-4151,8571,-4310,9319,-4310,9441,-4163,9441,-4762e" filled="false" stroked="true" strokeweight=".5pt" strokecolor="#000000">
              <v:path arrowok="t"/>
              <v:stroke dashstyle="solid"/>
            </v:shape>
            <v:line style="position:absolute" from="9816,-4928" to="9816,-4042" stroked="true" strokeweight="2.666pt" strokecolor="#d9dadb">
              <v:stroke dashstyle="solid"/>
            </v:line>
            <v:rect style="position:absolute;left:9788;top:-4929;width:54;height:887" filled="false" stroked="true" strokeweight=".5pt" strokecolor="#000000">
              <v:stroke dashstyle="solid"/>
            </v:rect>
            <v:shape style="position:absolute;left:4423;top:-3480;width:335;height:918" coordorigin="4423,-3480" coordsize="335,918" path="m4636,-3480l4546,-3480,4498,-3471,4459,-3447,4433,-3411,4423,-3367,4423,-2676,4433,-2632,4459,-2596,4498,-2571,4546,-2562,4636,-2562,4683,-2571,4722,-2596,4748,-2632,4758,-2676,4758,-3367,4748,-3411,4722,-3447,4683,-3471,4636,-3480xe" filled="true" fillcolor="#ececed" stroked="false">
              <v:path arrowok="t"/>
              <v:fill type="solid"/>
            </v:shape>
            <v:shape style="position:absolute;left:4423;top:-3480;width:335;height:918" coordorigin="4423,-3480" coordsize="335,918" path="m4758,-2676l4748,-2632,4722,-2596,4683,-2571,4636,-2562,4546,-2562,4498,-2571,4459,-2596,4433,-2632,4423,-2676,4423,-3367,4433,-3411,4459,-3447,4498,-3471,4546,-3480,4636,-3480,4683,-3471,4722,-3447,4748,-3411,4758,-3367,4758,-2676xe" filled="false" stroked="true" strokeweight=".52pt" strokecolor="#000000">
              <v:path arrowok="t"/>
              <v:stroke dashstyle="solid"/>
            </v:shape>
            <v:shape style="position:absolute;left:4778;top:-3920;width:3280;height:593" coordorigin="4779,-3920" coordsize="3280,593" path="m4779,-3327l8058,-3327,8058,-3920e" filled="false" stroked="true" strokeweight="1pt" strokecolor="#d29fc5">
              <v:path arrowok="t"/>
              <v:stroke dashstyle="solid"/>
            </v:shape>
            <v:shape style="position:absolute;left:7946;top:-4108;width:225;height:259" type="#_x0000_t75" stroked="false">
              <v:imagedata r:id="rId107" o:title=""/>
            </v:shape>
            <v:shape style="position:absolute;left:7655;top:-5023;width:75;height:182" coordorigin="7656,-5023" coordsize="75,182" path="m7656,-5023l7693,-4841,7726,-5007,7693,-5007,7656,-5023xm7730,-5023l7693,-5007,7726,-5007,7730,-5023xe" filled="true" fillcolor="#d29fc5" stroked="false">
              <v:path arrowok="t"/>
              <v:fill type="solid"/>
            </v:shape>
            <v:shape style="position:absolute;left:7343;top:-5100;width:350;height:350" coordorigin="7343,-5100" coordsize="350,350" path="m7343,-4750l7343,-5100,7693,-5100,7693,-4979e" filled="false" stroked="true" strokeweight="1.0pt" strokecolor="#d29fc5">
              <v:path arrowok="t"/>
              <v:stroke dashstyle="solid"/>
            </v:shape>
            <v:shape style="position:absolute;left:7688;top:-4884;width:418;height:835" coordorigin="7689,-4883" coordsize="418,835" path="m8106,-4883l7689,-4818,7689,-4114,8106,-4049,8106,-4883xe" filled="true" fillcolor="#fecc00" stroked="false">
              <v:path arrowok="t"/>
              <v:fill type="solid"/>
            </v:shape>
            <v:shape style="position:absolute;left:7688;top:-4884;width:418;height:835" coordorigin="7689,-4883" coordsize="418,835" path="m7689,-4818l7689,-4484,7689,-4448,7689,-4114,8106,-4049,8106,-4453,8106,-4479,8106,-4883,7689,-4818xe" filled="false" stroked="true" strokeweight=".5pt" strokecolor="#000000">
              <v:path arrowok="t"/>
              <v:stroke dashstyle="solid"/>
            </v:shape>
            <v:shape style="position:absolute;left:6936;top:-4753;width:418;height:579" coordorigin="6937,-4753" coordsize="418,579" path="m7354,-4753l6937,-4687,6937,-4240,7354,-4174,7354,-4753xe" filled="true" fillcolor="#fecc00" stroked="false">
              <v:path arrowok="t"/>
              <v:fill type="solid"/>
            </v:shape>
            <v:shape style="position:absolute;left:6936;top:-4753;width:418;height:579" coordorigin="6937,-4753" coordsize="418,579" path="m6937,-4687l6937,-4484,6937,-4448,6937,-4240,7354,-4174,7354,-4453,7354,-4479,7354,-4753,6937,-4687xe" filled="false" stroked="true" strokeweight=".5pt" strokecolor="#000000">
              <v:path arrowok="t"/>
              <v:stroke dashstyle="solid"/>
            </v:shape>
            <v:shape style="position:absolute;left:6187;top:-4645;width:418;height:355" coordorigin="6187,-4645" coordsize="418,355" path="m6605,-4645l6187,-4579,6187,-4355,6605,-4290,6605,-4645xe" filled="true" fillcolor="#fecc00" stroked="false">
              <v:path arrowok="t"/>
              <v:fill type="solid"/>
            </v:shape>
            <v:shape style="position:absolute;left:6187;top:-4645;width:418;height:355" coordorigin="6187,-4645" coordsize="418,355" path="m6187,-4579l6187,-4484,6187,-4448,6187,-4355,6605,-4290,6605,-4453,6605,-4479,6605,-4645,6187,-4579xe" filled="false" stroked="true" strokeweight=".5pt" strokecolor="#000000">
              <v:path arrowok="t"/>
              <v:stroke dashstyle="solid"/>
            </v:shape>
            <v:rect style="position:absolute;left:4608;top:-4577;width:1579;height:222" filled="true" fillcolor="#e2001a" stroked="false">
              <v:fill type="solid"/>
            </v:rect>
            <v:rect style="position:absolute;left:4608;top:-4577;width:1579;height:222" filled="false" stroked="true" strokeweight=".5pt" strokecolor="#000000">
              <v:stroke dashstyle="solid"/>
            </v:rect>
            <v:line style="position:absolute" from="4601,-4615" to="4601,-4299" stroked="true" strokeweight="2.298pt" strokecolor="#9c9d9f">
              <v:stroke dashstyle="solid"/>
            </v:line>
            <v:rect style="position:absolute;left:4577;top:-4616;width:46;height:316" filled="false" stroked="true" strokeweight=".5pt" strokecolor="#000000">
              <v:stroke dashstyle="solid"/>
            </v:rect>
            <v:shape style="position:absolute;left:4098;top:-4875;width:480;height:345" coordorigin="4099,-4874" coordsize="480,345" path="m4145,-4874l4099,-4796,4445,-4584,4412,-4530,4579,-4556,4541,-4662,4492,-4662,4145,-4874xm4523,-4713l4492,-4662,4541,-4662,4523,-4713xe" filled="true" fillcolor="#1fa12d" stroked="false">
              <v:path arrowok="t"/>
              <v:fill type="solid"/>
            </v:shape>
            <v:shape style="position:absolute;left:4098;top:-4875;width:480;height:345" coordorigin="4099,-4874" coordsize="480,345" path="m4492,-4662l4523,-4713,4579,-4556,4412,-4530,4445,-4584,4099,-4796,4145,-4874,4492,-4662xe" filled="false" stroked="true" strokeweight=".5pt" strokecolor="#000000">
              <v:path arrowok="t"/>
              <v:stroke dashstyle="solid"/>
            </v:shape>
            <v:shape style="position:absolute;left:4095;top:-4381;width:476;height:346" coordorigin="4096,-4380" coordsize="476,346" path="m4405,-4380l4438,-4331,4096,-4110,4146,-4035,4487,-4254,4538,-4254,4571,-4363,4405,-4380xm4538,-4254l4487,-4254,4522,-4201,4538,-4254xe" filled="true" fillcolor="#e2001a" stroked="false">
              <v:path arrowok="t"/>
              <v:fill type="solid"/>
            </v:shape>
            <v:shape style="position:absolute;left:4095;top:-4381;width:476;height:346" coordorigin="4096,-4380" coordsize="476,346" path="m4438,-4331l4405,-4380,4571,-4363,4522,-4201,4487,-4254,4146,-4035,4096,-4110,4438,-4331xe" filled="false" stroked="true" strokeweight=".5pt" strokecolor="#000000">
              <v:path arrowok="t"/>
              <v:stroke dashstyle="solid"/>
            </v:shape>
            <v:shape style="position:absolute;left:6583;top:-5044;width:397;height:404" type="#_x0000_t75" stroked="false">
              <v:imagedata r:id="rId108" o:title=""/>
            </v:shape>
            <v:shape style="position:absolute;left:4858;top:-2758;width:831;height:841" coordorigin="4859,-2758" coordsize="831,841" path="m4859,-2758l5689,-2758,5689,-1917e" filled="false" stroked="true" strokeweight="1pt" strokecolor="#d29fc5">
              <v:path arrowok="t"/>
              <v:stroke dashstyle="solid"/>
            </v:shape>
            <v:line style="position:absolute" from="6730,-1922" to="5679,-1922" stroked="true" strokeweight="2pt" strokecolor="#d29fc5">
              <v:stroke dashstyle="solid"/>
            </v:line>
            <v:line style="position:absolute" from="9460,-2732" to="10343,-2732" stroked="true" strokeweight="3.361pt" strokecolor="#d29fc5">
              <v:stroke dashstyle="solid"/>
            </v:line>
            <v:line style="position:absolute" from="7155,-2551" to="7155,-2751" stroked="true" strokeweight="1pt" strokecolor="#d29fc5">
              <v:stroke dashstyle="solid"/>
            </v:line>
            <v:line style="position:absolute" from="7159,-2732" to="8489,-2732" stroked="true" strokeweight="3.361pt" strokecolor="#d29fc5">
              <v:stroke dashstyle="solid"/>
            </v:line>
            <v:shape style="position:absolute;left:8266;top:-2847;width:229;height:225" type="#_x0000_t75" stroked="false">
              <v:imagedata r:id="rId109" o:title=""/>
            </v:shape>
            <v:shape style="position:absolute;left:9454;top:-2847;width:229;height:225" type="#_x0000_t75" stroked="false">
              <v:imagedata r:id="rId110" o:title=""/>
            </v:shape>
            <v:shape style="position:absolute;left:10310;top:-2847;width:229;height:225" type="#_x0000_t75" stroked="false">
              <v:imagedata r:id="rId111" o:title=""/>
            </v:shape>
            <v:shape style="position:absolute;left:6673;top:-2030;width:229;height:225" type="#_x0000_t75" stroked="false">
              <v:imagedata r:id="rId112" o:title=""/>
            </v:shape>
            <v:shape style="position:absolute;left:7042;top:-2569;width:225;height:229" type="#_x0000_t75" stroked="false">
              <v:imagedata r:id="rId113" o:title=""/>
            </v:shape>
            <v:shape style="position:absolute;left:7156;top:-1123;width:2;height:265" coordorigin="7156,-1122" coordsize="0,265" path="m7156,-1122l7156,-870,7156,-857e" filled="false" stroked="true" strokeweight="2pt" strokecolor="#006ab2">
              <v:path arrowok="t"/>
              <v:stroke dashstyle="solid"/>
            </v:shape>
            <v:shape style="position:absolute;left:7042;top:-1251;width:225;height:229" type="#_x0000_t75" stroked="false">
              <v:imagedata r:id="rId114" o:title=""/>
            </v:shape>
            <v:shape style="position:absolute;left:6897;top:-2344;width:512;height:1098" coordorigin="6897,-2343" coordsize="512,1098" path="m7308,-2343l6998,-2343,6959,-2334,6927,-2308,6905,-2270,6897,-2223,6897,-1367,6905,-1320,6927,-1281,6959,-1256,6998,-1246,7308,-1246,7347,-1256,7379,-1281,7401,-1320,7409,-1367,7409,-2223,7401,-2270,7379,-2308,7347,-2334,7308,-2343xe" filled="true" fillcolor="#d9dadb" stroked="false">
              <v:path arrowok="t"/>
              <v:fill type="solid"/>
            </v:shape>
            <v:shape style="position:absolute;left:6897;top:-2344;width:512;height:1098" coordorigin="6897,-2343" coordsize="512,1098" path="m7409,-1367l7401,-1320,7379,-1281,7347,-1256,7308,-1246,6998,-1246,6959,-1256,6927,-1281,6905,-1320,6897,-1367,6897,-2223,6905,-2270,6927,-2308,6959,-2334,6998,-2343,7308,-2343,7347,-2334,7379,-2308,7401,-2270,7409,-2223,7409,-1367xe" filled="false" stroked="true" strokeweight=".5pt" strokecolor="#000000">
              <v:path arrowok="t"/>
              <v:stroke dashstyle="solid"/>
            </v:shape>
            <v:line style="position:absolute" from="4587,-856" to="7176,-855" stroked="true" strokeweight="2pt" strokecolor="#006ab2">
              <v:stroke dashstyle="solid"/>
            </v:line>
            <v:shape style="position:absolute;left:4507;top:-4192;width:164;height:3355" coordorigin="4508,-4192" coordsize="164,3355" path="m4603,-4192l4605,-3372,4671,-3338,4511,-3272,4671,-3199,4508,-3127,4668,-3050,4510,-2981,4668,-2901,4510,-2832,4671,-2752,4508,-2683,4596,-2637,4596,-837e" filled="false" stroked="true" strokeweight="1pt" strokecolor="#006ab2">
              <v:path arrowok="t"/>
              <v:stroke dashstyle="solid"/>
            </v:shape>
            <v:shape style="position:absolute;left:4554;top:-4294;width:101;height:171" type="#_x0000_t75" stroked="false">
              <v:imagedata r:id="rId115" o:title=""/>
            </v:shape>
            <v:shape style="position:absolute;left:4753;top:-2872;width:229;height:225" type="#_x0000_t75" stroked="false">
              <v:imagedata r:id="rId116" o:title=""/>
            </v:shape>
            <v:shape style="position:absolute;left:4753;top:-3441;width:229;height:225" type="#_x0000_t75" stroked="false">
              <v:imagedata r:id="rId117" o:title=""/>
            </v:shape>
            <v:rect style="position:absolute;left:9763;top:-2596;width:420;height:1315" filled="true" fillcolor="#000000" stroked="false">
              <v:fill type="solid"/>
            </v:rect>
            <v:line style="position:absolute" from="9971,-2666" to="9971,-1336" stroked="true" strokeweight="2.5pt" strokecolor="#9c9d9f">
              <v:stroke dashstyle="solid"/>
            </v:line>
            <v:rect style="position:absolute;left:9945;top:-2666;width:50;height:1330" filled="false" stroked="true" strokeweight=".5pt" strokecolor="#000000">
              <v:stroke dashstyle="solid"/>
            </v:rect>
            <v:shape style="position:absolute;left:9925;top:-2666;width:28;height:2" coordorigin="9926,-2665" coordsize="28,0" path="m9926,-2665l9953,-2665e" filled="true" fillcolor="#9c9d9f" stroked="false">
              <v:path arrowok="t"/>
              <v:fill type="solid"/>
            </v:shape>
            <v:line style="position:absolute" from="9926,-2665" to="9953,-2665" stroked="true" strokeweight=".5pt" strokecolor="#000000">
              <v:stroke dashstyle="solid"/>
            </v:line>
            <v:shape style="position:absolute;left:9858;top:-2738;width:225;height:294" type="#_x0000_t75" stroked="false">
              <v:imagedata r:id="rId118" o:title=""/>
            </v:shape>
            <v:line style="position:absolute" from="6721,-855" to="7670,-855" stroked="true" strokeweight="0pt" strokecolor="#ececed">
              <v:stroke dashstyle="solid"/>
            </v:line>
            <v:line style="position:absolute" from="6721,-855" to="7670,-855" stroked="true" strokeweight=".5pt" strokecolor="#006ab2">
              <v:stroke dashstyle="solid"/>
            </v:line>
            <v:shape style="position:absolute;left:7638;top:-892;width:122;height:74" coordorigin="7638,-892" coordsize="122,74" path="m7639,-892l7638,-891,7660,-855,7638,-818,7639,-818,7698,-841,7759,-855,7698,-868,7639,-892xe" filled="true" fillcolor="#006ab2" stroked="false">
              <v:path arrowok="t"/>
              <v:fill type="solid"/>
            </v:shape>
            <v:shape style="position:absolute;left:5319;top:-1077;width:1113;height:168" type="#_x0000_t75" stroked="false">
              <v:imagedata r:id="rId119" o:title=""/>
            </v:shape>
            <v:shape style="position:absolute;left:7869;top:-926;width:1087;height:133" type="#_x0000_t75" stroked="false">
              <v:imagedata r:id="rId120" o:title=""/>
            </v:shape>
            <v:shape style="position:absolute;left:8483;top:-3040;width:982;height:598" type="#_x0000_t75" stroked="false">
              <v:imagedata r:id="rId121" o:title=""/>
            </v:shape>
            <v:shape style="position:absolute;left:3645;top:-3311;width:743;height:384" type="#_x0000_t75" stroked="false">
              <v:imagedata r:id="rId122" o:title=""/>
            </v:shape>
            <v:shape style="position:absolute;left:3575;top:-4121;width:323;height:133" type="#_x0000_t75" stroked="false">
              <v:imagedata r:id="rId123" o:title=""/>
            </v:shape>
            <v:shape style="position:absolute;left:3942;top:-4138;width:70;height:87" coordorigin="3943,-4137" coordsize="70,87" path="m3984,-4082l3971,-4082,3970,-4078,3970,-4074,3970,-4051,3986,-4051,3986,-4074,3985,-4078,3984,-4082xm3948,-4117l3943,-4113,3943,-4107,3949,-4100,3954,-4097,3960,-4095,3964,-4093,3960,-4092,3955,-4090,3949,-4087,3943,-4080,3943,-4074,3949,-4070,3958,-4073,3963,-4076,3968,-4079,3971,-4082,3984,-4082,3984,-4083,4010,-4083,4005,-4088,4000,-4091,3995,-4093,3990,-4095,3994,-4096,4000,-4098,4005,-4101,4008,-4105,3970,-4105,3967,-4108,3962,-4111,3957,-4114,3948,-4117xm4010,-4083l3984,-4083,3988,-4080,3992,-4077,3997,-4074,4006,-4071,4011,-4075,4012,-4081,4010,-4083xm3985,-4137l3968,-4137,3969,-4114,3969,-4110,3970,-4105,4008,-4105,4009,-4106,3983,-4106,3984,-4110,3985,-4114,3985,-4137xm4006,-4117l3997,-4115,3991,-4112,3987,-4109,3983,-4106,4009,-4106,4011,-4108,4011,-4114,4006,-4117xe" filled="true" fillcolor="#000000" stroked="false">
              <v:path arrowok="t"/>
              <v:fill type="solid"/>
            </v:shape>
            <v:shape style="position:absolute;left:9450;top:-1115;width:1099;height:386" type="#_x0000_t75" stroked="false">
              <v:imagedata r:id="rId124" o:title=""/>
            </v:shape>
            <v:shape style="position:absolute;left:8567;top:-4725;width:764;height:386" type="#_x0000_t75" stroked="false">
              <v:imagedata r:id="rId125" o:title=""/>
            </v:shape>
            <v:rect style="position:absolute;left:9285;top:-4725;width:16;height:130" filled="true" fillcolor="#000000" stroked="false">
              <v:fill type="solid"/>
            </v:rect>
            <v:shape style="position:absolute;left:6995;top:-2048;width:374;height:136" type="#_x0000_t75" stroked="false">
              <v:imagedata r:id="rId126" o:title=""/>
            </v:shape>
            <v:shape style="position:absolute;left:6993;top:-1825;width:347;height:133" type="#_x0000_t75" stroked="false">
              <v:imagedata r:id="rId127" o:title=""/>
            </v:shape>
            <v:shape style="position:absolute;left:6994;top:-1572;width:243;height:101" type="#_x0000_t75" stroked="false">
              <v:imagedata r:id="rId128" o:title=""/>
            </v:shape>
            <v:shape style="position:absolute;left:10697;top:-2895;width:452;height:133" type="#_x0000_t75" stroked="false">
              <v:imagedata r:id="rId129" o:title=""/>
            </v:shape>
            <v:shape style="position:absolute;left:10714;top:-2679;width:408;height:134" type="#_x0000_t75" stroked="false">
              <v:imagedata r:id="rId130" o:title=""/>
            </v:shape>
            <v:shape style="position:absolute;left:7632;top:-2988;width:335;height:173" type="#_x0000_t75" stroked="false">
              <v:imagedata r:id="rId131" o:title=""/>
            </v:shape>
            <v:shape style="position:absolute;left:6305;top:-4055;width:1552;height:170" type="#_x0000_t75" stroked="false">
              <v:imagedata r:id="rId132" o:title=""/>
            </v:shape>
            <v:shape style="position:absolute;left:6413;top:-5255;width:723;height:133" type="#_x0000_t75" stroked="false">
              <v:imagedata r:id="rId133" o:title=""/>
            </v:shape>
            <v:shape style="position:absolute;left:6288;top:-4537;width:228;height:130" type="#_x0000_t75" stroked="false">
              <v:imagedata r:id="rId134" o:title=""/>
            </v:shape>
            <v:shape style="position:absolute;left:7085;top:-4537;width:144;height:130" coordorigin="7086,-4537" coordsize="144,130" path="m7104,-4537l7086,-4537,7086,-4408,7104,-4408,7104,-4537m7230,-4511l7226,-4521,7225,-4521,7212,-4533,7212,-4533,7212,-4509,7212,-4491,7209,-4485,7200,-4479,7193,-4477,7152,-4477,7152,-4521,7192,-4521,7198,-4520,7201,-4519,7208,-4515,7212,-4509,7212,-4533,7203,-4537,7134,-4537,7134,-4408,7152,-4408,7152,-4462,7204,-4462,7214,-4466,7223,-4477,7226,-4481,7230,-4490,7230,-4511e" filled="true" fillcolor="#000000" stroked="false">
              <v:path arrowok="t"/>
              <v:fill type="solid"/>
            </v:shape>
            <v:shape style="position:absolute;left:7835;top:-4537;width:198;height:130" type="#_x0000_t75" stroked="false">
              <v:imagedata r:id="rId135" o:title=""/>
            </v:shape>
            <v:shape style="position:absolute;left:5445;top:-3556;width:2097;height:173" type="#_x0000_t75" stroked="false">
              <v:imagedata r:id="rId136" o:title=""/>
            </v:shape>
            <v:shape style="position:absolute;left:6456;top:-4972;width:182;height:75" coordorigin="6457,-4972" coordsize="182,75" path="m6457,-4972l6472,-4935,6457,-4898,6638,-4935,6457,-4972xe" filled="true" fillcolor="#1fa12d" stroked="false">
              <v:path arrowok="t"/>
              <v:fill type="solid"/>
            </v:shape>
            <w10:wrap type="none"/>
          </v:group>
        </w:pict>
      </w:r>
      <w:r>
        <w:rPr/>
        <w:pict>
          <v:group style="position:absolute;margin-left:73.904999pt;margin-top:-189.978653pt;width:21pt;height:131pt;mso-position-horizontal-relative:page;mso-position-vertical-relative:paragraph;z-index:-272429056" coordorigin="1478,-3800" coordsize="420,2620">
            <v:line style="position:absolute" from="1683,-3692" to="1683,-2545" stroked="true" strokeweight="1pt" strokecolor="#e2001a">
              <v:stroke dashstyle="solid"/>
            </v:line>
            <v:shape style="position:absolute;left:1571;top:-3800;width:225;height:227" type="#_x0000_t75" stroked="false">
              <v:imagedata r:id="rId137" o:title=""/>
            </v:shape>
            <v:rect style="position:absolute;left:1478;top:-2495;width:420;height:1315" filled="true" fillcolor="#000000" stroked="false">
              <v:fill type="solid"/>
            </v:rect>
            <v:line style="position:absolute" from="1686,-2565" to="1686,-1235" stroked="true" strokeweight="2.5pt" strokecolor="#9c9d9f">
              <v:stroke dashstyle="solid"/>
            </v:line>
            <v:rect style="position:absolute;left:1660;top:-2565;width:50;height:1330" filled="false" stroked="true" strokeweight=".5pt" strokecolor="#000000">
              <v:stroke dashstyle="solid"/>
            </v:rect>
            <v:shape style="position:absolute;left:1641;top:-2565;width:28;height:2" coordorigin="1641,-2565" coordsize="28,0" path="m1641,-2565l1668,-2565e" filled="true" fillcolor="#9c9d9f" stroked="false">
              <v:path arrowok="t"/>
              <v:fill type="solid"/>
            </v:shape>
            <v:line style="position:absolute" from="1641,-2565" to="1668,-2565" stroked="true" strokeweight=".5pt" strokecolor="#000000">
              <v:stroke dashstyle="solid"/>
            </v:line>
            <w10:wrap type="none"/>
          </v:group>
        </w:pict>
      </w:r>
      <w:r>
        <w:rPr/>
        <w:pict>
          <v:group style="position:absolute;margin-left:73.466003pt;margin-top:-54.826656pt;width:26.5pt;height:6.85pt;mso-position-horizontal-relative:page;mso-position-vertical-relative:paragraph;z-index:-272428032" coordorigin="1469,-1097" coordsize="530,137">
            <v:shape style="position:absolute;left:1469;top:-1097;width:316;height:137" type="#_x0000_t75" stroked="false">
              <v:imagedata r:id="rId138" o:title=""/>
            </v:shape>
            <v:shape style="position:absolute;left:1846;top:-1061;width:153;height:100" coordorigin="1846,-1061" coordsize="153,100" path="m1933,-1029l1929,-1041,1922,-1047,1917,-1052,1917,-1021,1917,-1003,1915,-994,1907,-979,1900,-975,1880,-975,1873,-978,1864,-991,1862,-999,1862,-1020,1864,-1028,1865,-1029,1873,-1043,1880,-1047,1901,-1047,1908,-1043,1913,-1034,1916,-1028,1917,-1021,1917,-1052,1912,-1057,1902,-1061,1877,-1061,1866,-1056,1850,-1037,1846,-1025,1846,-994,1850,-983,1865,-965,1875,-961,1903,-961,1915,-966,1921,-975,1930,-986,1933,-998,1933,-1029m1999,-1060l1994,-1061,1988,-1061,1982,-1058,1972,-1049,1969,-1046,1968,-1042,1968,-1058,1953,-1058,1953,-964,1969,-964,1969,-1025,1971,-1031,1980,-1041,1982,-1042,1986,-1044,1995,-1044,1997,-1044,1999,-1044,1999,-1044,1999,-1060e" filled="true" fillcolor="#000000" stroked="false">
              <v:path arrowok="t"/>
              <v:fill type="solid"/>
            </v:shape>
            <w10:wrap type="none"/>
          </v:group>
        </w:pict>
      </w:r>
      <w:bookmarkStart w:name="3.4.5 Techniques and improvements in oxy" w:id="42"/>
      <w:bookmarkEnd w:id="42"/>
      <w:r>
        <w:rPr/>
      </w:r>
      <w:bookmarkStart w:name="_bookmark16" w:id="43"/>
      <w:bookmarkEnd w:id="43"/>
      <w:r>
        <w:rPr/>
      </w:r>
      <w:r>
        <w:rPr>
          <w:b/>
          <w:sz w:val="18"/>
        </w:rPr>
        <w:t>Figure 3.11 </w:t>
      </w:r>
      <w:r>
        <w:rPr>
          <w:sz w:val="18"/>
        </w:rPr>
        <w:t>Principle of the Clean Energy Systems cycle. The combustion of the fuel and oxygen is cooled by injection of liquid-water, which is recycled in the process.</w:t>
      </w:r>
    </w:p>
    <w:p>
      <w:pPr>
        <w:pStyle w:val="BodyText"/>
        <w:spacing w:before="8"/>
        <w:rPr>
          <w:sz w:val="13"/>
        </w:rPr>
      </w:pPr>
    </w:p>
    <w:p>
      <w:pPr>
        <w:spacing w:after="0"/>
        <w:rPr>
          <w:sz w:val="13"/>
        </w:rPr>
        <w:sectPr>
          <w:pgSz w:w="12240" w:h="15840"/>
          <w:pgMar w:header="567" w:footer="0" w:top="800" w:bottom="280" w:left="620" w:right="0"/>
        </w:sectPr>
      </w:pPr>
    </w:p>
    <w:p>
      <w:pPr>
        <w:pStyle w:val="BodyText"/>
        <w:spacing w:line="249" w:lineRule="auto" w:before="64"/>
        <w:ind w:left="513" w:right="1"/>
        <w:jc w:val="both"/>
      </w:pPr>
      <w:r>
        <w:rPr/>
        <w:t>is</w:t>
      </w:r>
      <w:r>
        <w:rPr>
          <w:spacing w:val="-9"/>
        </w:rPr>
        <w:t> </w:t>
      </w:r>
      <w:r>
        <w:rPr/>
        <w:t>needed</w:t>
      </w:r>
      <w:r>
        <w:rPr>
          <w:spacing w:val="-8"/>
        </w:rPr>
        <w:t> </w:t>
      </w:r>
      <w:r>
        <w:rPr/>
        <w:t>on</w:t>
      </w:r>
      <w:r>
        <w:rPr>
          <w:spacing w:val="-8"/>
        </w:rPr>
        <w:t> </w:t>
      </w:r>
      <w:r>
        <w:rPr/>
        <w:t>this</w:t>
      </w:r>
      <w:r>
        <w:rPr>
          <w:spacing w:val="-8"/>
        </w:rPr>
        <w:t> </w:t>
      </w:r>
      <w:r>
        <w:rPr/>
        <w:t>proposed</w:t>
      </w:r>
      <w:r>
        <w:rPr>
          <w:spacing w:val="-8"/>
        </w:rPr>
        <w:t> </w:t>
      </w:r>
      <w:r>
        <w:rPr/>
        <w:t>power</w:t>
      </w:r>
      <w:r>
        <w:rPr>
          <w:spacing w:val="-7"/>
        </w:rPr>
        <w:t> </w:t>
      </w:r>
      <w:r>
        <w:rPr/>
        <w:t>cycle,</w:t>
      </w:r>
      <w:r>
        <w:rPr>
          <w:spacing w:val="-9"/>
        </w:rPr>
        <w:t> </w:t>
      </w:r>
      <w:r>
        <w:rPr/>
        <w:t>but</w:t>
      </w:r>
      <w:r>
        <w:rPr>
          <w:spacing w:val="-8"/>
        </w:rPr>
        <w:t> </w:t>
      </w:r>
      <w:r>
        <w:rPr/>
        <w:t>it</w:t>
      </w:r>
      <w:r>
        <w:rPr>
          <w:spacing w:val="-9"/>
        </w:rPr>
        <w:t> </w:t>
      </w:r>
      <w:r>
        <w:rPr/>
        <w:t>shows</w:t>
      </w:r>
      <w:r>
        <w:rPr>
          <w:spacing w:val="-7"/>
        </w:rPr>
        <w:t> </w:t>
      </w:r>
      <w:r>
        <w:rPr/>
        <w:t>significant potential for low capital cost and high</w:t>
      </w:r>
      <w:r>
        <w:rPr>
          <w:spacing w:val="-6"/>
        </w:rPr>
        <w:t> </w:t>
      </w:r>
      <w:r>
        <w:rPr/>
        <w:t>efficiency.</w:t>
      </w:r>
    </w:p>
    <w:p>
      <w:pPr>
        <w:pStyle w:val="BodyText"/>
        <w:spacing w:before="11"/>
      </w:pPr>
    </w:p>
    <w:p>
      <w:pPr>
        <w:pStyle w:val="Heading2"/>
        <w:numPr>
          <w:ilvl w:val="2"/>
          <w:numId w:val="5"/>
        </w:numPr>
        <w:tabs>
          <w:tab w:pos="1333" w:val="left" w:leader="none"/>
          <w:tab w:pos="1334" w:val="left" w:leader="none"/>
        </w:tabs>
        <w:spacing w:line="249" w:lineRule="auto" w:before="0" w:after="0"/>
        <w:ind w:left="1333" w:right="861" w:hanging="820"/>
        <w:jc w:val="left"/>
      </w:pPr>
      <w:r>
        <w:rPr>
          <w:i/>
        </w:rPr>
        <w:t>Techniques and improvements in </w:t>
      </w:r>
      <w:r>
        <w:rPr>
          <w:i/>
          <w:spacing w:val="-3"/>
        </w:rPr>
        <w:t>oxygen </w:t>
      </w:r>
      <w:r>
        <w:rPr/>
        <w:t>production</w:t>
      </w:r>
    </w:p>
    <w:p>
      <w:pPr>
        <w:pStyle w:val="BodyText"/>
        <w:spacing w:before="6"/>
        <w:rPr>
          <w:b/>
          <w:i/>
        </w:rPr>
      </w:pPr>
    </w:p>
    <w:p>
      <w:pPr>
        <w:pStyle w:val="BodyText"/>
        <w:spacing w:line="240" w:lineRule="exact" w:before="1"/>
        <w:ind w:left="513"/>
        <w:jc w:val="both"/>
      </w:pPr>
      <w:r>
        <w:rPr/>
        <w:t>Oxygen is the key requirement for any oxy-fuel combustion system. It is also a key technology for pre-combustion CO</w:t>
      </w:r>
      <w:r>
        <w:rPr>
          <w:position w:val="-6"/>
          <w:sz w:val="11"/>
        </w:rPr>
        <w:t>2 </w:t>
      </w:r>
      <w:r>
        <w:rPr/>
        <w:t>capture</w:t>
      </w:r>
      <w:r>
        <w:rPr>
          <w:spacing w:val="-10"/>
        </w:rPr>
        <w:t> </w:t>
      </w:r>
      <w:r>
        <w:rPr/>
        <w:t>(see</w:t>
      </w:r>
      <w:r>
        <w:rPr>
          <w:spacing w:val="-8"/>
        </w:rPr>
        <w:t> </w:t>
      </w:r>
      <w:r>
        <w:rPr/>
        <w:t>Section</w:t>
      </w:r>
      <w:r>
        <w:rPr>
          <w:spacing w:val="-9"/>
        </w:rPr>
        <w:t> </w:t>
      </w:r>
      <w:r>
        <w:rPr/>
        <w:t>3.5).</w:t>
      </w:r>
      <w:r>
        <w:rPr>
          <w:spacing w:val="-8"/>
        </w:rPr>
        <w:t> </w:t>
      </w:r>
      <w:r>
        <w:rPr/>
        <w:t>In</w:t>
      </w:r>
      <w:r>
        <w:rPr>
          <w:spacing w:val="-8"/>
        </w:rPr>
        <w:t> </w:t>
      </w:r>
      <w:r>
        <w:rPr/>
        <w:t>the</w:t>
      </w:r>
      <w:r>
        <w:rPr>
          <w:spacing w:val="-8"/>
        </w:rPr>
        <w:t> </w:t>
      </w:r>
      <w:r>
        <w:rPr/>
        <w:t>next</w:t>
      </w:r>
      <w:r>
        <w:rPr>
          <w:spacing w:val="-8"/>
        </w:rPr>
        <w:t> </w:t>
      </w:r>
      <w:r>
        <w:rPr/>
        <w:t>paragraphs,</w:t>
      </w:r>
      <w:r>
        <w:rPr>
          <w:spacing w:val="-8"/>
        </w:rPr>
        <w:t> </w:t>
      </w:r>
      <w:r>
        <w:rPr/>
        <w:t>existing</w:t>
      </w:r>
      <w:r>
        <w:rPr>
          <w:spacing w:val="-8"/>
        </w:rPr>
        <w:t> </w:t>
      </w:r>
      <w:r>
        <w:rPr/>
        <w:t>large- scale O</w:t>
      </w:r>
      <w:r>
        <w:rPr>
          <w:position w:val="-6"/>
          <w:sz w:val="11"/>
        </w:rPr>
        <w:t>2 </w:t>
      </w:r>
      <w:r>
        <w:rPr/>
        <w:t>production methods are described first, followed by emerging concepts aimed at reducing the energy consumption and cost.</w:t>
      </w:r>
    </w:p>
    <w:p>
      <w:pPr>
        <w:pStyle w:val="BodyText"/>
        <w:spacing w:line="249" w:lineRule="auto" w:before="64"/>
        <w:ind w:left="242" w:right="734"/>
        <w:jc w:val="both"/>
      </w:pPr>
      <w:r>
        <w:rPr/>
        <w:br w:type="column"/>
      </w:r>
      <w:r>
        <w:rPr/>
        <w:t>regenerated by either temperature  or  pressure  swing,  using in each case, a low pressure waste nitrogen stream. The air is cooled against returning products (oxygen and nitrogen) in </w:t>
      </w:r>
      <w:r>
        <w:rPr>
          <w:spacing w:val="-13"/>
        </w:rPr>
        <w:t>a </w:t>
      </w:r>
      <w:r>
        <w:rPr/>
        <w:t>battery of aluminium plate-fin heat exchangers and separated into pure oxygen and nitrogen fractions in a double </w:t>
      </w:r>
      <w:r>
        <w:rPr>
          <w:spacing w:val="-2"/>
        </w:rPr>
        <w:t>distillation </w:t>
      </w:r>
      <w:r>
        <w:rPr/>
        <w:t>column, which uses aluminium</w:t>
      </w:r>
      <w:r>
        <w:rPr>
          <w:spacing w:val="-2"/>
        </w:rPr>
        <w:t> </w:t>
      </w:r>
      <w:r>
        <w:rPr/>
        <w:t>packing.</w:t>
      </w:r>
    </w:p>
    <w:p>
      <w:pPr>
        <w:pStyle w:val="BodyText"/>
        <w:spacing w:line="249" w:lineRule="auto" w:before="4"/>
        <w:ind w:left="242" w:right="733" w:firstLine="283"/>
        <w:jc w:val="both"/>
      </w:pPr>
      <w:r>
        <w:rPr/>
        <w:t>Oxygen can be pumped as liquid and delivered as a high- pressure gas at up to 10 MPa. Pumped oxygen plants have largely replaced the oxygen gas compression systems. They have virtually identical power consumptions but in a </w:t>
      </w:r>
      <w:r>
        <w:rPr>
          <w:spacing w:val="-3"/>
        </w:rPr>
        <w:t>pumped </w:t>
      </w:r>
      <w:r>
        <w:rPr/>
        <w:t>cycle, a high-pressure air booster compressor provides a </w:t>
      </w:r>
      <w:r>
        <w:rPr>
          <w:spacing w:val="-3"/>
        </w:rPr>
        <w:t>means </w:t>
      </w:r>
      <w:r>
        <w:rPr/>
        <w:t>of efficiently vaporizing and heating the liquid oxygen stream to ambient temperature. Current plant sizes range up to 3500</w:t>
      </w:r>
    </w:p>
    <w:p>
      <w:pPr>
        <w:spacing w:after="0" w:line="249" w:lineRule="auto"/>
        <w:jc w:val="both"/>
        <w:sectPr>
          <w:type w:val="continuous"/>
          <w:pgSz w:w="12240" w:h="15840"/>
          <w:pgMar w:top="480" w:bottom="280" w:left="620" w:right="0"/>
          <w:cols w:num="2" w:equalWidth="0">
            <w:col w:w="5558" w:space="40"/>
            <w:col w:w="6022"/>
          </w:cols>
        </w:sectPr>
      </w:pPr>
    </w:p>
    <w:p>
      <w:pPr>
        <w:pStyle w:val="ListParagraph"/>
        <w:numPr>
          <w:ilvl w:val="3"/>
          <w:numId w:val="5"/>
        </w:numPr>
        <w:tabs>
          <w:tab w:pos="1333" w:val="left" w:leader="none"/>
          <w:tab w:pos="1334" w:val="left" w:leader="none"/>
        </w:tabs>
        <w:spacing w:line="240" w:lineRule="auto" w:before="6" w:after="0"/>
        <w:ind w:left="1333" w:right="0" w:hanging="821"/>
        <w:jc w:val="left"/>
        <w:rPr>
          <w:i/>
          <w:sz w:val="20"/>
        </w:rPr>
      </w:pPr>
      <w:r>
        <w:rPr>
          <w:i/>
          <w:sz w:val="20"/>
        </w:rPr>
        <w:t>Cryogenic oxygen</w:t>
      </w:r>
      <w:r>
        <w:rPr>
          <w:i/>
          <w:spacing w:val="-6"/>
          <w:sz w:val="20"/>
        </w:rPr>
        <w:t> </w:t>
      </w:r>
      <w:r>
        <w:rPr>
          <w:i/>
          <w:sz w:val="20"/>
        </w:rPr>
        <w:t>production</w:t>
      </w:r>
    </w:p>
    <w:p>
      <w:pPr>
        <w:spacing w:line="277" w:lineRule="exact" w:before="6"/>
        <w:ind w:left="513" w:right="0" w:firstLine="0"/>
        <w:jc w:val="left"/>
        <w:rPr>
          <w:sz w:val="11"/>
        </w:rPr>
      </w:pPr>
      <w:r>
        <w:rPr/>
        <w:br w:type="column"/>
      </w:r>
      <w:r>
        <w:rPr>
          <w:sz w:val="20"/>
        </w:rPr>
        <w:t>tO</w:t>
      </w:r>
      <w:r>
        <w:rPr>
          <w:position w:val="-6"/>
          <w:sz w:val="11"/>
        </w:rPr>
        <w:t>2</w:t>
      </w:r>
    </w:p>
    <w:p>
      <w:pPr>
        <w:pStyle w:val="ListParagraph"/>
        <w:numPr>
          <w:ilvl w:val="1"/>
          <w:numId w:val="19"/>
        </w:numPr>
        <w:tabs>
          <w:tab w:pos="252" w:val="left" w:leader="none"/>
        </w:tabs>
        <w:spacing w:line="240" w:lineRule="auto" w:before="6" w:after="0"/>
        <w:ind w:left="251" w:right="0" w:hanging="245"/>
        <w:jc w:val="left"/>
        <w:rPr>
          <w:sz w:val="20"/>
        </w:rPr>
      </w:pPr>
      <w:r>
        <w:rPr>
          <w:sz w:val="20"/>
        </w:rPr>
        <w:br w:type="column"/>
        <w:t>and larger single train plants are being designed.</w:t>
      </w:r>
      <w:r>
        <w:rPr>
          <w:spacing w:val="-36"/>
          <w:sz w:val="20"/>
        </w:rPr>
        <w:t> </w:t>
      </w:r>
      <w:r>
        <w:rPr>
          <w:sz w:val="20"/>
        </w:rPr>
        <w:t>Typical</w:t>
      </w:r>
    </w:p>
    <w:p>
      <w:pPr>
        <w:spacing w:after="0" w:line="240" w:lineRule="auto"/>
        <w:jc w:val="left"/>
        <w:rPr>
          <w:sz w:val="20"/>
        </w:rPr>
        <w:sectPr>
          <w:type w:val="continuous"/>
          <w:pgSz w:w="12240" w:h="15840"/>
          <w:pgMar w:top="480" w:bottom="280" w:left="620" w:right="0"/>
          <w:cols w:num="3" w:equalWidth="0">
            <w:col w:w="3744" w:space="1582"/>
            <w:col w:w="772" w:space="40"/>
            <w:col w:w="5482"/>
          </w:cols>
        </w:sectPr>
      </w:pPr>
    </w:p>
    <w:p>
      <w:pPr>
        <w:pStyle w:val="BodyText"/>
        <w:spacing w:line="187" w:lineRule="auto"/>
        <w:ind w:left="513"/>
        <w:jc w:val="both"/>
      </w:pPr>
      <w:r>
        <w:rPr/>
        <w:pict>
          <v:group style="position:absolute;margin-left:103.156998pt;margin-top:95.886002pt;width:68.1pt;height:61.4pt;mso-position-horizontal-relative:page;mso-position-vertical-relative:page;z-index:-272432128" coordorigin="2063,1918" coordsize="1362,1228">
            <v:rect style="position:absolute;left:3053;top:2115;width:176;height:430" filled="true" fillcolor="#009ee0" stroked="false">
              <v:fill type="solid"/>
            </v:rect>
            <v:rect style="position:absolute;left:3053;top:2115;width:176;height:620" filled="false" stroked="true" strokeweight=".5pt" strokecolor="#000000">
              <v:stroke dashstyle="solid"/>
            </v:rect>
            <v:shape style="position:absolute;left:3223;top:2704;width:202;height:225" type="#_x0000_t75" stroked="false">
              <v:imagedata r:id="rId139" o:title=""/>
            </v:shape>
            <v:shape style="position:absolute;left:3025;top:1917;width:225;height:202" type="#_x0000_t75" stroked="false">
              <v:imagedata r:id="rId140" o:title=""/>
            </v:shape>
            <v:shape style="position:absolute;left:2063;top:2704;width:202;height:225" type="#_x0000_t75" stroked="false">
              <v:imagedata r:id="rId141" o:title=""/>
            </v:shape>
            <v:shape style="position:absolute;left:2258;top:2540;width:976;height:605" type="#_x0000_t75" stroked="false">
              <v:imagedata r:id="rId142" o:title=""/>
            </v:shape>
            <w10:wrap type="none"/>
          </v:group>
        </w:pict>
      </w:r>
      <w:r>
        <w:rPr/>
        <w:pict>
          <v:group style="position:absolute;margin-left:75.639999pt;margin-top:164.251007pt;width:95.65pt;height:63.6pt;mso-position-horizontal-relative:page;mso-position-vertical-relative:page;z-index:-272431104" coordorigin="1513,3285" coordsize="1913,1272">
            <v:shape style="position:absolute;left:3223;top:3464;width:202;height:225" type="#_x0000_t75" stroked="false">
              <v:imagedata r:id="rId143" o:title=""/>
            </v:shape>
            <v:shape style="position:absolute;left:2063;top:3469;width:202;height:225" type="#_x0000_t75" stroked="false">
              <v:imagedata r:id="rId144" o:title=""/>
            </v:shape>
            <v:shape style="position:absolute;left:1926;top:3839;width:401;height:421" coordorigin="1926,3840" coordsize="401,421" path="m2106,3965l1982,3965,2261,4261,2326,4198,2106,3965xm1926,3840l1939,4006,1982,3965,2106,3965,2048,3902,2093,3858,1926,3840xe" filled="true" fillcolor="#9c9d9f" stroked="false">
              <v:path arrowok="t"/>
              <v:fill type="solid"/>
            </v:shape>
            <v:shape style="position:absolute;left:1926;top:3839;width:401;height:421" coordorigin="1926,3840" coordsize="401,421" path="m1982,3965l1939,4006,1926,3840,2093,3858,2048,3902,2326,4198,2261,4261,1982,3965xe" filled="false" stroked="true" strokeweight=".5pt" strokecolor="#000000">
              <v:path arrowok="t"/>
              <v:stroke dashstyle="solid"/>
            </v:shape>
            <v:shape style="position:absolute;left:2098;top:4232;width:595;height:320" coordorigin="2098,4233" coordsize="595,320" path="m2391,4233l2098,4552,2693,4552,2391,4233xe" filled="true" fillcolor="#9c9d9f" stroked="false">
              <v:path arrowok="t"/>
              <v:fill type="solid"/>
            </v:shape>
            <v:shape style="position:absolute;left:2098;top:4232;width:595;height:320" coordorigin="2098,4233" coordsize="595,320" path="m2391,4233l2098,4552,2693,4552,2391,4233xe" filled="false" stroked="true" strokeweight=".5pt" strokecolor="#000000">
              <v:path arrowok="t"/>
              <v:stroke dashstyle="solid"/>
            </v:shape>
            <v:shape style="position:absolute;left:2258;top:3285;width:976;height:605" type="#_x0000_t75" stroked="false">
              <v:imagedata r:id="rId145" o:title=""/>
            </v:shape>
            <v:shape style="position:absolute;left:1518;top:3374;width:474;height:136" type="#_x0000_t75" stroked="false">
              <v:imagedata r:id="rId146" o:title=""/>
            </v:shape>
            <v:shape style="position:absolute;left:1512;top:3591;width:276;height:134" type="#_x0000_t75" stroked="false">
              <v:imagedata r:id="rId147" o:title=""/>
            </v:shape>
            <w10:wrap type="none"/>
          </v:group>
        </w:pict>
      </w:r>
      <w:r>
        <w:rPr/>
        <w:pict>
          <v:group style="position:absolute;margin-left:138.654999pt;margin-top:211.376007pt;width:30.3pt;height:16.5pt;mso-position-horizontal-relative:page;mso-position-vertical-relative:page;z-index:-272430080" coordorigin="2773,4228" coordsize="606,330">
            <v:shape style="position:absolute;left:2778;top:4232;width:596;height:320" coordorigin="2778,4233" coordsize="596,320" path="m3071,4233l2778,4552,3373,4552,3071,4233xe" filled="true" fillcolor="#745a32" stroked="false">
              <v:path arrowok="t"/>
              <v:fill type="solid"/>
            </v:shape>
            <v:shape style="position:absolute;left:2778;top:4232;width:596;height:320" coordorigin="2778,4233" coordsize="596,320" path="m3071,4233l2778,4552,3373,4552,3071,4233xe" filled="false" stroked="true" strokeweight=".5pt" strokecolor="#000000">
              <v:path arrowok="t"/>
              <v:stroke dashstyle="solid"/>
            </v:shape>
            <w10:wrap type="none"/>
          </v:group>
        </w:pict>
      </w:r>
      <w:r>
        <w:rPr/>
        <w:t>The</w:t>
      </w:r>
      <w:r>
        <w:rPr>
          <w:spacing w:val="19"/>
        </w:rPr>
        <w:t> </w:t>
      </w:r>
      <w:r>
        <w:rPr/>
        <w:t>very</w:t>
      </w:r>
      <w:r>
        <w:rPr>
          <w:spacing w:val="20"/>
        </w:rPr>
        <w:t> </w:t>
      </w:r>
      <w:r>
        <w:rPr/>
        <w:t>large</w:t>
      </w:r>
      <w:r>
        <w:rPr>
          <w:spacing w:val="19"/>
        </w:rPr>
        <w:t> </w:t>
      </w:r>
      <w:r>
        <w:rPr/>
        <w:t>quantities</w:t>
      </w:r>
      <w:r>
        <w:rPr>
          <w:spacing w:val="20"/>
        </w:rPr>
        <w:t> </w:t>
      </w:r>
      <w:r>
        <w:rPr/>
        <w:t>of</w:t>
      </w:r>
      <w:r>
        <w:rPr>
          <w:spacing w:val="20"/>
        </w:rPr>
        <w:t> </w:t>
      </w:r>
      <w:r>
        <w:rPr/>
        <w:t>oxygen</w:t>
      </w:r>
      <w:r>
        <w:rPr>
          <w:spacing w:val="19"/>
        </w:rPr>
        <w:t> </w:t>
      </w:r>
      <w:r>
        <w:rPr/>
        <w:t>required</w:t>
      </w:r>
      <w:r>
        <w:rPr>
          <w:spacing w:val="20"/>
        </w:rPr>
        <w:t> </w:t>
      </w:r>
      <w:r>
        <w:rPr/>
        <w:t>for</w:t>
      </w:r>
      <w:r>
        <w:rPr>
          <w:spacing w:val="19"/>
        </w:rPr>
        <w:t> </w:t>
      </w:r>
      <w:r>
        <w:rPr/>
        <w:t>CO</w:t>
      </w:r>
      <w:r>
        <w:rPr>
          <w:position w:val="-6"/>
          <w:sz w:val="11"/>
        </w:rPr>
        <w:t>2 </w:t>
      </w:r>
      <w:r>
        <w:rPr>
          <w:spacing w:val="14"/>
          <w:position w:val="-6"/>
          <w:sz w:val="11"/>
        </w:rPr>
        <w:t> </w:t>
      </w:r>
      <w:r>
        <w:rPr>
          <w:spacing w:val="-3"/>
        </w:rPr>
        <w:t>capture</w:t>
      </w:r>
    </w:p>
    <w:p>
      <w:pPr>
        <w:pStyle w:val="BodyText"/>
        <w:spacing w:line="210" w:lineRule="exact"/>
        <w:ind w:left="513"/>
        <w:jc w:val="both"/>
      </w:pPr>
      <w:r>
        <w:rPr/>
        <w:t>using</w:t>
      </w:r>
      <w:r>
        <w:rPr>
          <w:spacing w:val="-26"/>
        </w:rPr>
        <w:t> </w:t>
      </w:r>
      <w:r>
        <w:rPr/>
        <w:t>the</w:t>
      </w:r>
      <w:r>
        <w:rPr>
          <w:spacing w:val="-26"/>
        </w:rPr>
        <w:t> </w:t>
      </w:r>
      <w:r>
        <w:rPr/>
        <w:t>techniques</w:t>
      </w:r>
      <w:r>
        <w:rPr>
          <w:spacing w:val="-26"/>
        </w:rPr>
        <w:t> </w:t>
      </w:r>
      <w:r>
        <w:rPr/>
        <w:t>of</w:t>
      </w:r>
      <w:r>
        <w:rPr>
          <w:spacing w:val="-25"/>
        </w:rPr>
        <w:t> </w:t>
      </w:r>
      <w:r>
        <w:rPr/>
        <w:t>oxy-fuel</w:t>
      </w:r>
      <w:r>
        <w:rPr>
          <w:spacing w:val="-26"/>
        </w:rPr>
        <w:t> </w:t>
      </w:r>
      <w:r>
        <w:rPr/>
        <w:t>combustion</w:t>
      </w:r>
      <w:r>
        <w:rPr>
          <w:spacing w:val="-25"/>
        </w:rPr>
        <w:t> </w:t>
      </w:r>
      <w:r>
        <w:rPr/>
        <w:t>and</w:t>
      </w:r>
      <w:r>
        <w:rPr>
          <w:spacing w:val="-26"/>
        </w:rPr>
        <w:t> </w:t>
      </w:r>
      <w:r>
        <w:rPr/>
        <w:t>pre-combustion</w:t>
      </w:r>
    </w:p>
    <w:p>
      <w:pPr>
        <w:pStyle w:val="BodyText"/>
        <w:spacing w:line="249" w:lineRule="auto" w:before="3"/>
        <w:ind w:left="513"/>
        <w:jc w:val="both"/>
      </w:pPr>
      <w:r>
        <w:rPr/>
        <w:t>de-carbonization</w:t>
      </w:r>
      <w:r>
        <w:rPr>
          <w:spacing w:val="-19"/>
        </w:rPr>
        <w:t> </w:t>
      </w:r>
      <w:r>
        <w:rPr/>
        <w:t>can</w:t>
      </w:r>
      <w:r>
        <w:rPr>
          <w:spacing w:val="-19"/>
        </w:rPr>
        <w:t> </w:t>
      </w:r>
      <w:r>
        <w:rPr/>
        <w:t>only</w:t>
      </w:r>
      <w:r>
        <w:rPr>
          <w:spacing w:val="-19"/>
        </w:rPr>
        <w:t> </w:t>
      </w:r>
      <w:r>
        <w:rPr/>
        <w:t>be</w:t>
      </w:r>
      <w:r>
        <w:rPr>
          <w:spacing w:val="-19"/>
        </w:rPr>
        <w:t> </w:t>
      </w:r>
      <w:r>
        <w:rPr/>
        <w:t>economically</w:t>
      </w:r>
      <w:r>
        <w:rPr>
          <w:spacing w:val="-19"/>
        </w:rPr>
        <w:t> </w:t>
      </w:r>
      <w:r>
        <w:rPr/>
        <w:t>produced,</w:t>
      </w:r>
      <w:r>
        <w:rPr>
          <w:spacing w:val="-19"/>
        </w:rPr>
        <w:t> </w:t>
      </w:r>
      <w:r>
        <w:rPr/>
        <w:t>at</w:t>
      </w:r>
      <w:r>
        <w:rPr>
          <w:spacing w:val="-19"/>
        </w:rPr>
        <w:t> </w:t>
      </w:r>
      <w:r>
        <w:rPr/>
        <w:t>present, by using the established process of oxygen separation from air by distillation at cryogenic temperatures (Latimer, 1967). </w:t>
      </w:r>
      <w:r>
        <w:rPr>
          <w:spacing w:val="-4"/>
        </w:rPr>
        <w:t>This </w:t>
      </w:r>
      <w:r>
        <w:rPr/>
        <w:t>is a technology that has been practiced for over 100 years.</w:t>
      </w:r>
    </w:p>
    <w:p>
      <w:pPr>
        <w:pStyle w:val="BodyText"/>
        <w:spacing w:line="249" w:lineRule="auto" w:before="4"/>
        <w:ind w:left="513" w:firstLine="283"/>
        <w:jc w:val="both"/>
      </w:pPr>
      <w:r>
        <w:rPr/>
        <w:t>In a typical cryogenic air separation plant (Castle, 1991; </w:t>
      </w:r>
      <w:hyperlink w:history="true" w:anchor="_bookmark17">
        <w:r>
          <w:rPr/>
          <w:t>Figure </w:t>
        </w:r>
      </w:hyperlink>
      <w:r>
        <w:rPr/>
        <w:t>3.12), air is compressed to a pressure of 0.5 to 0.6 MPa and</w:t>
      </w:r>
      <w:r>
        <w:rPr>
          <w:spacing w:val="-8"/>
        </w:rPr>
        <w:t> </w:t>
      </w:r>
      <w:r>
        <w:rPr/>
        <w:t>purified</w:t>
      </w:r>
      <w:r>
        <w:rPr>
          <w:spacing w:val="-7"/>
        </w:rPr>
        <w:t> </w:t>
      </w:r>
      <w:r>
        <w:rPr/>
        <w:t>to</w:t>
      </w:r>
      <w:r>
        <w:rPr>
          <w:spacing w:val="-7"/>
        </w:rPr>
        <w:t> </w:t>
      </w:r>
      <w:r>
        <w:rPr/>
        <w:t>remove</w:t>
      </w:r>
      <w:r>
        <w:rPr>
          <w:spacing w:val="-7"/>
        </w:rPr>
        <w:t> </w:t>
      </w:r>
      <w:r>
        <w:rPr>
          <w:spacing w:val="-3"/>
        </w:rPr>
        <w:t>water,</w:t>
      </w:r>
      <w:r>
        <w:rPr>
          <w:spacing w:val="-8"/>
        </w:rPr>
        <w:t> </w:t>
      </w:r>
      <w:r>
        <w:rPr/>
        <w:t>CO</w:t>
      </w:r>
      <w:r>
        <w:rPr>
          <w:position w:val="-6"/>
          <w:sz w:val="11"/>
        </w:rPr>
        <w:t>2</w:t>
      </w:r>
      <w:r>
        <w:rPr/>
        <w:t>,</w:t>
      </w:r>
      <w:r>
        <w:rPr>
          <w:spacing w:val="-7"/>
        </w:rPr>
        <w:t> </w:t>
      </w:r>
      <w:r>
        <w:rPr/>
        <w:t>N</w:t>
      </w:r>
      <w:r>
        <w:rPr>
          <w:position w:val="-6"/>
          <w:sz w:val="11"/>
        </w:rPr>
        <w:t>2</w:t>
      </w:r>
      <w:r>
        <w:rPr/>
        <w:t>O</w:t>
      </w:r>
      <w:r>
        <w:rPr>
          <w:spacing w:val="-7"/>
        </w:rPr>
        <w:t> </w:t>
      </w:r>
      <w:r>
        <w:rPr/>
        <w:t>and</w:t>
      </w:r>
      <w:r>
        <w:rPr>
          <w:spacing w:val="-7"/>
        </w:rPr>
        <w:t> </w:t>
      </w:r>
      <w:r>
        <w:rPr/>
        <w:t>trace</w:t>
      </w:r>
      <w:r>
        <w:rPr>
          <w:spacing w:val="-7"/>
        </w:rPr>
        <w:t> </w:t>
      </w:r>
      <w:r>
        <w:rPr/>
        <w:t>hydrocarbons</w:t>
      </w:r>
    </w:p>
    <w:p>
      <w:pPr>
        <w:pStyle w:val="BodyText"/>
        <w:spacing w:line="182" w:lineRule="exact"/>
        <w:ind w:left="513"/>
        <w:jc w:val="both"/>
      </w:pPr>
      <w:r>
        <w:rPr/>
        <w:t>which</w:t>
      </w:r>
      <w:r>
        <w:rPr>
          <w:spacing w:val="37"/>
        </w:rPr>
        <w:t> </w:t>
      </w:r>
      <w:r>
        <w:rPr/>
        <w:t>could</w:t>
      </w:r>
      <w:r>
        <w:rPr>
          <w:spacing w:val="38"/>
        </w:rPr>
        <w:t> </w:t>
      </w:r>
      <w:r>
        <w:rPr/>
        <w:t>accumulate</w:t>
      </w:r>
      <w:r>
        <w:rPr>
          <w:spacing w:val="38"/>
        </w:rPr>
        <w:t> </w:t>
      </w:r>
      <w:r>
        <w:rPr/>
        <w:t>to</w:t>
      </w:r>
      <w:r>
        <w:rPr>
          <w:spacing w:val="38"/>
        </w:rPr>
        <w:t> </w:t>
      </w:r>
      <w:r>
        <w:rPr/>
        <w:t>dangerous</w:t>
      </w:r>
      <w:r>
        <w:rPr>
          <w:spacing w:val="38"/>
        </w:rPr>
        <w:t> </w:t>
      </w:r>
      <w:r>
        <w:rPr/>
        <w:t>levels</w:t>
      </w:r>
      <w:r>
        <w:rPr>
          <w:spacing w:val="38"/>
        </w:rPr>
        <w:t> </w:t>
      </w:r>
      <w:r>
        <w:rPr/>
        <w:t>in</w:t>
      </w:r>
      <w:r>
        <w:rPr>
          <w:spacing w:val="38"/>
        </w:rPr>
        <w:t> </w:t>
      </w:r>
      <w:r>
        <w:rPr/>
        <w:t>oxygen-rich</w:t>
      </w:r>
    </w:p>
    <w:p>
      <w:pPr>
        <w:pStyle w:val="BodyText"/>
        <w:spacing w:before="10"/>
        <w:ind w:left="513"/>
        <w:jc w:val="both"/>
      </w:pPr>
      <w:r>
        <w:rPr/>
        <w:t>parts  of  the  plant,  such  as  the  reboiler  condenser.  </w:t>
      </w:r>
      <w:r>
        <w:rPr>
          <w:spacing w:val="-5"/>
        </w:rPr>
        <w:t>Two </w:t>
      </w:r>
      <w:r>
        <w:rPr>
          <w:spacing w:val="8"/>
        </w:rPr>
        <w:t> </w:t>
      </w:r>
      <w:r>
        <w:rPr/>
        <w:t>or</w:t>
      </w:r>
    </w:p>
    <w:p>
      <w:pPr>
        <w:pStyle w:val="BodyText"/>
        <w:spacing w:before="10"/>
        <w:ind w:left="513"/>
        <w:jc w:val="both"/>
      </w:pPr>
      <w:r>
        <w:rPr/>
        <w:t>more</w:t>
      </w:r>
      <w:r>
        <w:rPr>
          <w:spacing w:val="33"/>
        </w:rPr>
        <w:t> </w:t>
      </w:r>
      <w:r>
        <w:rPr/>
        <w:t>switching</w:t>
      </w:r>
      <w:r>
        <w:rPr>
          <w:spacing w:val="34"/>
        </w:rPr>
        <w:t> </w:t>
      </w:r>
      <w:r>
        <w:rPr/>
        <w:t>fixed</w:t>
      </w:r>
      <w:r>
        <w:rPr>
          <w:spacing w:val="34"/>
        </w:rPr>
        <w:t> </w:t>
      </w:r>
      <w:r>
        <w:rPr/>
        <w:t>bed</w:t>
      </w:r>
      <w:r>
        <w:rPr>
          <w:spacing w:val="34"/>
        </w:rPr>
        <w:t> </w:t>
      </w:r>
      <w:r>
        <w:rPr/>
        <w:t>adsorbers</w:t>
      </w:r>
      <w:r>
        <w:rPr>
          <w:spacing w:val="33"/>
        </w:rPr>
        <w:t> </w:t>
      </w:r>
      <w:r>
        <w:rPr/>
        <w:t>are</w:t>
      </w:r>
      <w:r>
        <w:rPr>
          <w:spacing w:val="34"/>
        </w:rPr>
        <w:t> </w:t>
      </w:r>
      <w:r>
        <w:rPr/>
        <w:t>used,</w:t>
      </w:r>
      <w:r>
        <w:rPr>
          <w:spacing w:val="34"/>
        </w:rPr>
        <w:t> </w:t>
      </w:r>
      <w:r>
        <w:rPr/>
        <w:t>which</w:t>
      </w:r>
      <w:r>
        <w:rPr>
          <w:spacing w:val="34"/>
        </w:rPr>
        <w:t> </w:t>
      </w:r>
      <w:r>
        <w:rPr/>
        <w:t>can</w:t>
      </w:r>
      <w:r>
        <w:rPr>
          <w:spacing w:val="34"/>
        </w:rPr>
        <w:t> </w:t>
      </w:r>
      <w:r>
        <w:rPr/>
        <w:t>be</w:t>
      </w:r>
    </w:p>
    <w:p>
      <w:pPr>
        <w:pStyle w:val="BodyText"/>
        <w:spacing w:line="187" w:lineRule="auto"/>
        <w:ind w:left="242"/>
        <w:jc w:val="both"/>
      </w:pPr>
      <w:r>
        <w:rPr/>
        <w:br w:type="column"/>
      </w:r>
      <w:r>
        <w:rPr/>
        <w:t>power consumption for the delivery of 95% O</w:t>
      </w:r>
      <w:r>
        <w:rPr>
          <w:position w:val="-6"/>
          <w:sz w:val="11"/>
        </w:rPr>
        <w:t>2  </w:t>
      </w:r>
      <w:r>
        <w:rPr/>
        <w:t>at low</w:t>
      </w:r>
      <w:r>
        <w:rPr>
          <w:spacing w:val="27"/>
        </w:rPr>
        <w:t> </w:t>
      </w:r>
      <w:r>
        <w:rPr/>
        <w:t>pressure</w:t>
      </w:r>
    </w:p>
    <w:p>
      <w:pPr>
        <w:pStyle w:val="BodyText"/>
        <w:spacing w:line="210" w:lineRule="exact"/>
        <w:ind w:left="242"/>
        <w:jc w:val="both"/>
      </w:pPr>
      <w:r>
        <w:rPr/>
        <w:t>(0.17</w:t>
      </w:r>
      <w:r>
        <w:rPr>
          <w:spacing w:val="-10"/>
        </w:rPr>
        <w:t> </w:t>
      </w:r>
      <w:r>
        <w:rPr/>
        <w:t>MPa,</w:t>
      </w:r>
      <w:r>
        <w:rPr>
          <w:spacing w:val="-9"/>
        </w:rPr>
        <w:t> </w:t>
      </w:r>
      <w:r>
        <w:rPr/>
        <w:t>a</w:t>
      </w:r>
      <w:r>
        <w:rPr>
          <w:spacing w:val="-9"/>
        </w:rPr>
        <w:t> </w:t>
      </w:r>
      <w:r>
        <w:rPr/>
        <w:t>typical</w:t>
      </w:r>
      <w:r>
        <w:rPr>
          <w:spacing w:val="-10"/>
        </w:rPr>
        <w:t> </w:t>
      </w:r>
      <w:r>
        <w:rPr/>
        <w:t>pressure</w:t>
      </w:r>
      <w:r>
        <w:rPr>
          <w:spacing w:val="-9"/>
        </w:rPr>
        <w:t> </w:t>
      </w:r>
      <w:r>
        <w:rPr/>
        <w:t>for</w:t>
      </w:r>
      <w:r>
        <w:rPr>
          <w:spacing w:val="-9"/>
        </w:rPr>
        <w:t> </w:t>
      </w:r>
      <w:r>
        <w:rPr/>
        <w:t>an</w:t>
      </w:r>
      <w:r>
        <w:rPr>
          <w:spacing w:val="-10"/>
        </w:rPr>
        <w:t> </w:t>
      </w:r>
      <w:r>
        <w:rPr/>
        <w:t>oxy-fuel</w:t>
      </w:r>
      <w:r>
        <w:rPr>
          <w:spacing w:val="-9"/>
        </w:rPr>
        <w:t> </w:t>
      </w:r>
      <w:r>
        <w:rPr/>
        <w:t>application)</w:t>
      </w:r>
      <w:r>
        <w:rPr>
          <w:spacing w:val="-10"/>
        </w:rPr>
        <w:t> </w:t>
      </w:r>
      <w:r>
        <w:rPr/>
        <w:t>is</w:t>
      </w:r>
      <w:r>
        <w:rPr>
          <w:spacing w:val="-9"/>
        </w:rPr>
        <w:t> </w:t>
      </w:r>
      <w:r>
        <w:rPr/>
        <w:t>200</w:t>
      </w:r>
    </w:p>
    <w:p>
      <w:pPr>
        <w:pStyle w:val="BodyText"/>
        <w:spacing w:line="240" w:lineRule="exact"/>
        <w:ind w:left="242" w:right="733"/>
        <w:jc w:val="both"/>
      </w:pPr>
      <w:r>
        <w:rPr/>
        <w:t>to 240 kWh/tO</w:t>
      </w:r>
      <w:r>
        <w:rPr>
          <w:position w:val="-6"/>
          <w:sz w:val="11"/>
        </w:rPr>
        <w:t>2</w:t>
      </w:r>
      <w:r>
        <w:rPr/>
        <w:t>. There are numerous process cycle variations particularly for the production of oxygen at less than </w:t>
      </w:r>
      <w:r>
        <w:rPr>
          <w:spacing w:val="-3"/>
        </w:rPr>
        <w:t>97.5% </w:t>
      </w:r>
      <w:r>
        <w:rPr/>
        <w:t>purity which have been developed to reduce power and capital cost.</w:t>
      </w:r>
      <w:r>
        <w:rPr>
          <w:spacing w:val="-8"/>
        </w:rPr>
        <w:t> </w:t>
      </w:r>
      <w:r>
        <w:rPr/>
        <w:t>Note</w:t>
      </w:r>
      <w:r>
        <w:rPr>
          <w:spacing w:val="-7"/>
        </w:rPr>
        <w:t> </w:t>
      </w:r>
      <w:r>
        <w:rPr/>
        <w:t>that</w:t>
      </w:r>
      <w:r>
        <w:rPr>
          <w:spacing w:val="-8"/>
        </w:rPr>
        <w:t> </w:t>
      </w:r>
      <w:r>
        <w:rPr/>
        <w:t>adsorption</w:t>
      </w:r>
      <w:r>
        <w:rPr>
          <w:spacing w:val="-7"/>
        </w:rPr>
        <w:t> </w:t>
      </w:r>
      <w:r>
        <w:rPr/>
        <w:t>and</w:t>
      </w:r>
      <w:r>
        <w:rPr>
          <w:spacing w:val="-7"/>
        </w:rPr>
        <w:t> </w:t>
      </w:r>
      <w:r>
        <w:rPr/>
        <w:t>polymeric</w:t>
      </w:r>
      <w:r>
        <w:rPr>
          <w:spacing w:val="-8"/>
        </w:rPr>
        <w:t> </w:t>
      </w:r>
      <w:r>
        <w:rPr/>
        <w:t>membrane</w:t>
      </w:r>
      <w:r>
        <w:rPr>
          <w:spacing w:val="-7"/>
        </w:rPr>
        <w:t> </w:t>
      </w:r>
      <w:r>
        <w:rPr/>
        <w:t>methods</w:t>
      </w:r>
      <w:r>
        <w:rPr>
          <w:spacing w:val="-7"/>
        </w:rPr>
        <w:t> </w:t>
      </w:r>
      <w:r>
        <w:rPr/>
        <w:t>of air separation are only economic for small oxygen production rates.</w:t>
      </w:r>
    </w:p>
    <w:p>
      <w:pPr>
        <w:pStyle w:val="BodyText"/>
        <w:spacing w:before="2"/>
        <w:rPr>
          <w:sz w:val="21"/>
        </w:rPr>
      </w:pPr>
    </w:p>
    <w:p>
      <w:pPr>
        <w:pStyle w:val="ListParagraph"/>
        <w:numPr>
          <w:ilvl w:val="3"/>
          <w:numId w:val="5"/>
        </w:numPr>
        <w:tabs>
          <w:tab w:pos="1062" w:val="left" w:leader="none"/>
          <w:tab w:pos="1063" w:val="left" w:leader="none"/>
        </w:tabs>
        <w:spacing w:line="249" w:lineRule="auto" w:before="0" w:after="0"/>
        <w:ind w:left="242" w:right="734" w:firstLine="0"/>
        <w:jc w:val="left"/>
        <w:rPr>
          <w:sz w:val="20"/>
        </w:rPr>
      </w:pPr>
      <w:r>
        <w:rPr>
          <w:i/>
          <w:sz w:val="20"/>
        </w:rPr>
        <w:t>High temperature oxygen ion transport membranes </w:t>
      </w:r>
      <w:r>
        <w:rPr>
          <w:sz w:val="20"/>
        </w:rPr>
        <w:t>Ceramic mixed metal oxides have been developed which exhibit</w:t>
      </w:r>
      <w:r>
        <w:rPr>
          <w:spacing w:val="36"/>
          <w:sz w:val="20"/>
        </w:rPr>
        <w:t> </w:t>
      </w:r>
      <w:r>
        <w:rPr>
          <w:sz w:val="20"/>
        </w:rPr>
        <w:t>simultaneous</w:t>
      </w:r>
      <w:r>
        <w:rPr>
          <w:spacing w:val="36"/>
          <w:sz w:val="20"/>
        </w:rPr>
        <w:t> </w:t>
      </w:r>
      <w:r>
        <w:rPr>
          <w:sz w:val="20"/>
        </w:rPr>
        <w:t>oxygen</w:t>
      </w:r>
      <w:r>
        <w:rPr>
          <w:spacing w:val="37"/>
          <w:sz w:val="20"/>
        </w:rPr>
        <w:t> </w:t>
      </w:r>
      <w:r>
        <w:rPr>
          <w:sz w:val="20"/>
        </w:rPr>
        <w:t>ion</w:t>
      </w:r>
      <w:r>
        <w:rPr>
          <w:spacing w:val="36"/>
          <w:sz w:val="20"/>
        </w:rPr>
        <w:t> </w:t>
      </w:r>
      <w:r>
        <w:rPr>
          <w:sz w:val="20"/>
        </w:rPr>
        <w:t>and</w:t>
      </w:r>
      <w:r>
        <w:rPr>
          <w:spacing w:val="37"/>
          <w:sz w:val="20"/>
        </w:rPr>
        <w:t> </w:t>
      </w:r>
      <w:r>
        <w:rPr>
          <w:sz w:val="20"/>
        </w:rPr>
        <w:t>electron</w:t>
      </w:r>
      <w:r>
        <w:rPr>
          <w:spacing w:val="36"/>
          <w:sz w:val="20"/>
        </w:rPr>
        <w:t> </w:t>
      </w:r>
      <w:r>
        <w:rPr>
          <w:sz w:val="20"/>
        </w:rPr>
        <w:t>conduction</w:t>
      </w:r>
      <w:r>
        <w:rPr>
          <w:spacing w:val="37"/>
          <w:sz w:val="20"/>
        </w:rPr>
        <w:t> </w:t>
      </w:r>
      <w:r>
        <w:rPr>
          <w:sz w:val="20"/>
        </w:rPr>
        <w:t>at</w:t>
      </w:r>
    </w:p>
    <w:p>
      <w:pPr>
        <w:spacing w:after="0" w:line="249" w:lineRule="auto"/>
        <w:jc w:val="left"/>
        <w:rPr>
          <w:sz w:val="20"/>
        </w:rPr>
        <w:sectPr>
          <w:type w:val="continuous"/>
          <w:pgSz w:w="12240" w:h="15840"/>
          <w:pgMar w:top="480" w:bottom="280" w:left="620" w:right="0"/>
          <w:cols w:num="2" w:equalWidth="0">
            <w:col w:w="5558" w:space="40"/>
            <w:col w:w="6022"/>
          </w:cols>
        </w:sectPr>
      </w:pPr>
    </w:p>
    <w:p>
      <w:pPr>
        <w:pStyle w:val="BodyText"/>
      </w:pPr>
    </w:p>
    <w:p>
      <w:pPr>
        <w:pStyle w:val="BodyText"/>
        <w:spacing w:before="10"/>
        <w:rPr>
          <w:sz w:val="11"/>
        </w:rPr>
      </w:pPr>
    </w:p>
    <w:tbl>
      <w:tblPr>
        <w:tblW w:w="0" w:type="auto"/>
        <w:jc w:val="left"/>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69"/>
      </w:tblGrid>
      <w:tr>
        <w:trPr>
          <w:trHeight w:val="6470" w:hRule="atLeast"/>
        </w:trPr>
        <w:tc>
          <w:tcPr>
            <w:tcW w:w="10369" w:type="dxa"/>
          </w:tcPr>
          <w:p>
            <w:pPr>
              <w:pStyle w:val="TableParagraph"/>
              <w:spacing w:before="8"/>
              <w:jc w:val="left"/>
              <w:rPr>
                <w:sz w:val="21"/>
              </w:rPr>
            </w:pPr>
          </w:p>
          <w:p>
            <w:pPr>
              <w:pStyle w:val="TableParagraph"/>
              <w:ind w:left="672"/>
              <w:jc w:val="left"/>
              <w:rPr>
                <w:sz w:val="20"/>
              </w:rPr>
            </w:pPr>
            <w:r>
              <w:rPr>
                <w:sz w:val="20"/>
              </w:rPr>
              <w:pict>
                <v:group style="width:454.4pt;height:299.95pt;mso-position-horizontal-relative:char;mso-position-vertical-relative:line" coordorigin="0,0" coordsize="9088,5999">
                  <v:shape style="position:absolute;left:7842;top:0;width:155;height:172" type="#_x0000_t75" stroked="false">
                    <v:imagedata r:id="rId148" o:title=""/>
                  </v:shape>
                  <v:shape style="position:absolute;left:1;top:207;width:4440;height:3935" type="#_x0000_t75" stroked="false">
                    <v:imagedata r:id="rId149" o:title=""/>
                  </v:shape>
                  <v:shape style="position:absolute;left:0;top:207;width:192;height:115" type="#_x0000_t75" stroked="false">
                    <v:imagedata r:id="rId150" o:title=""/>
                  </v:shape>
                  <v:shape style="position:absolute;left:4976;top:386;width:2224;height:4753" type="#_x0000_t75" stroked="false">
                    <v:imagedata r:id="rId151" o:title=""/>
                  </v:shape>
                  <v:shape style="position:absolute;left:5325;top:369;width:279;height:118" type="#_x0000_t75" stroked="false">
                    <v:imagedata r:id="rId152" o:title=""/>
                  </v:shape>
                  <v:shape style="position:absolute;left:8138;top:4040;width:712;height:121" type="#_x0000_t75" stroked="false">
                    <v:imagedata r:id="rId153" o:title=""/>
                  </v:shape>
                  <v:rect style="position:absolute;left:7758;top:3437;width:469;height:554" filled="false" stroked="true" strokeweight=".5pt" strokecolor="#000000">
                    <v:stroke dashstyle="solid"/>
                  </v:rect>
                  <v:line style="position:absolute" from="9006,5912" to="9006,1331" stroked="true" strokeweight=".5pt" strokecolor="#006ab2">
                    <v:stroke dashstyle="solid"/>
                  </v:line>
                  <v:line style="position:absolute" from="3006,5913" to="8910,5913" stroked="true" strokeweight=".5pt" strokecolor="#006ab2">
                    <v:stroke dashstyle="solid"/>
                  </v:line>
                  <v:shape style="position:absolute;left:8862;top:5826;width:155;height:172" type="#_x0000_t75" stroked="false">
                    <v:imagedata r:id="rId154" o:title=""/>
                  </v:shape>
                  <v:shape style="position:absolute;left:2203;top:4152;width:5804;height:1285" coordorigin="2204,4152" coordsize="5804,1285" path="m2204,4152l2204,5437,8008,5437e" filled="false" stroked="true" strokeweight=".5pt" strokecolor="#000000">
                    <v:path arrowok="t"/>
                    <v:stroke dashstyle="solid"/>
                  </v:shape>
                  <v:line style="position:absolute" from="7988,4000" to="7988,5342" stroked="true" strokeweight=".5pt" strokecolor="#000000">
                    <v:stroke dashstyle="solid"/>
                  </v:line>
                  <v:shape style="position:absolute;left:7902;top:5287;width:172;height:155" type="#_x0000_t75" stroked="false">
                    <v:imagedata r:id="rId155" o:title=""/>
                  </v:shape>
                  <v:line style="position:absolute" from="3006,5469" to="3006,5796" stroked="true" strokeweight=".5pt" strokecolor="#006ab2">
                    <v:stroke dashstyle="solid"/>
                  </v:line>
                  <v:line style="position:absolute" from="3005,4666" to="3005,5398" stroked="true" strokeweight=".5pt" strokecolor="#006ab2">
                    <v:stroke dashstyle="solid"/>
                  </v:line>
                  <v:line style="position:absolute" from="3427,4654" to="3427,4850" stroked="true" strokeweight=".5pt" strokecolor="#006ab2">
                    <v:stroke dashstyle="solid"/>
                  </v:line>
                  <v:shape style="position:absolute;left:3341;top:4812;width:172;height:155" coordorigin="3341,4813" coordsize="172,155" path="m3341,4813l3367,4846,3390,4885,3410,4927,3427,4967,3444,4927,3464,4885,3488,4846,3489,4844,3427,4844,3341,4813xm3513,4813l3427,4844,3489,4844,3513,4813xe" filled="true" fillcolor="#006ab2" stroked="false">
                    <v:path arrowok="t"/>
                    <v:fill type="solid"/>
                  </v:shape>
                  <v:shape style="position:absolute;left:2913;top:5767;width:172;height:155" type="#_x0000_t75" stroked="false">
                    <v:imagedata r:id="rId156" o:title=""/>
                  </v:shape>
                  <v:line style="position:absolute" from="5028,4640" to="4641,4635" stroked="true" strokeweight=".5pt" strokecolor="#0094ab">
                    <v:stroke dashstyle="solid"/>
                  </v:line>
                  <v:shape style="position:absolute;left:4529;top:4549;width:155;height:172" coordorigin="4529,4549" coordsize="155,172" path="m4683,4549l4650,4575,4611,4598,4569,4619,4529,4635,4569,4652,4611,4672,4650,4696,4683,4721,4652,4635,4683,4549xe" filled="true" fillcolor="#0094ab" stroked="false">
                    <v:path arrowok="t"/>
                    <v:fill type="solid"/>
                  </v:shape>
                  <v:shape style="position:absolute;left:5349;top:4610;width:155;height:172" type="#_x0000_t75" stroked="false">
                    <v:imagedata r:id="rId157" o:title=""/>
                  </v:shape>
                  <v:line style="position:absolute" from="2577,4640" to="2577,4279" stroked="true" strokeweight=".5pt" strokecolor="#0094ab">
                    <v:stroke dashstyle="solid"/>
                  </v:line>
                  <v:shape style="position:absolute;left:2491;top:4161;width:172;height:155" coordorigin="2492,4162" coordsize="172,155" path="m2577,4162l2561,4202,2540,4243,2517,4282,2492,4316,2577,4285,2640,4285,2638,4282,2615,4243,2594,4202,2577,4162xm2640,4285l2577,4285,2663,4316,2640,4285xe" filled="true" fillcolor="#0094ab" stroked="false">
                    <v:path arrowok="t"/>
                    <v:fill type="solid"/>
                  </v:shape>
                  <v:line style="position:absolute" from="3428,4957" to="5858,4957" stroked="true" strokeweight=".5pt" strokecolor="#006ab2">
                    <v:stroke dashstyle="solid"/>
                  </v:line>
                  <v:shape style="position:absolute;left:5804;top:4871;width:155;height:172" type="#_x0000_t75" stroked="false">
                    <v:imagedata r:id="rId158" o:title=""/>
                  </v:shape>
                  <v:line style="position:absolute" from="7936,1314" to="6649,1314" stroked="true" strokeweight=".5pt" strokecolor="#006ab2">
                    <v:stroke dashstyle="solid"/>
                  </v:line>
                  <v:shape style="position:absolute;left:6529;top:1228;width:155;height:172" type="#_x0000_t75" stroked="false">
                    <v:imagedata r:id="rId159" o:title=""/>
                  </v:shape>
                  <v:line style="position:absolute" from="7263,1805" to="7263,5252" stroked="true" strokeweight=".5pt" strokecolor="#0094ab">
                    <v:stroke dashstyle="solid"/>
                  </v:line>
                  <v:line style="position:absolute" from="7253,1807" to="6597,1807" stroked="true" strokeweight=".5pt" strokecolor="#0094ab">
                    <v:stroke dashstyle="solid"/>
                  </v:line>
                  <v:shape style="position:absolute;left:6516;top:1721;width:155;height:172" type="#_x0000_t75" stroked="false">
                    <v:imagedata r:id="rId160" o:title=""/>
                  </v:shape>
                  <v:line style="position:absolute" from="6251,5252" to="7172,5252" stroked="true" strokeweight=".5pt" strokecolor="#0094ab">
                    <v:stroke dashstyle="solid"/>
                  </v:line>
                  <v:shape style="position:absolute;left:7112;top:5166;width:155;height:172" type="#_x0000_t75" stroked="false">
                    <v:imagedata r:id="rId161" o:title=""/>
                  </v:shape>
                  <v:line style="position:absolute" from="6254,5243" to="6254,5131" stroked="true" strokeweight=".5pt" strokecolor="#0094ab">
                    <v:stroke dashstyle="solid"/>
                  </v:line>
                  <v:line style="position:absolute" from="4508,1804" to="5872,1802" stroked="true" strokeweight=".5pt" strokecolor="#000000">
                    <v:stroke dashstyle="solid"/>
                  </v:line>
                  <v:shape style="position:absolute;left:5816;top:1716;width:155;height:172" type="#_x0000_t75" stroked="false">
                    <v:imagedata r:id="rId162" o:title=""/>
                  </v:shape>
                  <v:shape style="position:absolute;left:3865;top:2789;width:195;height:442" coordorigin="3866,2789" coordsize="195,442" path="m3866,2908l3866,3126,4060,3231,4060,2789,3866,2908xe" filled="false" stroked="true" strokeweight=".5pt" strokecolor="#000000">
                    <v:path arrowok="t"/>
                    <v:stroke dashstyle="solid"/>
                  </v:shape>
                  <v:line style="position:absolute" from="3697,2996" to="3862,2996" stroked="true" strokeweight=".5pt" strokecolor="#000000">
                    <v:stroke dashstyle="solid"/>
                  </v:line>
                  <v:shape style="position:absolute;left:4065;top:1803;width:451;height:1194" coordorigin="4066,1804" coordsize="451,1194" path="m4066,2998l4516,2998,4516,1804e" filled="false" stroked="true" strokeweight=".5pt" strokecolor="#000000">
                    <v:path arrowok="t"/>
                    <v:stroke dashstyle="solid"/>
                  </v:shape>
                  <v:line style="position:absolute" from="6358,2859" to="6814,2859" stroked="true" strokeweight=".5pt" strokecolor="#e2001a">
                    <v:stroke dashstyle="solid"/>
                  </v:line>
                  <v:shape style="position:absolute;left:6764;top:2773;width:155;height:172" type="#_x0000_t75" stroked="false">
                    <v:imagedata r:id="rId163" o:title=""/>
                  </v:shape>
                  <v:line style="position:absolute" from="6915,3375" to="6650,3375" stroked="true" strokeweight=".5pt" strokecolor="#e2001a">
                    <v:stroke dashstyle="solid"/>
                  </v:line>
                  <v:shape style="position:absolute;left:6528;top:3288;width:155;height:172" coordorigin="6528,3289" coordsize="155,172" path="m6682,3289l6649,3314,6610,3337,6568,3358,6528,3375,6568,3391,6610,3412,6649,3435,6682,3460,6651,3375,6682,3289xe" filled="true" fillcolor="#e2001a" stroked="false">
                    <v:path arrowok="t"/>
                    <v:fill type="solid"/>
                  </v:shape>
                  <v:shape style="position:absolute;left:6914;top:2858;width:320;height:831" coordorigin="6915,2859" coordsize="320,831" path="m6915,2859l6915,3690,7235,3690e" filled="false" stroked="true" strokeweight=".5pt" strokecolor="#e2001a">
                    <v:path arrowok="t"/>
                    <v:stroke dashstyle="solid"/>
                  </v:shape>
                  <v:line style="position:absolute" from="7295,3684" to="7682,3684" stroked="true" strokeweight=".5pt" strokecolor="#e2001a">
                    <v:stroke dashstyle="solid"/>
                  </v:line>
                  <v:shape style="position:absolute;left:7612;top:3598;width:155;height:172" coordorigin="7612,3599" coordsize="155,172" path="m7612,3599l7643,3684,7612,3770,7646,3745,7685,3722,7726,3701,7766,3684,7726,3668,7685,3647,7646,3624,7612,3599xe" filled="true" fillcolor="#e2001a" stroked="false">
                    <v:path arrowok="t"/>
                    <v:fill type="solid"/>
                  </v:shape>
                  <v:line style="position:absolute" from="6238,401" to="6238,141" stroked="true" strokeweight=".5pt" strokecolor="#000000">
                    <v:stroke dashstyle="solid"/>
                  </v:line>
                  <v:shape style="position:absolute;left:6152;top:77;width:172;height:155" coordorigin="6152,77" coordsize="172,155" path="m6238,77l6221,117,6201,159,6177,198,6152,231,6238,200,6300,200,6298,198,6275,159,6255,117,6238,77xm6300,200l6238,200,6324,231,6300,200xe" filled="true" fillcolor="#000000" stroked="false">
                    <v:path arrowok="t"/>
                    <v:fill type="solid"/>
                  </v:shape>
                  <v:shape style="position:absolute;left:8916;top:1304;width:172;height:155" type="#_x0000_t75" stroked="false">
                    <v:imagedata r:id="rId164" o:title=""/>
                  </v:shape>
                  <v:shape style="position:absolute;left:8473;top:3602;width:157;height:172" type="#_x0000_t75" stroked="false">
                    <v:imagedata r:id="rId165" o:title=""/>
                  </v:shape>
                  <v:line style="position:absolute" from="7946,677" to="6613,677" stroked="true" strokeweight=".5pt" strokecolor="#e2001a">
                    <v:stroke dashstyle="solid"/>
                  </v:line>
                  <v:shape style="position:absolute;left:6521;top:590;width:155;height:172" type="#_x0000_t75" stroked="false">
                    <v:imagedata r:id="rId166" o:title=""/>
                  </v:shape>
                  <v:shape style="position:absolute;left:8031;top:676;width:591;height:3013" coordorigin="8032,677" coordsize="591,3013" path="m8032,677l8622,677,8622,3690e" filled="false" stroked="true" strokeweight=".5pt" strokecolor="#e2001a">
                    <v:path arrowok="t"/>
                    <v:stroke dashstyle="solid"/>
                  </v:shape>
                  <v:line style="position:absolute" from="2573,4640" to="4562,4640" stroked="true" strokeweight=".5pt" strokecolor="#0094ab">
                    <v:stroke dashstyle="solid"/>
                  </v:line>
                  <v:shape style="position:absolute;left:5669;top:2788;width:155;height:172" type="#_x0000_t75" stroked="false">
                    <v:imagedata r:id="rId167" o:title=""/>
                  </v:shape>
                  <v:line style="position:absolute" from="5682,2873" to="5682,4701" stroked="true" strokeweight=".5pt" strokecolor="#0094ab">
                    <v:stroke dashstyle="solid"/>
                  </v:line>
                  <v:line style="position:absolute" from="5715,2873" to="5958,2873" stroked="true" strokeweight=".5pt" strokecolor="#0094ab">
                    <v:stroke dashstyle="solid"/>
                  </v:line>
                  <v:line style="position:absolute" from="5462,4694" to="5677,4694" stroked="true" strokeweight=".5pt" strokecolor="#0094ab">
                    <v:stroke dashstyle="solid"/>
                  </v:line>
                  <v:shape style="position:absolute;left:5028;top:4610;width:327;height:222" type="#_x0000_t75" stroked="false">
                    <v:imagedata r:id="rId168" o:title=""/>
                  </v:shape>
                  <v:line style="position:absolute" from="2199,2031" to="2199,4131" stroked="true" strokeweight=".5pt" strokecolor="#000000">
                    <v:stroke dashstyle="dash"/>
                  </v:line>
                  <v:line style="position:absolute" from="2575,2031" to="2575,4131" stroked="true" strokeweight=".5pt" strokecolor="#0094ab">
                    <v:stroke dashstyle="dash"/>
                  </v:line>
                  <v:line style="position:absolute" from="3006,2031" to="3006,4131" stroked="true" strokeweight=".5pt" strokecolor="#006ab2">
                    <v:stroke dashstyle="dash"/>
                  </v:line>
                  <v:line style="position:absolute" from="3429,2031" to="3429,4131" stroked="true" strokeweight=".5pt" strokecolor="#006ab2">
                    <v:stroke dashstyle="dash"/>
                  </v:line>
                  <v:line style="position:absolute" from="3006,4163" to="3006,4592" stroked="true" strokeweight=".5pt" strokecolor="#006ab2">
                    <v:stroke dashstyle="solid"/>
                  </v:line>
                  <v:line style="position:absolute" from="3426,4163" to="3426,4592" stroked="true" strokeweight=".5pt" strokecolor="#006ab2">
                    <v:stroke dashstyle="solid"/>
                  </v:line>
                  <v:line style="position:absolute" from="6238,81" to="7949,81" stroked="true" strokeweight=".5pt" strokecolor="#000000">
                    <v:stroke dashstyle="solid"/>
                  </v:line>
                  <v:line style="position:absolute" from="7989,3424" to="7989,91" stroked="true" strokeweight=".5pt" strokecolor="#000000">
                    <v:stroke dashstyle="solid"/>
                  </v:line>
                  <v:line style="position:absolute" from="7988,3459" to="7988,3979" stroked="true" strokeweight=".5pt" strokecolor="#000000">
                    <v:stroke dashstyle="dash"/>
                  </v:line>
                  <v:line style="position:absolute" from="8036,1308" to="8575,1308" stroked="true" strokeweight=".5pt" strokecolor="#006ab2">
                    <v:stroke dashstyle="solid"/>
                  </v:line>
                  <v:line style="position:absolute" from="8677,1308" to="9001,1308" stroked="true" strokeweight=".5pt" strokecolor="#006ab2">
                    <v:stroke dashstyle="solid"/>
                  </v:line>
                  <v:shape style="position:absolute;left:6070;top:2778;width:74;height:309" coordorigin="6071,2778" coordsize="74,309" path="m6071,3087l6071,2778,6144,2778e" filled="false" stroked="true" strokeweight=".5pt" strokecolor="#e2001a">
                    <v:path arrowok="t"/>
                    <v:stroke dashstyle="solid"/>
                  </v:shape>
                  <v:line style="position:absolute" from="6179,2785" to="6326,2845" stroked="true" strokeweight=".5pt" strokecolor="#e2001a">
                    <v:stroke dashstyle="shortdot"/>
                  </v:line>
                  <v:line style="position:absolute" from="8238,3696" to="8536,3696" stroked="true" strokeweight=".5pt" strokecolor="#e2001a">
                    <v:stroke dashstyle="solid"/>
                  </v:line>
                </v:group>
              </w:pict>
            </w:r>
            <w:r>
              <w:rPr>
                <w:sz w:val="20"/>
              </w:rPr>
            </w:r>
          </w:p>
        </w:tc>
      </w:tr>
    </w:tbl>
    <w:p>
      <w:pPr>
        <w:spacing w:before="127"/>
        <w:ind w:left="122" w:right="0" w:firstLine="0"/>
        <w:jc w:val="left"/>
        <w:rPr>
          <w:sz w:val="18"/>
        </w:rPr>
      </w:pPr>
      <w:bookmarkStart w:name="_bookmark17" w:id="44"/>
      <w:bookmarkEnd w:id="44"/>
      <w:r>
        <w:rPr/>
      </w:r>
      <w:r>
        <w:rPr>
          <w:b/>
          <w:sz w:val="18"/>
        </w:rPr>
        <w:t>Figure 3.12a </w:t>
      </w:r>
      <w:r>
        <w:rPr>
          <w:sz w:val="18"/>
        </w:rPr>
        <w:t>Oxygen production by distillation of liquid air.</w:t>
      </w:r>
    </w:p>
    <w:p>
      <w:pPr>
        <w:pStyle w:val="BodyText"/>
        <w:spacing w:before="7"/>
        <w:rPr>
          <w:sz w:val="16"/>
        </w:rPr>
      </w:pPr>
    </w:p>
    <w:p>
      <w:pPr>
        <w:spacing w:after="0"/>
        <w:rPr>
          <w:sz w:val="16"/>
        </w:rPr>
        <w:sectPr>
          <w:pgSz w:w="12240" w:h="15840"/>
          <w:pgMar w:header="567" w:footer="0" w:top="760" w:bottom="280" w:left="620" w:right="0"/>
        </w:sectPr>
      </w:pPr>
    </w:p>
    <w:p>
      <w:pPr>
        <w:pStyle w:val="BodyText"/>
        <w:spacing w:before="8"/>
        <w:rPr>
          <w:sz w:val="11"/>
        </w:rPr>
      </w:pPr>
    </w:p>
    <w:p>
      <w:pPr>
        <w:pStyle w:val="BodyText"/>
        <w:ind w:left="109" w:right="-15"/>
      </w:pPr>
      <w:r>
        <w:rPr/>
        <w:pict>
          <v:group style="width:252.15pt;height:192pt;mso-position-horizontal-relative:char;mso-position-vertical-relative:line" coordorigin="0,0" coordsize="5043,3840">
            <v:shape style="position:absolute;left:5;top:5;width:5033;height:3830" type="#_x0000_t75" stroked="false">
              <v:imagedata r:id="rId169" o:title=""/>
            </v:shape>
            <v:rect style="position:absolute;left:5;top:5;width:5033;height:3830" filled="false" stroked="true" strokeweight=".5pt" strokecolor="#000000">
              <v:stroke dashstyle="solid"/>
            </v:rect>
          </v:group>
        </w:pict>
      </w:r>
      <w:r>
        <w:rPr/>
      </w:r>
    </w:p>
    <w:p>
      <w:pPr>
        <w:spacing w:before="69"/>
        <w:ind w:left="117" w:right="0" w:firstLine="0"/>
        <w:jc w:val="both"/>
        <w:rPr>
          <w:sz w:val="18"/>
        </w:rPr>
      </w:pPr>
      <w:r>
        <w:rPr>
          <w:b/>
          <w:sz w:val="18"/>
        </w:rPr>
        <w:t>Figure 3.12b </w:t>
      </w:r>
      <w:r>
        <w:rPr>
          <w:sz w:val="18"/>
        </w:rPr>
        <w:t>A 3000 t day</w:t>
      </w:r>
      <w:r>
        <w:rPr>
          <w:position w:val="6"/>
          <w:sz w:val="10"/>
        </w:rPr>
        <w:t>-1 </w:t>
      </w:r>
      <w:r>
        <w:rPr>
          <w:sz w:val="18"/>
        </w:rPr>
        <w:t>oxygen plant (Courtesy of Air</w:t>
      </w:r>
      <w:r>
        <w:rPr>
          <w:spacing w:val="-16"/>
          <w:sz w:val="18"/>
        </w:rPr>
        <w:t> </w:t>
      </w:r>
      <w:r>
        <w:rPr>
          <w:sz w:val="18"/>
        </w:rPr>
        <w:t>Products).</w:t>
      </w:r>
    </w:p>
    <w:p>
      <w:pPr>
        <w:pStyle w:val="BodyText"/>
        <w:rPr>
          <w:sz w:val="18"/>
        </w:rPr>
      </w:pPr>
    </w:p>
    <w:p>
      <w:pPr>
        <w:pStyle w:val="BodyText"/>
        <w:spacing w:line="249" w:lineRule="auto" w:before="140"/>
        <w:ind w:left="117" w:right="38"/>
        <w:jc w:val="both"/>
      </w:pPr>
      <w:r>
        <w:rPr/>
        <w:t>temperatures</w:t>
      </w:r>
      <w:r>
        <w:rPr>
          <w:spacing w:val="-20"/>
        </w:rPr>
        <w:t> </w:t>
      </w:r>
      <w:r>
        <w:rPr/>
        <w:t>above</w:t>
      </w:r>
      <w:r>
        <w:rPr>
          <w:spacing w:val="-20"/>
        </w:rPr>
        <w:t> </w:t>
      </w:r>
      <w:r>
        <w:rPr/>
        <w:t>500°C</w:t>
      </w:r>
      <w:r>
        <w:rPr>
          <w:spacing w:val="-19"/>
        </w:rPr>
        <w:t> </w:t>
      </w:r>
      <w:r>
        <w:rPr/>
        <w:t>and</w:t>
      </w:r>
      <w:r>
        <w:rPr>
          <w:spacing w:val="-20"/>
        </w:rPr>
        <w:t> </w:t>
      </w:r>
      <w:r>
        <w:rPr/>
        <w:t>preferably</w:t>
      </w:r>
      <w:r>
        <w:rPr>
          <w:spacing w:val="-19"/>
        </w:rPr>
        <w:t> </w:t>
      </w:r>
      <w:r>
        <w:rPr/>
        <w:t>above</w:t>
      </w:r>
      <w:r>
        <w:rPr>
          <w:spacing w:val="-20"/>
        </w:rPr>
        <w:t> </w:t>
      </w:r>
      <w:r>
        <w:rPr/>
        <w:t>700°C</w:t>
      </w:r>
      <w:r>
        <w:rPr>
          <w:spacing w:val="-20"/>
        </w:rPr>
        <w:t> </w:t>
      </w:r>
      <w:r>
        <w:rPr/>
        <w:t>(Skinner and Kilner 2003; Bouwmeester and </w:t>
      </w:r>
      <w:r>
        <w:rPr>
          <w:spacing w:val="-8"/>
        </w:rPr>
        <w:t>Van </w:t>
      </w:r>
      <w:r>
        <w:rPr/>
        <w:t>Laar, 2002; Dyer </w:t>
      </w:r>
      <w:r>
        <w:rPr>
          <w:i/>
        </w:rPr>
        <w:t>et </w:t>
      </w:r>
      <w:r>
        <w:rPr>
          <w:i/>
        </w:rPr>
        <w:t>al.</w:t>
      </w:r>
      <w:r>
        <w:rPr/>
        <w:t>, 2000; Bredesen </w:t>
      </w:r>
      <w:r>
        <w:rPr>
          <w:i/>
        </w:rPr>
        <w:t>et al.</w:t>
      </w:r>
      <w:r>
        <w:rPr/>
        <w:t>, 2004). Typical crystal structures which exhibit these properties include the perovskites and the brownmillerites.</w:t>
      </w:r>
      <w:r>
        <w:rPr>
          <w:spacing w:val="-15"/>
        </w:rPr>
        <w:t> </w:t>
      </w:r>
      <w:r>
        <w:rPr/>
        <w:t>The</w:t>
      </w:r>
      <w:r>
        <w:rPr>
          <w:spacing w:val="-10"/>
        </w:rPr>
        <w:t> </w:t>
      </w:r>
      <w:r>
        <w:rPr/>
        <w:t>selectivity</w:t>
      </w:r>
      <w:r>
        <w:rPr>
          <w:spacing w:val="-10"/>
        </w:rPr>
        <w:t> </w:t>
      </w:r>
      <w:r>
        <w:rPr/>
        <w:t>of</w:t>
      </w:r>
      <w:r>
        <w:rPr>
          <w:spacing w:val="-10"/>
        </w:rPr>
        <w:t> </w:t>
      </w:r>
      <w:r>
        <w:rPr/>
        <w:t>these</w:t>
      </w:r>
      <w:r>
        <w:rPr>
          <w:spacing w:val="-10"/>
        </w:rPr>
        <w:t> </w:t>
      </w:r>
      <w:r>
        <w:rPr/>
        <w:t>materials</w:t>
      </w:r>
      <w:r>
        <w:rPr>
          <w:spacing w:val="-11"/>
        </w:rPr>
        <w:t> </w:t>
      </w:r>
      <w:r>
        <w:rPr/>
        <w:t>for</w:t>
      </w:r>
      <w:r>
        <w:rPr>
          <w:spacing w:val="-10"/>
        </w:rPr>
        <w:t> </w:t>
      </w:r>
      <w:r>
        <w:rPr/>
        <w:t>oxygen</w:t>
      </w:r>
      <w:r>
        <w:rPr>
          <w:spacing w:val="-10"/>
        </w:rPr>
        <w:t> </w:t>
      </w:r>
      <w:r>
        <w:rPr/>
        <w:t>is infinite. The oxygen permeability is primarily controlled by</w:t>
      </w:r>
      <w:r>
        <w:rPr>
          <w:spacing w:val="-30"/>
        </w:rPr>
        <w:t> </w:t>
      </w:r>
      <w:r>
        <w:rPr>
          <w:spacing w:val="-5"/>
        </w:rPr>
        <w:t>the </w:t>
      </w:r>
      <w:r>
        <w:rPr/>
        <w:t>oxygen ion vacancies in the metal oxide lattice. A difference</w:t>
      </w:r>
      <w:r>
        <w:rPr>
          <w:spacing w:val="-26"/>
        </w:rPr>
        <w:t> </w:t>
      </w:r>
      <w:r>
        <w:rPr/>
        <w:t>in oxygen</w:t>
      </w:r>
      <w:r>
        <w:rPr>
          <w:spacing w:val="-7"/>
        </w:rPr>
        <w:t> </w:t>
      </w:r>
      <w:r>
        <w:rPr/>
        <w:t>partial</w:t>
      </w:r>
      <w:r>
        <w:rPr>
          <w:spacing w:val="-7"/>
        </w:rPr>
        <w:t> </w:t>
      </w:r>
      <w:r>
        <w:rPr/>
        <w:t>pressure</w:t>
      </w:r>
      <w:r>
        <w:rPr>
          <w:spacing w:val="-6"/>
        </w:rPr>
        <w:t> </w:t>
      </w:r>
      <w:r>
        <w:rPr/>
        <w:t>across</w:t>
      </w:r>
      <w:r>
        <w:rPr>
          <w:spacing w:val="-7"/>
        </w:rPr>
        <w:t> </w:t>
      </w:r>
      <w:r>
        <w:rPr/>
        <w:t>the</w:t>
      </w:r>
      <w:r>
        <w:rPr>
          <w:spacing w:val="-7"/>
        </w:rPr>
        <w:t> </w:t>
      </w:r>
      <w:r>
        <w:rPr/>
        <w:t>membrane</w:t>
      </w:r>
      <w:r>
        <w:rPr>
          <w:spacing w:val="-7"/>
        </w:rPr>
        <w:t> </w:t>
      </w:r>
      <w:r>
        <w:rPr/>
        <w:t>will</w:t>
      </w:r>
      <w:r>
        <w:rPr>
          <w:spacing w:val="-7"/>
        </w:rPr>
        <w:t> </w:t>
      </w:r>
      <w:r>
        <w:rPr/>
        <w:t>cause</w:t>
      </w:r>
      <w:r>
        <w:rPr>
          <w:spacing w:val="-7"/>
        </w:rPr>
        <w:t> </w:t>
      </w:r>
      <w:r>
        <w:rPr>
          <w:spacing w:val="-3"/>
        </w:rPr>
        <w:t>oxygen</w:t>
      </w:r>
    </w:p>
    <w:p>
      <w:pPr>
        <w:pStyle w:val="BodyText"/>
        <w:spacing w:line="249" w:lineRule="auto" w:before="63"/>
        <w:ind w:left="117" w:right="1129"/>
        <w:jc w:val="both"/>
      </w:pPr>
      <w:r>
        <w:rPr/>
        <w:br w:type="column"/>
      </w:r>
      <w:r>
        <w:rPr/>
        <w:t>molecules to ionize on the ceramic surface and pass into the crystal structure while simultaneously on the permeate side   of the membrane, the oxygen ions give up their electrons </w:t>
      </w:r>
      <w:r>
        <w:rPr>
          <w:spacing w:val="-5"/>
        </w:rPr>
        <w:t>and </w:t>
      </w:r>
      <w:r>
        <w:rPr/>
        <w:t>leave the ceramic in the region of lower activity. The electron conduction path is through the metal ions in the lattice. Unlike conventional membranes, the flux through the ceramic is a function of the partial pressure ratio. In the technical literature, the engineered structures of these ceramic mixed metal oxides are referred to as </w:t>
      </w:r>
      <w:r>
        <w:rPr>
          <w:i/>
        </w:rPr>
        <w:t>ion transport membranes, ITM </w:t>
      </w:r>
      <w:r>
        <w:rPr/>
        <w:t>or </w:t>
      </w:r>
      <w:r>
        <w:rPr>
          <w:i/>
        </w:rPr>
        <w:t>oxygen </w:t>
      </w:r>
      <w:r>
        <w:rPr>
          <w:i/>
        </w:rPr>
        <w:t>transport membranes,</w:t>
      </w:r>
      <w:r>
        <w:rPr>
          <w:i/>
          <w:spacing w:val="-2"/>
        </w:rPr>
        <w:t> </w:t>
      </w:r>
      <w:r>
        <w:rPr>
          <w:i/>
        </w:rPr>
        <w:t>OTM</w:t>
      </w:r>
      <w:r>
        <w:rPr/>
        <w:t>.</w:t>
      </w:r>
    </w:p>
    <w:p>
      <w:pPr>
        <w:pStyle w:val="BodyText"/>
        <w:spacing w:line="240" w:lineRule="exact" w:before="3"/>
        <w:ind w:left="117" w:right="1129" w:firstLine="283"/>
        <w:jc w:val="both"/>
      </w:pPr>
      <w:r>
        <w:rPr/>
        <w:t>The oxygen transport membrane can be fabricated in the form of plain tubes or as hollow fins on a central collector tube (Armstrong</w:t>
      </w:r>
      <w:r>
        <w:rPr>
          <w:spacing w:val="-10"/>
        </w:rPr>
        <w:t> </w:t>
      </w:r>
      <w:r>
        <w:rPr>
          <w:i/>
        </w:rPr>
        <w:t>et</w:t>
      </w:r>
      <w:r>
        <w:rPr>
          <w:i/>
          <w:spacing w:val="-10"/>
        </w:rPr>
        <w:t> </w:t>
      </w:r>
      <w:r>
        <w:rPr>
          <w:i/>
        </w:rPr>
        <w:t>al.</w:t>
      </w:r>
      <w:r>
        <w:rPr/>
        <w:t>,</w:t>
      </w:r>
      <w:r>
        <w:rPr>
          <w:spacing w:val="-9"/>
        </w:rPr>
        <w:t> </w:t>
      </w:r>
      <w:r>
        <w:rPr/>
        <w:t>2002).</w:t>
      </w:r>
      <w:r>
        <w:rPr>
          <w:spacing w:val="-13"/>
        </w:rPr>
        <w:t> </w:t>
      </w:r>
      <w:r>
        <w:rPr/>
        <w:t>The</w:t>
      </w:r>
      <w:r>
        <w:rPr>
          <w:spacing w:val="-9"/>
        </w:rPr>
        <w:t> </w:t>
      </w:r>
      <w:r>
        <w:rPr/>
        <w:t>finned</w:t>
      </w:r>
      <w:r>
        <w:rPr>
          <w:spacing w:val="-9"/>
        </w:rPr>
        <w:t> </w:t>
      </w:r>
      <w:r>
        <w:rPr/>
        <w:t>elements</w:t>
      </w:r>
      <w:r>
        <w:rPr>
          <w:spacing w:val="-10"/>
        </w:rPr>
        <w:t> </w:t>
      </w:r>
      <w:r>
        <w:rPr/>
        <w:t>are</w:t>
      </w:r>
      <w:r>
        <w:rPr>
          <w:spacing w:val="-10"/>
        </w:rPr>
        <w:t> </w:t>
      </w:r>
      <w:r>
        <w:rPr/>
        <w:t>then</w:t>
      </w:r>
      <w:r>
        <w:rPr>
          <w:spacing w:val="-10"/>
        </w:rPr>
        <w:t> </w:t>
      </w:r>
      <w:r>
        <w:rPr/>
        <w:t>mounted in tube sheets within a pressure vessel with high-pressure air flowing over the fins. There are several new concepts that</w:t>
      </w:r>
      <w:r>
        <w:rPr>
          <w:spacing w:val="-36"/>
        </w:rPr>
        <w:t> </w:t>
      </w:r>
      <w:r>
        <w:rPr/>
        <w:t>have been proposed for using oxygen transport membranes in </w:t>
      </w:r>
      <w:r>
        <w:rPr>
          <w:spacing w:val="-3"/>
        </w:rPr>
        <w:t>power </w:t>
      </w:r>
      <w:r>
        <w:rPr/>
        <w:t>cycles with CO</w:t>
      </w:r>
      <w:r>
        <w:rPr>
          <w:position w:val="-6"/>
          <w:sz w:val="11"/>
        </w:rPr>
        <w:t>2 </w:t>
      </w:r>
      <w:r>
        <w:rPr/>
        <w:t>capture. A prime example of an oxy-fuel gas turbine cycle that incorporates an oxygen transport membrane for oxygen production is the advanced zero emission </w:t>
      </w:r>
      <w:r>
        <w:rPr>
          <w:spacing w:val="-3"/>
        </w:rPr>
        <w:t>power </w:t>
      </w:r>
      <w:r>
        <w:rPr/>
        <w:t>plant described in Section 3.4.2.3. Another example is found</w:t>
      </w:r>
      <w:r>
        <w:rPr>
          <w:spacing w:val="-32"/>
        </w:rPr>
        <w:t> </w:t>
      </w:r>
      <w:r>
        <w:rPr/>
        <w:t>in Sundnes</w:t>
      </w:r>
      <w:r>
        <w:rPr>
          <w:spacing w:val="-2"/>
        </w:rPr>
        <w:t> </w:t>
      </w:r>
      <w:r>
        <w:rPr/>
        <w:t>(1998).</w:t>
      </w:r>
    </w:p>
    <w:p>
      <w:pPr>
        <w:pStyle w:val="BodyText"/>
        <w:spacing w:before="4"/>
        <w:rPr>
          <w:sz w:val="21"/>
        </w:rPr>
      </w:pPr>
    </w:p>
    <w:p>
      <w:pPr>
        <w:spacing w:before="0"/>
        <w:ind w:left="117" w:right="0" w:firstLine="0"/>
        <w:jc w:val="both"/>
        <w:rPr>
          <w:i/>
          <w:sz w:val="20"/>
        </w:rPr>
      </w:pPr>
      <w:r>
        <w:rPr>
          <w:i/>
          <w:sz w:val="20"/>
        </w:rPr>
        <w:t>Development status</w:t>
      </w:r>
    </w:p>
    <w:p>
      <w:pPr>
        <w:pStyle w:val="BodyText"/>
        <w:spacing w:line="249" w:lineRule="auto" w:before="10"/>
        <w:ind w:left="117" w:right="1130"/>
        <w:jc w:val="both"/>
      </w:pPr>
      <w:r>
        <w:rPr/>
        <w:t>Oxygen transport membrane systems for oxygen production are currently in the early stages of development by at least two consortia receiving research funding from the US Department of</w:t>
      </w:r>
      <w:r>
        <w:rPr>
          <w:spacing w:val="-7"/>
        </w:rPr>
        <w:t> </w:t>
      </w:r>
      <w:r>
        <w:rPr/>
        <w:t>Energy</w:t>
      </w:r>
      <w:r>
        <w:rPr>
          <w:spacing w:val="-6"/>
        </w:rPr>
        <w:t> </w:t>
      </w:r>
      <w:r>
        <w:rPr/>
        <w:t>and</w:t>
      </w:r>
      <w:r>
        <w:rPr>
          <w:spacing w:val="-6"/>
        </w:rPr>
        <w:t> </w:t>
      </w:r>
      <w:r>
        <w:rPr/>
        <w:t>the</w:t>
      </w:r>
      <w:r>
        <w:rPr>
          <w:spacing w:val="-7"/>
        </w:rPr>
        <w:t> </w:t>
      </w:r>
      <w:r>
        <w:rPr/>
        <w:t>European</w:t>
      </w:r>
      <w:r>
        <w:rPr>
          <w:spacing w:val="-6"/>
        </w:rPr>
        <w:t> </w:t>
      </w:r>
      <w:r>
        <w:rPr/>
        <w:t>Commission.</w:t>
      </w:r>
      <w:r>
        <w:rPr>
          <w:spacing w:val="-9"/>
        </w:rPr>
        <w:t> </w:t>
      </w:r>
      <w:r>
        <w:rPr/>
        <w:t>The</w:t>
      </w:r>
      <w:r>
        <w:rPr>
          <w:spacing w:val="-7"/>
        </w:rPr>
        <w:t> </w:t>
      </w:r>
      <w:r>
        <w:rPr/>
        <w:t>concept</w:t>
      </w:r>
      <w:r>
        <w:rPr>
          <w:spacing w:val="-6"/>
        </w:rPr>
        <w:t> </w:t>
      </w:r>
      <w:r>
        <w:rPr/>
        <w:t>has</w:t>
      </w:r>
      <w:r>
        <w:rPr>
          <w:spacing w:val="-6"/>
        </w:rPr>
        <w:t> </w:t>
      </w:r>
      <w:r>
        <w:rPr>
          <w:spacing w:val="-4"/>
        </w:rPr>
        <w:t>now</w:t>
      </w:r>
    </w:p>
    <w:p>
      <w:pPr>
        <w:spacing w:after="0" w:line="249" w:lineRule="auto"/>
        <w:jc w:val="both"/>
        <w:sectPr>
          <w:type w:val="continuous"/>
          <w:pgSz w:w="12240" w:h="15840"/>
          <w:pgMar w:top="480" w:bottom="280" w:left="620" w:right="0"/>
          <w:cols w:num="2" w:equalWidth="0">
            <w:col w:w="5201" w:space="125"/>
            <w:col w:w="6294"/>
          </w:cols>
        </w:sectPr>
      </w:pPr>
    </w:p>
    <w:p>
      <w:pPr>
        <w:pStyle w:val="BodyText"/>
        <w:spacing w:before="4"/>
        <w:rPr>
          <w:sz w:val="28"/>
        </w:rPr>
      </w:pPr>
    </w:p>
    <w:p>
      <w:pPr>
        <w:spacing w:after="0"/>
        <w:rPr>
          <w:sz w:val="28"/>
        </w:rPr>
        <w:sectPr>
          <w:pgSz w:w="12240" w:h="15840"/>
          <w:pgMar w:header="567" w:footer="0" w:top="800" w:bottom="280" w:left="620" w:right="0"/>
        </w:sectPr>
      </w:pPr>
    </w:p>
    <w:p>
      <w:pPr>
        <w:pStyle w:val="BodyText"/>
        <w:spacing w:before="115"/>
        <w:ind w:left="513"/>
      </w:pPr>
      <w:r>
        <w:rPr/>
        <w:pict>
          <v:shape style="position:absolute;margin-left:373.166107pt;margin-top:14.035937pt;width:2.9pt;height:5.8pt;mso-position-horizontal-relative:page;mso-position-vertical-relative:paragraph;z-index:-272423936" type="#_x0000_t202" filled="false" stroked="false">
            <v:textbox inset="0,0,0,0">
              <w:txbxContent>
                <w:p>
                  <w:pPr>
                    <w:spacing w:line="111" w:lineRule="exact" w:before="0"/>
                    <w:ind w:left="0" w:right="0" w:firstLine="0"/>
                    <w:jc w:val="left"/>
                    <w:rPr>
                      <w:sz w:val="11"/>
                    </w:rPr>
                  </w:pPr>
                  <w:r>
                    <w:rPr>
                      <w:w w:val="105"/>
                      <w:sz w:val="11"/>
                    </w:rPr>
                    <w:t>x</w:t>
                  </w:r>
                </w:p>
              </w:txbxContent>
            </v:textbox>
            <w10:wrap type="none"/>
          </v:shape>
        </w:pict>
      </w:r>
      <w:bookmarkStart w:name="3.4.6 Chemical looping combustion" w:id="45"/>
      <w:bookmarkEnd w:id="45"/>
      <w:r>
        <w:rPr/>
      </w:r>
      <w:bookmarkStart w:name="3.4.7 Status and outlook" w:id="46"/>
      <w:bookmarkEnd w:id="46"/>
      <w:r>
        <w:rPr/>
      </w:r>
      <w:r>
        <w:rPr/>
        <w:t>reached the pilot plant stage and projected cost, manufacturing</w:t>
      </w:r>
    </w:p>
    <w:p>
      <w:pPr>
        <w:pStyle w:val="BodyText"/>
        <w:spacing w:before="101"/>
        <w:ind w:left="243"/>
      </w:pPr>
      <w:r>
        <w:rPr/>
        <w:br w:type="column"/>
      </w:r>
      <w:r>
        <w:rPr/>
        <w:t>1200</w:t>
      </w:r>
      <w:r>
        <w:rPr>
          <w:rFonts w:ascii="Symbol" w:hAnsi="Symbol"/>
        </w:rPr>
        <w:t></w:t>
      </w:r>
      <w:r>
        <w:rPr/>
        <w:t>C. NO</w:t>
      </w:r>
    </w:p>
    <w:p>
      <w:pPr>
        <w:pStyle w:val="BodyText"/>
        <w:spacing w:before="115"/>
        <w:ind w:left="10"/>
      </w:pPr>
      <w:r>
        <w:rPr/>
        <w:br w:type="column"/>
      </w:r>
      <w:r>
        <w:rPr/>
        <w:t>formation at these typical operating temperatures</w:t>
      </w:r>
    </w:p>
    <w:p>
      <w:pPr>
        <w:spacing w:after="0"/>
        <w:sectPr>
          <w:type w:val="continuous"/>
          <w:pgSz w:w="12240" w:h="15840"/>
          <w:pgMar w:top="480" w:bottom="280" w:left="620" w:right="0"/>
          <w:cols w:num="3" w:equalWidth="0">
            <w:col w:w="5558" w:space="40"/>
            <w:col w:w="1305" w:space="39"/>
            <w:col w:w="4678"/>
          </w:cols>
        </w:sectPr>
      </w:pPr>
    </w:p>
    <w:p>
      <w:pPr>
        <w:pStyle w:val="BodyText"/>
        <w:spacing w:line="249" w:lineRule="auto" w:before="9"/>
        <w:ind w:left="513"/>
        <w:jc w:val="both"/>
      </w:pPr>
      <w:r>
        <w:rPr/>
        <w:t>procedures and performance targets for full size systems have been evaluated. Systems capable of large-scale production are projected to be available after industrial demonstration in</w:t>
      </w:r>
      <w:r>
        <w:rPr>
          <w:spacing w:val="-36"/>
        </w:rPr>
        <w:t> </w:t>
      </w:r>
      <w:r>
        <w:rPr>
          <w:spacing w:val="-3"/>
        </w:rPr>
        <w:t>about </w:t>
      </w:r>
      <w:r>
        <w:rPr/>
        <w:t>7 years time (Armstrong </w:t>
      </w:r>
      <w:r>
        <w:rPr>
          <w:i/>
        </w:rPr>
        <w:t>et al.</w:t>
      </w:r>
      <w:r>
        <w:rPr/>
        <w:t>,</w:t>
      </w:r>
      <w:r>
        <w:rPr>
          <w:spacing w:val="-2"/>
        </w:rPr>
        <w:t> </w:t>
      </w:r>
      <w:r>
        <w:rPr/>
        <w:t>2002).</w:t>
      </w:r>
    </w:p>
    <w:p>
      <w:pPr>
        <w:pStyle w:val="BodyText"/>
        <w:spacing w:before="2"/>
        <w:rPr>
          <w:sz w:val="21"/>
        </w:rPr>
      </w:pPr>
    </w:p>
    <w:p>
      <w:pPr>
        <w:pStyle w:val="Heading2"/>
        <w:numPr>
          <w:ilvl w:val="2"/>
          <w:numId w:val="5"/>
        </w:numPr>
        <w:tabs>
          <w:tab w:pos="1333" w:val="left" w:leader="none"/>
          <w:tab w:pos="1334" w:val="left" w:leader="none"/>
        </w:tabs>
        <w:spacing w:line="240" w:lineRule="auto" w:before="0" w:after="0"/>
        <w:ind w:left="1333" w:right="0" w:hanging="821"/>
        <w:jc w:val="left"/>
        <w:rPr>
          <w:i/>
        </w:rPr>
      </w:pPr>
      <w:r>
        <w:rPr>
          <w:i/>
        </w:rPr>
        <w:t>Chemical looping combustion</w:t>
      </w:r>
    </w:p>
    <w:p>
      <w:pPr>
        <w:pStyle w:val="BodyText"/>
        <w:spacing w:before="3"/>
        <w:rPr>
          <w:b/>
          <w:i/>
          <w:sz w:val="21"/>
        </w:rPr>
      </w:pPr>
    </w:p>
    <w:p>
      <w:pPr>
        <w:pStyle w:val="BodyText"/>
        <w:spacing w:line="240" w:lineRule="exact"/>
        <w:ind w:left="513"/>
        <w:jc w:val="both"/>
      </w:pPr>
      <w:r>
        <w:rPr/>
        <w:t>Originally proposed by Richter and Knoche (1983) and with subsequent</w:t>
      </w:r>
      <w:r>
        <w:rPr>
          <w:spacing w:val="-26"/>
        </w:rPr>
        <w:t> </w:t>
      </w:r>
      <w:r>
        <w:rPr/>
        <w:t>significant</w:t>
      </w:r>
      <w:r>
        <w:rPr>
          <w:spacing w:val="-26"/>
        </w:rPr>
        <w:t> </w:t>
      </w:r>
      <w:r>
        <w:rPr/>
        <w:t>contributions</w:t>
      </w:r>
      <w:r>
        <w:rPr>
          <w:spacing w:val="-26"/>
        </w:rPr>
        <w:t> </w:t>
      </w:r>
      <w:r>
        <w:rPr/>
        <w:t>by</w:t>
      </w:r>
      <w:r>
        <w:rPr>
          <w:spacing w:val="-26"/>
        </w:rPr>
        <w:t> </w:t>
      </w:r>
      <w:r>
        <w:rPr/>
        <w:t>Ishida</w:t>
      </w:r>
      <w:r>
        <w:rPr>
          <w:spacing w:val="-25"/>
        </w:rPr>
        <w:t> </w:t>
      </w:r>
      <w:r>
        <w:rPr/>
        <w:t>and</w:t>
      </w:r>
      <w:r>
        <w:rPr>
          <w:spacing w:val="-26"/>
        </w:rPr>
        <w:t> </w:t>
      </w:r>
      <w:r>
        <w:rPr/>
        <w:t>Jin</w:t>
      </w:r>
      <w:r>
        <w:rPr>
          <w:spacing w:val="-25"/>
        </w:rPr>
        <w:t> </w:t>
      </w:r>
      <w:r>
        <w:rPr/>
        <w:t>(1994),</w:t>
      </w:r>
      <w:r>
        <w:rPr>
          <w:spacing w:val="-26"/>
        </w:rPr>
        <w:t> </w:t>
      </w:r>
      <w:r>
        <w:rPr/>
        <w:t>the main</w:t>
      </w:r>
      <w:r>
        <w:rPr>
          <w:spacing w:val="-17"/>
        </w:rPr>
        <w:t> </w:t>
      </w:r>
      <w:r>
        <w:rPr/>
        <w:t>idea</w:t>
      </w:r>
      <w:r>
        <w:rPr>
          <w:spacing w:val="-16"/>
        </w:rPr>
        <w:t> </w:t>
      </w:r>
      <w:r>
        <w:rPr/>
        <w:t>of</w:t>
      </w:r>
      <w:r>
        <w:rPr>
          <w:spacing w:val="-17"/>
        </w:rPr>
        <w:t> </w:t>
      </w:r>
      <w:r>
        <w:rPr/>
        <w:t>chemical</w:t>
      </w:r>
      <w:r>
        <w:rPr>
          <w:spacing w:val="-16"/>
        </w:rPr>
        <w:t> </w:t>
      </w:r>
      <w:r>
        <w:rPr/>
        <w:t>looping</w:t>
      </w:r>
      <w:r>
        <w:rPr>
          <w:spacing w:val="-17"/>
        </w:rPr>
        <w:t> </w:t>
      </w:r>
      <w:r>
        <w:rPr/>
        <w:t>combustion</w:t>
      </w:r>
      <w:r>
        <w:rPr>
          <w:spacing w:val="-16"/>
        </w:rPr>
        <w:t> </w:t>
      </w:r>
      <w:r>
        <w:rPr/>
        <w:t>is</w:t>
      </w:r>
      <w:r>
        <w:rPr>
          <w:spacing w:val="-16"/>
        </w:rPr>
        <w:t> </w:t>
      </w:r>
      <w:r>
        <w:rPr/>
        <w:t>to</w:t>
      </w:r>
      <w:r>
        <w:rPr>
          <w:spacing w:val="-17"/>
        </w:rPr>
        <w:t> </w:t>
      </w:r>
      <w:r>
        <w:rPr/>
        <w:t>split</w:t>
      </w:r>
      <w:r>
        <w:rPr>
          <w:spacing w:val="-16"/>
        </w:rPr>
        <w:t> </w:t>
      </w:r>
      <w:r>
        <w:rPr/>
        <w:t>combustion of a hydrocarbon or carbonaceous fuel into separate oxidation and reduction reactions by introducing a suitable metal oxide as an oxygen carrier to circulate between two reactors (Figure 3.13). Separation of oxygen from air is accomplished by fixing the</w:t>
      </w:r>
      <w:r>
        <w:rPr>
          <w:spacing w:val="-7"/>
        </w:rPr>
        <w:t> </w:t>
      </w:r>
      <w:r>
        <w:rPr/>
        <w:t>oxygen</w:t>
      </w:r>
      <w:r>
        <w:rPr>
          <w:spacing w:val="-7"/>
        </w:rPr>
        <w:t> </w:t>
      </w:r>
      <w:r>
        <w:rPr/>
        <w:t>as</w:t>
      </w:r>
      <w:r>
        <w:rPr>
          <w:spacing w:val="-7"/>
        </w:rPr>
        <w:t> </w:t>
      </w:r>
      <w:r>
        <w:rPr/>
        <w:t>a</w:t>
      </w:r>
      <w:r>
        <w:rPr>
          <w:spacing w:val="-7"/>
        </w:rPr>
        <w:t> </w:t>
      </w:r>
      <w:r>
        <w:rPr/>
        <w:t>metal</w:t>
      </w:r>
      <w:r>
        <w:rPr>
          <w:spacing w:val="-7"/>
        </w:rPr>
        <w:t> </w:t>
      </w:r>
      <w:r>
        <w:rPr/>
        <w:t>oxide.</w:t>
      </w:r>
      <w:r>
        <w:rPr>
          <w:spacing w:val="-7"/>
        </w:rPr>
        <w:t> </w:t>
      </w:r>
      <w:r>
        <w:rPr/>
        <w:t>No</w:t>
      </w:r>
      <w:r>
        <w:rPr>
          <w:spacing w:val="-7"/>
        </w:rPr>
        <w:t> </w:t>
      </w:r>
      <w:r>
        <w:rPr/>
        <w:t>air</w:t>
      </w:r>
      <w:r>
        <w:rPr>
          <w:spacing w:val="-7"/>
        </w:rPr>
        <w:t> </w:t>
      </w:r>
      <w:r>
        <w:rPr/>
        <w:t>separation</w:t>
      </w:r>
      <w:r>
        <w:rPr>
          <w:spacing w:val="-6"/>
        </w:rPr>
        <w:t> </w:t>
      </w:r>
      <w:r>
        <w:rPr/>
        <w:t>plant</w:t>
      </w:r>
      <w:r>
        <w:rPr>
          <w:spacing w:val="-7"/>
        </w:rPr>
        <w:t> </w:t>
      </w:r>
      <w:r>
        <w:rPr/>
        <w:t>is</w:t>
      </w:r>
      <w:r>
        <w:rPr>
          <w:spacing w:val="-7"/>
        </w:rPr>
        <w:t> </w:t>
      </w:r>
      <w:r>
        <w:rPr/>
        <w:t>required. The reaction between fuel and oxygen is accomplished in </w:t>
      </w:r>
      <w:r>
        <w:rPr>
          <w:spacing w:val="-13"/>
        </w:rPr>
        <w:t>a </w:t>
      </w:r>
      <w:r>
        <w:rPr/>
        <w:t>second</w:t>
      </w:r>
      <w:r>
        <w:rPr>
          <w:spacing w:val="-6"/>
        </w:rPr>
        <w:t> </w:t>
      </w:r>
      <w:r>
        <w:rPr/>
        <w:t>reactor</w:t>
      </w:r>
      <w:r>
        <w:rPr>
          <w:spacing w:val="-5"/>
        </w:rPr>
        <w:t> </w:t>
      </w:r>
      <w:r>
        <w:rPr/>
        <w:t>by</w:t>
      </w:r>
      <w:r>
        <w:rPr>
          <w:spacing w:val="-6"/>
        </w:rPr>
        <w:t> </w:t>
      </w:r>
      <w:r>
        <w:rPr/>
        <w:t>the</w:t>
      </w:r>
      <w:r>
        <w:rPr>
          <w:spacing w:val="-5"/>
        </w:rPr>
        <w:t> </w:t>
      </w:r>
      <w:r>
        <w:rPr/>
        <w:t>release</w:t>
      </w:r>
      <w:r>
        <w:rPr>
          <w:spacing w:val="-6"/>
        </w:rPr>
        <w:t> </w:t>
      </w:r>
      <w:r>
        <w:rPr/>
        <w:t>of</w:t>
      </w:r>
      <w:r>
        <w:rPr>
          <w:spacing w:val="-5"/>
        </w:rPr>
        <w:t> </w:t>
      </w:r>
      <w:r>
        <w:rPr/>
        <w:t>oxygen</w:t>
      </w:r>
      <w:r>
        <w:rPr>
          <w:spacing w:val="-6"/>
        </w:rPr>
        <w:t> </w:t>
      </w:r>
      <w:r>
        <w:rPr/>
        <w:t>from</w:t>
      </w:r>
      <w:r>
        <w:rPr>
          <w:spacing w:val="-5"/>
        </w:rPr>
        <w:t> </w:t>
      </w:r>
      <w:r>
        <w:rPr/>
        <w:t>the</w:t>
      </w:r>
      <w:r>
        <w:rPr>
          <w:spacing w:val="-5"/>
        </w:rPr>
        <w:t> </w:t>
      </w:r>
      <w:r>
        <w:rPr/>
        <w:t>metal</w:t>
      </w:r>
      <w:r>
        <w:rPr>
          <w:spacing w:val="-6"/>
        </w:rPr>
        <w:t> </w:t>
      </w:r>
      <w:r>
        <w:rPr/>
        <w:t>oxide</w:t>
      </w:r>
      <w:r>
        <w:rPr>
          <w:spacing w:val="-5"/>
        </w:rPr>
        <w:t> </w:t>
      </w:r>
      <w:r>
        <w:rPr/>
        <w:t>in a</w:t>
      </w:r>
      <w:r>
        <w:rPr>
          <w:spacing w:val="-10"/>
        </w:rPr>
        <w:t> </w:t>
      </w:r>
      <w:r>
        <w:rPr/>
        <w:t>reducing</w:t>
      </w:r>
      <w:r>
        <w:rPr>
          <w:spacing w:val="-10"/>
        </w:rPr>
        <w:t> </w:t>
      </w:r>
      <w:r>
        <w:rPr/>
        <w:t>atmosphere</w:t>
      </w:r>
      <w:r>
        <w:rPr>
          <w:spacing w:val="-10"/>
        </w:rPr>
        <w:t> </w:t>
      </w:r>
      <w:r>
        <w:rPr/>
        <w:t>caused</w:t>
      </w:r>
      <w:r>
        <w:rPr>
          <w:spacing w:val="-10"/>
        </w:rPr>
        <w:t> </w:t>
      </w:r>
      <w:r>
        <w:rPr/>
        <w:t>by</w:t>
      </w:r>
      <w:r>
        <w:rPr>
          <w:spacing w:val="-9"/>
        </w:rPr>
        <w:t> </w:t>
      </w:r>
      <w:r>
        <w:rPr/>
        <w:t>the</w:t>
      </w:r>
      <w:r>
        <w:rPr>
          <w:spacing w:val="-10"/>
        </w:rPr>
        <w:t> </w:t>
      </w:r>
      <w:r>
        <w:rPr/>
        <w:t>presence</w:t>
      </w:r>
      <w:r>
        <w:rPr>
          <w:spacing w:val="-10"/>
        </w:rPr>
        <w:t> </w:t>
      </w:r>
      <w:r>
        <w:rPr/>
        <w:t>of</w:t>
      </w:r>
      <w:r>
        <w:rPr>
          <w:spacing w:val="-10"/>
        </w:rPr>
        <w:t> </w:t>
      </w:r>
      <w:r>
        <w:rPr/>
        <w:t>a</w:t>
      </w:r>
      <w:r>
        <w:rPr>
          <w:spacing w:val="-10"/>
        </w:rPr>
        <w:t> </w:t>
      </w:r>
      <w:r>
        <w:rPr/>
        <w:t>hydrocarbon or carbonaceous fuel. The recycle rate of the solid material between the two reactors and the average solids residence time in each reactor, control the heat balance and the temperature levels in each reactor. The effect of having combustion in </w:t>
      </w:r>
      <w:r>
        <w:rPr>
          <w:spacing w:val="-5"/>
        </w:rPr>
        <w:t>two </w:t>
      </w:r>
      <w:r>
        <w:rPr/>
        <w:t>reactors</w:t>
      </w:r>
      <w:r>
        <w:rPr>
          <w:spacing w:val="-7"/>
        </w:rPr>
        <w:t> </w:t>
      </w:r>
      <w:r>
        <w:rPr/>
        <w:t>compared</w:t>
      </w:r>
      <w:r>
        <w:rPr>
          <w:spacing w:val="-6"/>
        </w:rPr>
        <w:t> </w:t>
      </w:r>
      <w:r>
        <w:rPr/>
        <w:t>to</w:t>
      </w:r>
      <w:r>
        <w:rPr>
          <w:spacing w:val="-6"/>
        </w:rPr>
        <w:t> </w:t>
      </w:r>
      <w:r>
        <w:rPr/>
        <w:t>conventional</w:t>
      </w:r>
      <w:r>
        <w:rPr>
          <w:spacing w:val="-6"/>
        </w:rPr>
        <w:t> </w:t>
      </w:r>
      <w:r>
        <w:rPr/>
        <w:t>combustion</w:t>
      </w:r>
      <w:r>
        <w:rPr>
          <w:spacing w:val="-6"/>
        </w:rPr>
        <w:t> </w:t>
      </w:r>
      <w:r>
        <w:rPr/>
        <w:t>in</w:t>
      </w:r>
      <w:r>
        <w:rPr>
          <w:spacing w:val="-7"/>
        </w:rPr>
        <w:t> </w:t>
      </w:r>
      <w:r>
        <w:rPr/>
        <w:t>a</w:t>
      </w:r>
      <w:r>
        <w:rPr>
          <w:spacing w:val="-6"/>
        </w:rPr>
        <w:t> </w:t>
      </w:r>
      <w:r>
        <w:rPr/>
        <w:t>single</w:t>
      </w:r>
      <w:r>
        <w:rPr>
          <w:spacing w:val="-6"/>
        </w:rPr>
        <w:t> </w:t>
      </w:r>
      <w:r>
        <w:rPr/>
        <w:t>stage is</w:t>
      </w:r>
      <w:r>
        <w:rPr>
          <w:spacing w:val="-15"/>
        </w:rPr>
        <w:t> </w:t>
      </w:r>
      <w:r>
        <w:rPr/>
        <w:t>that</w:t>
      </w:r>
      <w:r>
        <w:rPr>
          <w:spacing w:val="-14"/>
        </w:rPr>
        <w:t> </w:t>
      </w:r>
      <w:r>
        <w:rPr/>
        <w:t>the</w:t>
      </w:r>
      <w:r>
        <w:rPr>
          <w:spacing w:val="-14"/>
        </w:rPr>
        <w:t> </w:t>
      </w:r>
      <w:r>
        <w:rPr/>
        <w:t>CO</w:t>
      </w:r>
      <w:r>
        <w:rPr>
          <w:position w:val="-6"/>
          <w:sz w:val="11"/>
        </w:rPr>
        <w:t>2</w:t>
      </w:r>
      <w:r>
        <w:rPr>
          <w:spacing w:val="8"/>
          <w:position w:val="-6"/>
          <w:sz w:val="11"/>
        </w:rPr>
        <w:t> </w:t>
      </w:r>
      <w:r>
        <w:rPr/>
        <w:t>is</w:t>
      </w:r>
      <w:r>
        <w:rPr>
          <w:spacing w:val="-14"/>
        </w:rPr>
        <w:t> </w:t>
      </w:r>
      <w:r>
        <w:rPr/>
        <w:t>not</w:t>
      </w:r>
      <w:r>
        <w:rPr>
          <w:spacing w:val="-14"/>
        </w:rPr>
        <w:t> </w:t>
      </w:r>
      <w:r>
        <w:rPr/>
        <w:t>diluted</w:t>
      </w:r>
      <w:r>
        <w:rPr>
          <w:spacing w:val="-14"/>
        </w:rPr>
        <w:t> </w:t>
      </w:r>
      <w:r>
        <w:rPr/>
        <w:t>with</w:t>
      </w:r>
      <w:r>
        <w:rPr>
          <w:spacing w:val="-15"/>
        </w:rPr>
        <w:t> </w:t>
      </w:r>
      <w:r>
        <w:rPr/>
        <w:t>nitrogen</w:t>
      </w:r>
      <w:r>
        <w:rPr>
          <w:spacing w:val="-14"/>
        </w:rPr>
        <w:t> </w:t>
      </w:r>
      <w:r>
        <w:rPr/>
        <w:t>gas,</w:t>
      </w:r>
      <w:r>
        <w:rPr>
          <w:spacing w:val="-14"/>
        </w:rPr>
        <w:t> </w:t>
      </w:r>
      <w:r>
        <w:rPr/>
        <w:t>but</w:t>
      </w:r>
      <w:r>
        <w:rPr>
          <w:spacing w:val="-14"/>
        </w:rPr>
        <w:t> </w:t>
      </w:r>
      <w:r>
        <w:rPr/>
        <w:t>is</w:t>
      </w:r>
      <w:r>
        <w:rPr>
          <w:spacing w:val="-14"/>
        </w:rPr>
        <w:t> </w:t>
      </w:r>
      <w:r>
        <w:rPr/>
        <w:t>almost</w:t>
      </w:r>
      <w:r>
        <w:rPr>
          <w:spacing w:val="-14"/>
        </w:rPr>
        <w:t> </w:t>
      </w:r>
      <w:r>
        <w:rPr>
          <w:spacing w:val="-3"/>
        </w:rPr>
        <w:t>pure </w:t>
      </w:r>
      <w:r>
        <w:rPr/>
        <w:t>after separation from </w:t>
      </w:r>
      <w:r>
        <w:rPr>
          <w:spacing w:val="-3"/>
        </w:rPr>
        <w:t>water, </w:t>
      </w:r>
      <w:r>
        <w:rPr/>
        <w:t>without requiring any extra energy demand and costly external equipment for CO</w:t>
      </w:r>
      <w:r>
        <w:rPr>
          <w:position w:val="-6"/>
          <w:sz w:val="11"/>
        </w:rPr>
        <w:t>2</w:t>
      </w:r>
      <w:r>
        <w:rPr>
          <w:spacing w:val="17"/>
          <w:position w:val="-6"/>
          <w:sz w:val="11"/>
        </w:rPr>
        <w:t> </w:t>
      </w:r>
      <w:r>
        <w:rPr/>
        <w:t>separation.</w:t>
      </w:r>
    </w:p>
    <w:p>
      <w:pPr>
        <w:pStyle w:val="BodyText"/>
        <w:spacing w:line="249" w:lineRule="auto" w:before="5"/>
        <w:ind w:left="513" w:firstLine="284"/>
        <w:jc w:val="both"/>
      </w:pPr>
      <w:r>
        <w:rPr/>
        <w:t>Possible</w:t>
      </w:r>
      <w:r>
        <w:rPr>
          <w:spacing w:val="-22"/>
        </w:rPr>
        <w:t> </w:t>
      </w:r>
      <w:r>
        <w:rPr/>
        <w:t>metal</w:t>
      </w:r>
      <w:r>
        <w:rPr>
          <w:spacing w:val="-20"/>
        </w:rPr>
        <w:t> </w:t>
      </w:r>
      <w:r>
        <w:rPr/>
        <w:t>oxides</w:t>
      </w:r>
      <w:r>
        <w:rPr>
          <w:spacing w:val="-20"/>
        </w:rPr>
        <w:t> </w:t>
      </w:r>
      <w:r>
        <w:rPr/>
        <w:t>are</w:t>
      </w:r>
      <w:r>
        <w:rPr>
          <w:spacing w:val="-20"/>
        </w:rPr>
        <w:t> </w:t>
      </w:r>
      <w:r>
        <w:rPr/>
        <w:t>some</w:t>
      </w:r>
      <w:r>
        <w:rPr>
          <w:spacing w:val="-21"/>
        </w:rPr>
        <w:t> </w:t>
      </w:r>
      <w:r>
        <w:rPr/>
        <w:t>oxides</w:t>
      </w:r>
      <w:r>
        <w:rPr>
          <w:spacing w:val="-21"/>
        </w:rPr>
        <w:t> </w:t>
      </w:r>
      <w:r>
        <w:rPr/>
        <w:t>of</w:t>
      </w:r>
      <w:r>
        <w:rPr>
          <w:spacing w:val="-20"/>
        </w:rPr>
        <w:t> </w:t>
      </w:r>
      <w:r>
        <w:rPr/>
        <w:t>common</w:t>
      </w:r>
      <w:r>
        <w:rPr>
          <w:spacing w:val="-20"/>
        </w:rPr>
        <w:t> </w:t>
      </w:r>
      <w:r>
        <w:rPr/>
        <w:t>transition- state metals, such as iron, nickel, copper and manganese</w:t>
      </w:r>
      <w:r>
        <w:rPr>
          <w:spacing w:val="-25"/>
        </w:rPr>
        <w:t> </w:t>
      </w:r>
      <w:r>
        <w:rPr/>
        <w:t>(Zafar </w:t>
      </w:r>
      <w:r>
        <w:rPr>
          <w:i/>
        </w:rPr>
        <w:t>et al.</w:t>
      </w:r>
      <w:r>
        <w:rPr/>
        <w:t>, 2005). The metal/metal oxide may be present in various forms,</w:t>
      </w:r>
      <w:r>
        <w:rPr>
          <w:spacing w:val="-5"/>
        </w:rPr>
        <w:t> </w:t>
      </w:r>
      <w:r>
        <w:rPr/>
        <w:t>but</w:t>
      </w:r>
      <w:r>
        <w:rPr>
          <w:spacing w:val="-6"/>
        </w:rPr>
        <w:t> </w:t>
      </w:r>
      <w:r>
        <w:rPr/>
        <w:t>most</w:t>
      </w:r>
      <w:r>
        <w:rPr>
          <w:spacing w:val="-5"/>
        </w:rPr>
        <w:t> </w:t>
      </w:r>
      <w:r>
        <w:rPr/>
        <w:t>studies</w:t>
      </w:r>
      <w:r>
        <w:rPr>
          <w:spacing w:val="-6"/>
        </w:rPr>
        <w:t> </w:t>
      </w:r>
      <w:r>
        <w:rPr/>
        <w:t>so</w:t>
      </w:r>
      <w:r>
        <w:rPr>
          <w:spacing w:val="-6"/>
        </w:rPr>
        <w:t> </w:t>
      </w:r>
      <w:r>
        <w:rPr/>
        <w:t>far</w:t>
      </w:r>
      <w:r>
        <w:rPr>
          <w:spacing w:val="-5"/>
        </w:rPr>
        <w:t> </w:t>
      </w:r>
      <w:r>
        <w:rPr/>
        <w:t>have</w:t>
      </w:r>
      <w:r>
        <w:rPr>
          <w:spacing w:val="-6"/>
        </w:rPr>
        <w:t> </w:t>
      </w:r>
      <w:r>
        <w:rPr/>
        <w:t>assumed</w:t>
      </w:r>
      <w:r>
        <w:rPr>
          <w:spacing w:val="-5"/>
        </w:rPr>
        <w:t> </w:t>
      </w:r>
      <w:r>
        <w:rPr/>
        <w:t>the</w:t>
      </w:r>
      <w:r>
        <w:rPr>
          <w:spacing w:val="-6"/>
        </w:rPr>
        <w:t> </w:t>
      </w:r>
      <w:r>
        <w:rPr/>
        <w:t>use</w:t>
      </w:r>
      <w:r>
        <w:rPr>
          <w:spacing w:val="-5"/>
        </w:rPr>
        <w:t> </w:t>
      </w:r>
      <w:r>
        <w:rPr/>
        <w:t>of</w:t>
      </w:r>
      <w:r>
        <w:rPr>
          <w:spacing w:val="-4"/>
        </w:rPr>
        <w:t> </w:t>
      </w:r>
      <w:r>
        <w:rPr/>
        <w:t>particles with diameter 100-500 </w:t>
      </w:r>
      <w:r>
        <w:rPr>
          <w:rFonts w:ascii="Symbol" w:hAnsi="Symbol"/>
        </w:rPr>
        <w:t></w:t>
      </w:r>
      <w:r>
        <w:rPr/>
        <w:t>m. In order to move particles between the two reactors, the particles are fluidized. This method also ensures efficient heat and mass transfer between the gases </w:t>
      </w:r>
      <w:r>
        <w:rPr>
          <w:spacing w:val="-4"/>
        </w:rPr>
        <w:t>and </w:t>
      </w:r>
      <w:r>
        <w:rPr/>
        <w:t>the particles. A critical issue is the long-term mechanical </w:t>
      </w:r>
      <w:r>
        <w:rPr>
          <w:spacing w:val="-4"/>
        </w:rPr>
        <w:t>and </w:t>
      </w:r>
      <w:r>
        <w:rPr/>
        <w:t>chemical</w:t>
      </w:r>
      <w:r>
        <w:rPr>
          <w:spacing w:val="-5"/>
        </w:rPr>
        <w:t> </w:t>
      </w:r>
      <w:r>
        <w:rPr/>
        <w:t>stability</w:t>
      </w:r>
      <w:r>
        <w:rPr>
          <w:spacing w:val="-4"/>
        </w:rPr>
        <w:t> </w:t>
      </w:r>
      <w:r>
        <w:rPr/>
        <w:t>of</w:t>
      </w:r>
      <w:r>
        <w:rPr>
          <w:spacing w:val="-4"/>
        </w:rPr>
        <w:t> </w:t>
      </w:r>
      <w:r>
        <w:rPr/>
        <w:t>the</w:t>
      </w:r>
      <w:r>
        <w:rPr>
          <w:spacing w:val="-5"/>
        </w:rPr>
        <w:t> </w:t>
      </w:r>
      <w:r>
        <w:rPr/>
        <w:t>particles</w:t>
      </w:r>
      <w:r>
        <w:rPr>
          <w:spacing w:val="-4"/>
        </w:rPr>
        <w:t> </w:t>
      </w:r>
      <w:r>
        <w:rPr/>
        <w:t>that</w:t>
      </w:r>
      <w:r>
        <w:rPr>
          <w:spacing w:val="-4"/>
        </w:rPr>
        <w:t> </w:t>
      </w:r>
      <w:r>
        <w:rPr/>
        <w:t>have</w:t>
      </w:r>
      <w:r>
        <w:rPr>
          <w:spacing w:val="-5"/>
        </w:rPr>
        <w:t> </w:t>
      </w:r>
      <w:r>
        <w:rPr/>
        <w:t>to</w:t>
      </w:r>
      <w:r>
        <w:rPr>
          <w:spacing w:val="-4"/>
        </w:rPr>
        <w:t> </w:t>
      </w:r>
      <w:r>
        <w:rPr/>
        <w:t>undergo</w:t>
      </w:r>
      <w:r>
        <w:rPr>
          <w:spacing w:val="-4"/>
        </w:rPr>
        <w:t> </w:t>
      </w:r>
      <w:r>
        <w:rPr/>
        <w:t>repeated cycles of oxidation and reduction, to minimize the </w:t>
      </w:r>
      <w:r>
        <w:rPr>
          <w:spacing w:val="-3"/>
        </w:rPr>
        <w:t>make-up </w:t>
      </w:r>
      <w:r>
        <w:rPr/>
        <w:t>requirement. When a chemical looping cycle is used in a gas turbine cycle, the mechanical strength for crushing and the filtration system is important to avoid damaging carry-over to the turbine.</w:t>
      </w:r>
    </w:p>
    <w:p>
      <w:pPr>
        <w:pStyle w:val="BodyText"/>
        <w:spacing w:line="235" w:lineRule="auto"/>
        <w:ind w:left="513" w:firstLine="284"/>
        <w:jc w:val="both"/>
      </w:pPr>
      <w:r>
        <w:rPr/>
        <w:t>The temperature in the reactors, according to available information in the literature, may be in the range 800</w:t>
      </w:r>
      <w:r>
        <w:rPr>
          <w:rFonts w:ascii="Symbol" w:hAnsi="Symbol"/>
        </w:rPr>
        <w:t></w:t>
      </w:r>
      <w:r>
        <w:rPr/>
        <w:t>C-</w:t>
      </w:r>
    </w:p>
    <w:p>
      <w:pPr>
        <w:pStyle w:val="BodyText"/>
        <w:spacing w:before="5"/>
        <w:rPr>
          <w:sz w:val="26"/>
        </w:rPr>
      </w:pPr>
      <w:r>
        <w:rPr/>
        <w:pict>
          <v:group style="position:absolute;margin-left:56.462002pt;margin-top:17.164268pt;width:252.4pt;height:112.75pt;mso-position-horizontal-relative:page;mso-position-vertical-relative:paragraph;z-index:-251611136;mso-wrap-distance-left:0;mso-wrap-distance-right:0" coordorigin="1129,343" coordsize="5048,2255">
            <v:shape style="position:absolute;left:1185;top:483;width:4936;height:1974" type="#_x0000_t75" stroked="false">
              <v:imagedata r:id="rId170" o:title=""/>
            </v:shape>
            <v:rect style="position:absolute;left:1134;top:348;width:5038;height:2245" filled="false" stroked="true" strokeweight=".5pt" strokecolor="#000000">
              <v:stroke dashstyle="solid"/>
            </v:rect>
            <w10:wrap type="topAndBottom"/>
          </v:group>
        </w:pict>
      </w:r>
    </w:p>
    <w:p>
      <w:pPr>
        <w:spacing w:line="254" w:lineRule="auto" w:before="42"/>
        <w:ind w:left="509" w:right="3" w:firstLine="0"/>
        <w:jc w:val="both"/>
        <w:rPr>
          <w:sz w:val="18"/>
        </w:rPr>
      </w:pPr>
      <w:r>
        <w:rPr>
          <w:b/>
          <w:sz w:val="18"/>
        </w:rPr>
        <w:t>Figure 3.13 </w:t>
      </w:r>
      <w:r>
        <w:rPr>
          <w:sz w:val="18"/>
        </w:rPr>
        <w:t>The chemical looping combustion principle in a gas turbine cycle.</w:t>
      </w:r>
    </w:p>
    <w:p>
      <w:pPr>
        <w:pStyle w:val="BodyText"/>
        <w:spacing w:line="249" w:lineRule="auto" w:before="9"/>
        <w:ind w:left="241" w:right="733"/>
        <w:jc w:val="both"/>
      </w:pPr>
      <w:r>
        <w:rPr/>
        <w:br w:type="column"/>
      </w:r>
      <w:r>
        <w:rPr/>
        <w:t>will</w:t>
      </w:r>
      <w:r>
        <w:rPr>
          <w:spacing w:val="-6"/>
        </w:rPr>
        <w:t> </w:t>
      </w:r>
      <w:r>
        <w:rPr/>
        <w:t>always</w:t>
      </w:r>
      <w:r>
        <w:rPr>
          <w:spacing w:val="-6"/>
        </w:rPr>
        <w:t> </w:t>
      </w:r>
      <w:r>
        <w:rPr/>
        <w:t>be</w:t>
      </w:r>
      <w:r>
        <w:rPr>
          <w:spacing w:val="-6"/>
        </w:rPr>
        <w:t> </w:t>
      </w:r>
      <w:r>
        <w:rPr>
          <w:spacing w:val="-4"/>
        </w:rPr>
        <w:t>low.</w:t>
      </w:r>
      <w:r>
        <w:rPr>
          <w:spacing w:val="-9"/>
        </w:rPr>
        <w:t> </w:t>
      </w:r>
      <w:r>
        <w:rPr/>
        <w:t>The</w:t>
      </w:r>
      <w:r>
        <w:rPr>
          <w:spacing w:val="-6"/>
        </w:rPr>
        <w:t> </w:t>
      </w:r>
      <w:r>
        <w:rPr/>
        <w:t>fuel</w:t>
      </w:r>
      <w:r>
        <w:rPr>
          <w:spacing w:val="-6"/>
        </w:rPr>
        <w:t> </w:t>
      </w:r>
      <w:r>
        <w:rPr/>
        <w:t>conversion</w:t>
      </w:r>
      <w:r>
        <w:rPr>
          <w:spacing w:val="-6"/>
        </w:rPr>
        <w:t> </w:t>
      </w:r>
      <w:r>
        <w:rPr/>
        <w:t>in</w:t>
      </w:r>
      <w:r>
        <w:rPr>
          <w:spacing w:val="-6"/>
        </w:rPr>
        <w:t> </w:t>
      </w:r>
      <w:r>
        <w:rPr/>
        <w:t>the</w:t>
      </w:r>
      <w:r>
        <w:rPr>
          <w:spacing w:val="-6"/>
        </w:rPr>
        <w:t> </w:t>
      </w:r>
      <w:r>
        <w:rPr/>
        <w:t>reduction</w:t>
      </w:r>
      <w:r>
        <w:rPr>
          <w:spacing w:val="-6"/>
        </w:rPr>
        <w:t> </w:t>
      </w:r>
      <w:r>
        <w:rPr/>
        <w:t>reactor may not be complete, but it is likely (Cho </w:t>
      </w:r>
      <w:r>
        <w:rPr>
          <w:i/>
        </w:rPr>
        <w:t>et al.</w:t>
      </w:r>
      <w:r>
        <w:rPr/>
        <w:t>, 2002) </w:t>
      </w:r>
      <w:r>
        <w:rPr>
          <w:spacing w:val="-4"/>
        </w:rPr>
        <w:t>that </w:t>
      </w:r>
      <w:r>
        <w:rPr>
          <w:spacing w:val="42"/>
        </w:rPr>
        <w:t> </w:t>
      </w:r>
      <w:r>
        <w:rPr/>
        <w:t>the concentrations of methane and CO when burning natural gas are very small. In order to avoid deposit of carbon in the reduction reactor, it is necessary to use some steam together with the</w:t>
      </w:r>
      <w:r>
        <w:rPr>
          <w:spacing w:val="-2"/>
        </w:rPr>
        <w:t> </w:t>
      </w:r>
      <w:r>
        <w:rPr/>
        <w:t>fuel.</w:t>
      </w:r>
    </w:p>
    <w:p>
      <w:pPr>
        <w:pStyle w:val="BodyText"/>
        <w:spacing w:line="249" w:lineRule="auto" w:before="5"/>
        <w:ind w:left="241" w:right="733" w:firstLine="284"/>
        <w:jc w:val="both"/>
        <w:rPr>
          <w:sz w:val="11"/>
        </w:rPr>
      </w:pPr>
      <w:r>
        <w:rPr/>
        <w:t>The chemical looping principle may be applied either in    a gas turbine cycle with pressurized oxidation and reduction reactors, or in a steam turbine cycle with atmospheric pressure in the reactors. In the case of a gas turbine cycle, the oxidation reactor replaces the combustion chamber of a conventional  gas turbine. The exothermic oxidation reaction provides heat for increasing the air temperature entering the downstream expansion turbine. In addition, the reduction reactor exit stream may also be expanded in a turbine together with steam production for power generation. The cooled low pressure</w:t>
      </w:r>
      <w:r>
        <w:rPr>
          <w:spacing w:val="-1"/>
        </w:rPr>
        <w:t> </w:t>
      </w:r>
      <w:r>
        <w:rPr/>
        <w:t>CO</w:t>
      </w:r>
      <w:r>
        <w:rPr>
          <w:position w:val="-6"/>
          <w:sz w:val="11"/>
        </w:rPr>
        <w:t>2</w:t>
      </w:r>
    </w:p>
    <w:p>
      <w:pPr>
        <w:pStyle w:val="BodyText"/>
        <w:spacing w:line="188" w:lineRule="exact"/>
        <w:ind w:left="241"/>
        <w:jc w:val="both"/>
      </w:pPr>
      <w:r>
        <w:rPr/>
        <w:t>stream</w:t>
      </w:r>
      <w:r>
        <w:rPr>
          <w:spacing w:val="17"/>
        </w:rPr>
        <w:t> </w:t>
      </w:r>
      <w:r>
        <w:rPr/>
        <w:t>will</w:t>
      </w:r>
      <w:r>
        <w:rPr>
          <w:spacing w:val="17"/>
        </w:rPr>
        <w:t> </w:t>
      </w:r>
      <w:r>
        <w:rPr/>
        <w:t>then</w:t>
      </w:r>
      <w:r>
        <w:rPr>
          <w:spacing w:val="18"/>
        </w:rPr>
        <w:t> </w:t>
      </w:r>
      <w:r>
        <w:rPr/>
        <w:t>be</w:t>
      </w:r>
      <w:r>
        <w:rPr>
          <w:spacing w:val="18"/>
        </w:rPr>
        <w:t> </w:t>
      </w:r>
      <w:r>
        <w:rPr/>
        <w:t>compressed</w:t>
      </w:r>
      <w:r>
        <w:rPr>
          <w:spacing w:val="18"/>
        </w:rPr>
        <w:t> </w:t>
      </w:r>
      <w:r>
        <w:rPr/>
        <w:t>to</w:t>
      </w:r>
      <w:r>
        <w:rPr>
          <w:spacing w:val="18"/>
        </w:rPr>
        <w:t> </w:t>
      </w:r>
      <w:r>
        <w:rPr/>
        <w:t>pipeline</w:t>
      </w:r>
      <w:r>
        <w:rPr>
          <w:spacing w:val="18"/>
        </w:rPr>
        <w:t> </w:t>
      </w:r>
      <w:r>
        <w:rPr/>
        <w:t>pressure.</w:t>
      </w:r>
      <w:r>
        <w:rPr>
          <w:spacing w:val="8"/>
        </w:rPr>
        <w:t> </w:t>
      </w:r>
      <w:r>
        <w:rPr/>
        <w:t>Another</w:t>
      </w:r>
    </w:p>
    <w:p>
      <w:pPr>
        <w:pStyle w:val="BodyText"/>
        <w:spacing w:line="240" w:lineRule="exact" w:before="5"/>
        <w:ind w:left="241" w:right="733"/>
        <w:jc w:val="both"/>
      </w:pPr>
      <w:r>
        <w:rPr/>
        <w:t>option is to generate steam using heat transfer surfaces in the oxidation reactor. Current circulating fluidized bed</w:t>
      </w:r>
      <w:r>
        <w:rPr>
          <w:spacing w:val="-28"/>
        </w:rPr>
        <w:t> </w:t>
      </w:r>
      <w:r>
        <w:rPr/>
        <w:t>combustion technology operating at atmospheric pressure in both </w:t>
      </w:r>
      <w:r>
        <w:rPr>
          <w:spacing w:val="-5"/>
        </w:rPr>
        <w:t>the </w:t>
      </w:r>
      <w:r>
        <w:rPr/>
        <w:t>oxidation and reduction stages necessitates the use of a steam turbine cycle for power generation. Using natural gas as fuel in a chemical looping combustion cycle  which  supplies  a  gas turbine combined cycle power plant and delivering </w:t>
      </w:r>
      <w:r>
        <w:rPr>
          <w:spacing w:val="-5"/>
        </w:rPr>
        <w:t>CO</w:t>
      </w:r>
      <w:r>
        <w:rPr>
          <w:spacing w:val="-5"/>
          <w:position w:val="-6"/>
          <w:sz w:val="11"/>
        </w:rPr>
        <w:t>2       </w:t>
      </w:r>
      <w:r>
        <w:rPr/>
        <w:t>at atmospheric pressure, the potential for natural gas fuel-to- electricity conversion efficiency is estimated to be in the </w:t>
      </w:r>
      <w:r>
        <w:rPr>
          <w:spacing w:val="-3"/>
        </w:rPr>
        <w:t>range </w:t>
      </w:r>
      <w:r>
        <w:rPr/>
        <w:t>45-50% (Brandvoll and Bolland, 2004). </w:t>
      </w:r>
      <w:r>
        <w:rPr>
          <w:spacing w:val="-4"/>
        </w:rPr>
        <w:t>Work </w:t>
      </w:r>
      <w:r>
        <w:rPr/>
        <w:t>on chemical looping combustion is currently in the pilot plant and materials research</w:t>
      </w:r>
      <w:r>
        <w:rPr>
          <w:spacing w:val="-1"/>
        </w:rPr>
        <w:t> </w:t>
      </w:r>
      <w:r>
        <w:rPr/>
        <w:t>stage.</w:t>
      </w:r>
    </w:p>
    <w:p>
      <w:pPr>
        <w:pStyle w:val="BodyText"/>
        <w:spacing w:before="3"/>
        <w:rPr>
          <w:sz w:val="21"/>
        </w:rPr>
      </w:pPr>
    </w:p>
    <w:p>
      <w:pPr>
        <w:pStyle w:val="Heading2"/>
        <w:numPr>
          <w:ilvl w:val="2"/>
          <w:numId w:val="5"/>
        </w:numPr>
        <w:tabs>
          <w:tab w:pos="1061" w:val="left" w:leader="none"/>
          <w:tab w:pos="1062" w:val="left" w:leader="none"/>
        </w:tabs>
        <w:spacing w:line="240" w:lineRule="auto" w:before="1" w:after="0"/>
        <w:ind w:left="1061" w:right="0" w:hanging="821"/>
        <w:jc w:val="left"/>
        <w:rPr>
          <w:i/>
        </w:rPr>
      </w:pPr>
      <w:r>
        <w:rPr>
          <w:i/>
        </w:rPr>
        <w:t>Status and</w:t>
      </w:r>
      <w:r>
        <w:rPr>
          <w:i/>
          <w:spacing w:val="-2"/>
        </w:rPr>
        <w:t> </w:t>
      </w:r>
      <w:r>
        <w:rPr>
          <w:i/>
        </w:rPr>
        <w:t>outlook</w:t>
      </w:r>
    </w:p>
    <w:p>
      <w:pPr>
        <w:pStyle w:val="BodyText"/>
        <w:spacing w:before="3"/>
        <w:rPr>
          <w:b/>
          <w:i/>
          <w:sz w:val="21"/>
        </w:rPr>
      </w:pPr>
    </w:p>
    <w:p>
      <w:pPr>
        <w:pStyle w:val="BodyText"/>
        <w:spacing w:line="240" w:lineRule="exact"/>
        <w:ind w:left="241" w:right="732"/>
        <w:jc w:val="both"/>
      </w:pPr>
      <w:r>
        <w:rPr/>
        <w:t>Oxy-fuel combustion applied to furnaces, process heaters, boilers and power generation systems is feasible since no technical barriers for its implementation have been identified. Early use of this capture technology is likely to address applications involving indirect heating in power generation</w:t>
      </w:r>
      <w:r>
        <w:rPr>
          <w:spacing w:val="-33"/>
        </w:rPr>
        <w:t> </w:t>
      </w:r>
      <w:r>
        <w:rPr/>
        <w:t>and process heating (Section 3.4.2), since these options involve the minimal modification of technologies and infrastructure that have hitherto been already developed for the combustion of hydrocarbon</w:t>
      </w:r>
      <w:r>
        <w:rPr>
          <w:spacing w:val="-29"/>
        </w:rPr>
        <w:t> </w:t>
      </w:r>
      <w:r>
        <w:rPr/>
        <w:t>or</w:t>
      </w:r>
      <w:r>
        <w:rPr>
          <w:spacing w:val="-28"/>
        </w:rPr>
        <w:t> </w:t>
      </w:r>
      <w:r>
        <w:rPr/>
        <w:t>carbonaceous</w:t>
      </w:r>
      <w:r>
        <w:rPr>
          <w:spacing w:val="-28"/>
        </w:rPr>
        <w:t> </w:t>
      </w:r>
      <w:r>
        <w:rPr/>
        <w:t>fuels</w:t>
      </w:r>
      <w:r>
        <w:rPr>
          <w:spacing w:val="-28"/>
        </w:rPr>
        <w:t> </w:t>
      </w:r>
      <w:r>
        <w:rPr/>
        <w:t>in</w:t>
      </w:r>
      <w:r>
        <w:rPr>
          <w:spacing w:val="-29"/>
        </w:rPr>
        <w:t> </w:t>
      </w:r>
      <w:r>
        <w:rPr>
          <w:spacing w:val="-3"/>
        </w:rPr>
        <w:t>air.</w:t>
      </w:r>
      <w:r>
        <w:rPr>
          <w:spacing w:val="-28"/>
        </w:rPr>
        <w:t> </w:t>
      </w:r>
      <w:r>
        <w:rPr/>
        <w:t>However,</w:t>
      </w:r>
      <w:r>
        <w:rPr>
          <w:spacing w:val="-28"/>
        </w:rPr>
        <w:t> </w:t>
      </w:r>
      <w:r>
        <w:rPr/>
        <w:t>several</w:t>
      </w:r>
      <w:r>
        <w:rPr>
          <w:spacing w:val="-28"/>
        </w:rPr>
        <w:t> </w:t>
      </w:r>
      <w:r>
        <w:rPr/>
        <w:t>novel applications proposed for direct heating in steam turbine</w:t>
      </w:r>
      <w:r>
        <w:rPr>
          <w:spacing w:val="-28"/>
        </w:rPr>
        <w:t> </w:t>
      </w:r>
      <w:r>
        <w:rPr/>
        <w:t>cycles or gas turbine cycles for power generation (Sections 3.4.3 </w:t>
      </w:r>
      <w:r>
        <w:rPr>
          <w:spacing w:val="-5"/>
        </w:rPr>
        <w:t>and </w:t>
      </w:r>
      <w:r>
        <w:rPr/>
        <w:t>3.4.4) still require the development of new components such</w:t>
      </w:r>
      <w:r>
        <w:rPr>
          <w:spacing w:val="-26"/>
        </w:rPr>
        <w:t> </w:t>
      </w:r>
      <w:r>
        <w:rPr/>
        <w:t>as oxy-fuel combustors, higher temperature tolerant components such as CO</w:t>
      </w:r>
      <w:r>
        <w:rPr>
          <w:position w:val="-6"/>
          <w:sz w:val="11"/>
        </w:rPr>
        <w:t>2</w:t>
      </w:r>
      <w:r>
        <w:rPr/>
        <w:t>- and H</w:t>
      </w:r>
      <w:r>
        <w:rPr>
          <w:position w:val="-6"/>
          <w:sz w:val="11"/>
        </w:rPr>
        <w:t>2</w:t>
      </w:r>
      <w:r>
        <w:rPr/>
        <w:t>O-based turbines with blade cooling, CO</w:t>
      </w:r>
      <w:r>
        <w:rPr>
          <w:position w:val="-6"/>
          <w:sz w:val="11"/>
        </w:rPr>
        <w:t>2 </w:t>
      </w:r>
      <w:r>
        <w:rPr/>
        <w:t>compressors and high temperature ion transport membranes</w:t>
      </w:r>
      <w:r>
        <w:rPr>
          <w:spacing w:val="-28"/>
        </w:rPr>
        <w:t> </w:t>
      </w:r>
      <w:r>
        <w:rPr>
          <w:spacing w:val="-5"/>
        </w:rPr>
        <w:t>for </w:t>
      </w:r>
      <w:r>
        <w:rPr/>
        <w:t>oxygen separation. As for Chemical Looping Combustion, it is currently still at an early stage of</w:t>
      </w:r>
      <w:r>
        <w:rPr>
          <w:spacing w:val="-4"/>
        </w:rPr>
        <w:t> </w:t>
      </w:r>
      <w:r>
        <w:rPr/>
        <w:t>development.</w:t>
      </w:r>
    </w:p>
    <w:p>
      <w:pPr>
        <w:pStyle w:val="BodyText"/>
        <w:spacing w:line="240" w:lineRule="exact"/>
        <w:ind w:left="241" w:right="734" w:firstLine="284"/>
        <w:jc w:val="both"/>
      </w:pPr>
      <w:r>
        <w:rPr/>
        <w:t>The potential for thermal efficiencies for oxy-fuel </w:t>
      </w:r>
      <w:r>
        <w:rPr>
          <w:spacing w:val="-3"/>
        </w:rPr>
        <w:t>cycles </w:t>
      </w:r>
      <w:r>
        <w:rPr/>
        <w:t>with CO</w:t>
      </w:r>
      <w:r>
        <w:rPr>
          <w:position w:val="-6"/>
          <w:sz w:val="11"/>
        </w:rPr>
        <w:t>2 </w:t>
      </w:r>
      <w:r>
        <w:rPr/>
        <w:t>capture, assuming the current state of development  in power plant technology, is depicted in </w:t>
      </w:r>
      <w:hyperlink w:history="true" w:anchor="_bookmark10">
        <w:r>
          <w:rPr/>
          <w:t>Figures 3.6 </w:t>
        </w:r>
      </w:hyperlink>
      <w:r>
        <w:rPr/>
        <w:t>and </w:t>
      </w:r>
      <w:hyperlink w:history="true" w:anchor="_bookmark12">
        <w:r>
          <w:rPr/>
          <w:t>3.7.</w:t>
        </w:r>
      </w:hyperlink>
      <w:r>
        <w:rPr/>
        <w:t> Power generation from pulverized coal fired systems, using supercritical steam conditions presently operate at efficiencies around</w:t>
      </w:r>
      <w:r>
        <w:rPr>
          <w:spacing w:val="20"/>
        </w:rPr>
        <w:t> </w:t>
      </w:r>
      <w:r>
        <w:rPr/>
        <w:t>45%</w:t>
      </w:r>
      <w:r>
        <w:rPr>
          <w:spacing w:val="21"/>
        </w:rPr>
        <w:t> </w:t>
      </w:r>
      <w:r>
        <w:rPr/>
        <w:t>(LHV),</w:t>
      </w:r>
      <w:r>
        <w:rPr>
          <w:spacing w:val="20"/>
        </w:rPr>
        <w:t> </w:t>
      </w:r>
      <w:r>
        <w:rPr/>
        <w:t>while</w:t>
      </w:r>
      <w:r>
        <w:rPr>
          <w:spacing w:val="21"/>
        </w:rPr>
        <w:t> </w:t>
      </w:r>
      <w:r>
        <w:rPr/>
        <w:t>projections</w:t>
      </w:r>
      <w:r>
        <w:rPr>
          <w:spacing w:val="20"/>
        </w:rPr>
        <w:t> </w:t>
      </w:r>
      <w:r>
        <w:rPr/>
        <w:t>to</w:t>
      </w:r>
      <w:r>
        <w:rPr>
          <w:spacing w:val="21"/>
        </w:rPr>
        <w:t> </w:t>
      </w:r>
      <w:r>
        <w:rPr/>
        <w:t>the</w:t>
      </w:r>
      <w:r>
        <w:rPr>
          <w:spacing w:val="20"/>
        </w:rPr>
        <w:t> </w:t>
      </w:r>
      <w:r>
        <w:rPr/>
        <w:t>2010-2020</w:t>
      </w:r>
      <w:r>
        <w:rPr>
          <w:spacing w:val="21"/>
        </w:rPr>
        <w:t> </w:t>
      </w:r>
      <w:r>
        <w:rPr/>
        <w:t>time</w:t>
      </w:r>
    </w:p>
    <w:p>
      <w:pPr>
        <w:spacing w:after="0" w:line="240" w:lineRule="exact"/>
        <w:jc w:val="both"/>
        <w:sectPr>
          <w:type w:val="continuous"/>
          <w:pgSz w:w="12240" w:h="15840"/>
          <w:pgMar w:top="480" w:bottom="280" w:left="620" w:right="0"/>
          <w:cols w:num="2" w:equalWidth="0">
            <w:col w:w="5559" w:space="40"/>
            <w:col w:w="6021"/>
          </w:cols>
        </w:sectPr>
      </w:pPr>
    </w:p>
    <w:p>
      <w:pPr>
        <w:pStyle w:val="BodyText"/>
      </w:pPr>
    </w:p>
    <w:p>
      <w:pPr>
        <w:pStyle w:val="BodyText"/>
        <w:spacing w:before="9"/>
        <w:rPr>
          <w:sz w:val="16"/>
        </w:rPr>
      </w:pPr>
    </w:p>
    <w:p>
      <w:pPr>
        <w:pStyle w:val="BodyText"/>
        <w:tabs>
          <w:tab w:pos="5783" w:val="left" w:leader="none"/>
        </w:tabs>
        <w:spacing w:line="225" w:lineRule="exact" w:before="63"/>
        <w:ind w:left="117"/>
      </w:pPr>
      <w:r>
        <w:rPr/>
        <w:pict>
          <v:shape style="position:absolute;margin-left:447.776703pt;margin-top:23.435938pt;width:2.9pt;height:5.8pt;mso-position-horizontal-relative:page;mso-position-vertical-relative:paragraph;z-index:251707392"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bookmarkStart w:name="3.5 Pre-combustion capture systems" w:id="47"/>
      <w:bookmarkEnd w:id="47"/>
      <w:r>
        <w:rPr/>
      </w:r>
      <w:r>
        <w:rPr/>
        <w:t>frame  are  predicting  efficiencies above 50%  (IEA,</w:t>
      </w:r>
      <w:r>
        <w:rPr>
          <w:spacing w:val="-22"/>
        </w:rPr>
        <w:t> </w:t>
      </w:r>
      <w:r>
        <w:rPr/>
        <w:t>2004)</w:t>
      </w:r>
      <w:r>
        <w:rPr>
          <w:spacing w:val="26"/>
        </w:rPr>
        <w:t> </w:t>
      </w:r>
      <w:r>
        <w:rPr/>
        <w:t>for</w:t>
        <w:tab/>
        <w:t>Partial</w:t>
      </w:r>
      <w:r>
        <w:rPr>
          <w:spacing w:val="-1"/>
        </w:rPr>
        <w:t> </w:t>
      </w:r>
      <w:r>
        <w:rPr/>
        <w:t>oxidation</w:t>
      </w:r>
    </w:p>
    <w:p>
      <w:pPr>
        <w:spacing w:after="0" w:line="225" w:lineRule="exact"/>
        <w:sectPr>
          <w:pgSz w:w="12240" w:h="15840"/>
          <w:pgMar w:header="567" w:footer="0" w:top="760" w:bottom="280" w:left="620" w:right="0"/>
        </w:sectPr>
      </w:pPr>
    </w:p>
    <w:p>
      <w:pPr>
        <w:pStyle w:val="BodyText"/>
        <w:spacing w:before="15"/>
        <w:ind w:left="117"/>
      </w:pPr>
      <w:r>
        <w:rPr/>
        <w:t>plants</w:t>
      </w:r>
      <w:r>
        <w:rPr>
          <w:spacing w:val="27"/>
        </w:rPr>
        <w:t> </w:t>
      </w:r>
      <w:r>
        <w:rPr/>
        <w:t>using</w:t>
      </w:r>
      <w:r>
        <w:rPr>
          <w:spacing w:val="27"/>
        </w:rPr>
        <w:t> </w:t>
      </w:r>
      <w:r>
        <w:rPr/>
        <w:t>ultra-supercritical</w:t>
      </w:r>
      <w:r>
        <w:rPr>
          <w:spacing w:val="27"/>
        </w:rPr>
        <w:t> </w:t>
      </w:r>
      <w:r>
        <w:rPr/>
        <w:t>steam</w:t>
      </w:r>
      <w:r>
        <w:rPr>
          <w:spacing w:val="27"/>
        </w:rPr>
        <w:t> </w:t>
      </w:r>
      <w:r>
        <w:rPr/>
        <w:t>conditions.</w:t>
      </w:r>
      <w:r>
        <w:rPr>
          <w:spacing w:val="16"/>
        </w:rPr>
        <w:t> </w:t>
      </w:r>
      <w:r>
        <w:rPr/>
        <w:t>An</w:t>
      </w:r>
      <w:r>
        <w:rPr>
          <w:spacing w:val="28"/>
        </w:rPr>
        <w:t> </w:t>
      </w:r>
      <w:r>
        <w:rPr/>
        <w:t>increase</w:t>
      </w:r>
    </w:p>
    <w:p>
      <w:pPr>
        <w:pStyle w:val="BodyText"/>
        <w:spacing w:before="10"/>
        <w:ind w:left="117"/>
      </w:pPr>
      <w:r>
        <w:rPr/>
        <w:t>in</w:t>
      </w:r>
      <w:r>
        <w:rPr>
          <w:spacing w:val="25"/>
        </w:rPr>
        <w:t> </w:t>
      </w:r>
      <w:r>
        <w:rPr/>
        <w:t>efficiency</w:t>
      </w:r>
      <w:r>
        <w:rPr>
          <w:spacing w:val="26"/>
        </w:rPr>
        <w:t> </w:t>
      </w:r>
      <w:r>
        <w:rPr/>
        <w:t>of</w:t>
      </w:r>
      <w:r>
        <w:rPr>
          <w:spacing w:val="26"/>
        </w:rPr>
        <w:t> </w:t>
      </w:r>
      <w:r>
        <w:rPr/>
        <w:t>more</w:t>
      </w:r>
      <w:r>
        <w:rPr>
          <w:spacing w:val="26"/>
        </w:rPr>
        <w:t> </w:t>
      </w:r>
      <w:r>
        <w:rPr/>
        <w:t>than</w:t>
      </w:r>
      <w:r>
        <w:rPr>
          <w:spacing w:val="26"/>
        </w:rPr>
        <w:t> </w:t>
      </w:r>
      <w:r>
        <w:rPr/>
        <w:t>5%</w:t>
      </w:r>
      <w:r>
        <w:rPr>
          <w:spacing w:val="26"/>
        </w:rPr>
        <w:t> </w:t>
      </w:r>
      <w:r>
        <w:rPr/>
        <w:t>can</w:t>
      </w:r>
      <w:r>
        <w:rPr>
          <w:spacing w:val="26"/>
        </w:rPr>
        <w:t> </w:t>
      </w:r>
      <w:r>
        <w:rPr/>
        <w:t>therefore</w:t>
      </w:r>
      <w:r>
        <w:rPr>
          <w:spacing w:val="26"/>
        </w:rPr>
        <w:t> </w:t>
      </w:r>
      <w:r>
        <w:rPr/>
        <w:t>be</w:t>
      </w:r>
      <w:r>
        <w:rPr>
          <w:spacing w:val="26"/>
        </w:rPr>
        <w:t> </w:t>
      </w:r>
      <w:r>
        <w:rPr/>
        <w:t>expected</w:t>
      </w:r>
      <w:r>
        <w:rPr>
          <w:spacing w:val="26"/>
        </w:rPr>
        <w:t> </w:t>
      </w:r>
      <w:r>
        <w:rPr/>
        <w:t>for</w:t>
      </w:r>
    </w:p>
    <w:p>
      <w:pPr>
        <w:spacing w:before="15"/>
        <w:ind w:left="117" w:right="0" w:firstLine="0"/>
        <w:jc w:val="left"/>
        <w:rPr>
          <w:sz w:val="11"/>
        </w:rPr>
      </w:pPr>
      <w:r>
        <w:rPr/>
        <w:br w:type="column"/>
      </w:r>
      <w:r>
        <w:rPr>
          <w:sz w:val="20"/>
        </w:rPr>
        <w:t>C</w:t>
      </w:r>
      <w:r>
        <w:rPr>
          <w:position w:val="-6"/>
          <w:sz w:val="11"/>
        </w:rPr>
        <w:t>x</w:t>
      </w:r>
      <w:r>
        <w:rPr>
          <w:sz w:val="20"/>
        </w:rPr>
        <w:t>H</w:t>
      </w:r>
      <w:r>
        <w:rPr>
          <w:position w:val="-6"/>
          <w:sz w:val="11"/>
        </w:rPr>
        <w:t>y</w:t>
      </w:r>
    </w:p>
    <w:p>
      <w:pPr>
        <w:spacing w:before="15"/>
        <w:ind w:left="9" w:right="0" w:firstLine="0"/>
        <w:jc w:val="left"/>
        <w:rPr>
          <w:sz w:val="11"/>
        </w:rPr>
      </w:pPr>
      <w:r>
        <w:rPr/>
        <w:br w:type="column"/>
      </w:r>
      <w:r>
        <w:rPr>
          <w:sz w:val="20"/>
        </w:rPr>
        <w:t>+ x/2O</w:t>
      </w:r>
      <w:r>
        <w:rPr>
          <w:position w:val="-6"/>
          <w:sz w:val="11"/>
        </w:rPr>
        <w:t>2</w:t>
      </w:r>
    </w:p>
    <w:p>
      <w:pPr>
        <w:pStyle w:val="BodyText"/>
        <w:spacing w:before="1"/>
        <w:ind w:left="15"/>
      </w:pPr>
      <w:r>
        <w:rPr/>
        <w:br w:type="column"/>
      </w:r>
      <w:r>
        <w:rPr>
          <w:rFonts w:ascii="Symbol" w:hAnsi="Symbol"/>
        </w:rPr>
        <w:t></w:t>
      </w:r>
      <w:r>
        <w:rPr/>
        <w:t> xCO + (y/2)H</w:t>
      </w:r>
    </w:p>
    <w:p>
      <w:pPr>
        <w:pStyle w:val="BodyText"/>
        <w:tabs>
          <w:tab w:pos="1475" w:val="left" w:leader="none"/>
        </w:tabs>
        <w:spacing w:before="1"/>
        <w:ind w:left="117"/>
      </w:pPr>
      <w:r>
        <w:rPr/>
        <w:br w:type="column"/>
      </w:r>
      <w:r>
        <w:rPr>
          <w:rFonts w:ascii="Symbol" w:hAnsi="Symbol"/>
        </w:rPr>
        <w:t></w:t>
      </w:r>
      <w:r>
        <w:rPr/>
        <w:t>H</w:t>
      </w:r>
      <w:r>
        <w:rPr>
          <w:spacing w:val="-1"/>
        </w:rPr>
        <w:t> </w:t>
      </w:r>
      <w:r>
        <w:rPr/>
        <w:t>–ve</w:t>
        <w:tab/>
        <w:t>(2)</w:t>
      </w:r>
    </w:p>
    <w:p>
      <w:pPr>
        <w:spacing w:after="0"/>
        <w:sectPr>
          <w:type w:val="continuous"/>
          <w:pgSz w:w="12240" w:h="15840"/>
          <w:pgMar w:top="480" w:bottom="280" w:left="620" w:right="0"/>
          <w:cols w:num="5" w:equalWidth="0">
            <w:col w:w="5201" w:space="466"/>
            <w:col w:w="511" w:space="39"/>
            <w:col w:w="631" w:space="40"/>
            <w:col w:w="1488" w:space="290"/>
            <w:col w:w="2954"/>
          </w:cols>
        </w:sectPr>
      </w:pPr>
    </w:p>
    <w:p>
      <w:pPr>
        <w:pStyle w:val="BodyText"/>
        <w:spacing w:line="240" w:lineRule="exact" w:before="5"/>
        <w:ind w:left="116" w:right="38"/>
        <w:jc w:val="both"/>
      </w:pPr>
      <w:bookmarkStart w:name="3.5.1 Introduction" w:id="48"/>
      <w:bookmarkEnd w:id="48"/>
      <w:r>
        <w:rPr/>
      </w:r>
      <w:bookmarkStart w:name="3.5.2 Existing technologies" w:id="49"/>
      <w:bookmarkEnd w:id="49"/>
      <w:r>
        <w:rPr/>
      </w:r>
      <w:r>
        <w:rPr/>
        <w:t>future oxy-fuel capture systems based on coal firing that could potentially match the best efficiencies realisable today </w:t>
      </w:r>
      <w:r>
        <w:rPr>
          <w:spacing w:val="-5"/>
        </w:rPr>
        <w:t>for </w:t>
      </w:r>
      <w:r>
        <w:rPr/>
        <w:t>pulverized coal-fired plants without CO</w:t>
      </w:r>
      <w:r>
        <w:rPr>
          <w:position w:val="-6"/>
          <w:sz w:val="11"/>
        </w:rPr>
        <w:t>2 </w:t>
      </w:r>
      <w:r>
        <w:rPr/>
        <w:t>capture. </w:t>
      </w:r>
      <w:r>
        <w:rPr>
          <w:spacing w:val="-3"/>
        </w:rPr>
        <w:t>Similarly, </w:t>
      </w:r>
      <w:r>
        <w:rPr/>
        <w:t>natural</w:t>
      </w:r>
      <w:r>
        <w:rPr>
          <w:spacing w:val="-6"/>
        </w:rPr>
        <w:t> </w:t>
      </w:r>
      <w:r>
        <w:rPr/>
        <w:t>gas</w:t>
      </w:r>
      <w:r>
        <w:rPr>
          <w:spacing w:val="-5"/>
        </w:rPr>
        <w:t> </w:t>
      </w:r>
      <w:r>
        <w:rPr/>
        <w:t>fired</w:t>
      </w:r>
      <w:r>
        <w:rPr>
          <w:spacing w:val="-5"/>
        </w:rPr>
        <w:t> </w:t>
      </w:r>
      <w:r>
        <w:rPr/>
        <w:t>combined</w:t>
      </w:r>
      <w:r>
        <w:rPr>
          <w:spacing w:val="-6"/>
        </w:rPr>
        <w:t> </w:t>
      </w:r>
      <w:r>
        <w:rPr/>
        <w:t>cycles</w:t>
      </w:r>
      <w:r>
        <w:rPr>
          <w:spacing w:val="-6"/>
        </w:rPr>
        <w:t> </w:t>
      </w:r>
      <w:r>
        <w:rPr/>
        <w:t>will</w:t>
      </w:r>
      <w:r>
        <w:rPr>
          <w:spacing w:val="-5"/>
        </w:rPr>
        <w:t> </w:t>
      </w:r>
      <w:r>
        <w:rPr/>
        <w:t>have</w:t>
      </w:r>
      <w:r>
        <w:rPr>
          <w:spacing w:val="-5"/>
        </w:rPr>
        <w:t> </w:t>
      </w:r>
      <w:r>
        <w:rPr/>
        <w:t>efficiencies</w:t>
      </w:r>
      <w:r>
        <w:rPr>
          <w:spacing w:val="-6"/>
        </w:rPr>
        <w:t> </w:t>
      </w:r>
      <w:r>
        <w:rPr/>
        <w:t>of</w:t>
      </w:r>
      <w:r>
        <w:rPr>
          <w:spacing w:val="-5"/>
        </w:rPr>
        <w:t> </w:t>
      </w:r>
      <w:r>
        <w:rPr/>
        <w:t>65%</w:t>
      </w:r>
    </w:p>
    <w:p>
      <w:pPr>
        <w:pStyle w:val="BodyText"/>
        <w:spacing w:line="206" w:lineRule="auto" w:before="29"/>
        <w:ind w:left="116" w:right="876"/>
      </w:pPr>
      <w:r>
        <w:rPr/>
        <w:br w:type="column"/>
      </w:r>
      <w:r>
        <w:rPr/>
        <w:t>This is followed by the ‘shift’ reaction to convert CO to CO</w:t>
      </w:r>
      <w:r>
        <w:rPr>
          <w:position w:val="-6"/>
          <w:sz w:val="11"/>
        </w:rPr>
        <w:t>2 </w:t>
      </w:r>
      <w:r>
        <w:rPr/>
        <w:t>by the addition of steam (reaction 3):</w:t>
      </w:r>
    </w:p>
    <w:p>
      <w:pPr>
        <w:pStyle w:val="BodyText"/>
        <w:spacing w:before="2"/>
        <w:rPr>
          <w:sz w:val="22"/>
        </w:rPr>
      </w:pPr>
    </w:p>
    <w:p>
      <w:pPr>
        <w:pStyle w:val="BodyText"/>
        <w:spacing w:line="225" w:lineRule="exact"/>
        <w:ind w:left="457"/>
      </w:pPr>
      <w:r>
        <w:rPr/>
        <w:t>Water Gas Shift Reaction</w:t>
      </w:r>
    </w:p>
    <w:p>
      <w:pPr>
        <w:spacing w:after="0" w:line="225" w:lineRule="exact"/>
        <w:sectPr>
          <w:type w:val="continuous"/>
          <w:pgSz w:w="12240" w:h="15840"/>
          <w:pgMar w:top="480" w:bottom="280" w:left="620" w:right="0"/>
          <w:cols w:num="2" w:equalWidth="0">
            <w:col w:w="5201" w:space="126"/>
            <w:col w:w="6293"/>
          </w:cols>
        </w:sectPr>
      </w:pPr>
    </w:p>
    <w:p>
      <w:pPr>
        <w:pStyle w:val="BodyText"/>
        <w:spacing w:line="166" w:lineRule="exact" w:before="5"/>
        <w:ind w:left="116"/>
      </w:pPr>
      <w:r>
        <w:rPr/>
        <w:t>in 2020 (IEA GHG, 2000b and up from current efficiencies</w:t>
      </w:r>
    </w:p>
    <w:p>
      <w:pPr>
        <w:pStyle w:val="BodyText"/>
        <w:spacing w:line="171" w:lineRule="exact"/>
        <w:ind w:left="116"/>
      </w:pPr>
      <w:r>
        <w:rPr/>
        <w:br w:type="column"/>
      </w:r>
      <w:r>
        <w:rPr/>
        <w:t>CO + H O </w:t>
      </w:r>
      <w:r>
        <w:rPr>
          <w:rFonts w:ascii="Symbol" w:hAnsi="Symbol"/>
        </w:rPr>
        <w:t></w:t>
      </w:r>
      <w:r>
        <w:rPr/>
        <w:t> CO + H</w:t>
      </w:r>
    </w:p>
    <w:p>
      <w:pPr>
        <w:pStyle w:val="BodyText"/>
        <w:spacing w:line="171" w:lineRule="exact"/>
        <w:ind w:left="116"/>
      </w:pPr>
      <w:r>
        <w:rPr/>
        <w:br w:type="column"/>
      </w:r>
      <w:r>
        <w:rPr>
          <w:rFonts w:ascii="Symbol" w:hAnsi="Symbol"/>
        </w:rPr>
        <w:t></w:t>
      </w:r>
      <w:r>
        <w:rPr/>
        <w:t>H -41 kJ mol</w:t>
      </w:r>
      <w:r>
        <w:rPr>
          <w:position w:val="7"/>
          <w:sz w:val="11"/>
        </w:rPr>
        <w:t>-1 </w:t>
      </w:r>
      <w:r>
        <w:rPr/>
        <w:t>(3)</w:t>
      </w:r>
    </w:p>
    <w:p>
      <w:pPr>
        <w:spacing w:after="0" w:line="171" w:lineRule="exact"/>
        <w:sectPr>
          <w:type w:val="continuous"/>
          <w:pgSz w:w="12240" w:h="15840"/>
          <w:pgMar w:top="480" w:bottom="280" w:left="620" w:right="0"/>
          <w:cols w:num="3" w:equalWidth="0">
            <w:col w:w="5201" w:space="466"/>
            <w:col w:w="2096" w:space="903"/>
            <w:col w:w="2954"/>
          </w:cols>
        </w:sectPr>
      </w:pPr>
    </w:p>
    <w:p>
      <w:pPr>
        <w:pStyle w:val="BodyText"/>
        <w:spacing w:line="240" w:lineRule="exact" w:before="69"/>
        <w:ind w:left="116" w:right="48"/>
        <w:jc w:val="both"/>
      </w:pPr>
      <w:r>
        <w:rPr/>
        <w:t>between 55 and 58%), which will enable plant efficiencies for natural gas fired oxy-fuel cycles with CO</w:t>
      </w:r>
      <w:r>
        <w:rPr>
          <w:position w:val="-6"/>
          <w:sz w:val="11"/>
        </w:rPr>
        <w:t>2 </w:t>
      </w:r>
      <w:r>
        <w:rPr/>
        <w:t>capture above 50%. The energy penalty for producing oxygen is by far the most important cause for reduced efficiency in an oxy-fuel cycle  compared to a conventional power plant.</w:t>
      </w:r>
    </w:p>
    <w:p>
      <w:pPr>
        <w:pStyle w:val="BodyText"/>
        <w:spacing w:line="240" w:lineRule="exact"/>
        <w:ind w:left="117" w:right="48" w:firstLine="284"/>
        <w:jc w:val="both"/>
      </w:pPr>
      <w:r>
        <w:rPr/>
        <w:t>Current technology development envisages very </w:t>
      </w:r>
      <w:r>
        <w:rPr>
          <w:spacing w:val="-4"/>
        </w:rPr>
        <w:t>high </w:t>
      </w:r>
      <w:r>
        <w:rPr/>
        <w:t>efficiency separation of NO</w:t>
      </w:r>
      <w:r>
        <w:rPr>
          <w:position w:val="-6"/>
          <w:sz w:val="11"/>
        </w:rPr>
        <w:t>x</w:t>
      </w:r>
      <w:r>
        <w:rPr/>
        <w:t>, SO</w:t>
      </w:r>
      <w:r>
        <w:rPr>
          <w:position w:val="-6"/>
          <w:sz w:val="11"/>
        </w:rPr>
        <w:t>x</w:t>
      </w:r>
      <w:r>
        <w:rPr/>
        <w:t>, and Hg, as part of the CO</w:t>
      </w:r>
      <w:r>
        <w:rPr>
          <w:position w:val="-6"/>
          <w:sz w:val="11"/>
        </w:rPr>
        <w:t>2 </w:t>
      </w:r>
      <w:r>
        <w:rPr/>
        <w:t>compression and purification system. Improved separation efficiencies</w:t>
      </w:r>
      <w:r>
        <w:rPr>
          <w:spacing w:val="-5"/>
        </w:rPr>
        <w:t> </w:t>
      </w:r>
      <w:r>
        <w:rPr/>
        <w:t>of</w:t>
      </w:r>
      <w:r>
        <w:rPr>
          <w:spacing w:val="-5"/>
        </w:rPr>
        <w:t> </w:t>
      </w:r>
      <w:r>
        <w:rPr/>
        <w:t>these</w:t>
      </w:r>
      <w:r>
        <w:rPr>
          <w:spacing w:val="-5"/>
        </w:rPr>
        <w:t> </w:t>
      </w:r>
      <w:r>
        <w:rPr/>
        <w:t>contaminants</w:t>
      </w:r>
      <w:r>
        <w:rPr>
          <w:spacing w:val="-4"/>
        </w:rPr>
        <w:t> </w:t>
      </w:r>
      <w:r>
        <w:rPr/>
        <w:t>are</w:t>
      </w:r>
      <w:r>
        <w:rPr>
          <w:spacing w:val="-5"/>
        </w:rPr>
        <w:t> </w:t>
      </w:r>
      <w:r>
        <w:rPr/>
        <w:t>possible</w:t>
      </w:r>
      <w:r>
        <w:rPr>
          <w:spacing w:val="-5"/>
        </w:rPr>
        <w:t> </w:t>
      </w:r>
      <w:r>
        <w:rPr/>
        <w:t>based</w:t>
      </w:r>
      <w:r>
        <w:rPr>
          <w:spacing w:val="-4"/>
        </w:rPr>
        <w:t> </w:t>
      </w:r>
      <w:r>
        <w:rPr/>
        <w:t>on</w:t>
      </w:r>
      <w:r>
        <w:rPr>
          <w:spacing w:val="-5"/>
        </w:rPr>
        <w:t> </w:t>
      </w:r>
      <w:r>
        <w:rPr/>
        <w:t>further process and heat integration in the power cycle.</w:t>
      </w:r>
    </w:p>
    <w:p>
      <w:pPr>
        <w:pStyle w:val="BodyText"/>
        <w:spacing w:line="249" w:lineRule="auto" w:before="5"/>
        <w:ind w:left="117" w:right="48" w:firstLine="284"/>
        <w:jc w:val="both"/>
      </w:pPr>
      <w:r>
        <w:rPr/>
        <w:t>Current</w:t>
      </w:r>
      <w:r>
        <w:rPr>
          <w:spacing w:val="-16"/>
        </w:rPr>
        <w:t> </w:t>
      </w:r>
      <w:r>
        <w:rPr/>
        <w:t>cryogenic</w:t>
      </w:r>
      <w:r>
        <w:rPr>
          <w:spacing w:val="-16"/>
        </w:rPr>
        <w:t> </w:t>
      </w:r>
      <w:r>
        <w:rPr/>
        <w:t>oxygen</w:t>
      </w:r>
      <w:r>
        <w:rPr>
          <w:spacing w:val="-16"/>
        </w:rPr>
        <w:t> </w:t>
      </w:r>
      <w:r>
        <w:rPr/>
        <w:t>technology</w:t>
      </w:r>
      <w:r>
        <w:rPr>
          <w:spacing w:val="-16"/>
        </w:rPr>
        <w:t> </w:t>
      </w:r>
      <w:r>
        <w:rPr/>
        <w:t>is</w:t>
      </w:r>
      <w:r>
        <w:rPr>
          <w:spacing w:val="-16"/>
        </w:rPr>
        <w:t> </w:t>
      </w:r>
      <w:r>
        <w:rPr/>
        <w:t>showing</w:t>
      </w:r>
      <w:r>
        <w:rPr>
          <w:spacing w:val="-16"/>
        </w:rPr>
        <w:t> </w:t>
      </w:r>
      <w:r>
        <w:rPr/>
        <w:t>continuing cost reduction based on improved compressor </w:t>
      </w:r>
      <w:r>
        <w:rPr>
          <w:spacing w:val="-2"/>
        </w:rPr>
        <w:t>efficiencies, </w:t>
      </w:r>
      <w:r>
        <w:rPr/>
        <w:t>more efficient process equipment and larger scale plants. The new high temperature oxygen membrane could significantly improve power generation efficiency and reduce capital</w:t>
      </w:r>
      <w:r>
        <w:rPr>
          <w:spacing w:val="-8"/>
        </w:rPr>
        <w:t> </w:t>
      </w:r>
      <w:r>
        <w:rPr/>
        <w:t>cost.</w:t>
      </w:r>
    </w:p>
    <w:p>
      <w:pPr>
        <w:pStyle w:val="BodyText"/>
        <w:spacing w:line="249" w:lineRule="auto" w:before="4"/>
        <w:ind w:left="117" w:right="48" w:firstLine="284"/>
        <w:jc w:val="both"/>
      </w:pPr>
      <w:r>
        <w:rPr/>
        <w:t>Future oxy-fuel demonstration plants could be based on retrofits to existing equipment such as process heaters </w:t>
      </w:r>
      <w:r>
        <w:rPr>
          <w:spacing w:val="-4"/>
        </w:rPr>
        <w:t>and </w:t>
      </w:r>
      <w:r>
        <w:rPr/>
        <w:t>boilers, in order to minimize development costs and achieve early market </w:t>
      </w:r>
      <w:r>
        <w:rPr>
          <w:spacing w:val="-3"/>
        </w:rPr>
        <w:t>entry. </w:t>
      </w:r>
      <w:r>
        <w:rPr/>
        <w:t>In this respect, power systems of reference for oxy-fuel combustion capture are mainly the steam-based pulverized coal and natural gas fired plants that currently represent</w:t>
      </w:r>
      <w:r>
        <w:rPr>
          <w:spacing w:val="25"/>
        </w:rPr>
        <w:t> </w:t>
      </w:r>
      <w:r>
        <w:rPr/>
        <w:t>up</w:t>
      </w:r>
      <w:r>
        <w:rPr>
          <w:spacing w:val="26"/>
        </w:rPr>
        <w:t> </w:t>
      </w:r>
      <w:r>
        <w:rPr/>
        <w:t>to</w:t>
      </w:r>
      <w:r>
        <w:rPr>
          <w:spacing w:val="25"/>
        </w:rPr>
        <w:t> </w:t>
      </w:r>
      <w:r>
        <w:rPr/>
        <w:t>1468</w:t>
      </w:r>
      <w:r>
        <w:rPr>
          <w:spacing w:val="26"/>
        </w:rPr>
        <w:t> </w:t>
      </w:r>
      <w:r>
        <w:rPr>
          <w:spacing w:val="-5"/>
        </w:rPr>
        <w:t>GW</w:t>
      </w:r>
      <w:r>
        <w:rPr>
          <w:spacing w:val="-5"/>
          <w:position w:val="-6"/>
          <w:sz w:val="11"/>
        </w:rPr>
        <w:t>e</w:t>
      </w:r>
      <w:r>
        <w:rPr>
          <w:spacing w:val="-5"/>
        </w:rPr>
        <w:t>,</w:t>
      </w:r>
      <w:r>
        <w:rPr>
          <w:spacing w:val="25"/>
        </w:rPr>
        <w:t> </w:t>
      </w:r>
      <w:r>
        <w:rPr/>
        <w:t>or</w:t>
      </w:r>
      <w:r>
        <w:rPr>
          <w:spacing w:val="26"/>
        </w:rPr>
        <w:t> </w:t>
      </w:r>
      <w:r>
        <w:rPr/>
        <w:t>40%</w:t>
      </w:r>
      <w:r>
        <w:rPr>
          <w:spacing w:val="25"/>
        </w:rPr>
        <w:t> </w:t>
      </w:r>
      <w:r>
        <w:rPr/>
        <w:t>(IEA</w:t>
      </w:r>
      <w:r>
        <w:rPr>
          <w:spacing w:val="12"/>
        </w:rPr>
        <w:t> </w:t>
      </w:r>
      <w:r>
        <w:rPr/>
        <w:t>WEO,</w:t>
      </w:r>
      <w:r>
        <w:rPr>
          <w:spacing w:val="25"/>
        </w:rPr>
        <w:t> </w:t>
      </w:r>
      <w:r>
        <w:rPr/>
        <w:t>2004)</w:t>
      </w:r>
      <w:r>
        <w:rPr>
          <w:spacing w:val="26"/>
        </w:rPr>
        <w:t> </w:t>
      </w:r>
      <w:r>
        <w:rPr/>
        <w:t>of</w:t>
      </w:r>
      <w:r>
        <w:rPr>
          <w:spacing w:val="25"/>
        </w:rPr>
        <w:t> </w:t>
      </w:r>
      <w:r>
        <w:rPr/>
        <w:t>the</w:t>
      </w:r>
    </w:p>
    <w:p>
      <w:pPr>
        <w:pStyle w:val="BodyText"/>
        <w:spacing w:line="185" w:lineRule="exact"/>
        <w:ind w:left="117"/>
        <w:jc w:val="both"/>
      </w:pPr>
      <w:r>
        <w:rPr/>
        <w:t>existing</w:t>
      </w:r>
      <w:r>
        <w:rPr>
          <w:spacing w:val="-7"/>
        </w:rPr>
        <w:t> </w:t>
      </w:r>
      <w:r>
        <w:rPr/>
        <w:t>global</w:t>
      </w:r>
      <w:r>
        <w:rPr>
          <w:spacing w:val="-6"/>
        </w:rPr>
        <w:t> </w:t>
      </w:r>
      <w:r>
        <w:rPr/>
        <w:t>infrastructure</w:t>
      </w:r>
      <w:r>
        <w:rPr>
          <w:spacing w:val="-7"/>
        </w:rPr>
        <w:t> </w:t>
      </w:r>
      <w:r>
        <w:rPr/>
        <w:t>(see</w:t>
      </w:r>
      <w:r>
        <w:rPr>
          <w:spacing w:val="-6"/>
        </w:rPr>
        <w:t> </w:t>
      </w:r>
      <w:r>
        <w:rPr/>
        <w:t>also</w:t>
      </w:r>
      <w:r>
        <w:rPr>
          <w:spacing w:val="-6"/>
        </w:rPr>
        <w:t> </w:t>
      </w:r>
      <w:r>
        <w:rPr/>
        <w:t>Section</w:t>
      </w:r>
      <w:r>
        <w:rPr>
          <w:spacing w:val="-7"/>
        </w:rPr>
        <w:t> </w:t>
      </w:r>
      <w:r>
        <w:rPr/>
        <w:t>3.1.2.3).</w:t>
      </w:r>
      <w:r>
        <w:rPr>
          <w:spacing w:val="-5"/>
        </w:rPr>
        <w:t> </w:t>
      </w:r>
      <w:r>
        <w:rPr/>
        <w:t>Several</w:t>
      </w:r>
    </w:p>
    <w:p>
      <w:pPr>
        <w:pStyle w:val="BodyText"/>
        <w:spacing w:line="240" w:lineRule="exact" w:before="5"/>
        <w:ind w:left="117" w:right="38"/>
        <w:jc w:val="both"/>
      </w:pPr>
      <w:r>
        <w:rPr/>
        <w:t>demonstration units may be expected within the next few years particularly in Europe, USA, Canada and Australia where active research initiatives are currently underway. As these developments proceed and the technologies achieve market penetration they may become competitive relative to alternate options based on pre- and post-combustion CO</w:t>
      </w:r>
      <w:r>
        <w:rPr>
          <w:position w:val="-6"/>
          <w:sz w:val="11"/>
        </w:rPr>
        <w:t>2 </w:t>
      </w:r>
      <w:r>
        <w:rPr/>
        <w:t>capture. </w:t>
      </w:r>
      <w:r>
        <w:rPr>
          <w:spacing w:val="-13"/>
        </w:rPr>
        <w:t>A </w:t>
      </w:r>
      <w:r>
        <w:rPr/>
        <w:t>significant</w:t>
      </w:r>
      <w:r>
        <w:rPr>
          <w:spacing w:val="-15"/>
        </w:rPr>
        <w:t> </w:t>
      </w:r>
      <w:r>
        <w:rPr/>
        <w:t>incentive</w:t>
      </w:r>
      <w:r>
        <w:rPr>
          <w:spacing w:val="-16"/>
        </w:rPr>
        <w:t> </w:t>
      </w:r>
      <w:r>
        <w:rPr/>
        <w:t>to</w:t>
      </w:r>
      <w:r>
        <w:rPr>
          <w:spacing w:val="-15"/>
        </w:rPr>
        <w:t> </w:t>
      </w:r>
      <w:r>
        <w:rPr/>
        <w:t>the</w:t>
      </w:r>
      <w:r>
        <w:rPr>
          <w:spacing w:val="-14"/>
        </w:rPr>
        <w:t> </w:t>
      </w:r>
      <w:r>
        <w:rPr/>
        <w:t>development</w:t>
      </w:r>
      <w:r>
        <w:rPr>
          <w:spacing w:val="-15"/>
        </w:rPr>
        <w:t> </w:t>
      </w:r>
      <w:r>
        <w:rPr/>
        <w:t>of</w:t>
      </w:r>
      <w:r>
        <w:rPr>
          <w:spacing w:val="-15"/>
        </w:rPr>
        <w:t> </w:t>
      </w:r>
      <w:r>
        <w:rPr/>
        <w:t>oxy-fuel</w:t>
      </w:r>
      <w:r>
        <w:rPr>
          <w:spacing w:val="-15"/>
        </w:rPr>
        <w:t> </w:t>
      </w:r>
      <w:r>
        <w:rPr/>
        <w:t>combustion technology, as well as for pre- and post-combustion capture technologies,</w:t>
      </w:r>
      <w:r>
        <w:rPr>
          <w:spacing w:val="-7"/>
        </w:rPr>
        <w:t> </w:t>
      </w:r>
      <w:r>
        <w:rPr/>
        <w:t>is</w:t>
      </w:r>
      <w:r>
        <w:rPr>
          <w:spacing w:val="-7"/>
        </w:rPr>
        <w:t> </w:t>
      </w:r>
      <w:r>
        <w:rPr/>
        <w:t>the</w:t>
      </w:r>
      <w:r>
        <w:rPr>
          <w:spacing w:val="-7"/>
        </w:rPr>
        <w:t> </w:t>
      </w:r>
      <w:r>
        <w:rPr/>
        <w:t>introduction</w:t>
      </w:r>
      <w:r>
        <w:rPr>
          <w:spacing w:val="-7"/>
        </w:rPr>
        <w:t> </w:t>
      </w:r>
      <w:r>
        <w:rPr/>
        <w:t>of</w:t>
      </w:r>
      <w:r>
        <w:rPr>
          <w:spacing w:val="-7"/>
        </w:rPr>
        <w:t> </w:t>
      </w:r>
      <w:r>
        <w:rPr/>
        <w:t>environmental</w:t>
      </w:r>
      <w:r>
        <w:rPr>
          <w:spacing w:val="-7"/>
        </w:rPr>
        <w:t> </w:t>
      </w:r>
      <w:r>
        <w:rPr/>
        <w:t>requirements and/or fiscal incentives to promote CO</w:t>
      </w:r>
      <w:r>
        <w:rPr>
          <w:position w:val="-6"/>
          <w:sz w:val="11"/>
        </w:rPr>
        <w:t>2 </w:t>
      </w:r>
      <w:r>
        <w:rPr/>
        <w:t>capture and</w:t>
      </w:r>
      <w:r>
        <w:rPr>
          <w:spacing w:val="-20"/>
        </w:rPr>
        <w:t> </w:t>
      </w:r>
      <w:r>
        <w:rPr/>
        <w:t>storage.</w:t>
      </w:r>
    </w:p>
    <w:p>
      <w:pPr>
        <w:pStyle w:val="BodyText"/>
        <w:spacing w:before="3"/>
        <w:rPr>
          <w:sz w:val="21"/>
        </w:rPr>
      </w:pPr>
    </w:p>
    <w:p>
      <w:pPr>
        <w:pStyle w:val="Heading1"/>
        <w:numPr>
          <w:ilvl w:val="1"/>
          <w:numId w:val="5"/>
        </w:numPr>
        <w:tabs>
          <w:tab w:pos="936" w:val="left" w:leader="none"/>
          <w:tab w:pos="938" w:val="left" w:leader="none"/>
        </w:tabs>
        <w:spacing w:line="240" w:lineRule="auto" w:before="1" w:after="0"/>
        <w:ind w:left="937" w:right="0" w:hanging="821"/>
        <w:jc w:val="left"/>
      </w:pPr>
      <w:r>
        <w:rPr/>
        <w:t>Pre-combustion capture</w:t>
      </w:r>
      <w:r>
        <w:rPr>
          <w:spacing w:val="-1"/>
        </w:rPr>
        <w:t> </w:t>
      </w:r>
      <w:r>
        <w:rPr/>
        <w:t>systems</w:t>
      </w:r>
    </w:p>
    <w:p>
      <w:pPr>
        <w:tabs>
          <w:tab w:pos="1980" w:val="left" w:leader="none"/>
          <w:tab w:pos="2395" w:val="left" w:leader="none"/>
        </w:tabs>
        <w:spacing w:line="111" w:lineRule="exact" w:before="0"/>
        <w:ind w:left="1091" w:right="0" w:firstLine="0"/>
        <w:jc w:val="left"/>
        <w:rPr>
          <w:sz w:val="11"/>
        </w:rPr>
      </w:pPr>
      <w:r>
        <w:rPr/>
        <w:br w:type="column"/>
      </w:r>
      <w:r>
        <w:rPr>
          <w:w w:val="105"/>
          <w:sz w:val="11"/>
        </w:rPr>
        <w:t>2</w:t>
        <w:tab/>
        <w:t>2</w:t>
        <w:tab/>
        <w:t>2</w:t>
      </w:r>
    </w:p>
    <w:p>
      <w:pPr>
        <w:pStyle w:val="BodyText"/>
        <w:spacing w:before="2"/>
        <w:rPr>
          <w:sz w:val="17"/>
        </w:rPr>
      </w:pPr>
    </w:p>
    <w:p>
      <w:pPr>
        <w:pStyle w:val="BodyText"/>
        <w:spacing w:line="240" w:lineRule="exact"/>
        <w:ind w:left="116" w:right="1131"/>
        <w:jc w:val="both"/>
      </w:pPr>
      <w:r>
        <w:rPr>
          <w:spacing w:val="-3"/>
        </w:rPr>
        <w:t>Finally, </w:t>
      </w:r>
      <w:r>
        <w:rPr/>
        <w:t>the CO</w:t>
      </w:r>
      <w:r>
        <w:rPr>
          <w:position w:val="-6"/>
          <w:sz w:val="11"/>
        </w:rPr>
        <w:t>2 </w:t>
      </w:r>
      <w:r>
        <w:rPr/>
        <w:t>is removed from the CO</w:t>
      </w:r>
      <w:r>
        <w:rPr>
          <w:position w:val="-6"/>
          <w:sz w:val="11"/>
        </w:rPr>
        <w:t>2</w:t>
      </w:r>
      <w:r>
        <w:rPr/>
        <w:t>/H</w:t>
      </w:r>
      <w:r>
        <w:rPr>
          <w:position w:val="-6"/>
          <w:sz w:val="11"/>
        </w:rPr>
        <w:t>2 </w:t>
      </w:r>
      <w:r>
        <w:rPr/>
        <w:t>mixture. The concentration</w:t>
      </w:r>
      <w:r>
        <w:rPr>
          <w:spacing w:val="-10"/>
        </w:rPr>
        <w:t> </w:t>
      </w:r>
      <w:r>
        <w:rPr/>
        <w:t>of</w:t>
      </w:r>
      <w:r>
        <w:rPr>
          <w:spacing w:val="-10"/>
        </w:rPr>
        <w:t> </w:t>
      </w:r>
      <w:r>
        <w:rPr/>
        <w:t>CO</w:t>
      </w:r>
      <w:r>
        <w:rPr>
          <w:position w:val="-6"/>
          <w:sz w:val="11"/>
        </w:rPr>
        <w:t>2</w:t>
      </w:r>
      <w:r>
        <w:rPr>
          <w:spacing w:val="13"/>
          <w:position w:val="-6"/>
          <w:sz w:val="11"/>
        </w:rPr>
        <w:t> </w:t>
      </w:r>
      <w:r>
        <w:rPr/>
        <w:t>in</w:t>
      </w:r>
      <w:r>
        <w:rPr>
          <w:spacing w:val="-10"/>
        </w:rPr>
        <w:t> </w:t>
      </w:r>
      <w:r>
        <w:rPr/>
        <w:t>the</w:t>
      </w:r>
      <w:r>
        <w:rPr>
          <w:spacing w:val="-10"/>
        </w:rPr>
        <w:t> </w:t>
      </w:r>
      <w:r>
        <w:rPr/>
        <w:t>input</w:t>
      </w:r>
      <w:r>
        <w:rPr>
          <w:spacing w:val="-10"/>
        </w:rPr>
        <w:t> </w:t>
      </w:r>
      <w:r>
        <w:rPr/>
        <w:t>to</w:t>
      </w:r>
      <w:r>
        <w:rPr>
          <w:spacing w:val="-9"/>
        </w:rPr>
        <w:t> </w:t>
      </w:r>
      <w:r>
        <w:rPr/>
        <w:t>the</w:t>
      </w:r>
      <w:r>
        <w:rPr>
          <w:spacing w:val="-10"/>
        </w:rPr>
        <w:t> </w:t>
      </w:r>
      <w:r>
        <w:rPr/>
        <w:t>CO</w:t>
      </w:r>
      <w:r>
        <w:rPr>
          <w:position w:val="-6"/>
          <w:sz w:val="11"/>
        </w:rPr>
        <w:t>2</w:t>
      </w:r>
      <w:r>
        <w:rPr/>
        <w:t>/H</w:t>
      </w:r>
      <w:r>
        <w:rPr>
          <w:position w:val="-6"/>
          <w:sz w:val="11"/>
        </w:rPr>
        <w:t>2</w:t>
      </w:r>
      <w:r>
        <w:rPr>
          <w:spacing w:val="13"/>
          <w:position w:val="-6"/>
          <w:sz w:val="11"/>
        </w:rPr>
        <w:t> </w:t>
      </w:r>
      <w:r>
        <w:rPr/>
        <w:t>separation</w:t>
      </w:r>
      <w:r>
        <w:rPr>
          <w:spacing w:val="-10"/>
        </w:rPr>
        <w:t> </w:t>
      </w:r>
      <w:r>
        <w:rPr/>
        <w:t>stage can be in the range 15-60% (dry basis) and the total pressure  is typically 2-7 MPa. The separated CO</w:t>
      </w:r>
      <w:r>
        <w:rPr>
          <w:position w:val="-6"/>
          <w:sz w:val="11"/>
        </w:rPr>
        <w:t>2 </w:t>
      </w:r>
      <w:r>
        <w:rPr/>
        <w:t>is then available for storage.</w:t>
      </w:r>
    </w:p>
    <w:p>
      <w:pPr>
        <w:pStyle w:val="BodyText"/>
        <w:spacing w:line="240" w:lineRule="exact"/>
        <w:ind w:left="116" w:right="1129" w:firstLine="283"/>
        <w:jc w:val="both"/>
      </w:pPr>
      <w:r>
        <w:rPr/>
        <w:t>It</w:t>
      </w:r>
      <w:r>
        <w:rPr>
          <w:spacing w:val="-14"/>
        </w:rPr>
        <w:t> </w:t>
      </w:r>
      <w:r>
        <w:rPr/>
        <w:t>is</w:t>
      </w:r>
      <w:r>
        <w:rPr>
          <w:spacing w:val="-13"/>
        </w:rPr>
        <w:t> </w:t>
      </w:r>
      <w:r>
        <w:rPr/>
        <w:t>possible</w:t>
      </w:r>
      <w:r>
        <w:rPr>
          <w:spacing w:val="-14"/>
        </w:rPr>
        <w:t> </w:t>
      </w:r>
      <w:r>
        <w:rPr/>
        <w:t>to</w:t>
      </w:r>
      <w:r>
        <w:rPr>
          <w:spacing w:val="-13"/>
        </w:rPr>
        <w:t> </w:t>
      </w:r>
      <w:r>
        <w:rPr/>
        <w:t>envisage</w:t>
      </w:r>
      <w:r>
        <w:rPr>
          <w:spacing w:val="-14"/>
        </w:rPr>
        <w:t> </w:t>
      </w:r>
      <w:r>
        <w:rPr/>
        <w:t>two</w:t>
      </w:r>
      <w:r>
        <w:rPr>
          <w:spacing w:val="-13"/>
        </w:rPr>
        <w:t> </w:t>
      </w:r>
      <w:r>
        <w:rPr/>
        <w:t>applications</w:t>
      </w:r>
      <w:r>
        <w:rPr>
          <w:spacing w:val="-15"/>
        </w:rPr>
        <w:t> </w:t>
      </w:r>
      <w:r>
        <w:rPr/>
        <w:t>of</w:t>
      </w:r>
      <w:r>
        <w:rPr>
          <w:spacing w:val="-13"/>
        </w:rPr>
        <w:t> </w:t>
      </w:r>
      <w:r>
        <w:rPr/>
        <w:t>pre-combustion capture. The first is in producing a fuel (hydrogen) that is essentially carbon-free. Although the product H</w:t>
      </w:r>
      <w:r>
        <w:rPr>
          <w:position w:val="-6"/>
          <w:sz w:val="11"/>
        </w:rPr>
        <w:t>2 </w:t>
      </w:r>
      <w:r>
        <w:rPr/>
        <w:t>does not need to be absolutely pure and may contain low levels of methane, CO</w:t>
      </w:r>
      <w:r>
        <w:rPr>
          <w:spacing w:val="-19"/>
        </w:rPr>
        <w:t> </w:t>
      </w:r>
      <w:r>
        <w:rPr/>
        <w:t>or</w:t>
      </w:r>
      <w:r>
        <w:rPr>
          <w:spacing w:val="-19"/>
        </w:rPr>
        <w:t> </w:t>
      </w:r>
      <w:r>
        <w:rPr/>
        <w:t>CO</w:t>
      </w:r>
      <w:r>
        <w:rPr>
          <w:position w:val="-6"/>
          <w:sz w:val="11"/>
        </w:rPr>
        <w:t>2</w:t>
      </w:r>
      <w:r>
        <w:rPr/>
        <w:t>,</w:t>
      </w:r>
      <w:r>
        <w:rPr>
          <w:spacing w:val="-19"/>
        </w:rPr>
        <w:t> </w:t>
      </w:r>
      <w:r>
        <w:rPr/>
        <w:t>the</w:t>
      </w:r>
      <w:r>
        <w:rPr>
          <w:spacing w:val="-19"/>
        </w:rPr>
        <w:t> </w:t>
      </w:r>
      <w:r>
        <w:rPr/>
        <w:t>lower</w:t>
      </w:r>
      <w:r>
        <w:rPr>
          <w:spacing w:val="-18"/>
        </w:rPr>
        <w:t> </w:t>
      </w:r>
      <w:r>
        <w:rPr/>
        <w:t>the</w:t>
      </w:r>
      <w:r>
        <w:rPr>
          <w:spacing w:val="-19"/>
        </w:rPr>
        <w:t> </w:t>
      </w:r>
      <w:r>
        <w:rPr/>
        <w:t>level</w:t>
      </w:r>
      <w:r>
        <w:rPr>
          <w:spacing w:val="-19"/>
        </w:rPr>
        <w:t> </w:t>
      </w:r>
      <w:r>
        <w:rPr/>
        <w:t>of</w:t>
      </w:r>
      <w:r>
        <w:rPr>
          <w:spacing w:val="-19"/>
        </w:rPr>
        <w:t> </w:t>
      </w:r>
      <w:r>
        <w:rPr/>
        <w:t>carbon-containing</w:t>
      </w:r>
      <w:r>
        <w:rPr>
          <w:spacing w:val="-19"/>
        </w:rPr>
        <w:t> </w:t>
      </w:r>
      <w:r>
        <w:rPr/>
        <w:t>compounds, the</w:t>
      </w:r>
      <w:r>
        <w:rPr>
          <w:spacing w:val="-12"/>
        </w:rPr>
        <w:t> </w:t>
      </w:r>
      <w:r>
        <w:rPr/>
        <w:t>greater</w:t>
      </w:r>
      <w:r>
        <w:rPr>
          <w:spacing w:val="-12"/>
        </w:rPr>
        <w:t> </w:t>
      </w:r>
      <w:r>
        <w:rPr/>
        <w:t>the</w:t>
      </w:r>
      <w:r>
        <w:rPr>
          <w:spacing w:val="-11"/>
        </w:rPr>
        <w:t> </w:t>
      </w:r>
      <w:r>
        <w:rPr/>
        <w:t>reduction</w:t>
      </w:r>
      <w:r>
        <w:rPr>
          <w:spacing w:val="-12"/>
        </w:rPr>
        <w:t> </w:t>
      </w:r>
      <w:r>
        <w:rPr/>
        <w:t>in</w:t>
      </w:r>
      <w:r>
        <w:rPr>
          <w:spacing w:val="-11"/>
        </w:rPr>
        <w:t> </w:t>
      </w:r>
      <w:r>
        <w:rPr/>
        <w:t>CO</w:t>
      </w:r>
      <w:r>
        <w:rPr>
          <w:position w:val="-6"/>
          <w:sz w:val="11"/>
        </w:rPr>
        <w:t>2</w:t>
      </w:r>
      <w:r>
        <w:rPr>
          <w:spacing w:val="11"/>
          <w:position w:val="-6"/>
          <w:sz w:val="11"/>
        </w:rPr>
        <w:t> </w:t>
      </w:r>
      <w:r>
        <w:rPr/>
        <w:t>emissions.</w:t>
      </w:r>
      <w:r>
        <w:rPr>
          <w:spacing w:val="-14"/>
        </w:rPr>
        <w:t> </w:t>
      </w:r>
      <w:r>
        <w:rPr/>
        <w:t>The</w:t>
      </w:r>
      <w:r>
        <w:rPr>
          <w:spacing w:val="-12"/>
        </w:rPr>
        <w:t> </w:t>
      </w:r>
      <w:r>
        <w:rPr/>
        <w:t>H</w:t>
      </w:r>
      <w:r>
        <w:rPr>
          <w:position w:val="-6"/>
          <w:sz w:val="11"/>
        </w:rPr>
        <w:t>2</w:t>
      </w:r>
      <w:r>
        <w:rPr>
          <w:spacing w:val="11"/>
          <w:position w:val="-6"/>
          <w:sz w:val="11"/>
        </w:rPr>
        <w:t> </w:t>
      </w:r>
      <w:r>
        <w:rPr/>
        <w:t>fuel</w:t>
      </w:r>
      <w:r>
        <w:rPr>
          <w:spacing w:val="-11"/>
        </w:rPr>
        <w:t> </w:t>
      </w:r>
      <w:r>
        <w:rPr/>
        <w:t>may</w:t>
      </w:r>
      <w:r>
        <w:rPr>
          <w:spacing w:val="-12"/>
        </w:rPr>
        <w:t> </w:t>
      </w:r>
      <w:r>
        <w:rPr/>
        <w:t>also contain inert diluents, such as nitrogen (when air is typically used</w:t>
      </w:r>
      <w:r>
        <w:rPr>
          <w:spacing w:val="-13"/>
        </w:rPr>
        <w:t> </w:t>
      </w:r>
      <w:r>
        <w:rPr/>
        <w:t>for</w:t>
      </w:r>
      <w:r>
        <w:rPr>
          <w:spacing w:val="-12"/>
        </w:rPr>
        <w:t> </w:t>
      </w:r>
      <w:r>
        <w:rPr/>
        <w:t>partial</w:t>
      </w:r>
      <w:r>
        <w:rPr>
          <w:spacing w:val="-12"/>
        </w:rPr>
        <w:t> </w:t>
      </w:r>
      <w:r>
        <w:rPr/>
        <w:t>oxidation),</w:t>
      </w:r>
      <w:r>
        <w:rPr>
          <w:spacing w:val="-12"/>
        </w:rPr>
        <w:t> </w:t>
      </w:r>
      <w:r>
        <w:rPr/>
        <w:t>depending</w:t>
      </w:r>
      <w:r>
        <w:rPr>
          <w:spacing w:val="-12"/>
        </w:rPr>
        <w:t> </w:t>
      </w:r>
      <w:r>
        <w:rPr/>
        <w:t>on</w:t>
      </w:r>
      <w:r>
        <w:rPr>
          <w:spacing w:val="-13"/>
        </w:rPr>
        <w:t> </w:t>
      </w:r>
      <w:r>
        <w:rPr/>
        <w:t>the</w:t>
      </w:r>
      <w:r>
        <w:rPr>
          <w:spacing w:val="-12"/>
        </w:rPr>
        <w:t> </w:t>
      </w:r>
      <w:r>
        <w:rPr/>
        <w:t>production</w:t>
      </w:r>
      <w:r>
        <w:rPr>
          <w:spacing w:val="-12"/>
        </w:rPr>
        <w:t> </w:t>
      </w:r>
      <w:r>
        <w:rPr/>
        <w:t>process and can be fired in a range of heaters, boilers, gas turbines or fuel cells.</w:t>
      </w:r>
    </w:p>
    <w:p>
      <w:pPr>
        <w:pStyle w:val="BodyText"/>
        <w:spacing w:line="240" w:lineRule="exact"/>
        <w:ind w:left="116" w:right="1131" w:firstLine="283"/>
        <w:jc w:val="both"/>
      </w:pPr>
      <w:r>
        <w:rPr>
          <w:spacing w:val="-3"/>
        </w:rPr>
        <w:t>Secondly, </w:t>
      </w:r>
      <w:r>
        <w:rPr/>
        <w:t>pre-combustion capture can be used to reduce</w:t>
      </w:r>
      <w:r>
        <w:rPr>
          <w:spacing w:val="-24"/>
        </w:rPr>
        <w:t> </w:t>
      </w:r>
      <w:r>
        <w:rPr/>
        <w:t>the carbon</w:t>
      </w:r>
      <w:r>
        <w:rPr>
          <w:spacing w:val="-19"/>
        </w:rPr>
        <w:t> </w:t>
      </w:r>
      <w:r>
        <w:rPr/>
        <w:t>content</w:t>
      </w:r>
      <w:r>
        <w:rPr>
          <w:spacing w:val="-18"/>
        </w:rPr>
        <w:t> </w:t>
      </w:r>
      <w:r>
        <w:rPr/>
        <w:t>of</w:t>
      </w:r>
      <w:r>
        <w:rPr>
          <w:spacing w:val="-18"/>
        </w:rPr>
        <w:t> </w:t>
      </w:r>
      <w:r>
        <w:rPr/>
        <w:t>fuels,</w:t>
      </w:r>
      <w:r>
        <w:rPr>
          <w:spacing w:val="-19"/>
        </w:rPr>
        <w:t> </w:t>
      </w:r>
      <w:r>
        <w:rPr/>
        <w:t>with</w:t>
      </w:r>
      <w:r>
        <w:rPr>
          <w:spacing w:val="-18"/>
        </w:rPr>
        <w:t> </w:t>
      </w:r>
      <w:r>
        <w:rPr/>
        <w:t>the</w:t>
      </w:r>
      <w:r>
        <w:rPr>
          <w:spacing w:val="-18"/>
        </w:rPr>
        <w:t> </w:t>
      </w:r>
      <w:r>
        <w:rPr/>
        <w:t>excess</w:t>
      </w:r>
      <w:r>
        <w:rPr>
          <w:spacing w:val="-19"/>
        </w:rPr>
        <w:t> </w:t>
      </w:r>
      <w:r>
        <w:rPr/>
        <w:t>carbon</w:t>
      </w:r>
      <w:r>
        <w:rPr>
          <w:spacing w:val="-18"/>
        </w:rPr>
        <w:t> </w:t>
      </w:r>
      <w:r>
        <w:rPr/>
        <w:t>(usually</w:t>
      </w:r>
      <w:r>
        <w:rPr>
          <w:spacing w:val="-18"/>
        </w:rPr>
        <w:t> </w:t>
      </w:r>
      <w:r>
        <w:rPr/>
        <w:t>removed as CO</w:t>
      </w:r>
      <w:r>
        <w:rPr>
          <w:position w:val="-6"/>
          <w:sz w:val="11"/>
        </w:rPr>
        <w:t>2</w:t>
      </w:r>
      <w:r>
        <w:rPr/>
        <w:t>) being made available for storage. For example, when using a low H:C ratio fuel such as coal it is possible to gasify the coal and to convert the syngas to liquid Fischer-Tropsch fuels</w:t>
      </w:r>
      <w:r>
        <w:rPr>
          <w:spacing w:val="-5"/>
        </w:rPr>
        <w:t> </w:t>
      </w:r>
      <w:r>
        <w:rPr/>
        <w:t>and</w:t>
      </w:r>
      <w:r>
        <w:rPr>
          <w:spacing w:val="-5"/>
        </w:rPr>
        <w:t> </w:t>
      </w:r>
      <w:r>
        <w:rPr/>
        <w:t>chemicals</w:t>
      </w:r>
      <w:r>
        <w:rPr>
          <w:spacing w:val="-5"/>
        </w:rPr>
        <w:t> </w:t>
      </w:r>
      <w:r>
        <w:rPr/>
        <w:t>which</w:t>
      </w:r>
      <w:r>
        <w:rPr>
          <w:spacing w:val="-6"/>
        </w:rPr>
        <w:t> </w:t>
      </w:r>
      <w:r>
        <w:rPr/>
        <w:t>have</w:t>
      </w:r>
      <w:r>
        <w:rPr>
          <w:spacing w:val="-4"/>
        </w:rPr>
        <w:t> </w:t>
      </w:r>
      <w:r>
        <w:rPr/>
        <w:t>a</w:t>
      </w:r>
      <w:r>
        <w:rPr>
          <w:spacing w:val="-5"/>
        </w:rPr>
        <w:t> </w:t>
      </w:r>
      <w:r>
        <w:rPr/>
        <w:t>higher</w:t>
      </w:r>
      <w:r>
        <w:rPr>
          <w:spacing w:val="-5"/>
        </w:rPr>
        <w:t> </w:t>
      </w:r>
      <w:r>
        <w:rPr/>
        <w:t>H:C</w:t>
      </w:r>
      <w:r>
        <w:rPr>
          <w:spacing w:val="-6"/>
        </w:rPr>
        <w:t> </w:t>
      </w:r>
      <w:r>
        <w:rPr/>
        <w:t>ratio</w:t>
      </w:r>
      <w:r>
        <w:rPr>
          <w:spacing w:val="-5"/>
        </w:rPr>
        <w:t> </w:t>
      </w:r>
      <w:r>
        <w:rPr/>
        <w:t>than</w:t>
      </w:r>
      <w:r>
        <w:rPr>
          <w:spacing w:val="-5"/>
        </w:rPr>
        <w:t> </w:t>
      </w:r>
      <w:r>
        <w:rPr/>
        <w:t>coal.</w:t>
      </w:r>
      <w:r>
        <w:rPr>
          <w:spacing w:val="-5"/>
        </w:rPr>
        <w:t> </w:t>
      </w:r>
      <w:r>
        <w:rPr/>
        <w:t>In this section, we consider both of these</w:t>
      </w:r>
      <w:r>
        <w:rPr>
          <w:spacing w:val="-5"/>
        </w:rPr>
        <w:t> </w:t>
      </w:r>
      <w:r>
        <w:rPr/>
        <w:t>applications.</w:t>
      </w:r>
    </w:p>
    <w:p>
      <w:pPr>
        <w:pStyle w:val="BodyText"/>
        <w:spacing w:line="240" w:lineRule="exact"/>
        <w:ind w:left="116" w:right="1129" w:firstLine="283"/>
        <w:jc w:val="both"/>
      </w:pPr>
      <w:r>
        <w:rPr/>
        <w:t>This</w:t>
      </w:r>
      <w:r>
        <w:rPr>
          <w:spacing w:val="-12"/>
        </w:rPr>
        <w:t> </w:t>
      </w:r>
      <w:r>
        <w:rPr/>
        <w:t>section</w:t>
      </w:r>
      <w:r>
        <w:rPr>
          <w:spacing w:val="-11"/>
        </w:rPr>
        <w:t> </w:t>
      </w:r>
      <w:r>
        <w:rPr/>
        <w:t>reports</w:t>
      </w:r>
      <w:r>
        <w:rPr>
          <w:spacing w:val="-12"/>
        </w:rPr>
        <w:t> </w:t>
      </w:r>
      <w:r>
        <w:rPr/>
        <w:t>on</w:t>
      </w:r>
      <w:r>
        <w:rPr>
          <w:spacing w:val="-11"/>
        </w:rPr>
        <w:t> </w:t>
      </w:r>
      <w:r>
        <w:rPr/>
        <w:t>technologies</w:t>
      </w:r>
      <w:r>
        <w:rPr>
          <w:spacing w:val="-12"/>
        </w:rPr>
        <w:t> </w:t>
      </w:r>
      <w:r>
        <w:rPr/>
        <w:t>for</w:t>
      </w:r>
      <w:r>
        <w:rPr>
          <w:spacing w:val="-11"/>
        </w:rPr>
        <w:t> </w:t>
      </w:r>
      <w:r>
        <w:rPr/>
        <w:t>the</w:t>
      </w:r>
      <w:r>
        <w:rPr>
          <w:spacing w:val="-11"/>
        </w:rPr>
        <w:t> </w:t>
      </w:r>
      <w:r>
        <w:rPr/>
        <w:t>production</w:t>
      </w:r>
      <w:r>
        <w:rPr>
          <w:spacing w:val="-12"/>
        </w:rPr>
        <w:t> </w:t>
      </w:r>
      <w:r>
        <w:rPr/>
        <w:t>of</w:t>
      </w:r>
      <w:r>
        <w:rPr>
          <w:spacing w:val="-11"/>
        </w:rPr>
        <w:t> </w:t>
      </w:r>
      <w:r>
        <w:rPr/>
        <w:t>H</w:t>
      </w:r>
      <w:r>
        <w:rPr>
          <w:position w:val="-6"/>
          <w:sz w:val="11"/>
        </w:rPr>
        <w:t>2 </w:t>
      </w:r>
      <w:r>
        <w:rPr/>
        <w:t>with CO</w:t>
      </w:r>
      <w:r>
        <w:rPr>
          <w:position w:val="-6"/>
          <w:sz w:val="11"/>
        </w:rPr>
        <w:t>2 </w:t>
      </w:r>
      <w:r>
        <w:rPr/>
        <w:t>capture that already exist and those that are currently emerging. It also describes enabling technologies that need </w:t>
      </w:r>
      <w:r>
        <w:rPr>
          <w:spacing w:val="-6"/>
        </w:rPr>
        <w:t>to </w:t>
      </w:r>
      <w:r>
        <w:rPr/>
        <w:t>be developed to enhance the pre-combustion capture systems for power, hydrogen or synfuels and chemicals production or combination of all three.</w:t>
      </w:r>
    </w:p>
    <w:p>
      <w:pPr>
        <w:pStyle w:val="BodyText"/>
        <w:spacing w:before="4"/>
        <w:rPr>
          <w:sz w:val="21"/>
        </w:rPr>
      </w:pPr>
    </w:p>
    <w:p>
      <w:pPr>
        <w:pStyle w:val="Heading2"/>
        <w:numPr>
          <w:ilvl w:val="2"/>
          <w:numId w:val="20"/>
        </w:numPr>
        <w:tabs>
          <w:tab w:pos="936" w:val="left" w:leader="none"/>
          <w:tab w:pos="937" w:val="left" w:leader="none"/>
        </w:tabs>
        <w:spacing w:line="240" w:lineRule="auto" w:before="0" w:after="0"/>
        <w:ind w:left="936" w:right="0" w:hanging="821"/>
        <w:jc w:val="left"/>
        <w:rPr>
          <w:i/>
        </w:rPr>
      </w:pPr>
      <w:r>
        <w:rPr>
          <w:i/>
        </w:rPr>
        <w:t>Existing technologies</w:t>
      </w:r>
    </w:p>
    <w:p>
      <w:pPr>
        <w:pStyle w:val="BodyText"/>
        <w:spacing w:before="9"/>
        <w:rPr>
          <w:b/>
          <w:i/>
          <w:sz w:val="21"/>
        </w:rPr>
      </w:pPr>
    </w:p>
    <w:p>
      <w:pPr>
        <w:pStyle w:val="ListParagraph"/>
        <w:numPr>
          <w:ilvl w:val="3"/>
          <w:numId w:val="20"/>
        </w:numPr>
        <w:tabs>
          <w:tab w:pos="936" w:val="left" w:leader="none"/>
          <w:tab w:pos="937" w:val="left" w:leader="none"/>
        </w:tabs>
        <w:spacing w:line="249" w:lineRule="auto" w:before="0" w:after="0"/>
        <w:ind w:left="116" w:right="1131" w:firstLine="0"/>
        <w:jc w:val="left"/>
        <w:rPr>
          <w:sz w:val="20"/>
        </w:rPr>
      </w:pPr>
      <w:r>
        <w:rPr>
          <w:i/>
          <w:sz w:val="20"/>
        </w:rPr>
        <w:t>Steam reforming of gas and light hydrocarbons </w:t>
      </w:r>
      <w:r>
        <w:rPr>
          <w:sz w:val="20"/>
        </w:rPr>
        <w:t>Steam reforming is the dominant technology for hydrogen production today and the largest single train plants produce</w:t>
      </w:r>
      <w:r>
        <w:rPr>
          <w:spacing w:val="36"/>
          <w:sz w:val="20"/>
        </w:rPr>
        <w:t> </w:t>
      </w:r>
      <w:r>
        <w:rPr>
          <w:sz w:val="20"/>
        </w:rPr>
        <w:t>up</w:t>
      </w:r>
    </w:p>
    <w:p>
      <w:pPr>
        <w:spacing w:after="0" w:line="249" w:lineRule="auto"/>
        <w:jc w:val="left"/>
        <w:rPr>
          <w:sz w:val="20"/>
        </w:rPr>
        <w:sectPr>
          <w:type w:val="continuous"/>
          <w:pgSz w:w="12240" w:h="15840"/>
          <w:pgMar w:top="480" w:bottom="280" w:left="620" w:right="0"/>
          <w:cols w:num="2" w:equalWidth="0">
            <w:col w:w="5212" w:space="115"/>
            <w:col w:w="6293"/>
          </w:cols>
        </w:sectPr>
      </w:pPr>
    </w:p>
    <w:p>
      <w:pPr>
        <w:pStyle w:val="BodyText"/>
        <w:spacing w:line="277" w:lineRule="exact" w:before="2"/>
        <w:jc w:val="right"/>
        <w:rPr>
          <w:sz w:val="11"/>
        </w:rPr>
      </w:pPr>
      <w:r>
        <w:rPr/>
        <w:t>to 480 tH</w:t>
      </w:r>
      <w:r>
        <w:rPr>
          <w:position w:val="-6"/>
          <w:sz w:val="11"/>
        </w:rPr>
        <w:t>2</w:t>
      </w:r>
    </w:p>
    <w:p>
      <w:pPr>
        <w:pStyle w:val="BodyText"/>
        <w:spacing w:before="2"/>
        <w:ind w:left="20"/>
      </w:pPr>
      <w:r>
        <w:rPr/>
        <w:br w:type="column"/>
      </w:r>
      <w:r>
        <w:rPr/>
        <w:t>d</w:t>
      </w:r>
      <w:r>
        <w:rPr>
          <w:position w:val="7"/>
          <w:sz w:val="11"/>
        </w:rPr>
        <w:t>-1</w:t>
      </w:r>
      <w:r>
        <w:rPr/>
        <w:t>. The primary energy source is often natural gas,</w:t>
      </w:r>
    </w:p>
    <w:p>
      <w:pPr>
        <w:spacing w:after="0"/>
        <w:sectPr>
          <w:type w:val="continuous"/>
          <w:pgSz w:w="12240" w:h="15840"/>
          <w:pgMar w:top="480" w:bottom="280" w:left="620" w:right="0"/>
          <w:cols w:num="2" w:equalWidth="0">
            <w:col w:w="6278" w:space="40"/>
            <w:col w:w="5302"/>
          </w:cols>
        </w:sectPr>
      </w:pPr>
    </w:p>
    <w:p>
      <w:pPr>
        <w:pStyle w:val="Heading2"/>
        <w:tabs>
          <w:tab w:pos="936" w:val="left" w:leader="none"/>
        </w:tabs>
        <w:spacing w:line="194" w:lineRule="exact"/>
        <w:ind w:left="117" w:firstLine="0"/>
        <w:rPr>
          <w:i/>
        </w:rPr>
      </w:pPr>
      <w:r>
        <w:rPr>
          <w:i/>
        </w:rPr>
        <w:t>3.5.1</w:t>
        <w:tab/>
        <w:t>Introduction</w:t>
      </w:r>
    </w:p>
    <w:p>
      <w:pPr>
        <w:pStyle w:val="BodyText"/>
        <w:spacing w:before="8"/>
        <w:rPr>
          <w:b/>
          <w:i/>
          <w:sz w:val="21"/>
        </w:rPr>
      </w:pPr>
    </w:p>
    <w:p>
      <w:pPr>
        <w:pStyle w:val="BodyText"/>
        <w:spacing w:line="249" w:lineRule="auto"/>
        <w:ind w:left="117" w:right="38"/>
        <w:jc w:val="both"/>
      </w:pPr>
      <w:r>
        <w:rPr/>
        <w:t>A pre-combustion capture process typically comprises a first stage of reaction producing a mixture of hydrogen and carbon monoxide (syngas) from a primary fuel. The two main routes are</w:t>
      </w:r>
      <w:r>
        <w:rPr>
          <w:spacing w:val="-8"/>
        </w:rPr>
        <w:t> </w:t>
      </w:r>
      <w:r>
        <w:rPr/>
        <w:t>to</w:t>
      </w:r>
      <w:r>
        <w:rPr>
          <w:spacing w:val="-8"/>
        </w:rPr>
        <w:t> </w:t>
      </w:r>
      <w:r>
        <w:rPr/>
        <w:t>add</w:t>
      </w:r>
      <w:r>
        <w:rPr>
          <w:spacing w:val="-7"/>
        </w:rPr>
        <w:t> </w:t>
      </w:r>
      <w:r>
        <w:rPr/>
        <w:t>steam</w:t>
      </w:r>
      <w:r>
        <w:rPr>
          <w:spacing w:val="-9"/>
        </w:rPr>
        <w:t> </w:t>
      </w:r>
      <w:r>
        <w:rPr/>
        <w:t>(reaction</w:t>
      </w:r>
      <w:r>
        <w:rPr>
          <w:spacing w:val="-8"/>
        </w:rPr>
        <w:t> </w:t>
      </w:r>
      <w:r>
        <w:rPr/>
        <w:t>1),</w:t>
      </w:r>
      <w:r>
        <w:rPr>
          <w:spacing w:val="-7"/>
        </w:rPr>
        <w:t> </w:t>
      </w:r>
      <w:r>
        <w:rPr/>
        <w:t>in</w:t>
      </w:r>
      <w:r>
        <w:rPr>
          <w:spacing w:val="-8"/>
        </w:rPr>
        <w:t> </w:t>
      </w:r>
      <w:r>
        <w:rPr/>
        <w:t>which</w:t>
      </w:r>
      <w:r>
        <w:rPr>
          <w:spacing w:val="-9"/>
        </w:rPr>
        <w:t> </w:t>
      </w:r>
      <w:r>
        <w:rPr/>
        <w:t>case</w:t>
      </w:r>
      <w:r>
        <w:rPr>
          <w:spacing w:val="-7"/>
        </w:rPr>
        <w:t> </w:t>
      </w:r>
      <w:r>
        <w:rPr/>
        <w:t>the</w:t>
      </w:r>
      <w:r>
        <w:rPr>
          <w:spacing w:val="-8"/>
        </w:rPr>
        <w:t> </w:t>
      </w:r>
      <w:r>
        <w:rPr/>
        <w:t>process</w:t>
      </w:r>
      <w:r>
        <w:rPr>
          <w:spacing w:val="-7"/>
        </w:rPr>
        <w:t> </w:t>
      </w:r>
      <w:r>
        <w:rPr/>
        <w:t>is</w:t>
      </w:r>
      <w:r>
        <w:rPr>
          <w:spacing w:val="-8"/>
        </w:rPr>
        <w:t> </w:t>
      </w:r>
      <w:r>
        <w:rPr/>
        <w:t>called ‘steam reforming’, or oxygen (reaction 2) to the primary fuel. In the latter case, the process is often called ‘partial oxidation’ when applied to gaseous and liquid fuels and ‘gasification’ when applied to a solid fuel, but the principles are the</w:t>
      </w:r>
      <w:r>
        <w:rPr>
          <w:spacing w:val="-11"/>
        </w:rPr>
        <w:t> </w:t>
      </w:r>
      <w:r>
        <w:rPr/>
        <w:t>same.</w:t>
      </w:r>
    </w:p>
    <w:p>
      <w:pPr>
        <w:pStyle w:val="BodyText"/>
        <w:spacing w:line="225" w:lineRule="exact" w:before="7"/>
        <w:ind w:left="457"/>
        <w:jc w:val="both"/>
      </w:pPr>
      <w:r>
        <w:rPr/>
        <w:t>Steam reforming</w:t>
      </w:r>
    </w:p>
    <w:p>
      <w:pPr>
        <w:pStyle w:val="BodyText"/>
        <w:spacing w:line="194" w:lineRule="exact"/>
        <w:ind w:left="117"/>
        <w:jc w:val="both"/>
      </w:pPr>
      <w:r>
        <w:rPr/>
        <w:br w:type="column"/>
      </w:r>
      <w:r>
        <w:rPr/>
        <w:t>Then</w:t>
      </w:r>
      <w:r>
        <w:rPr>
          <w:spacing w:val="33"/>
        </w:rPr>
        <w:t> </w:t>
      </w:r>
      <w:r>
        <w:rPr/>
        <w:t>the</w:t>
      </w:r>
      <w:r>
        <w:rPr>
          <w:spacing w:val="34"/>
        </w:rPr>
        <w:t> </w:t>
      </w:r>
      <w:r>
        <w:rPr/>
        <w:t>process</w:t>
      </w:r>
      <w:r>
        <w:rPr>
          <w:spacing w:val="33"/>
        </w:rPr>
        <w:t> </w:t>
      </w:r>
      <w:r>
        <w:rPr/>
        <w:t>is</w:t>
      </w:r>
      <w:r>
        <w:rPr>
          <w:spacing w:val="34"/>
        </w:rPr>
        <w:t> </w:t>
      </w:r>
      <w:r>
        <w:rPr/>
        <w:t>referred</w:t>
      </w:r>
      <w:r>
        <w:rPr>
          <w:spacing w:val="32"/>
        </w:rPr>
        <w:t> </w:t>
      </w:r>
      <w:r>
        <w:rPr/>
        <w:t>to</w:t>
      </w:r>
      <w:r>
        <w:rPr>
          <w:spacing w:val="34"/>
        </w:rPr>
        <w:t> </w:t>
      </w:r>
      <w:r>
        <w:rPr/>
        <w:t>as</w:t>
      </w:r>
      <w:r>
        <w:rPr>
          <w:spacing w:val="33"/>
        </w:rPr>
        <w:t> </w:t>
      </w:r>
      <w:r>
        <w:rPr/>
        <w:t>steam</w:t>
      </w:r>
      <w:r>
        <w:rPr>
          <w:spacing w:val="33"/>
        </w:rPr>
        <w:t> </w:t>
      </w:r>
      <w:r>
        <w:rPr/>
        <w:t>methane</w:t>
      </w:r>
      <w:r>
        <w:rPr>
          <w:spacing w:val="33"/>
        </w:rPr>
        <w:t> </w:t>
      </w:r>
      <w:r>
        <w:rPr/>
        <w:t>reforming</w:t>
      </w:r>
    </w:p>
    <w:p>
      <w:pPr>
        <w:pStyle w:val="BodyText"/>
        <w:spacing w:line="249" w:lineRule="auto" w:before="10"/>
        <w:ind w:left="117" w:right="1130"/>
        <w:jc w:val="both"/>
      </w:pPr>
      <w:r>
        <w:rPr/>
        <w:t>(SMR), but can also be other light hydrocarbons, such as naphtha. The process begins with the removal of sulphur compounds</w:t>
      </w:r>
      <w:r>
        <w:rPr>
          <w:spacing w:val="-7"/>
        </w:rPr>
        <w:t> </w:t>
      </w:r>
      <w:r>
        <w:rPr/>
        <w:t>from</w:t>
      </w:r>
      <w:r>
        <w:rPr>
          <w:spacing w:val="-6"/>
        </w:rPr>
        <w:t> </w:t>
      </w:r>
      <w:r>
        <w:rPr/>
        <w:t>the</w:t>
      </w:r>
      <w:r>
        <w:rPr>
          <w:spacing w:val="-7"/>
        </w:rPr>
        <w:t> </w:t>
      </w:r>
      <w:r>
        <w:rPr/>
        <w:t>feed,</w:t>
      </w:r>
      <w:r>
        <w:rPr>
          <w:spacing w:val="-6"/>
        </w:rPr>
        <w:t> </w:t>
      </w:r>
      <w:r>
        <w:rPr/>
        <w:t>since</w:t>
      </w:r>
      <w:r>
        <w:rPr>
          <w:spacing w:val="-8"/>
        </w:rPr>
        <w:t> </w:t>
      </w:r>
      <w:r>
        <w:rPr/>
        <w:t>these</w:t>
      </w:r>
      <w:r>
        <w:rPr>
          <w:spacing w:val="-6"/>
        </w:rPr>
        <w:t> </w:t>
      </w:r>
      <w:r>
        <w:rPr/>
        <w:t>are</w:t>
      </w:r>
      <w:r>
        <w:rPr>
          <w:spacing w:val="-7"/>
        </w:rPr>
        <w:t> </w:t>
      </w:r>
      <w:r>
        <w:rPr/>
        <w:t>poisons</w:t>
      </w:r>
      <w:r>
        <w:rPr>
          <w:spacing w:val="-6"/>
        </w:rPr>
        <w:t> </w:t>
      </w:r>
      <w:r>
        <w:rPr/>
        <w:t>to</w:t>
      </w:r>
      <w:r>
        <w:rPr>
          <w:spacing w:val="-7"/>
        </w:rPr>
        <w:t> </w:t>
      </w:r>
      <w:r>
        <w:rPr/>
        <w:t>the</w:t>
      </w:r>
      <w:r>
        <w:rPr>
          <w:spacing w:val="-6"/>
        </w:rPr>
        <w:t> </w:t>
      </w:r>
      <w:r>
        <w:rPr/>
        <w:t>current nickel-based catalyst and then steam is added. The reforming reaction</w:t>
      </w:r>
      <w:r>
        <w:rPr>
          <w:spacing w:val="-10"/>
        </w:rPr>
        <w:t> </w:t>
      </w:r>
      <w:r>
        <w:rPr/>
        <w:t>(1),</w:t>
      </w:r>
      <w:r>
        <w:rPr>
          <w:spacing w:val="-9"/>
        </w:rPr>
        <w:t> </w:t>
      </w:r>
      <w:r>
        <w:rPr/>
        <w:t>which</w:t>
      </w:r>
      <w:r>
        <w:rPr>
          <w:spacing w:val="-9"/>
        </w:rPr>
        <w:t> </w:t>
      </w:r>
      <w:r>
        <w:rPr/>
        <w:t>is</w:t>
      </w:r>
      <w:r>
        <w:rPr>
          <w:spacing w:val="-9"/>
        </w:rPr>
        <w:t> </w:t>
      </w:r>
      <w:r>
        <w:rPr/>
        <w:t>endothermic,</w:t>
      </w:r>
      <w:r>
        <w:rPr>
          <w:spacing w:val="-10"/>
        </w:rPr>
        <w:t> </w:t>
      </w:r>
      <w:r>
        <w:rPr/>
        <w:t>takes</w:t>
      </w:r>
      <w:r>
        <w:rPr>
          <w:spacing w:val="-9"/>
        </w:rPr>
        <w:t> </w:t>
      </w:r>
      <w:r>
        <w:rPr/>
        <w:t>place</w:t>
      </w:r>
      <w:r>
        <w:rPr>
          <w:spacing w:val="-9"/>
        </w:rPr>
        <w:t> </w:t>
      </w:r>
      <w:r>
        <w:rPr/>
        <w:t>over</w:t>
      </w:r>
      <w:r>
        <w:rPr>
          <w:spacing w:val="-9"/>
        </w:rPr>
        <w:t> </w:t>
      </w:r>
      <w:r>
        <w:rPr/>
        <w:t>a</w:t>
      </w:r>
      <w:r>
        <w:rPr>
          <w:spacing w:val="-10"/>
        </w:rPr>
        <w:t> </w:t>
      </w:r>
      <w:r>
        <w:rPr/>
        <w:t>catalyst</w:t>
      </w:r>
      <w:r>
        <w:rPr>
          <w:spacing w:val="-9"/>
        </w:rPr>
        <w:t> </w:t>
      </w:r>
      <w:r>
        <w:rPr>
          <w:spacing w:val="-6"/>
        </w:rPr>
        <w:t>at </w:t>
      </w:r>
      <w:r>
        <w:rPr/>
        <w:t>high</w:t>
      </w:r>
      <w:r>
        <w:rPr>
          <w:spacing w:val="-13"/>
        </w:rPr>
        <w:t> </w:t>
      </w:r>
      <w:r>
        <w:rPr/>
        <w:t>temperature</w:t>
      </w:r>
      <w:r>
        <w:rPr>
          <w:spacing w:val="-13"/>
        </w:rPr>
        <w:t> </w:t>
      </w:r>
      <w:r>
        <w:rPr/>
        <w:t>(800°C-900°C).</w:t>
      </w:r>
      <w:r>
        <w:rPr>
          <w:spacing w:val="-12"/>
        </w:rPr>
        <w:t> </w:t>
      </w:r>
      <w:r>
        <w:rPr/>
        <w:t>Heat</w:t>
      </w:r>
      <w:r>
        <w:rPr>
          <w:spacing w:val="-13"/>
        </w:rPr>
        <w:t> </w:t>
      </w:r>
      <w:r>
        <w:rPr/>
        <w:t>is</w:t>
      </w:r>
      <w:r>
        <w:rPr>
          <w:spacing w:val="-12"/>
        </w:rPr>
        <w:t> </w:t>
      </w:r>
      <w:r>
        <w:rPr/>
        <w:t>supplied</w:t>
      </w:r>
      <w:r>
        <w:rPr>
          <w:spacing w:val="-14"/>
        </w:rPr>
        <w:t> </w:t>
      </w:r>
      <w:r>
        <w:rPr/>
        <w:t>to</w:t>
      </w:r>
      <w:r>
        <w:rPr>
          <w:spacing w:val="-12"/>
        </w:rPr>
        <w:t> </w:t>
      </w:r>
      <w:r>
        <w:rPr/>
        <w:t>the</w:t>
      </w:r>
      <w:r>
        <w:rPr>
          <w:spacing w:val="-12"/>
        </w:rPr>
        <w:t> </w:t>
      </w:r>
      <w:r>
        <w:rPr/>
        <w:t>reactor tubes</w:t>
      </w:r>
      <w:r>
        <w:rPr>
          <w:spacing w:val="-10"/>
        </w:rPr>
        <w:t> </w:t>
      </w:r>
      <w:r>
        <w:rPr/>
        <w:t>by</w:t>
      </w:r>
      <w:r>
        <w:rPr>
          <w:spacing w:val="-9"/>
        </w:rPr>
        <w:t> </w:t>
      </w:r>
      <w:r>
        <w:rPr/>
        <w:t>burning</w:t>
      </w:r>
      <w:r>
        <w:rPr>
          <w:spacing w:val="-10"/>
        </w:rPr>
        <w:t> </w:t>
      </w:r>
      <w:r>
        <w:rPr/>
        <w:t>part</w:t>
      </w:r>
      <w:r>
        <w:rPr>
          <w:spacing w:val="-9"/>
        </w:rPr>
        <w:t> </w:t>
      </w:r>
      <w:r>
        <w:rPr/>
        <w:t>of</w:t>
      </w:r>
      <w:r>
        <w:rPr>
          <w:spacing w:val="-10"/>
        </w:rPr>
        <w:t> </w:t>
      </w:r>
      <w:r>
        <w:rPr/>
        <w:t>the</w:t>
      </w:r>
      <w:r>
        <w:rPr>
          <w:spacing w:val="-9"/>
        </w:rPr>
        <w:t> </w:t>
      </w:r>
      <w:r>
        <w:rPr/>
        <w:t>fuel</w:t>
      </w:r>
      <w:r>
        <w:rPr>
          <w:spacing w:val="-10"/>
        </w:rPr>
        <w:t> </w:t>
      </w:r>
      <w:r>
        <w:rPr/>
        <w:t>(secondary</w:t>
      </w:r>
      <w:r>
        <w:rPr>
          <w:spacing w:val="-9"/>
        </w:rPr>
        <w:t> </w:t>
      </w:r>
      <w:r>
        <w:rPr/>
        <w:t>fuel).</w:t>
      </w:r>
      <w:r>
        <w:rPr>
          <w:spacing w:val="-14"/>
        </w:rPr>
        <w:t> </w:t>
      </w:r>
      <w:r>
        <w:rPr/>
        <w:t>The</w:t>
      </w:r>
      <w:r>
        <w:rPr>
          <w:spacing w:val="-9"/>
        </w:rPr>
        <w:t> </w:t>
      </w:r>
      <w:r>
        <w:rPr/>
        <w:t>reformed gas is cooled in a waste heat boiler which generates the steam needed for the reactions and passed into the CO shift system. Shift</w:t>
      </w:r>
      <w:r>
        <w:rPr>
          <w:spacing w:val="7"/>
        </w:rPr>
        <w:t> </w:t>
      </w:r>
      <w:r>
        <w:rPr/>
        <w:t>reactors</w:t>
      </w:r>
      <w:r>
        <w:rPr>
          <w:spacing w:val="7"/>
        </w:rPr>
        <w:t> </w:t>
      </w:r>
      <w:r>
        <w:rPr/>
        <w:t>in</w:t>
      </w:r>
      <w:r>
        <w:rPr>
          <w:spacing w:val="7"/>
        </w:rPr>
        <w:t> </w:t>
      </w:r>
      <w:r>
        <w:rPr/>
        <w:t>one</w:t>
      </w:r>
      <w:r>
        <w:rPr>
          <w:spacing w:val="8"/>
        </w:rPr>
        <w:t> </w:t>
      </w:r>
      <w:r>
        <w:rPr/>
        <w:t>or</w:t>
      </w:r>
      <w:r>
        <w:rPr>
          <w:spacing w:val="7"/>
        </w:rPr>
        <w:t> </w:t>
      </w:r>
      <w:r>
        <w:rPr/>
        <w:t>two</w:t>
      </w:r>
      <w:r>
        <w:rPr>
          <w:spacing w:val="7"/>
        </w:rPr>
        <w:t> </w:t>
      </w:r>
      <w:r>
        <w:rPr/>
        <w:t>stages</w:t>
      </w:r>
      <w:r>
        <w:rPr>
          <w:spacing w:val="7"/>
        </w:rPr>
        <w:t> </w:t>
      </w:r>
      <w:r>
        <w:rPr/>
        <w:t>are</w:t>
      </w:r>
      <w:r>
        <w:rPr>
          <w:spacing w:val="8"/>
        </w:rPr>
        <w:t> </w:t>
      </w:r>
      <w:r>
        <w:rPr/>
        <w:t>used</w:t>
      </w:r>
      <w:r>
        <w:rPr>
          <w:spacing w:val="7"/>
        </w:rPr>
        <w:t> </w:t>
      </w:r>
      <w:r>
        <w:rPr/>
        <w:t>to</w:t>
      </w:r>
      <w:r>
        <w:rPr>
          <w:spacing w:val="7"/>
        </w:rPr>
        <w:t> </w:t>
      </w:r>
      <w:r>
        <w:rPr/>
        <w:t>convert</w:t>
      </w:r>
      <w:r>
        <w:rPr>
          <w:spacing w:val="7"/>
        </w:rPr>
        <w:t> </w:t>
      </w:r>
      <w:r>
        <w:rPr/>
        <w:t>most</w:t>
      </w:r>
      <w:r>
        <w:rPr>
          <w:spacing w:val="8"/>
        </w:rPr>
        <w:t> </w:t>
      </w:r>
      <w:r>
        <w:rPr/>
        <w:t>of</w:t>
      </w:r>
    </w:p>
    <w:p>
      <w:pPr>
        <w:spacing w:after="0" w:line="249" w:lineRule="auto"/>
        <w:jc w:val="both"/>
        <w:sectPr>
          <w:type w:val="continuous"/>
          <w:pgSz w:w="12240" w:h="15840"/>
          <w:pgMar w:top="480" w:bottom="280" w:left="620" w:right="0"/>
          <w:cols w:num="2" w:equalWidth="0">
            <w:col w:w="5216" w:space="110"/>
            <w:col w:w="6294"/>
          </w:cols>
        </w:sectPr>
      </w:pPr>
    </w:p>
    <w:p>
      <w:pPr>
        <w:pStyle w:val="BodyText"/>
        <w:tabs>
          <w:tab w:pos="3456" w:val="left" w:leader="none"/>
          <w:tab w:pos="4815" w:val="left" w:leader="none"/>
          <w:tab w:pos="5443" w:val="left" w:leader="none"/>
        </w:tabs>
        <w:spacing w:line="174" w:lineRule="exact"/>
        <w:ind w:left="457"/>
      </w:pPr>
      <w:r>
        <w:rPr/>
        <w:t>C H  + xH O  </w:t>
      </w:r>
      <w:r>
        <w:rPr>
          <w:rFonts w:ascii="Symbol" w:hAnsi="Symbol"/>
        </w:rPr>
        <w:t></w:t>
      </w:r>
      <w:r>
        <w:rPr/>
        <w:t>  xCO</w:t>
      </w:r>
      <w:r>
        <w:rPr>
          <w:spacing w:val="-6"/>
        </w:rPr>
        <w:t> </w:t>
      </w:r>
      <w:r>
        <w:rPr/>
        <w:t>+ (x+y/2)H</w:t>
        <w:tab/>
      </w:r>
      <w:r>
        <w:rPr>
          <w:rFonts w:ascii="Symbol" w:hAnsi="Symbol"/>
        </w:rPr>
        <w:t></w:t>
      </w:r>
      <w:r>
        <w:rPr/>
        <w:t>H</w:t>
      </w:r>
      <w:r>
        <w:rPr>
          <w:spacing w:val="-1"/>
        </w:rPr>
        <w:t> </w:t>
      </w:r>
      <w:r>
        <w:rPr/>
        <w:t>+ve</w:t>
        <w:tab/>
        <w:t>(1)</w:t>
        <w:tab/>
        <w:t>the CO in the syngas to</w:t>
      </w:r>
      <w:r>
        <w:rPr>
          <w:spacing w:val="-22"/>
        </w:rPr>
        <w:t> </w:t>
      </w:r>
      <w:r>
        <w:rPr>
          <w:spacing w:val="-7"/>
        </w:rPr>
        <w:t>CO</w:t>
      </w:r>
    </w:p>
    <w:p>
      <w:pPr>
        <w:pStyle w:val="BodyText"/>
        <w:spacing w:line="166" w:lineRule="exact" w:before="8"/>
        <w:ind w:left="64"/>
      </w:pPr>
      <w:r>
        <w:rPr/>
        <w:br w:type="column"/>
      </w:r>
      <w:r>
        <w:rPr/>
        <w:t>(Reaction 3, which is exothermic).</w:t>
      </w:r>
    </w:p>
    <w:p>
      <w:pPr>
        <w:spacing w:after="0" w:line="166" w:lineRule="exact"/>
        <w:sectPr>
          <w:type w:val="continuous"/>
          <w:pgSz w:w="12240" w:h="15840"/>
          <w:pgMar w:top="480" w:bottom="280" w:left="620" w:right="0"/>
          <w:cols w:num="2" w:equalWidth="0">
            <w:col w:w="7627" w:space="40"/>
            <w:col w:w="3953"/>
          </w:cols>
        </w:sectPr>
      </w:pPr>
    </w:p>
    <w:p>
      <w:pPr>
        <w:tabs>
          <w:tab w:pos="1308" w:val="left" w:leader="none"/>
          <w:tab w:pos="3227" w:val="left" w:leader="none"/>
          <w:tab w:pos="7684" w:val="right" w:leader="none"/>
        </w:tabs>
        <w:spacing w:line="111" w:lineRule="exact" w:before="0"/>
        <w:ind w:left="590" w:right="0" w:firstLine="0"/>
        <w:jc w:val="left"/>
        <w:rPr>
          <w:sz w:val="11"/>
        </w:rPr>
      </w:pPr>
      <w:r>
        <w:rPr>
          <w:w w:val="105"/>
          <w:sz w:val="11"/>
        </w:rPr>
        <w:t>x   </w:t>
      </w:r>
      <w:r>
        <w:rPr>
          <w:spacing w:val="28"/>
          <w:w w:val="105"/>
          <w:sz w:val="11"/>
        </w:rPr>
        <w:t> </w:t>
      </w:r>
      <w:r>
        <w:rPr>
          <w:w w:val="105"/>
          <w:sz w:val="11"/>
        </w:rPr>
        <w:t>y</w:t>
        <w:tab/>
        <w:t>2</w:t>
        <w:tab/>
        <w:t>2</w:t>
        <w:tab/>
        <w:t>2</w:t>
      </w:r>
    </w:p>
    <w:p>
      <w:pPr>
        <w:spacing w:after="0" w:line="111" w:lineRule="exact"/>
        <w:jc w:val="left"/>
        <w:rPr>
          <w:sz w:val="11"/>
        </w:rPr>
        <w:sectPr>
          <w:type w:val="continuous"/>
          <w:pgSz w:w="12240" w:h="15840"/>
          <w:pgMar w:top="480" w:bottom="280" w:left="620" w:right="0"/>
        </w:sectPr>
      </w:pPr>
    </w:p>
    <w:p>
      <w:pPr>
        <w:pStyle w:val="BodyText"/>
      </w:pPr>
    </w:p>
    <w:p>
      <w:pPr>
        <w:spacing w:after="0"/>
        <w:sectPr>
          <w:pgSz w:w="12240" w:h="15840"/>
          <w:pgMar w:header="567" w:footer="0" w:top="800" w:bottom="280" w:left="620" w:right="0"/>
        </w:sectPr>
      </w:pPr>
    </w:p>
    <w:p>
      <w:pPr>
        <w:pStyle w:val="BodyText"/>
        <w:spacing w:before="10"/>
        <w:rPr>
          <w:sz w:val="17"/>
        </w:rPr>
      </w:pPr>
    </w:p>
    <w:p>
      <w:pPr>
        <w:pStyle w:val="BodyText"/>
        <w:spacing w:line="240" w:lineRule="exact"/>
        <w:ind w:left="527"/>
        <w:jc w:val="both"/>
      </w:pPr>
      <w:r>
        <w:rPr/>
        <w:t>The conventional two-stage CO conversion reduces the </w:t>
      </w:r>
      <w:r>
        <w:rPr>
          <w:spacing w:val="-8"/>
        </w:rPr>
        <w:t>CO </w:t>
      </w:r>
      <w:r>
        <w:rPr/>
        <w:t>concentration in syngas (or in hydrogen) down to 0.2-0.3%. High temperature shift reactors operating between 400°C and 550°C and using an iron-chromium catalyst leave between </w:t>
      </w:r>
      <w:r>
        <w:rPr>
          <w:spacing w:val="-8"/>
        </w:rPr>
        <w:t>2% </w:t>
      </w:r>
      <w:r>
        <w:rPr/>
        <w:t>and 3% CO in the exit gas (dry basis). Copper-based catalyst can be used at temperatures from 180°C-350°C and leave </w:t>
      </w:r>
      <w:r>
        <w:rPr>
          <w:spacing w:val="-4"/>
        </w:rPr>
        <w:t>from </w:t>
      </w:r>
      <w:r>
        <w:rPr/>
        <w:t>0.2-1% CO in the exhaust. Lower CO content favours </w:t>
      </w:r>
      <w:r>
        <w:rPr>
          <w:spacing w:val="-3"/>
        </w:rPr>
        <w:t>higher </w:t>
      </w:r>
      <w:r>
        <w:rPr/>
        <w:t>CO</w:t>
      </w:r>
      <w:r>
        <w:rPr>
          <w:position w:val="-6"/>
          <w:sz w:val="11"/>
        </w:rPr>
        <w:t>2</w:t>
      </w:r>
      <w:r>
        <w:rPr>
          <w:spacing w:val="15"/>
          <w:position w:val="-6"/>
          <w:sz w:val="11"/>
        </w:rPr>
        <w:t> </w:t>
      </w:r>
      <w:r>
        <w:rPr/>
        <w:t>recovery.</w:t>
      </w:r>
      <w:r>
        <w:rPr>
          <w:spacing w:val="-10"/>
        </w:rPr>
        <w:t> </w:t>
      </w:r>
      <w:r>
        <w:rPr/>
        <w:t>The</w:t>
      </w:r>
      <w:r>
        <w:rPr>
          <w:spacing w:val="-7"/>
        </w:rPr>
        <w:t> </w:t>
      </w:r>
      <w:r>
        <w:rPr/>
        <w:t>gas</w:t>
      </w:r>
      <w:r>
        <w:rPr>
          <w:spacing w:val="-7"/>
        </w:rPr>
        <w:t> </w:t>
      </w:r>
      <w:r>
        <w:rPr/>
        <w:t>is</w:t>
      </w:r>
      <w:r>
        <w:rPr>
          <w:spacing w:val="-7"/>
        </w:rPr>
        <w:t> </w:t>
      </w:r>
      <w:r>
        <w:rPr/>
        <w:t>then</w:t>
      </w:r>
      <w:r>
        <w:rPr>
          <w:spacing w:val="-7"/>
        </w:rPr>
        <w:t> </w:t>
      </w:r>
      <w:r>
        <w:rPr/>
        <w:t>cooled</w:t>
      </w:r>
      <w:r>
        <w:rPr>
          <w:spacing w:val="-7"/>
        </w:rPr>
        <w:t> </w:t>
      </w:r>
      <w:r>
        <w:rPr/>
        <w:t>and</w:t>
      </w:r>
      <w:r>
        <w:rPr>
          <w:spacing w:val="-7"/>
        </w:rPr>
        <w:t> </w:t>
      </w:r>
      <w:r>
        <w:rPr/>
        <w:t>hydrogen</w:t>
      </w:r>
      <w:r>
        <w:rPr>
          <w:spacing w:val="-7"/>
        </w:rPr>
        <w:t> </w:t>
      </w:r>
      <w:r>
        <w:rPr/>
        <w:t>is</w:t>
      </w:r>
      <w:r>
        <w:rPr>
          <w:spacing w:val="-7"/>
        </w:rPr>
        <w:t> </w:t>
      </w:r>
      <w:r>
        <w:rPr/>
        <w:t>produced by a CO</w:t>
      </w:r>
      <w:r>
        <w:rPr>
          <w:position w:val="-6"/>
          <w:sz w:val="11"/>
        </w:rPr>
        <w:t>2</w:t>
      </w:r>
      <w:r>
        <w:rPr/>
        <w:t>/H</w:t>
      </w:r>
      <w:r>
        <w:rPr>
          <w:position w:val="-6"/>
          <w:sz w:val="11"/>
        </w:rPr>
        <w:t>2 </w:t>
      </w:r>
      <w:r>
        <w:rPr/>
        <w:t>separation step. Until about 30 years ago, the CO</w:t>
      </w:r>
      <w:r>
        <w:rPr>
          <w:position w:val="-6"/>
          <w:sz w:val="11"/>
        </w:rPr>
        <w:t>2 </w:t>
      </w:r>
      <w:r>
        <w:rPr/>
        <w:t>was removed using a chemical (solvent) absorption process such as an amine or hot potassium carbonate and was rejected to atmosphere as a pure stream from the top of the regenerator. There are many of these plants still in use and the CO</w:t>
      </w:r>
      <w:r>
        <w:rPr>
          <w:position w:val="-6"/>
          <w:sz w:val="11"/>
        </w:rPr>
        <w:t>2 </w:t>
      </w:r>
      <w:r>
        <w:rPr/>
        <w:t>could</w:t>
      </w:r>
      <w:r>
        <w:rPr>
          <w:spacing w:val="-32"/>
        </w:rPr>
        <w:t> </w:t>
      </w:r>
      <w:r>
        <w:rPr/>
        <w:t>be captured</w:t>
      </w:r>
      <w:r>
        <w:rPr>
          <w:spacing w:val="-1"/>
        </w:rPr>
        <w:t> </w:t>
      </w:r>
      <w:r>
        <w:rPr/>
        <w:t>readily.</w:t>
      </w:r>
    </w:p>
    <w:p>
      <w:pPr>
        <w:pStyle w:val="BodyText"/>
        <w:spacing w:line="223" w:lineRule="auto" w:before="19"/>
        <w:ind w:left="527" w:firstLine="283"/>
        <w:jc w:val="both"/>
      </w:pPr>
      <w:r>
        <w:rPr/>
        <w:t>Modern plants, however, use a pressure swing adsorber (PSA), where gases other than H</w:t>
      </w:r>
      <w:r>
        <w:rPr>
          <w:position w:val="-6"/>
          <w:sz w:val="11"/>
        </w:rPr>
        <w:t>2 </w:t>
      </w:r>
      <w:r>
        <w:rPr/>
        <w:t>are adsorbed in a set of switching beds containing layers of solid adsorbent such as activated</w:t>
      </w:r>
      <w:r>
        <w:rPr>
          <w:spacing w:val="-17"/>
        </w:rPr>
        <w:t> </w:t>
      </w:r>
      <w:r>
        <w:rPr/>
        <w:t>carbon,</w:t>
      </w:r>
      <w:r>
        <w:rPr>
          <w:spacing w:val="-16"/>
        </w:rPr>
        <w:t> </w:t>
      </w:r>
      <w:r>
        <w:rPr/>
        <w:t>alumina</w:t>
      </w:r>
      <w:r>
        <w:rPr>
          <w:spacing w:val="-17"/>
        </w:rPr>
        <w:t> </w:t>
      </w:r>
      <w:r>
        <w:rPr/>
        <w:t>and</w:t>
      </w:r>
      <w:r>
        <w:rPr>
          <w:spacing w:val="-15"/>
        </w:rPr>
        <w:t> </w:t>
      </w:r>
      <w:r>
        <w:rPr/>
        <w:t>zeolites</w:t>
      </w:r>
      <w:r>
        <w:rPr>
          <w:spacing w:val="-17"/>
        </w:rPr>
        <w:t> </w:t>
      </w:r>
      <w:r>
        <w:rPr/>
        <w:t>(see</w:t>
      </w:r>
      <w:r>
        <w:rPr>
          <w:spacing w:val="-16"/>
        </w:rPr>
        <w:t> </w:t>
      </w:r>
      <w:r>
        <w:rPr/>
        <w:t>the</w:t>
      </w:r>
      <w:r>
        <w:rPr>
          <w:spacing w:val="-15"/>
        </w:rPr>
        <w:t> </w:t>
      </w:r>
      <w:r>
        <w:rPr/>
        <w:t>fuller</w:t>
      </w:r>
      <w:r>
        <w:rPr>
          <w:spacing w:val="-16"/>
        </w:rPr>
        <w:t> </w:t>
      </w:r>
      <w:r>
        <w:rPr/>
        <w:t>description of PSA in Section 3.5.2.9). The H</w:t>
      </w:r>
      <w:r>
        <w:rPr>
          <w:position w:val="-6"/>
          <w:sz w:val="11"/>
        </w:rPr>
        <w:t>2 </w:t>
      </w:r>
      <w:r>
        <w:rPr/>
        <w:t>exiting the PSA (typically about 2.2 MPa) can have a purity of up to 99.999%, depending on the market need. The CO</w:t>
      </w:r>
      <w:r>
        <w:rPr>
          <w:position w:val="-6"/>
          <w:sz w:val="11"/>
        </w:rPr>
        <w:t>2 </w:t>
      </w:r>
      <w:r>
        <w:rPr/>
        <w:t>is contained in a stream, from the regeneration cycle, which contains some methane and H</w:t>
      </w:r>
      <w:r>
        <w:rPr>
          <w:position w:val="-6"/>
          <w:sz w:val="11"/>
        </w:rPr>
        <w:t>2</w:t>
      </w:r>
      <w:r>
        <w:rPr/>
        <w:t>. The stream is used as fuel in the reformer where it is combusted   in air and the CO</w:t>
      </w:r>
      <w:r>
        <w:rPr>
          <w:position w:val="-6"/>
          <w:sz w:val="11"/>
        </w:rPr>
        <w:t>2 </w:t>
      </w:r>
      <w:r>
        <w:rPr/>
        <w:t>ends up being vented to atmosphere in the reformer flue gas. Hence, to capture CO</w:t>
      </w:r>
      <w:r>
        <w:rPr>
          <w:position w:val="-6"/>
          <w:sz w:val="11"/>
        </w:rPr>
        <w:t>2 </w:t>
      </w:r>
      <w:r>
        <w:rPr/>
        <w:t>from modern SMR plants would require one of the post-combustion</w:t>
      </w:r>
      <w:r>
        <w:rPr>
          <w:spacing w:val="33"/>
        </w:rPr>
        <w:t> </w:t>
      </w:r>
      <w:r>
        <w:rPr/>
        <w:t>processes described above in Section 3.3. Alternatively, the PSA system could</w:t>
      </w:r>
      <w:r>
        <w:rPr>
          <w:spacing w:val="-10"/>
        </w:rPr>
        <w:t> </w:t>
      </w:r>
      <w:r>
        <w:rPr/>
        <w:t>be</w:t>
      </w:r>
      <w:r>
        <w:rPr>
          <w:spacing w:val="-10"/>
        </w:rPr>
        <w:t> </w:t>
      </w:r>
      <w:r>
        <w:rPr/>
        <w:t>designed</w:t>
      </w:r>
      <w:r>
        <w:rPr>
          <w:spacing w:val="-10"/>
        </w:rPr>
        <w:t> </w:t>
      </w:r>
      <w:r>
        <w:rPr/>
        <w:t>not</w:t>
      </w:r>
      <w:r>
        <w:rPr>
          <w:spacing w:val="-10"/>
        </w:rPr>
        <w:t> </w:t>
      </w:r>
      <w:r>
        <w:rPr/>
        <w:t>only</w:t>
      </w:r>
      <w:r>
        <w:rPr>
          <w:spacing w:val="-9"/>
        </w:rPr>
        <w:t> </w:t>
      </w:r>
      <w:r>
        <w:rPr/>
        <w:t>for</w:t>
      </w:r>
      <w:r>
        <w:rPr>
          <w:spacing w:val="-10"/>
        </w:rPr>
        <w:t> </w:t>
      </w:r>
      <w:r>
        <w:rPr/>
        <w:t>high</w:t>
      </w:r>
      <w:r>
        <w:rPr>
          <w:spacing w:val="-10"/>
        </w:rPr>
        <w:t> </w:t>
      </w:r>
      <w:r>
        <w:rPr/>
        <w:t>recovery</w:t>
      </w:r>
      <w:r>
        <w:rPr>
          <w:spacing w:val="-10"/>
        </w:rPr>
        <w:t> </w:t>
      </w:r>
      <w:r>
        <w:rPr/>
        <w:t>of</w:t>
      </w:r>
      <w:r>
        <w:rPr>
          <w:spacing w:val="-9"/>
        </w:rPr>
        <w:t> </w:t>
      </w:r>
      <w:r>
        <w:rPr/>
        <w:t>pure</w:t>
      </w:r>
      <w:r>
        <w:rPr>
          <w:spacing w:val="-10"/>
        </w:rPr>
        <w:t> </w:t>
      </w:r>
      <w:r>
        <w:rPr/>
        <w:t>H</w:t>
      </w:r>
      <w:r>
        <w:rPr>
          <w:position w:val="-6"/>
          <w:sz w:val="11"/>
        </w:rPr>
        <w:t>2</w:t>
      </w:r>
      <w:r>
        <w:rPr>
          <w:spacing w:val="13"/>
          <w:position w:val="-6"/>
          <w:sz w:val="11"/>
        </w:rPr>
        <w:t> </w:t>
      </w:r>
      <w:r>
        <w:rPr/>
        <w:t>but</w:t>
      </w:r>
      <w:r>
        <w:rPr>
          <w:spacing w:val="-10"/>
        </w:rPr>
        <w:t> </w:t>
      </w:r>
      <w:r>
        <w:rPr/>
        <w:t>also to recover pure CO</w:t>
      </w:r>
      <w:r>
        <w:rPr>
          <w:position w:val="-6"/>
          <w:sz w:val="11"/>
        </w:rPr>
        <w:t>2 </w:t>
      </w:r>
      <w:r>
        <w:rPr/>
        <w:t>and have a fuel gas as the third product stream.</w:t>
      </w:r>
    </w:p>
    <w:p>
      <w:pPr>
        <w:pStyle w:val="BodyText"/>
        <w:ind w:left="811"/>
        <w:jc w:val="both"/>
      </w:pPr>
      <w:r>
        <w:rPr/>
        <w:pict>
          <v:shape style="position:absolute;margin-left:284.1474pt;margin-top:20.285938pt;width:2.9pt;height:5.8pt;mso-position-horizontal-relative:page;mso-position-vertical-relative:paragraph;z-index:251708416"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t>In a design study for a large modern plant (total capacity</w:t>
      </w:r>
    </w:p>
    <w:p>
      <w:pPr>
        <w:pStyle w:val="BodyText"/>
        <w:spacing w:before="10"/>
        <w:rPr>
          <w:sz w:val="17"/>
        </w:rPr>
      </w:pPr>
      <w:r>
        <w:rPr/>
        <w:br w:type="column"/>
      </w:r>
      <w:r>
        <w:rPr>
          <w:sz w:val="17"/>
        </w:rPr>
      </w:r>
    </w:p>
    <w:p>
      <w:pPr>
        <w:pStyle w:val="BodyText"/>
        <w:spacing w:line="240" w:lineRule="exact"/>
        <w:ind w:left="241" w:right="733"/>
        <w:jc w:val="both"/>
      </w:pPr>
      <w:r>
        <w:rPr/>
        <w:t>separation</w:t>
      </w:r>
      <w:r>
        <w:rPr>
          <w:spacing w:val="-8"/>
        </w:rPr>
        <w:t> </w:t>
      </w:r>
      <w:r>
        <w:rPr/>
        <w:t>of</w:t>
      </w:r>
      <w:r>
        <w:rPr>
          <w:spacing w:val="-7"/>
        </w:rPr>
        <w:t> </w:t>
      </w:r>
      <w:r>
        <w:rPr/>
        <w:t>CO</w:t>
      </w:r>
      <w:r>
        <w:rPr>
          <w:position w:val="-6"/>
          <w:sz w:val="11"/>
        </w:rPr>
        <w:t>2</w:t>
      </w:r>
      <w:r>
        <w:rPr>
          <w:spacing w:val="15"/>
          <w:position w:val="-6"/>
          <w:sz w:val="11"/>
        </w:rPr>
        <w:t> </w:t>
      </w:r>
      <w:r>
        <w:rPr/>
        <w:t>from</w:t>
      </w:r>
      <w:r>
        <w:rPr>
          <w:spacing w:val="-7"/>
        </w:rPr>
        <w:t> </w:t>
      </w:r>
      <w:r>
        <w:rPr/>
        <w:t>SMR</w:t>
      </w:r>
      <w:r>
        <w:rPr>
          <w:spacing w:val="-7"/>
        </w:rPr>
        <w:t> </w:t>
      </w:r>
      <w:r>
        <w:rPr/>
        <w:t>syngas</w:t>
      </w:r>
      <w:r>
        <w:rPr>
          <w:spacing w:val="-7"/>
        </w:rPr>
        <w:t> </w:t>
      </w:r>
      <w:r>
        <w:rPr/>
        <w:t>above</w:t>
      </w:r>
      <w:r>
        <w:rPr>
          <w:spacing w:val="-8"/>
        </w:rPr>
        <w:t> </w:t>
      </w:r>
      <w:r>
        <w:rPr/>
        <w:t>apply</w:t>
      </w:r>
      <w:r>
        <w:rPr>
          <w:spacing w:val="-7"/>
        </w:rPr>
        <w:t> </w:t>
      </w:r>
      <w:r>
        <w:rPr/>
        <w:t>equally</w:t>
      </w:r>
      <w:r>
        <w:rPr>
          <w:spacing w:val="-7"/>
        </w:rPr>
        <w:t> </w:t>
      </w:r>
      <w:r>
        <w:rPr/>
        <w:t>to</w:t>
      </w:r>
      <w:r>
        <w:rPr>
          <w:spacing w:val="-7"/>
        </w:rPr>
        <w:t> </w:t>
      </w:r>
      <w:r>
        <w:rPr/>
        <w:t>the POX process. POX is a technology in common use </w:t>
      </w:r>
      <w:r>
        <w:rPr>
          <w:spacing w:val="-3"/>
        </w:rPr>
        <w:t>today, </w:t>
      </w:r>
      <w:r>
        <w:rPr/>
        <w:t>the efficiency</w:t>
      </w:r>
      <w:r>
        <w:rPr>
          <w:spacing w:val="-5"/>
        </w:rPr>
        <w:t> </w:t>
      </w:r>
      <w:r>
        <w:rPr/>
        <w:t>is</w:t>
      </w:r>
      <w:r>
        <w:rPr>
          <w:spacing w:val="-4"/>
        </w:rPr>
        <w:t> </w:t>
      </w:r>
      <w:r>
        <w:rPr/>
        <w:t>lower</w:t>
      </w:r>
      <w:r>
        <w:rPr>
          <w:spacing w:val="-4"/>
        </w:rPr>
        <w:t> </w:t>
      </w:r>
      <w:r>
        <w:rPr/>
        <w:t>than</w:t>
      </w:r>
      <w:r>
        <w:rPr>
          <w:spacing w:val="-4"/>
        </w:rPr>
        <w:t> </w:t>
      </w:r>
      <w:r>
        <w:rPr/>
        <w:t>SMR,</w:t>
      </w:r>
      <w:r>
        <w:rPr>
          <w:spacing w:val="-3"/>
        </w:rPr>
        <w:t> </w:t>
      </w:r>
      <w:r>
        <w:rPr/>
        <w:t>but</w:t>
      </w:r>
      <w:r>
        <w:rPr>
          <w:spacing w:val="-3"/>
        </w:rPr>
        <w:t> </w:t>
      </w:r>
      <w:r>
        <w:rPr/>
        <w:t>the</w:t>
      </w:r>
      <w:r>
        <w:rPr>
          <w:spacing w:val="-3"/>
        </w:rPr>
        <w:t> </w:t>
      </w:r>
      <w:r>
        <w:rPr/>
        <w:t>range</w:t>
      </w:r>
      <w:r>
        <w:rPr>
          <w:spacing w:val="-4"/>
        </w:rPr>
        <w:t> </w:t>
      </w:r>
      <w:r>
        <w:rPr/>
        <w:t>of</w:t>
      </w:r>
      <w:r>
        <w:rPr>
          <w:spacing w:val="-3"/>
        </w:rPr>
        <w:t> </w:t>
      </w:r>
      <w:r>
        <w:rPr/>
        <w:t>fuels</w:t>
      </w:r>
      <w:r>
        <w:rPr>
          <w:spacing w:val="-3"/>
        </w:rPr>
        <w:t> </w:t>
      </w:r>
      <w:r>
        <w:rPr/>
        <w:t>that</w:t>
      </w:r>
      <w:r>
        <w:rPr>
          <w:spacing w:val="-3"/>
        </w:rPr>
        <w:t> </w:t>
      </w:r>
      <w:r>
        <w:rPr/>
        <w:t>can</w:t>
      </w:r>
      <w:r>
        <w:rPr>
          <w:spacing w:val="-3"/>
        </w:rPr>
        <w:t> </w:t>
      </w:r>
      <w:r>
        <w:rPr/>
        <w:t>be processed is much </w:t>
      </w:r>
      <w:r>
        <w:rPr>
          <w:spacing w:val="-3"/>
        </w:rPr>
        <w:t>wider.</w:t>
      </w:r>
    </w:p>
    <w:p>
      <w:pPr>
        <w:pStyle w:val="BodyText"/>
        <w:spacing w:line="240" w:lineRule="exact"/>
        <w:ind w:left="241" w:right="733" w:firstLine="284"/>
        <w:jc w:val="both"/>
      </w:pPr>
      <w:r>
        <w:rPr/>
        <w:t>For</w:t>
      </w:r>
      <w:r>
        <w:rPr>
          <w:spacing w:val="-10"/>
        </w:rPr>
        <w:t> </w:t>
      </w:r>
      <w:r>
        <w:rPr/>
        <w:t>large-scale</w:t>
      </w:r>
      <w:r>
        <w:rPr>
          <w:spacing w:val="-10"/>
        </w:rPr>
        <w:t> </w:t>
      </w:r>
      <w:r>
        <w:rPr/>
        <w:t>hydrogen</w:t>
      </w:r>
      <w:r>
        <w:rPr>
          <w:spacing w:val="-10"/>
        </w:rPr>
        <w:t> </w:t>
      </w:r>
      <w:r>
        <w:rPr/>
        <w:t>production,</w:t>
      </w:r>
      <w:r>
        <w:rPr>
          <w:spacing w:val="-10"/>
        </w:rPr>
        <w:t> </w:t>
      </w:r>
      <w:r>
        <w:rPr/>
        <w:t>the</w:t>
      </w:r>
      <w:r>
        <w:rPr>
          <w:spacing w:val="-10"/>
        </w:rPr>
        <w:t> </w:t>
      </w:r>
      <w:r>
        <w:rPr/>
        <w:t>oxygen</w:t>
      </w:r>
      <w:r>
        <w:rPr>
          <w:spacing w:val="-10"/>
        </w:rPr>
        <w:t> </w:t>
      </w:r>
      <w:r>
        <w:rPr/>
        <w:t>is</w:t>
      </w:r>
      <w:r>
        <w:rPr>
          <w:spacing w:val="-10"/>
        </w:rPr>
        <w:t> </w:t>
      </w:r>
      <w:r>
        <w:rPr/>
        <w:t>supplied from</w:t>
      </w:r>
      <w:r>
        <w:rPr>
          <w:spacing w:val="-18"/>
        </w:rPr>
        <w:t> </w:t>
      </w:r>
      <w:r>
        <w:rPr/>
        <w:t>a</w:t>
      </w:r>
      <w:r>
        <w:rPr>
          <w:spacing w:val="-18"/>
        </w:rPr>
        <w:t> </w:t>
      </w:r>
      <w:r>
        <w:rPr/>
        <w:t>cryogenic</w:t>
      </w:r>
      <w:r>
        <w:rPr>
          <w:spacing w:val="-18"/>
        </w:rPr>
        <w:t> </w:t>
      </w:r>
      <w:r>
        <w:rPr/>
        <w:t>air</w:t>
      </w:r>
      <w:r>
        <w:rPr>
          <w:spacing w:val="-18"/>
        </w:rPr>
        <w:t> </w:t>
      </w:r>
      <w:r>
        <w:rPr/>
        <w:t>separation</w:t>
      </w:r>
      <w:r>
        <w:rPr>
          <w:spacing w:val="-18"/>
        </w:rPr>
        <w:t> </w:t>
      </w:r>
      <w:r>
        <w:rPr/>
        <w:t>unit</w:t>
      </w:r>
      <w:r>
        <w:rPr>
          <w:spacing w:val="-18"/>
        </w:rPr>
        <w:t> </w:t>
      </w:r>
      <w:r>
        <w:rPr/>
        <w:t>(ASU).</w:t>
      </w:r>
      <w:r>
        <w:rPr>
          <w:spacing w:val="-21"/>
        </w:rPr>
        <w:t> </w:t>
      </w:r>
      <w:r>
        <w:rPr/>
        <w:t>The</w:t>
      </w:r>
      <w:r>
        <w:rPr>
          <w:spacing w:val="-18"/>
        </w:rPr>
        <w:t> </w:t>
      </w:r>
      <w:r>
        <w:rPr/>
        <w:t>high</w:t>
      </w:r>
      <w:r>
        <w:rPr>
          <w:spacing w:val="-18"/>
        </w:rPr>
        <w:t> </w:t>
      </w:r>
      <w:r>
        <w:rPr/>
        <w:t>investment and energy consumption of the ASU is compensated by the higher efficiency and lower cost of the gasification process</w:t>
      </w:r>
      <w:r>
        <w:rPr>
          <w:spacing w:val="-31"/>
        </w:rPr>
        <w:t> </w:t>
      </w:r>
      <w:r>
        <w:rPr/>
        <w:t>and the absence of N</w:t>
      </w:r>
      <w:r>
        <w:rPr>
          <w:position w:val="-6"/>
          <w:sz w:val="11"/>
        </w:rPr>
        <w:t>2 </w:t>
      </w:r>
      <w:r>
        <w:rPr/>
        <w:t>(from the air) in the syngas, which reduces the</w:t>
      </w:r>
      <w:r>
        <w:rPr>
          <w:spacing w:val="-7"/>
        </w:rPr>
        <w:t> </w:t>
      </w:r>
      <w:r>
        <w:rPr/>
        <w:t>separation</w:t>
      </w:r>
      <w:r>
        <w:rPr>
          <w:spacing w:val="-6"/>
        </w:rPr>
        <w:t> </w:t>
      </w:r>
      <w:r>
        <w:rPr/>
        <w:t>costs</w:t>
      </w:r>
      <w:r>
        <w:rPr>
          <w:spacing w:val="-7"/>
        </w:rPr>
        <w:t> </w:t>
      </w:r>
      <w:r>
        <w:rPr/>
        <w:t>considerably.</w:t>
      </w:r>
      <w:r>
        <w:rPr>
          <w:spacing w:val="-6"/>
        </w:rPr>
        <w:t> </w:t>
      </w:r>
      <w:r>
        <w:rPr/>
        <w:t>However</w:t>
      </w:r>
      <w:r>
        <w:rPr>
          <w:spacing w:val="-7"/>
        </w:rPr>
        <w:t> </w:t>
      </w:r>
      <w:r>
        <w:rPr/>
        <w:t>for</w:t>
      </w:r>
      <w:r>
        <w:rPr>
          <w:spacing w:val="-6"/>
        </w:rPr>
        <w:t> </w:t>
      </w:r>
      <w:r>
        <w:rPr/>
        <w:t>pre-combustion de-carbonization applications, in which the hydrogen would</w:t>
      </w:r>
      <w:r>
        <w:rPr>
          <w:spacing w:val="-19"/>
        </w:rPr>
        <w:t> </w:t>
      </w:r>
      <w:r>
        <w:rPr/>
        <w:t>be used</w:t>
      </w:r>
      <w:r>
        <w:rPr>
          <w:spacing w:val="-7"/>
        </w:rPr>
        <w:t> </w:t>
      </w:r>
      <w:r>
        <w:rPr/>
        <w:t>as</w:t>
      </w:r>
      <w:r>
        <w:rPr>
          <w:spacing w:val="-6"/>
        </w:rPr>
        <w:t> </w:t>
      </w:r>
      <w:r>
        <w:rPr/>
        <w:t>fuel</w:t>
      </w:r>
      <w:r>
        <w:rPr>
          <w:spacing w:val="-6"/>
        </w:rPr>
        <w:t> </w:t>
      </w:r>
      <w:r>
        <w:rPr/>
        <w:t>in</w:t>
      </w:r>
      <w:r>
        <w:rPr>
          <w:spacing w:val="-6"/>
        </w:rPr>
        <w:t> </w:t>
      </w:r>
      <w:r>
        <w:rPr/>
        <w:t>a</w:t>
      </w:r>
      <w:r>
        <w:rPr>
          <w:spacing w:val="-6"/>
        </w:rPr>
        <w:t> </w:t>
      </w:r>
      <w:r>
        <w:rPr/>
        <w:t>gas</w:t>
      </w:r>
      <w:r>
        <w:rPr>
          <w:spacing w:val="-6"/>
        </w:rPr>
        <w:t> </w:t>
      </w:r>
      <w:r>
        <w:rPr/>
        <w:t>turbine,</w:t>
      </w:r>
      <w:r>
        <w:rPr>
          <w:spacing w:val="-6"/>
        </w:rPr>
        <w:t> </w:t>
      </w:r>
      <w:r>
        <w:rPr/>
        <w:t>it</w:t>
      </w:r>
      <w:r>
        <w:rPr>
          <w:spacing w:val="-6"/>
        </w:rPr>
        <w:t> </w:t>
      </w:r>
      <w:r>
        <w:rPr/>
        <w:t>will</w:t>
      </w:r>
      <w:r>
        <w:rPr>
          <w:spacing w:val="-7"/>
        </w:rPr>
        <w:t> </w:t>
      </w:r>
      <w:r>
        <w:rPr/>
        <w:t>be</w:t>
      </w:r>
      <w:r>
        <w:rPr>
          <w:spacing w:val="-6"/>
        </w:rPr>
        <w:t> </w:t>
      </w:r>
      <w:r>
        <w:rPr/>
        <w:t>necessary</w:t>
      </w:r>
      <w:r>
        <w:rPr>
          <w:spacing w:val="-6"/>
        </w:rPr>
        <w:t> </w:t>
      </w:r>
      <w:r>
        <w:rPr/>
        <w:t>to</w:t>
      </w:r>
      <w:r>
        <w:rPr>
          <w:spacing w:val="-6"/>
        </w:rPr>
        <w:t> </w:t>
      </w:r>
      <w:r>
        <w:rPr/>
        <w:t>dilute</w:t>
      </w:r>
      <w:r>
        <w:rPr>
          <w:spacing w:val="-6"/>
        </w:rPr>
        <w:t> </w:t>
      </w:r>
      <w:r>
        <w:rPr/>
        <w:t>the</w:t>
      </w:r>
      <w:r>
        <w:rPr>
          <w:spacing w:val="-6"/>
        </w:rPr>
        <w:t> </w:t>
      </w:r>
      <w:r>
        <w:rPr/>
        <w:t>H</w:t>
      </w:r>
      <w:r>
        <w:rPr>
          <w:position w:val="-6"/>
          <w:sz w:val="11"/>
        </w:rPr>
        <w:t>2 </w:t>
      </w:r>
      <w:r>
        <w:rPr/>
        <w:t>with either N</w:t>
      </w:r>
      <w:r>
        <w:rPr>
          <w:position w:val="-6"/>
          <w:sz w:val="11"/>
        </w:rPr>
        <w:t>2 </w:t>
      </w:r>
      <w:r>
        <w:rPr/>
        <w:t>or steam to reduce flame temperature in the gas turbine</w:t>
      </w:r>
      <w:r>
        <w:rPr>
          <w:spacing w:val="-8"/>
        </w:rPr>
        <w:t> </w:t>
      </w:r>
      <w:r>
        <w:rPr/>
        <w:t>combustor</w:t>
      </w:r>
      <w:r>
        <w:rPr>
          <w:spacing w:val="-8"/>
        </w:rPr>
        <w:t> </w:t>
      </w:r>
      <w:r>
        <w:rPr/>
        <w:t>and</w:t>
      </w:r>
      <w:r>
        <w:rPr>
          <w:spacing w:val="-8"/>
        </w:rPr>
        <w:t> </w:t>
      </w:r>
      <w:r>
        <w:rPr/>
        <w:t>to</w:t>
      </w:r>
      <w:r>
        <w:rPr>
          <w:spacing w:val="-8"/>
        </w:rPr>
        <w:t> </w:t>
      </w:r>
      <w:r>
        <w:rPr/>
        <w:t>limit</w:t>
      </w:r>
      <w:r>
        <w:rPr>
          <w:spacing w:val="-8"/>
        </w:rPr>
        <w:t> </w:t>
      </w:r>
      <w:r>
        <w:rPr/>
        <w:t>NO</w:t>
      </w:r>
      <w:r>
        <w:rPr>
          <w:position w:val="-6"/>
          <w:sz w:val="11"/>
        </w:rPr>
        <w:t>x</w:t>
      </w:r>
      <w:r>
        <w:rPr>
          <w:spacing w:val="14"/>
          <w:position w:val="-6"/>
          <w:sz w:val="11"/>
        </w:rPr>
        <w:t> </w:t>
      </w:r>
      <w:r>
        <w:rPr/>
        <w:t>emission</w:t>
      </w:r>
      <w:r>
        <w:rPr>
          <w:spacing w:val="-8"/>
        </w:rPr>
        <w:t> </w:t>
      </w:r>
      <w:r>
        <w:rPr/>
        <w:t>levels.</w:t>
      </w:r>
      <w:r>
        <w:rPr>
          <w:spacing w:val="-8"/>
        </w:rPr>
        <w:t> </w:t>
      </w:r>
      <w:r>
        <w:rPr/>
        <w:t>In</w:t>
      </w:r>
      <w:r>
        <w:rPr>
          <w:spacing w:val="-8"/>
        </w:rPr>
        <w:t> </w:t>
      </w:r>
      <w:r>
        <w:rPr/>
        <w:t>this</w:t>
      </w:r>
      <w:r>
        <w:rPr>
          <w:spacing w:val="-8"/>
        </w:rPr>
        <w:t> </w:t>
      </w:r>
      <w:r>
        <w:rPr/>
        <w:t>case the</w:t>
      </w:r>
      <w:r>
        <w:rPr>
          <w:spacing w:val="-11"/>
        </w:rPr>
        <w:t> </w:t>
      </w:r>
      <w:r>
        <w:rPr/>
        <w:t>most</w:t>
      </w:r>
      <w:r>
        <w:rPr>
          <w:spacing w:val="-11"/>
        </w:rPr>
        <w:t> </w:t>
      </w:r>
      <w:r>
        <w:rPr/>
        <w:t>efficient</w:t>
      </w:r>
      <w:r>
        <w:rPr>
          <w:spacing w:val="-10"/>
        </w:rPr>
        <w:t> </w:t>
      </w:r>
      <w:r>
        <w:rPr/>
        <w:t>system</w:t>
      </w:r>
      <w:r>
        <w:rPr>
          <w:spacing w:val="-10"/>
        </w:rPr>
        <w:t> </w:t>
      </w:r>
      <w:r>
        <w:rPr/>
        <w:t>will</w:t>
      </w:r>
      <w:r>
        <w:rPr>
          <w:spacing w:val="-11"/>
        </w:rPr>
        <w:t> </w:t>
      </w:r>
      <w:r>
        <w:rPr/>
        <w:t>use</w:t>
      </w:r>
      <w:r>
        <w:rPr>
          <w:spacing w:val="-10"/>
        </w:rPr>
        <w:t> </w:t>
      </w:r>
      <w:r>
        <w:rPr/>
        <w:t>air</w:t>
      </w:r>
      <w:r>
        <w:rPr>
          <w:spacing w:val="-11"/>
        </w:rPr>
        <w:t> </w:t>
      </w:r>
      <w:r>
        <w:rPr/>
        <w:t>as</w:t>
      </w:r>
      <w:r>
        <w:rPr>
          <w:spacing w:val="-11"/>
        </w:rPr>
        <w:t> </w:t>
      </w:r>
      <w:r>
        <w:rPr/>
        <w:t>the</w:t>
      </w:r>
      <w:r>
        <w:rPr>
          <w:spacing w:val="-10"/>
        </w:rPr>
        <w:t> </w:t>
      </w:r>
      <w:r>
        <w:rPr/>
        <w:t>oxidant</w:t>
      </w:r>
      <w:r>
        <w:rPr>
          <w:spacing w:val="-11"/>
        </w:rPr>
        <w:t> </w:t>
      </w:r>
      <w:r>
        <w:rPr/>
        <w:t>and</w:t>
      </w:r>
      <w:r>
        <w:rPr>
          <w:spacing w:val="-11"/>
        </w:rPr>
        <w:t> </w:t>
      </w:r>
      <w:r>
        <w:rPr/>
        <w:t>produce a H</w:t>
      </w:r>
      <w:r>
        <w:rPr>
          <w:position w:val="-6"/>
          <w:sz w:val="11"/>
        </w:rPr>
        <w:t>2</w:t>
      </w:r>
      <w:r>
        <w:rPr/>
        <w:t>/N</w:t>
      </w:r>
      <w:r>
        <w:rPr>
          <w:position w:val="-6"/>
          <w:sz w:val="11"/>
        </w:rPr>
        <w:t>2 </w:t>
      </w:r>
      <w:r>
        <w:rPr/>
        <w:t>fuel mixture (Hufton </w:t>
      </w:r>
      <w:r>
        <w:rPr>
          <w:i/>
        </w:rPr>
        <w:t>et al.</w:t>
      </w:r>
      <w:r>
        <w:rPr>
          <w:i/>
          <w:spacing w:val="-7"/>
        </w:rPr>
        <w:t> </w:t>
      </w:r>
      <w:r>
        <w:rPr/>
        <w:t>2005)</w:t>
      </w:r>
    </w:p>
    <w:p>
      <w:pPr>
        <w:pStyle w:val="BodyText"/>
        <w:spacing w:before="4"/>
        <w:rPr>
          <w:sz w:val="21"/>
        </w:rPr>
      </w:pPr>
    </w:p>
    <w:p>
      <w:pPr>
        <w:pStyle w:val="ListParagraph"/>
        <w:numPr>
          <w:ilvl w:val="3"/>
          <w:numId w:val="21"/>
        </w:numPr>
        <w:tabs>
          <w:tab w:pos="1062" w:val="left" w:leader="none"/>
        </w:tabs>
        <w:spacing w:line="249" w:lineRule="auto" w:before="0" w:after="0"/>
        <w:ind w:left="1061" w:right="1740" w:hanging="821"/>
        <w:jc w:val="both"/>
        <w:rPr>
          <w:i/>
          <w:sz w:val="20"/>
        </w:rPr>
      </w:pPr>
      <w:r>
        <w:rPr>
          <w:i/>
          <w:sz w:val="20"/>
        </w:rPr>
        <w:t>Auto-thermal reforming of gas and </w:t>
      </w:r>
      <w:r>
        <w:rPr>
          <w:i/>
          <w:spacing w:val="-3"/>
          <w:sz w:val="20"/>
        </w:rPr>
        <w:t>light </w:t>
      </w:r>
      <w:r>
        <w:rPr>
          <w:i/>
          <w:sz w:val="20"/>
        </w:rPr>
        <w:t>hydrocarbons</w:t>
      </w:r>
    </w:p>
    <w:p>
      <w:pPr>
        <w:pStyle w:val="BodyText"/>
        <w:spacing w:line="249" w:lineRule="auto" w:before="2"/>
        <w:ind w:left="241" w:right="732"/>
        <w:jc w:val="both"/>
      </w:pPr>
      <w:r>
        <w:rPr/>
        <w:t>The autothermal reforming </w:t>
      </w:r>
      <w:r>
        <w:rPr>
          <w:spacing w:val="-5"/>
        </w:rPr>
        <w:t>(ATR) </w:t>
      </w:r>
      <w:r>
        <w:rPr/>
        <w:t>process can be considered as a combination of the two processes described above. </w:t>
      </w:r>
      <w:r>
        <w:rPr>
          <w:spacing w:val="-5"/>
        </w:rPr>
        <w:t>The </w:t>
      </w:r>
      <w:r>
        <w:rPr/>
        <w:t>heat required in the SMR reactor is generated by the partial oxidation reaction (2) using air or oxygen, but because steam is supplied to the reactor as well as excess natural gas, the endothermic</w:t>
      </w:r>
      <w:r>
        <w:rPr>
          <w:spacing w:val="-8"/>
        </w:rPr>
        <w:t> </w:t>
      </w:r>
      <w:r>
        <w:rPr/>
        <w:t>reforming</w:t>
      </w:r>
      <w:r>
        <w:rPr>
          <w:spacing w:val="-8"/>
        </w:rPr>
        <w:t> </w:t>
      </w:r>
      <w:r>
        <w:rPr/>
        <w:t>reaction</w:t>
      </w:r>
      <w:r>
        <w:rPr>
          <w:spacing w:val="-8"/>
        </w:rPr>
        <w:t> </w:t>
      </w:r>
      <w:r>
        <w:rPr/>
        <w:t>(1)</w:t>
      </w:r>
      <w:r>
        <w:rPr>
          <w:spacing w:val="-8"/>
        </w:rPr>
        <w:t> </w:t>
      </w:r>
      <w:r>
        <w:rPr/>
        <w:t>occurs</w:t>
      </w:r>
      <w:r>
        <w:rPr>
          <w:spacing w:val="-8"/>
        </w:rPr>
        <w:t> </w:t>
      </w:r>
      <w:r>
        <w:rPr/>
        <w:t>in</w:t>
      </w:r>
      <w:r>
        <w:rPr>
          <w:spacing w:val="-7"/>
        </w:rPr>
        <w:t> </w:t>
      </w:r>
      <w:r>
        <w:rPr/>
        <w:t>a</w:t>
      </w:r>
      <w:r>
        <w:rPr>
          <w:spacing w:val="-8"/>
        </w:rPr>
        <w:t> </w:t>
      </w:r>
      <w:r>
        <w:rPr/>
        <w:t>catalytic</w:t>
      </w:r>
      <w:r>
        <w:rPr>
          <w:spacing w:val="-8"/>
        </w:rPr>
        <w:t> </w:t>
      </w:r>
      <w:r>
        <w:rPr/>
        <w:t>section of the reactor downstream of the POX burner. The addition </w:t>
      </w:r>
      <w:r>
        <w:rPr>
          <w:spacing w:val="-6"/>
        </w:rPr>
        <w:t>of </w:t>
      </w:r>
      <w:r>
        <w:rPr/>
        <w:t>steam enables a high conversion of fuel to hydrogen at a lower temperature.</w:t>
      </w:r>
      <w:r>
        <w:rPr>
          <w:spacing w:val="-14"/>
        </w:rPr>
        <w:t> </w:t>
      </w:r>
      <w:r>
        <w:rPr/>
        <w:t>Operating</w:t>
      </w:r>
      <w:r>
        <w:rPr>
          <w:spacing w:val="-13"/>
        </w:rPr>
        <w:t> </w:t>
      </w:r>
      <w:r>
        <w:rPr/>
        <w:t>temperatures</w:t>
      </w:r>
      <w:r>
        <w:rPr>
          <w:spacing w:val="-13"/>
        </w:rPr>
        <w:t> </w:t>
      </w:r>
      <w:r>
        <w:rPr/>
        <w:t>of</w:t>
      </w:r>
      <w:r>
        <w:rPr>
          <w:spacing w:val="-13"/>
        </w:rPr>
        <w:t> </w:t>
      </w:r>
      <w:r>
        <w:rPr/>
        <w:t>the</w:t>
      </w:r>
      <w:r>
        <w:rPr>
          <w:spacing w:val="-14"/>
        </w:rPr>
        <w:t> </w:t>
      </w:r>
      <w:r>
        <w:rPr/>
        <w:t>autothermal</w:t>
      </w:r>
      <w:r>
        <w:rPr>
          <w:spacing w:val="-13"/>
        </w:rPr>
        <w:t> </w:t>
      </w:r>
      <w:r>
        <w:rPr/>
        <w:t>process are typically 950-1050°C, although this depends on the design of</w:t>
      </w:r>
      <w:r>
        <w:rPr>
          <w:spacing w:val="-6"/>
        </w:rPr>
        <w:t> </w:t>
      </w:r>
      <w:r>
        <w:rPr/>
        <w:t>the</w:t>
      </w:r>
      <w:r>
        <w:rPr>
          <w:spacing w:val="-5"/>
        </w:rPr>
        <w:t> </w:t>
      </w:r>
      <w:r>
        <w:rPr/>
        <w:t>process.</w:t>
      </w:r>
      <w:r>
        <w:rPr>
          <w:spacing w:val="-17"/>
        </w:rPr>
        <w:t> </w:t>
      </w:r>
      <w:r>
        <w:rPr/>
        <w:t>An</w:t>
      </w:r>
      <w:r>
        <w:rPr>
          <w:spacing w:val="-5"/>
        </w:rPr>
        <w:t> </w:t>
      </w:r>
      <w:r>
        <w:rPr/>
        <w:t>advantage</w:t>
      </w:r>
      <w:r>
        <w:rPr>
          <w:spacing w:val="-6"/>
        </w:rPr>
        <w:t> </w:t>
      </w:r>
      <w:r>
        <w:rPr/>
        <w:t>of</w:t>
      </w:r>
      <w:r>
        <w:rPr>
          <w:spacing w:val="-5"/>
        </w:rPr>
        <w:t> </w:t>
      </w:r>
      <w:r>
        <w:rPr/>
        <w:t>the</w:t>
      </w:r>
      <w:r>
        <w:rPr>
          <w:spacing w:val="-6"/>
        </w:rPr>
        <w:t> </w:t>
      </w:r>
      <w:r>
        <w:rPr/>
        <w:t>process,</w:t>
      </w:r>
      <w:r>
        <w:rPr>
          <w:spacing w:val="-5"/>
        </w:rPr>
        <w:t> </w:t>
      </w:r>
      <w:r>
        <w:rPr/>
        <w:t>compared</w:t>
      </w:r>
      <w:r>
        <w:rPr>
          <w:spacing w:val="-6"/>
        </w:rPr>
        <w:t> </w:t>
      </w:r>
      <w:r>
        <w:rPr/>
        <w:t>to</w:t>
      </w:r>
      <w:r>
        <w:rPr>
          <w:spacing w:val="-5"/>
        </w:rPr>
        <w:t> </w:t>
      </w:r>
      <w:r>
        <w:rPr/>
        <w:t>SMR, is</w:t>
      </w:r>
      <w:r>
        <w:rPr>
          <w:spacing w:val="8"/>
        </w:rPr>
        <w:t> </w:t>
      </w:r>
      <w:r>
        <w:rPr/>
        <w:t>the</w:t>
      </w:r>
      <w:r>
        <w:rPr>
          <w:spacing w:val="8"/>
        </w:rPr>
        <w:t> </w:t>
      </w:r>
      <w:r>
        <w:rPr/>
        <w:t>lower</w:t>
      </w:r>
      <w:r>
        <w:rPr>
          <w:spacing w:val="8"/>
        </w:rPr>
        <w:t> </w:t>
      </w:r>
      <w:r>
        <w:rPr/>
        <w:t>investment</w:t>
      </w:r>
      <w:r>
        <w:rPr>
          <w:spacing w:val="7"/>
        </w:rPr>
        <w:t> </w:t>
      </w:r>
      <w:r>
        <w:rPr/>
        <w:t>cost</w:t>
      </w:r>
      <w:r>
        <w:rPr>
          <w:spacing w:val="8"/>
        </w:rPr>
        <w:t> </w:t>
      </w:r>
      <w:r>
        <w:rPr/>
        <w:t>for</w:t>
      </w:r>
      <w:r>
        <w:rPr>
          <w:spacing w:val="8"/>
        </w:rPr>
        <w:t> </w:t>
      </w:r>
      <w:r>
        <w:rPr/>
        <w:t>the</w:t>
      </w:r>
      <w:r>
        <w:rPr>
          <w:spacing w:val="8"/>
        </w:rPr>
        <w:t> </w:t>
      </w:r>
      <w:r>
        <w:rPr/>
        <w:t>reactor</w:t>
      </w:r>
      <w:r>
        <w:rPr>
          <w:spacing w:val="7"/>
        </w:rPr>
        <w:t> </w:t>
      </w:r>
      <w:r>
        <w:rPr/>
        <w:t>and</w:t>
      </w:r>
      <w:r>
        <w:rPr>
          <w:spacing w:val="8"/>
        </w:rPr>
        <w:t> </w:t>
      </w:r>
      <w:r>
        <w:rPr/>
        <w:t>the</w:t>
      </w:r>
      <w:r>
        <w:rPr>
          <w:spacing w:val="8"/>
        </w:rPr>
        <w:t> </w:t>
      </w:r>
      <w:r>
        <w:rPr/>
        <w:t>absence</w:t>
      </w:r>
      <w:r>
        <w:rPr>
          <w:spacing w:val="7"/>
        </w:rPr>
        <w:t> </w:t>
      </w:r>
      <w:r>
        <w:rPr>
          <w:spacing w:val="-6"/>
        </w:rPr>
        <w:t>of</w:t>
      </w:r>
    </w:p>
    <w:p>
      <w:pPr>
        <w:spacing w:after="0" w:line="249" w:lineRule="auto"/>
        <w:jc w:val="both"/>
        <w:sectPr>
          <w:type w:val="continuous"/>
          <w:pgSz w:w="12240" w:h="15840"/>
          <w:pgMar w:top="480" w:bottom="280" w:left="620" w:right="0"/>
          <w:cols w:num="2" w:equalWidth="0">
            <w:col w:w="5566" w:space="40"/>
            <w:col w:w="6014"/>
          </w:cols>
        </w:sectPr>
      </w:pPr>
    </w:p>
    <w:p>
      <w:pPr>
        <w:pStyle w:val="BodyText"/>
        <w:spacing w:line="277" w:lineRule="exact" w:before="10"/>
        <w:ind w:left="527"/>
        <w:rPr>
          <w:sz w:val="11"/>
        </w:rPr>
      </w:pPr>
      <w:r>
        <w:rPr/>
        <w:t>720 tH</w:t>
      </w:r>
      <w:r>
        <w:rPr>
          <w:position w:val="-6"/>
          <w:sz w:val="11"/>
        </w:rPr>
        <w:t>2</w:t>
      </w:r>
    </w:p>
    <w:p>
      <w:pPr>
        <w:pStyle w:val="BodyText"/>
        <w:spacing w:before="10"/>
        <w:ind w:left="13"/>
      </w:pPr>
      <w:r>
        <w:rPr/>
        <w:br w:type="column"/>
      </w:r>
      <w:r>
        <w:rPr/>
        <w:t>d</w:t>
      </w:r>
      <w:r>
        <w:rPr>
          <w:position w:val="7"/>
          <w:sz w:val="11"/>
        </w:rPr>
        <w:t>-1</w:t>
      </w:r>
      <w:r>
        <w:rPr/>
        <w:t>), the overall efficiency of making 6.0 MPa H</w:t>
      </w:r>
    </w:p>
    <w:p>
      <w:pPr>
        <w:pStyle w:val="BodyText"/>
        <w:spacing w:before="10"/>
        <w:ind w:left="71"/>
      </w:pPr>
      <w:r>
        <w:rPr/>
        <w:br w:type="column"/>
      </w:r>
      <w:r>
        <w:rPr/>
        <w:t>from</w:t>
      </w:r>
    </w:p>
    <w:p>
      <w:pPr>
        <w:pStyle w:val="BodyText"/>
        <w:spacing w:line="277" w:lineRule="exact" w:before="10"/>
        <w:ind w:left="243"/>
        <w:rPr>
          <w:sz w:val="11"/>
        </w:rPr>
      </w:pPr>
      <w:r>
        <w:rPr/>
        <w:br w:type="column"/>
      </w:r>
      <w:r>
        <w:rPr/>
        <w:t>any emissions of </w:t>
      </w:r>
      <w:r>
        <w:rPr>
          <w:spacing w:val="-7"/>
        </w:rPr>
        <w:t>CO</w:t>
      </w:r>
      <w:r>
        <w:rPr>
          <w:spacing w:val="-7"/>
          <w:position w:val="-6"/>
          <w:sz w:val="11"/>
        </w:rPr>
        <w:t>2</w:t>
      </w:r>
    </w:p>
    <w:p>
      <w:pPr>
        <w:pStyle w:val="BodyText"/>
        <w:spacing w:before="10"/>
        <w:ind w:left="6"/>
      </w:pPr>
      <w:r>
        <w:rPr/>
        <w:br w:type="column"/>
      </w:r>
      <w:r>
        <w:rPr/>
        <w:t>since all heat release is internal, although</w:t>
      </w:r>
    </w:p>
    <w:p>
      <w:pPr>
        <w:spacing w:after="0"/>
        <w:sectPr>
          <w:type w:val="continuous"/>
          <w:pgSz w:w="12240" w:h="15840"/>
          <w:pgMar w:top="480" w:bottom="280" w:left="620" w:right="0"/>
          <w:cols w:num="5" w:equalWidth="0">
            <w:col w:w="1140" w:space="40"/>
            <w:col w:w="3884" w:space="39"/>
            <w:col w:w="461" w:space="39"/>
            <w:col w:w="1963" w:space="40"/>
            <w:col w:w="4014"/>
          </w:cols>
        </w:sectPr>
      </w:pPr>
    </w:p>
    <w:p>
      <w:pPr>
        <w:pStyle w:val="BodyText"/>
        <w:spacing w:line="187" w:lineRule="auto"/>
        <w:ind w:left="527"/>
        <w:jc w:val="both"/>
      </w:pPr>
      <w:r>
        <w:rPr/>
        <w:t>natural</w:t>
      </w:r>
      <w:r>
        <w:rPr>
          <w:spacing w:val="32"/>
        </w:rPr>
        <w:t> </w:t>
      </w:r>
      <w:r>
        <w:rPr/>
        <w:t>gas</w:t>
      </w:r>
      <w:r>
        <w:rPr>
          <w:spacing w:val="33"/>
        </w:rPr>
        <w:t> </w:t>
      </w:r>
      <w:r>
        <w:rPr/>
        <w:t>with</w:t>
      </w:r>
      <w:r>
        <w:rPr>
          <w:spacing w:val="33"/>
        </w:rPr>
        <w:t> </w:t>
      </w:r>
      <w:r>
        <w:rPr/>
        <w:t>CO</w:t>
      </w:r>
      <w:r>
        <w:rPr>
          <w:position w:val="-6"/>
          <w:sz w:val="11"/>
        </w:rPr>
        <w:t>2   </w:t>
      </w:r>
      <w:r>
        <w:rPr/>
        <w:t>vented</w:t>
      </w:r>
      <w:r>
        <w:rPr>
          <w:spacing w:val="33"/>
        </w:rPr>
        <w:t> </w:t>
      </w:r>
      <w:r>
        <w:rPr/>
        <w:t>that</w:t>
      </w:r>
      <w:r>
        <w:rPr>
          <w:spacing w:val="33"/>
        </w:rPr>
        <w:t> </w:t>
      </w:r>
      <w:r>
        <w:rPr/>
        <w:t>is</w:t>
      </w:r>
      <w:r>
        <w:rPr>
          <w:spacing w:val="32"/>
        </w:rPr>
        <w:t> </w:t>
      </w:r>
      <w:r>
        <w:rPr/>
        <w:t>without</w:t>
      </w:r>
      <w:r>
        <w:rPr>
          <w:spacing w:val="33"/>
        </w:rPr>
        <w:t> </w:t>
      </w:r>
      <w:r>
        <w:rPr/>
        <w:t>CO</w:t>
      </w:r>
      <w:r>
        <w:rPr>
          <w:position w:val="-6"/>
          <w:sz w:val="11"/>
        </w:rPr>
        <w:t>2  </w:t>
      </w:r>
      <w:r>
        <w:rPr>
          <w:spacing w:val="1"/>
          <w:position w:val="-6"/>
          <w:sz w:val="11"/>
        </w:rPr>
        <w:t> </w:t>
      </w:r>
      <w:r>
        <w:rPr/>
        <w:t>capture,</w:t>
      </w:r>
      <w:r>
        <w:rPr>
          <w:spacing w:val="33"/>
        </w:rPr>
        <w:t> </w:t>
      </w:r>
      <w:r>
        <w:rPr/>
        <w:t>is</w:t>
      </w:r>
    </w:p>
    <w:p>
      <w:pPr>
        <w:pStyle w:val="BodyText"/>
        <w:spacing w:line="206" w:lineRule="auto"/>
        <w:ind w:left="527" w:right="1"/>
        <w:jc w:val="both"/>
      </w:pPr>
      <w:r>
        <w:rPr/>
        <w:t>estimated</w:t>
      </w:r>
      <w:r>
        <w:rPr>
          <w:spacing w:val="-5"/>
        </w:rPr>
        <w:t> </w:t>
      </w:r>
      <w:r>
        <w:rPr/>
        <w:t>to</w:t>
      </w:r>
      <w:r>
        <w:rPr>
          <w:spacing w:val="-5"/>
        </w:rPr>
        <w:t> </w:t>
      </w:r>
      <w:r>
        <w:rPr/>
        <w:t>be</w:t>
      </w:r>
      <w:r>
        <w:rPr>
          <w:spacing w:val="-4"/>
        </w:rPr>
        <w:t> </w:t>
      </w:r>
      <w:r>
        <w:rPr/>
        <w:t>76%,</w:t>
      </w:r>
      <w:r>
        <w:rPr>
          <w:spacing w:val="-5"/>
        </w:rPr>
        <w:t> </w:t>
      </w:r>
      <w:r>
        <w:rPr/>
        <w:t>LHV</w:t>
      </w:r>
      <w:r>
        <w:rPr>
          <w:spacing w:val="-8"/>
        </w:rPr>
        <w:t> </w:t>
      </w:r>
      <w:r>
        <w:rPr/>
        <w:t>basis,</w:t>
      </w:r>
      <w:r>
        <w:rPr>
          <w:spacing w:val="-4"/>
        </w:rPr>
        <w:t> </w:t>
      </w:r>
      <w:r>
        <w:rPr/>
        <w:t>with</w:t>
      </w:r>
      <w:r>
        <w:rPr>
          <w:spacing w:val="-5"/>
        </w:rPr>
        <w:t> </w:t>
      </w:r>
      <w:r>
        <w:rPr/>
        <w:t>emissions</w:t>
      </w:r>
      <w:r>
        <w:rPr>
          <w:spacing w:val="-5"/>
        </w:rPr>
        <w:t> </w:t>
      </w:r>
      <w:r>
        <w:rPr/>
        <w:t>of</w:t>
      </w:r>
      <w:r>
        <w:rPr>
          <w:spacing w:val="-4"/>
        </w:rPr>
        <w:t> </w:t>
      </w:r>
      <w:r>
        <w:rPr/>
        <w:t>9.1</w:t>
      </w:r>
      <w:r>
        <w:rPr>
          <w:spacing w:val="-5"/>
        </w:rPr>
        <w:t> </w:t>
      </w:r>
      <w:r>
        <w:rPr/>
        <w:t>kg</w:t>
      </w:r>
      <w:r>
        <w:rPr>
          <w:spacing w:val="-5"/>
        </w:rPr>
        <w:t> </w:t>
      </w:r>
      <w:r>
        <w:rPr>
          <w:spacing w:val="-4"/>
        </w:rPr>
        <w:t>CO</w:t>
      </w:r>
      <w:r>
        <w:rPr>
          <w:spacing w:val="-4"/>
          <w:position w:val="-6"/>
          <w:sz w:val="11"/>
        </w:rPr>
        <w:t>2</w:t>
      </w:r>
      <w:r>
        <w:rPr>
          <w:spacing w:val="-4"/>
        </w:rPr>
        <w:t>/ </w:t>
      </w:r>
      <w:r>
        <w:rPr/>
        <w:t>kg H</w:t>
      </w:r>
      <w:r>
        <w:rPr>
          <w:position w:val="-6"/>
          <w:sz w:val="11"/>
        </w:rPr>
        <w:t>2 </w:t>
      </w:r>
      <w:r>
        <w:rPr/>
        <w:t>(IEA GHG, 1996). The process can be modified (at </w:t>
      </w:r>
      <w:r>
        <w:rPr>
          <w:spacing w:val="-12"/>
        </w:rPr>
        <w:t>a </w:t>
      </w:r>
      <w:r>
        <w:rPr/>
        <w:t>cost) to provide a nearly pure CO</w:t>
      </w:r>
      <w:r>
        <w:rPr>
          <w:position w:val="-6"/>
          <w:sz w:val="11"/>
        </w:rPr>
        <w:t>2 </w:t>
      </w:r>
      <w:r>
        <w:rPr/>
        <w:t>co-product. One possibility is</w:t>
      </w:r>
      <w:r>
        <w:rPr>
          <w:spacing w:val="-5"/>
        </w:rPr>
        <w:t> </w:t>
      </w:r>
      <w:r>
        <w:rPr/>
        <w:t>to</w:t>
      </w:r>
      <w:r>
        <w:rPr>
          <w:spacing w:val="-6"/>
        </w:rPr>
        <w:t> </w:t>
      </w:r>
      <w:r>
        <w:rPr/>
        <w:t>remove</w:t>
      </w:r>
      <w:r>
        <w:rPr>
          <w:spacing w:val="-6"/>
        </w:rPr>
        <w:t> </w:t>
      </w:r>
      <w:r>
        <w:rPr/>
        <w:t>most</w:t>
      </w:r>
      <w:r>
        <w:rPr>
          <w:spacing w:val="-6"/>
        </w:rPr>
        <w:t> </w:t>
      </w:r>
      <w:r>
        <w:rPr/>
        <w:t>of</w:t>
      </w:r>
      <w:r>
        <w:rPr>
          <w:spacing w:val="-5"/>
        </w:rPr>
        <w:t> </w:t>
      </w:r>
      <w:r>
        <w:rPr/>
        <w:t>the</w:t>
      </w:r>
      <w:r>
        <w:rPr>
          <w:spacing w:val="-5"/>
        </w:rPr>
        <w:t> </w:t>
      </w:r>
      <w:r>
        <w:rPr/>
        <w:t>CO</w:t>
      </w:r>
      <w:r>
        <w:rPr>
          <w:position w:val="-6"/>
          <w:sz w:val="11"/>
        </w:rPr>
        <w:t>2</w:t>
      </w:r>
      <w:r>
        <w:rPr>
          <w:spacing w:val="17"/>
          <w:position w:val="-6"/>
          <w:sz w:val="11"/>
        </w:rPr>
        <w:t> </w:t>
      </w:r>
      <w:r>
        <w:rPr/>
        <w:t>from</w:t>
      </w:r>
      <w:r>
        <w:rPr>
          <w:spacing w:val="-5"/>
        </w:rPr>
        <w:t> </w:t>
      </w:r>
      <w:r>
        <w:rPr/>
        <w:t>the</w:t>
      </w:r>
      <w:r>
        <w:rPr>
          <w:spacing w:val="-6"/>
        </w:rPr>
        <w:t> </w:t>
      </w:r>
      <w:r>
        <w:rPr/>
        <w:t>shifted,</w:t>
      </w:r>
      <w:r>
        <w:rPr>
          <w:spacing w:val="-6"/>
        </w:rPr>
        <w:t> </w:t>
      </w:r>
      <w:r>
        <w:rPr/>
        <w:t>cooled</w:t>
      </w:r>
      <w:r>
        <w:rPr>
          <w:spacing w:val="-6"/>
        </w:rPr>
        <w:t> </w:t>
      </w:r>
      <w:r>
        <w:rPr/>
        <w:t>syngas</w:t>
      </w:r>
      <w:r>
        <w:rPr>
          <w:spacing w:val="-6"/>
        </w:rPr>
        <w:t> </w:t>
      </w:r>
      <w:r>
        <w:rPr/>
        <w:t>in a</w:t>
      </w:r>
      <w:r>
        <w:rPr>
          <w:spacing w:val="-10"/>
        </w:rPr>
        <w:t> </w:t>
      </w:r>
      <w:r>
        <w:rPr/>
        <w:t>‘wet’</w:t>
      </w:r>
      <w:r>
        <w:rPr>
          <w:spacing w:val="-25"/>
        </w:rPr>
        <w:t> </w:t>
      </w:r>
      <w:r>
        <w:rPr/>
        <w:t>CO</w:t>
      </w:r>
      <w:r>
        <w:rPr>
          <w:position w:val="-6"/>
          <w:sz w:val="11"/>
        </w:rPr>
        <w:t>2</w:t>
      </w:r>
      <w:r>
        <w:rPr>
          <w:spacing w:val="13"/>
          <w:position w:val="-6"/>
          <w:sz w:val="11"/>
        </w:rPr>
        <w:t> </w:t>
      </w:r>
      <w:r>
        <w:rPr/>
        <w:t>removal</w:t>
      </w:r>
      <w:r>
        <w:rPr>
          <w:spacing w:val="-10"/>
        </w:rPr>
        <w:t> </w:t>
      </w:r>
      <w:r>
        <w:rPr/>
        <w:t>plant</w:t>
      </w:r>
      <w:r>
        <w:rPr>
          <w:spacing w:val="-10"/>
        </w:rPr>
        <w:t> </w:t>
      </w:r>
      <w:r>
        <w:rPr/>
        <w:t>with</w:t>
      </w:r>
      <w:r>
        <w:rPr>
          <w:spacing w:val="-10"/>
        </w:rPr>
        <w:t> </w:t>
      </w:r>
      <w:r>
        <w:rPr/>
        <w:t>an</w:t>
      </w:r>
      <w:r>
        <w:rPr>
          <w:spacing w:val="-10"/>
        </w:rPr>
        <w:t> </w:t>
      </w:r>
      <w:r>
        <w:rPr/>
        <w:t>appropriate</w:t>
      </w:r>
      <w:r>
        <w:rPr>
          <w:spacing w:val="-10"/>
        </w:rPr>
        <w:t> </w:t>
      </w:r>
      <w:r>
        <w:rPr/>
        <w:t>amine</w:t>
      </w:r>
      <w:r>
        <w:rPr>
          <w:spacing w:val="-10"/>
        </w:rPr>
        <w:t> </w:t>
      </w:r>
      <w:r>
        <w:rPr/>
        <w:t>solvent.</w:t>
      </w:r>
      <w:r>
        <w:rPr>
          <w:spacing w:val="-10"/>
        </w:rPr>
        <w:t> </w:t>
      </w:r>
      <w:r>
        <w:rPr/>
        <w:t>In this</w:t>
      </w:r>
      <w:r>
        <w:rPr>
          <w:spacing w:val="-8"/>
        </w:rPr>
        <w:t> </w:t>
      </w:r>
      <w:r>
        <w:rPr/>
        <w:t>case</w:t>
      </w:r>
      <w:r>
        <w:rPr>
          <w:spacing w:val="-7"/>
        </w:rPr>
        <w:t> </w:t>
      </w:r>
      <w:r>
        <w:rPr/>
        <w:t>the</w:t>
      </w:r>
      <w:r>
        <w:rPr>
          <w:spacing w:val="-7"/>
        </w:rPr>
        <w:t> </w:t>
      </w:r>
      <w:r>
        <w:rPr/>
        <w:t>CO</w:t>
      </w:r>
      <w:r>
        <w:rPr>
          <w:position w:val="-6"/>
          <w:sz w:val="11"/>
        </w:rPr>
        <w:t>2</w:t>
      </w:r>
      <w:r>
        <w:rPr/>
        <w:t>-deficient</w:t>
      </w:r>
      <w:r>
        <w:rPr>
          <w:spacing w:val="-7"/>
        </w:rPr>
        <w:t> </w:t>
      </w:r>
      <w:r>
        <w:rPr/>
        <w:t>syngas</w:t>
      </w:r>
      <w:r>
        <w:rPr>
          <w:spacing w:val="-8"/>
        </w:rPr>
        <w:t> </w:t>
      </w:r>
      <w:r>
        <w:rPr/>
        <w:t>exiting</w:t>
      </w:r>
      <w:r>
        <w:rPr>
          <w:spacing w:val="-7"/>
        </w:rPr>
        <w:t> </w:t>
      </w:r>
      <w:r>
        <w:rPr/>
        <w:t>the</w:t>
      </w:r>
      <w:r>
        <w:rPr>
          <w:spacing w:val="-7"/>
        </w:rPr>
        <w:t> </w:t>
      </w:r>
      <w:r>
        <w:rPr/>
        <w:t>amine</w:t>
      </w:r>
      <w:r>
        <w:rPr>
          <w:spacing w:val="-7"/>
        </w:rPr>
        <w:t> </w:t>
      </w:r>
      <w:r>
        <w:rPr/>
        <w:t>scrubber</w:t>
      </w:r>
      <w:r>
        <w:rPr>
          <w:spacing w:val="-6"/>
        </w:rPr>
        <w:t> </w:t>
      </w:r>
      <w:r>
        <w:rPr/>
        <w:t>is passed</w:t>
      </w:r>
      <w:r>
        <w:rPr>
          <w:spacing w:val="-8"/>
        </w:rPr>
        <w:t> </w:t>
      </w:r>
      <w:r>
        <w:rPr/>
        <w:t>to</w:t>
      </w:r>
      <w:r>
        <w:rPr>
          <w:spacing w:val="-7"/>
        </w:rPr>
        <w:t> </w:t>
      </w:r>
      <w:r>
        <w:rPr/>
        <w:t>a</w:t>
      </w:r>
      <w:r>
        <w:rPr>
          <w:spacing w:val="-7"/>
        </w:rPr>
        <w:t> </w:t>
      </w:r>
      <w:r>
        <w:rPr/>
        <w:t>PSA</w:t>
      </w:r>
      <w:r>
        <w:rPr>
          <w:spacing w:val="-19"/>
        </w:rPr>
        <w:t> </w:t>
      </w:r>
      <w:r>
        <w:rPr/>
        <w:t>unit</w:t>
      </w:r>
      <w:r>
        <w:rPr>
          <w:spacing w:val="-7"/>
        </w:rPr>
        <w:t> </w:t>
      </w:r>
      <w:r>
        <w:rPr/>
        <w:t>from</w:t>
      </w:r>
      <w:r>
        <w:rPr>
          <w:spacing w:val="-7"/>
        </w:rPr>
        <w:t> </w:t>
      </w:r>
      <w:r>
        <w:rPr/>
        <w:t>which</w:t>
      </w:r>
      <w:r>
        <w:rPr>
          <w:spacing w:val="-7"/>
        </w:rPr>
        <w:t> </w:t>
      </w:r>
      <w:r>
        <w:rPr/>
        <w:t>relatively</w:t>
      </w:r>
      <w:r>
        <w:rPr>
          <w:spacing w:val="-8"/>
        </w:rPr>
        <w:t> </w:t>
      </w:r>
      <w:r>
        <w:rPr/>
        <w:t>pure</w:t>
      </w:r>
      <w:r>
        <w:rPr>
          <w:spacing w:val="-7"/>
        </w:rPr>
        <w:t> </w:t>
      </w:r>
      <w:r>
        <w:rPr/>
        <w:t>H</w:t>
      </w:r>
      <w:r>
        <w:rPr>
          <w:position w:val="-6"/>
          <w:sz w:val="11"/>
        </w:rPr>
        <w:t>2</w:t>
      </w:r>
      <w:r>
        <w:rPr>
          <w:spacing w:val="15"/>
          <w:position w:val="-6"/>
          <w:sz w:val="11"/>
        </w:rPr>
        <w:t> </w:t>
      </w:r>
      <w:r>
        <w:rPr/>
        <w:t>is</w:t>
      </w:r>
      <w:r>
        <w:rPr>
          <w:spacing w:val="-7"/>
        </w:rPr>
        <w:t> </w:t>
      </w:r>
      <w:r>
        <w:rPr/>
        <w:t>recovered and  the  PSA  purge  gases  are  burned  along  with</w:t>
      </w:r>
      <w:r>
        <w:rPr>
          <w:spacing w:val="-15"/>
        </w:rPr>
        <w:t> </w:t>
      </w:r>
      <w:r>
        <w:rPr/>
        <w:t>additional</w:t>
      </w:r>
    </w:p>
    <w:p>
      <w:pPr>
        <w:pStyle w:val="BodyText"/>
        <w:spacing w:line="187" w:lineRule="auto"/>
        <w:ind w:left="527"/>
        <w:jc w:val="both"/>
      </w:pPr>
      <w:r>
        <w:rPr/>
        <w:t>natural</w:t>
      </w:r>
      <w:r>
        <w:rPr>
          <w:spacing w:val="27"/>
        </w:rPr>
        <w:t> </w:t>
      </w:r>
      <w:r>
        <w:rPr/>
        <w:t>gas</w:t>
      </w:r>
      <w:r>
        <w:rPr>
          <w:spacing w:val="27"/>
        </w:rPr>
        <w:t> </w:t>
      </w:r>
      <w:r>
        <w:rPr/>
        <w:t>to</w:t>
      </w:r>
      <w:r>
        <w:rPr>
          <w:spacing w:val="28"/>
        </w:rPr>
        <w:t> </w:t>
      </w:r>
      <w:r>
        <w:rPr/>
        <w:t>provide</w:t>
      </w:r>
      <w:r>
        <w:rPr>
          <w:spacing w:val="27"/>
        </w:rPr>
        <w:t> </w:t>
      </w:r>
      <w:r>
        <w:rPr/>
        <w:t>the</w:t>
      </w:r>
      <w:r>
        <w:rPr>
          <w:spacing w:val="28"/>
        </w:rPr>
        <w:t> </w:t>
      </w:r>
      <w:r>
        <w:rPr/>
        <w:t>needed</w:t>
      </w:r>
      <w:r>
        <w:rPr>
          <w:spacing w:val="27"/>
        </w:rPr>
        <w:t> </w:t>
      </w:r>
      <w:r>
        <w:rPr/>
        <w:t>reformer</w:t>
      </w:r>
      <w:r>
        <w:rPr>
          <w:spacing w:val="28"/>
        </w:rPr>
        <w:t> </w:t>
      </w:r>
      <w:r>
        <w:rPr/>
        <w:t>heat.</w:t>
      </w:r>
      <w:r>
        <w:rPr>
          <w:spacing w:val="24"/>
        </w:rPr>
        <w:t> </w:t>
      </w:r>
      <w:r>
        <w:rPr/>
        <w:t>The</w:t>
      </w:r>
      <w:r>
        <w:rPr>
          <w:spacing w:val="28"/>
        </w:rPr>
        <w:t> </w:t>
      </w:r>
      <w:r>
        <w:rPr/>
        <w:t>CO</w:t>
      </w:r>
      <w:r>
        <w:rPr>
          <w:position w:val="-6"/>
          <w:sz w:val="11"/>
        </w:rPr>
        <w:t>2 </w:t>
      </w:r>
      <w:r>
        <w:rPr>
          <w:spacing w:val="23"/>
          <w:position w:val="-6"/>
          <w:sz w:val="11"/>
        </w:rPr>
        <w:t> </w:t>
      </w:r>
      <w:r>
        <w:rPr>
          <w:spacing w:val="-6"/>
        </w:rPr>
        <w:t>is</w:t>
      </w:r>
    </w:p>
    <w:p>
      <w:pPr>
        <w:pStyle w:val="BodyText"/>
        <w:spacing w:line="210" w:lineRule="exact"/>
        <w:ind w:left="527"/>
        <w:jc w:val="both"/>
      </w:pPr>
      <w:r>
        <w:rPr/>
        <w:t>recovered from  the  amine solvent by  heating and pressurized</w:t>
      </w:r>
    </w:p>
    <w:p>
      <w:pPr>
        <w:pStyle w:val="BodyText"/>
        <w:spacing w:line="225" w:lineRule="auto" w:before="8"/>
        <w:ind w:left="527"/>
        <w:jc w:val="both"/>
      </w:pPr>
      <w:r>
        <w:rPr/>
        <w:t>for transport. </w:t>
      </w:r>
      <w:r>
        <w:rPr>
          <w:spacing w:val="-3"/>
        </w:rPr>
        <w:t>Taking </w:t>
      </w:r>
      <w:r>
        <w:rPr/>
        <w:t>into account the power to compress </w:t>
      </w:r>
      <w:r>
        <w:rPr>
          <w:spacing w:val="-5"/>
        </w:rPr>
        <w:t>the </w:t>
      </w:r>
      <w:r>
        <w:rPr/>
        <w:t>CO</w:t>
      </w:r>
      <w:r>
        <w:rPr>
          <w:position w:val="-6"/>
          <w:sz w:val="11"/>
        </w:rPr>
        <w:t>2 </w:t>
      </w:r>
      <w:r>
        <w:rPr/>
        <w:t>(to 11.2 MPa) reduces the efficiency to about 73% and the emission rate to 1.4 kgCO</w:t>
      </w:r>
      <w:r>
        <w:rPr>
          <w:position w:val="-6"/>
          <w:sz w:val="11"/>
        </w:rPr>
        <w:t>2</w:t>
      </w:r>
      <w:r>
        <w:rPr/>
        <w:t>/kgH</w:t>
      </w:r>
      <w:r>
        <w:rPr>
          <w:position w:val="-6"/>
          <w:sz w:val="11"/>
        </w:rPr>
        <w:t>2</w:t>
      </w:r>
      <w:r>
        <w:rPr/>
        <w:t>, while the CO</w:t>
      </w:r>
      <w:r>
        <w:rPr>
          <w:position w:val="-6"/>
          <w:sz w:val="11"/>
        </w:rPr>
        <w:t>2 </w:t>
      </w:r>
      <w:r>
        <w:rPr/>
        <w:t>removal rate</w:t>
      </w:r>
      <w:r>
        <w:rPr>
          <w:spacing w:val="-15"/>
        </w:rPr>
        <w:t> </w:t>
      </w:r>
      <w:r>
        <w:rPr/>
        <w:t>is</w:t>
      </w:r>
    </w:p>
    <w:p>
      <w:pPr>
        <w:pStyle w:val="BodyText"/>
        <w:spacing w:line="187" w:lineRule="auto"/>
        <w:ind w:left="527"/>
        <w:jc w:val="both"/>
        <w:rPr>
          <w:sz w:val="11"/>
        </w:rPr>
      </w:pPr>
      <w:r>
        <w:rPr/>
        <w:t>8.0 kgCO</w:t>
      </w:r>
      <w:r>
        <w:rPr>
          <w:position w:val="-6"/>
          <w:sz w:val="11"/>
        </w:rPr>
        <w:t>2</w:t>
      </w:r>
      <w:r>
        <w:rPr/>
        <w:t>/kgH</w:t>
      </w:r>
      <w:r>
        <w:rPr>
          <w:position w:val="-6"/>
          <w:sz w:val="11"/>
        </w:rPr>
        <w:t>2.</w:t>
      </w:r>
    </w:p>
    <w:p>
      <w:pPr>
        <w:spacing w:before="209"/>
        <w:ind w:left="527" w:right="0" w:firstLine="0"/>
        <w:jc w:val="both"/>
        <w:rPr>
          <w:i/>
          <w:sz w:val="20"/>
        </w:rPr>
      </w:pPr>
      <w:r>
        <w:rPr>
          <w:i/>
          <w:sz w:val="20"/>
        </w:rPr>
        <w:t>3.5.2.2 Partial oxidation of gas and light hydrocarbons</w:t>
      </w:r>
    </w:p>
    <w:p>
      <w:pPr>
        <w:pStyle w:val="BodyText"/>
        <w:spacing w:line="249" w:lineRule="auto" w:before="10"/>
        <w:ind w:left="527" w:right="1"/>
        <w:jc w:val="both"/>
      </w:pPr>
      <w:r>
        <w:rPr/>
        <w:t>In</w:t>
      </w:r>
      <w:r>
        <w:rPr>
          <w:spacing w:val="-7"/>
        </w:rPr>
        <w:t> </w:t>
      </w:r>
      <w:r>
        <w:rPr/>
        <w:t>the</w:t>
      </w:r>
      <w:r>
        <w:rPr>
          <w:spacing w:val="-7"/>
        </w:rPr>
        <w:t> </w:t>
      </w:r>
      <w:r>
        <w:rPr/>
        <w:t>partial</w:t>
      </w:r>
      <w:r>
        <w:rPr>
          <w:spacing w:val="-7"/>
        </w:rPr>
        <w:t> </w:t>
      </w:r>
      <w:r>
        <w:rPr/>
        <w:t>oxidation</w:t>
      </w:r>
      <w:r>
        <w:rPr>
          <w:spacing w:val="-7"/>
        </w:rPr>
        <w:t> </w:t>
      </w:r>
      <w:r>
        <w:rPr/>
        <w:t>(POX)</w:t>
      </w:r>
      <w:r>
        <w:rPr>
          <w:spacing w:val="-6"/>
        </w:rPr>
        <w:t> </w:t>
      </w:r>
      <w:r>
        <w:rPr/>
        <w:t>process</w:t>
      </w:r>
      <w:r>
        <w:rPr>
          <w:spacing w:val="-7"/>
        </w:rPr>
        <w:t> </w:t>
      </w:r>
      <w:r>
        <w:rPr/>
        <w:t>(reaction</w:t>
      </w:r>
      <w:r>
        <w:rPr>
          <w:spacing w:val="-7"/>
        </w:rPr>
        <w:t> </w:t>
      </w:r>
      <w:r>
        <w:rPr/>
        <w:t>2),</w:t>
      </w:r>
      <w:r>
        <w:rPr>
          <w:spacing w:val="-7"/>
        </w:rPr>
        <w:t> </w:t>
      </w:r>
      <w:r>
        <w:rPr/>
        <w:t>a</w:t>
      </w:r>
      <w:r>
        <w:rPr>
          <w:spacing w:val="-6"/>
        </w:rPr>
        <w:t> </w:t>
      </w:r>
      <w:r>
        <w:rPr/>
        <w:t>fuel</w:t>
      </w:r>
      <w:r>
        <w:rPr>
          <w:spacing w:val="-7"/>
        </w:rPr>
        <w:t> </w:t>
      </w:r>
      <w:r>
        <w:rPr>
          <w:spacing w:val="-3"/>
        </w:rPr>
        <w:t>reacts </w:t>
      </w:r>
      <w:r>
        <w:rPr/>
        <w:t>with pure oxygen at high pressure. The process is exothermic and occurs at high temperatures (typically </w:t>
      </w:r>
      <w:r>
        <w:rPr>
          <w:spacing w:val="-2"/>
        </w:rPr>
        <w:t>1250°C-1400°C). </w:t>
      </w:r>
      <w:r>
        <w:rPr/>
        <w:t>All the heat required for the syngas reaction is supplied by the partial combustion of the fuel and no external heat is required. As with SMR, the syngas will be  cooled,  shifted  and  the CO</w:t>
      </w:r>
      <w:r>
        <w:rPr>
          <w:position w:val="-6"/>
          <w:sz w:val="11"/>
        </w:rPr>
        <w:t>2</w:t>
      </w:r>
      <w:r>
        <w:rPr>
          <w:spacing w:val="21"/>
          <w:position w:val="-6"/>
          <w:sz w:val="11"/>
        </w:rPr>
        <w:t> </w:t>
      </w:r>
      <w:r>
        <w:rPr/>
        <w:t>removed</w:t>
      </w:r>
      <w:r>
        <w:rPr>
          <w:spacing w:val="26"/>
        </w:rPr>
        <w:t> </w:t>
      </w:r>
      <w:r>
        <w:rPr/>
        <w:t>from</w:t>
      </w:r>
      <w:r>
        <w:rPr>
          <w:spacing w:val="27"/>
        </w:rPr>
        <w:t> </w:t>
      </w:r>
      <w:r>
        <w:rPr/>
        <w:t>the</w:t>
      </w:r>
      <w:r>
        <w:rPr>
          <w:spacing w:val="26"/>
        </w:rPr>
        <w:t> </w:t>
      </w:r>
      <w:r>
        <w:rPr/>
        <w:t>mixture.</w:t>
      </w:r>
      <w:r>
        <w:rPr>
          <w:spacing w:val="23"/>
        </w:rPr>
        <w:t> </w:t>
      </w:r>
      <w:r>
        <w:rPr/>
        <w:t>The</w:t>
      </w:r>
      <w:r>
        <w:rPr>
          <w:spacing w:val="26"/>
        </w:rPr>
        <w:t> </w:t>
      </w:r>
      <w:r>
        <w:rPr/>
        <w:t>comments</w:t>
      </w:r>
      <w:r>
        <w:rPr>
          <w:spacing w:val="27"/>
        </w:rPr>
        <w:t> </w:t>
      </w:r>
      <w:r>
        <w:rPr/>
        <w:t>made</w:t>
      </w:r>
      <w:r>
        <w:rPr>
          <w:spacing w:val="27"/>
        </w:rPr>
        <w:t> </w:t>
      </w:r>
      <w:r>
        <w:rPr/>
        <w:t>on</w:t>
      </w:r>
      <w:r>
        <w:rPr>
          <w:spacing w:val="26"/>
        </w:rPr>
        <w:t> </w:t>
      </w:r>
      <w:r>
        <w:rPr>
          <w:spacing w:val="-5"/>
        </w:rPr>
        <w:t>the</w:t>
      </w:r>
    </w:p>
    <w:p>
      <w:pPr>
        <w:pStyle w:val="BodyText"/>
        <w:spacing w:line="193" w:lineRule="exact"/>
        <w:ind w:left="240"/>
        <w:jc w:val="both"/>
      </w:pPr>
      <w:r>
        <w:rPr/>
        <w:br w:type="column"/>
      </w:r>
      <w:r>
        <w:rPr/>
        <w:t>this is largely offset by investment and operating cost for the</w:t>
      </w:r>
    </w:p>
    <w:p>
      <w:pPr>
        <w:pStyle w:val="BodyText"/>
        <w:spacing w:line="240" w:lineRule="exact" w:before="4"/>
        <w:ind w:left="240" w:right="734"/>
        <w:jc w:val="both"/>
      </w:pPr>
      <w:r>
        <w:rPr/>
        <w:t>oxygen</w:t>
      </w:r>
      <w:r>
        <w:rPr>
          <w:spacing w:val="-11"/>
        </w:rPr>
        <w:t> </w:t>
      </w:r>
      <w:r>
        <w:rPr/>
        <w:t>plant.</w:t>
      </w:r>
      <w:r>
        <w:rPr>
          <w:spacing w:val="-14"/>
        </w:rPr>
        <w:t> </w:t>
      </w:r>
      <w:r>
        <w:rPr/>
        <w:t>The</w:t>
      </w:r>
      <w:r>
        <w:rPr>
          <w:spacing w:val="-10"/>
        </w:rPr>
        <w:t> </w:t>
      </w:r>
      <w:r>
        <w:rPr/>
        <w:t>range</w:t>
      </w:r>
      <w:r>
        <w:rPr>
          <w:spacing w:val="-11"/>
        </w:rPr>
        <w:t> </w:t>
      </w:r>
      <w:r>
        <w:rPr/>
        <w:t>of</w:t>
      </w:r>
      <w:r>
        <w:rPr>
          <w:spacing w:val="-11"/>
        </w:rPr>
        <w:t> </w:t>
      </w:r>
      <w:r>
        <w:rPr/>
        <w:t>fuels</w:t>
      </w:r>
      <w:r>
        <w:rPr>
          <w:spacing w:val="-10"/>
        </w:rPr>
        <w:t> </w:t>
      </w:r>
      <w:r>
        <w:rPr/>
        <w:t>that</w:t>
      </w:r>
      <w:r>
        <w:rPr>
          <w:spacing w:val="-11"/>
        </w:rPr>
        <w:t> </w:t>
      </w:r>
      <w:r>
        <w:rPr/>
        <w:t>can</w:t>
      </w:r>
      <w:r>
        <w:rPr>
          <w:spacing w:val="-10"/>
        </w:rPr>
        <w:t> </w:t>
      </w:r>
      <w:r>
        <w:rPr/>
        <w:t>be</w:t>
      </w:r>
      <w:r>
        <w:rPr>
          <w:spacing w:val="-11"/>
        </w:rPr>
        <w:t> </w:t>
      </w:r>
      <w:r>
        <w:rPr/>
        <w:t>processed</w:t>
      </w:r>
      <w:r>
        <w:rPr>
          <w:spacing w:val="-11"/>
        </w:rPr>
        <w:t> </w:t>
      </w:r>
      <w:r>
        <w:rPr/>
        <w:t>is</w:t>
      </w:r>
      <w:r>
        <w:rPr>
          <w:spacing w:val="-10"/>
        </w:rPr>
        <w:t> </w:t>
      </w:r>
      <w:r>
        <w:rPr/>
        <w:t>similar to the SMR process, but the feed gas must be sulphur free. CO</w:t>
      </w:r>
      <w:r>
        <w:rPr>
          <w:position w:val="-6"/>
          <w:sz w:val="11"/>
        </w:rPr>
        <w:t>2 </w:t>
      </w:r>
      <w:r>
        <w:rPr/>
        <w:t>capture is accomplished as described above for the steam methane reforming.</w:t>
      </w:r>
    </w:p>
    <w:p>
      <w:pPr>
        <w:pStyle w:val="BodyText"/>
        <w:spacing w:before="4"/>
        <w:rPr>
          <w:sz w:val="21"/>
        </w:rPr>
      </w:pPr>
    </w:p>
    <w:p>
      <w:pPr>
        <w:pStyle w:val="ListParagraph"/>
        <w:numPr>
          <w:ilvl w:val="3"/>
          <w:numId w:val="21"/>
        </w:numPr>
        <w:tabs>
          <w:tab w:pos="1061" w:val="left" w:leader="none"/>
        </w:tabs>
        <w:spacing w:line="240" w:lineRule="auto" w:before="0" w:after="0"/>
        <w:ind w:left="1060" w:right="0" w:hanging="821"/>
        <w:jc w:val="both"/>
        <w:rPr>
          <w:i/>
          <w:sz w:val="20"/>
        </w:rPr>
      </w:pPr>
      <w:r>
        <w:rPr>
          <w:i/>
          <w:sz w:val="20"/>
        </w:rPr>
        <w:t>Gas heated</w:t>
      </w:r>
      <w:r>
        <w:rPr>
          <w:i/>
          <w:spacing w:val="-2"/>
          <w:sz w:val="20"/>
        </w:rPr>
        <w:t> </w:t>
      </w:r>
      <w:r>
        <w:rPr>
          <w:i/>
          <w:sz w:val="20"/>
        </w:rPr>
        <w:t>reformer</w:t>
      </w:r>
    </w:p>
    <w:p>
      <w:pPr>
        <w:pStyle w:val="BodyText"/>
        <w:spacing w:line="240" w:lineRule="exact" w:before="5"/>
        <w:ind w:left="240" w:right="735"/>
        <w:jc w:val="both"/>
      </w:pPr>
      <w:r>
        <w:rPr/>
        <w:t>Each of the three syngas generation technologies, SMR, </w:t>
      </w:r>
      <w:r>
        <w:rPr>
          <w:spacing w:val="-8"/>
        </w:rPr>
        <w:t>ATR </w:t>
      </w:r>
      <w:r>
        <w:rPr/>
        <w:t>and POX produce high temperature gas which must be cooled, producing in each case a steam flow in excess of that required by the reforming and shift reactions. It is possible to reduce this excess production </w:t>
      </w:r>
      <w:r>
        <w:rPr>
          <w:spacing w:val="-5"/>
        </w:rPr>
        <w:t>by, </w:t>
      </w:r>
      <w:r>
        <w:rPr/>
        <w:t>for example, using preheated air </w:t>
      </w:r>
      <w:r>
        <w:rPr>
          <w:spacing w:val="-5"/>
        </w:rPr>
        <w:t>and </w:t>
      </w:r>
      <w:r>
        <w:rPr/>
        <w:t>a pre-reformer in an SMR plant. Another technique is to use the hot syngas, leaving the primary reactor, as the shell-side heating fluid in a tubular steam/hydrocarbon reforming reactor which can operate in series, or in parallel, with the primary reactor (Abbott </w:t>
      </w:r>
      <w:r>
        <w:rPr>
          <w:i/>
        </w:rPr>
        <w:t>et al.</w:t>
      </w:r>
      <w:r>
        <w:rPr/>
        <w:t>, 2002). The addition of a secondary gas heated reformer will increase the hydrogen production by up to 33% and eliminate the excess steam production. The overall efficiency is improved and specific capital cost is typically reduced by 15%. Again, CO</w:t>
      </w:r>
      <w:r>
        <w:rPr>
          <w:position w:val="-6"/>
          <w:sz w:val="11"/>
        </w:rPr>
        <w:t>2 </w:t>
      </w:r>
      <w:r>
        <w:rPr/>
        <w:t>capture is accomplished as described previously for steam methane</w:t>
      </w:r>
      <w:r>
        <w:rPr>
          <w:spacing w:val="-2"/>
        </w:rPr>
        <w:t> </w:t>
      </w:r>
      <w:r>
        <w:rPr/>
        <w:t>reforming.</w:t>
      </w:r>
    </w:p>
    <w:p>
      <w:pPr>
        <w:pStyle w:val="BodyText"/>
        <w:spacing w:before="4"/>
        <w:rPr>
          <w:sz w:val="21"/>
        </w:rPr>
      </w:pPr>
    </w:p>
    <w:p>
      <w:pPr>
        <w:pStyle w:val="ListParagraph"/>
        <w:numPr>
          <w:ilvl w:val="3"/>
          <w:numId w:val="21"/>
        </w:numPr>
        <w:tabs>
          <w:tab w:pos="1061" w:val="left" w:leader="none"/>
        </w:tabs>
        <w:spacing w:line="240" w:lineRule="auto" w:before="0" w:after="0"/>
        <w:ind w:left="1060" w:right="0" w:hanging="821"/>
        <w:jc w:val="both"/>
        <w:rPr>
          <w:i/>
          <w:sz w:val="20"/>
        </w:rPr>
      </w:pPr>
      <w:r>
        <w:rPr>
          <w:i/>
          <w:sz w:val="20"/>
        </w:rPr>
        <w:t>Gasification of coal, petroleum residues, or</w:t>
      </w:r>
      <w:r>
        <w:rPr>
          <w:i/>
          <w:spacing w:val="-12"/>
          <w:sz w:val="20"/>
        </w:rPr>
        <w:t> </w:t>
      </w:r>
      <w:r>
        <w:rPr>
          <w:i/>
          <w:sz w:val="20"/>
        </w:rPr>
        <w:t>biomass</w:t>
      </w:r>
    </w:p>
    <w:p>
      <w:pPr>
        <w:spacing w:after="0" w:line="240" w:lineRule="auto"/>
        <w:jc w:val="both"/>
        <w:rPr>
          <w:sz w:val="20"/>
        </w:rPr>
        <w:sectPr>
          <w:type w:val="continuous"/>
          <w:pgSz w:w="12240" w:h="15840"/>
          <w:pgMar w:top="480" w:bottom="280" w:left="620" w:right="0"/>
          <w:cols w:num="2" w:equalWidth="0">
            <w:col w:w="5566" w:space="40"/>
            <w:col w:w="6014"/>
          </w:cols>
        </w:sectPr>
      </w:pPr>
    </w:p>
    <w:p>
      <w:pPr>
        <w:pStyle w:val="BodyText"/>
        <w:rPr>
          <w:i/>
        </w:rPr>
      </w:pPr>
    </w:p>
    <w:p>
      <w:pPr>
        <w:pStyle w:val="BodyText"/>
        <w:spacing w:before="10"/>
        <w:rPr>
          <w:i/>
          <w:sz w:val="11"/>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69"/>
      </w:tblGrid>
      <w:tr>
        <w:trPr>
          <w:trHeight w:val="5678" w:hRule="atLeast"/>
        </w:trPr>
        <w:tc>
          <w:tcPr>
            <w:tcW w:w="10369" w:type="dxa"/>
          </w:tcPr>
          <w:p>
            <w:pPr>
              <w:pStyle w:val="TableParagraph"/>
              <w:jc w:val="left"/>
              <w:rPr>
                <w:i/>
                <w:sz w:val="20"/>
              </w:rPr>
            </w:pPr>
          </w:p>
          <w:p>
            <w:pPr>
              <w:pStyle w:val="TableParagraph"/>
              <w:spacing w:before="4"/>
              <w:jc w:val="left"/>
              <w:rPr>
                <w:i/>
                <w:sz w:val="18"/>
              </w:rPr>
            </w:pPr>
          </w:p>
          <w:p>
            <w:pPr>
              <w:pStyle w:val="TableParagraph"/>
              <w:ind w:left="1298"/>
              <w:jc w:val="left"/>
              <w:rPr>
                <w:sz w:val="20"/>
              </w:rPr>
            </w:pPr>
            <w:r>
              <w:rPr>
                <w:sz w:val="20"/>
              </w:rPr>
              <w:drawing>
                <wp:inline distT="0" distB="0" distL="0" distR="0">
                  <wp:extent cx="4889111" cy="3044952"/>
                  <wp:effectExtent l="0" t="0" r="0" b="0"/>
                  <wp:docPr id="37" name="image165.jpeg"/>
                  <wp:cNvGraphicFramePr>
                    <a:graphicFrameLocks noChangeAspect="1"/>
                  </wp:cNvGraphicFramePr>
                  <a:graphic>
                    <a:graphicData uri="http://schemas.openxmlformats.org/drawingml/2006/picture">
                      <pic:pic>
                        <pic:nvPicPr>
                          <pic:cNvPr id="38" name="image165.jpeg"/>
                          <pic:cNvPicPr/>
                        </pic:nvPicPr>
                        <pic:blipFill>
                          <a:blip r:embed="rId171" cstate="print"/>
                          <a:stretch>
                            <a:fillRect/>
                          </a:stretch>
                        </pic:blipFill>
                        <pic:spPr>
                          <a:xfrm>
                            <a:off x="0" y="0"/>
                            <a:ext cx="4889111" cy="3044952"/>
                          </a:xfrm>
                          <a:prstGeom prst="rect">
                            <a:avLst/>
                          </a:prstGeom>
                        </pic:spPr>
                      </pic:pic>
                    </a:graphicData>
                  </a:graphic>
                </wp:inline>
              </w:drawing>
            </w:r>
            <w:r>
              <w:rPr>
                <w:sz w:val="20"/>
              </w:rPr>
            </w:r>
          </w:p>
        </w:tc>
      </w:tr>
    </w:tbl>
    <w:p>
      <w:pPr>
        <w:pStyle w:val="BodyText"/>
        <w:spacing w:before="6"/>
        <w:rPr>
          <w:i/>
          <w:sz w:val="11"/>
        </w:rPr>
      </w:pPr>
    </w:p>
    <w:p>
      <w:pPr>
        <w:spacing w:before="67"/>
        <w:ind w:left="111" w:right="0" w:firstLine="0"/>
        <w:jc w:val="left"/>
        <w:rPr>
          <w:sz w:val="18"/>
        </w:rPr>
      </w:pPr>
      <w:r>
        <w:rPr>
          <w:b/>
          <w:sz w:val="18"/>
        </w:rPr>
        <w:t>Figure 3.14 </w:t>
      </w:r>
      <w:r>
        <w:rPr>
          <w:sz w:val="18"/>
        </w:rPr>
        <w:t>Simplified schematic of a gasification process showing options with CO</w:t>
      </w:r>
      <w:r>
        <w:rPr>
          <w:position w:val="-5"/>
          <w:sz w:val="10"/>
        </w:rPr>
        <w:t>2 </w:t>
      </w:r>
      <w:r>
        <w:rPr>
          <w:sz w:val="18"/>
        </w:rPr>
        <w:t>capture and electricity, hydrogen or chemical production.</w:t>
      </w:r>
    </w:p>
    <w:p>
      <w:pPr>
        <w:pStyle w:val="BodyText"/>
        <w:spacing w:before="10"/>
        <w:rPr>
          <w:sz w:val="12"/>
        </w:rPr>
      </w:pPr>
    </w:p>
    <w:p>
      <w:pPr>
        <w:spacing w:after="0"/>
        <w:rPr>
          <w:sz w:val="12"/>
        </w:rPr>
        <w:sectPr>
          <w:pgSz w:w="12240" w:h="15840"/>
          <w:pgMar w:header="567" w:footer="0" w:top="760" w:bottom="280" w:left="620" w:right="0"/>
        </w:sectPr>
      </w:pPr>
    </w:p>
    <w:p>
      <w:pPr>
        <w:pStyle w:val="BodyText"/>
        <w:spacing w:line="240" w:lineRule="exact" w:before="59"/>
        <w:ind w:left="116" w:right="38"/>
        <w:jc w:val="both"/>
      </w:pPr>
      <w:r>
        <w:rPr/>
        <w:t>Gasification (see Figure 3.14) is a chemical process aimed     at making high-value products (chemicals, electricity, </w:t>
      </w:r>
      <w:r>
        <w:rPr>
          <w:spacing w:val="-3"/>
        </w:rPr>
        <w:t>clean </w:t>
      </w:r>
      <w:r>
        <w:rPr/>
        <w:t>synthetic fuels) out of low-value solid feedstocks such as  coal, oil refining residues, or biomass. Gasification is basically partial oxidation (reaction 2), although steam is also supplied to the reactor in most processes. Fixed bed, fluidized bed or entrained flow gasifiers can be used. These can have </w:t>
      </w:r>
      <w:r>
        <w:rPr>
          <w:spacing w:val="-3"/>
        </w:rPr>
        <w:t>very </w:t>
      </w:r>
      <w:r>
        <w:rPr/>
        <w:t>different characteristics with respect to oxidant (air or O</w:t>
      </w:r>
      <w:r>
        <w:rPr>
          <w:position w:val="-6"/>
          <w:sz w:val="11"/>
        </w:rPr>
        <w:t>2</w:t>
      </w:r>
      <w:r>
        <w:rPr/>
        <w:t>), operating</w:t>
      </w:r>
      <w:r>
        <w:rPr>
          <w:spacing w:val="-10"/>
        </w:rPr>
        <w:t> </w:t>
      </w:r>
      <w:r>
        <w:rPr/>
        <w:t>temperature</w:t>
      </w:r>
      <w:r>
        <w:rPr>
          <w:spacing w:val="-9"/>
        </w:rPr>
        <w:t> </w:t>
      </w:r>
      <w:r>
        <w:rPr/>
        <w:t>(up</w:t>
      </w:r>
      <w:r>
        <w:rPr>
          <w:spacing w:val="-9"/>
        </w:rPr>
        <w:t> </w:t>
      </w:r>
      <w:r>
        <w:rPr/>
        <w:t>to</w:t>
      </w:r>
      <w:r>
        <w:rPr>
          <w:spacing w:val="-10"/>
        </w:rPr>
        <w:t> </w:t>
      </w:r>
      <w:r>
        <w:rPr/>
        <w:t>1350</w:t>
      </w:r>
      <w:r>
        <w:rPr>
          <w:position w:val="7"/>
          <w:sz w:val="11"/>
        </w:rPr>
        <w:t>o</w:t>
      </w:r>
      <w:r>
        <w:rPr/>
        <w:t>C),</w:t>
      </w:r>
      <w:r>
        <w:rPr>
          <w:spacing w:val="-9"/>
        </w:rPr>
        <w:t> </w:t>
      </w:r>
      <w:r>
        <w:rPr/>
        <w:t>operating</w:t>
      </w:r>
      <w:r>
        <w:rPr>
          <w:spacing w:val="-9"/>
        </w:rPr>
        <w:t> </w:t>
      </w:r>
      <w:r>
        <w:rPr/>
        <w:t>pressure</w:t>
      </w:r>
      <w:r>
        <w:rPr>
          <w:spacing w:val="-10"/>
        </w:rPr>
        <w:t> </w:t>
      </w:r>
      <w:r>
        <w:rPr/>
        <w:t>(0.1-7 MPa),</w:t>
      </w:r>
      <w:r>
        <w:rPr>
          <w:spacing w:val="-12"/>
        </w:rPr>
        <w:t> </w:t>
      </w:r>
      <w:r>
        <w:rPr/>
        <w:t>feed</w:t>
      </w:r>
      <w:r>
        <w:rPr>
          <w:spacing w:val="-12"/>
        </w:rPr>
        <w:t> </w:t>
      </w:r>
      <w:r>
        <w:rPr/>
        <w:t>system</w:t>
      </w:r>
      <w:r>
        <w:rPr>
          <w:spacing w:val="-11"/>
        </w:rPr>
        <w:t> </w:t>
      </w:r>
      <w:r>
        <w:rPr/>
        <w:t>(dry</w:t>
      </w:r>
      <w:r>
        <w:rPr>
          <w:spacing w:val="-11"/>
        </w:rPr>
        <w:t> </w:t>
      </w:r>
      <w:r>
        <w:rPr/>
        <w:t>or</w:t>
      </w:r>
      <w:r>
        <w:rPr>
          <w:spacing w:val="-10"/>
        </w:rPr>
        <w:t> </w:t>
      </w:r>
      <w:r>
        <w:rPr/>
        <w:t>water</w:t>
      </w:r>
      <w:r>
        <w:rPr>
          <w:spacing w:val="-12"/>
        </w:rPr>
        <w:t> </w:t>
      </w:r>
      <w:r>
        <w:rPr/>
        <w:t>slurry),</w:t>
      </w:r>
      <w:r>
        <w:rPr>
          <w:spacing w:val="-11"/>
        </w:rPr>
        <w:t> </w:t>
      </w:r>
      <w:r>
        <w:rPr/>
        <w:t>syngas</w:t>
      </w:r>
      <w:r>
        <w:rPr>
          <w:spacing w:val="-12"/>
        </w:rPr>
        <w:t> </w:t>
      </w:r>
      <w:r>
        <w:rPr/>
        <w:t>cooling</w:t>
      </w:r>
      <w:r>
        <w:rPr>
          <w:spacing w:val="-11"/>
        </w:rPr>
        <w:t> </w:t>
      </w:r>
      <w:r>
        <w:rPr/>
        <w:t>method (water quench or via radiative and convective heat</w:t>
      </w:r>
      <w:r>
        <w:rPr>
          <w:spacing w:val="-27"/>
        </w:rPr>
        <w:t> </w:t>
      </w:r>
      <w:r>
        <w:rPr/>
        <w:t>exchangers)</w:t>
      </w:r>
    </w:p>
    <w:p>
      <w:pPr>
        <w:pStyle w:val="BodyText"/>
        <w:spacing w:line="249" w:lineRule="auto" w:before="64"/>
        <w:ind w:left="116" w:right="1131"/>
        <w:jc w:val="both"/>
      </w:pPr>
      <w:r>
        <w:rPr/>
        <w:br w:type="column"/>
      </w:r>
      <w:r>
        <w:rPr/>
        <w:t>along</w:t>
      </w:r>
      <w:r>
        <w:rPr>
          <w:spacing w:val="-12"/>
        </w:rPr>
        <w:t> </w:t>
      </w:r>
      <w:r>
        <w:rPr/>
        <w:t>with</w:t>
      </w:r>
      <w:r>
        <w:rPr>
          <w:spacing w:val="-12"/>
        </w:rPr>
        <w:t> </w:t>
      </w:r>
      <w:r>
        <w:rPr/>
        <w:t>premium</w:t>
      </w:r>
      <w:r>
        <w:rPr>
          <w:spacing w:val="-12"/>
        </w:rPr>
        <w:t> </w:t>
      </w:r>
      <w:r>
        <w:rPr/>
        <w:t>syngas</w:t>
      </w:r>
      <w:r>
        <w:rPr>
          <w:spacing w:val="-12"/>
        </w:rPr>
        <w:t> </w:t>
      </w:r>
      <w:r>
        <w:rPr/>
        <w:t>chemicals)</w:t>
      </w:r>
      <w:r>
        <w:rPr>
          <w:spacing w:val="-12"/>
        </w:rPr>
        <w:t> </w:t>
      </w:r>
      <w:r>
        <w:rPr/>
        <w:t>and</w:t>
      </w:r>
      <w:r>
        <w:rPr>
          <w:spacing w:val="-12"/>
        </w:rPr>
        <w:t> </w:t>
      </w:r>
      <w:r>
        <w:rPr/>
        <w:t>IGCC</w:t>
      </w:r>
      <w:r>
        <w:rPr>
          <w:spacing w:val="-12"/>
        </w:rPr>
        <w:t> </w:t>
      </w:r>
      <w:r>
        <w:rPr/>
        <w:t>power</w:t>
      </w:r>
      <w:r>
        <w:rPr>
          <w:spacing w:val="-12"/>
        </w:rPr>
        <w:t> </w:t>
      </w:r>
      <w:r>
        <w:rPr/>
        <w:t>plants. Commercial</w:t>
      </w:r>
      <w:r>
        <w:rPr>
          <w:spacing w:val="-12"/>
        </w:rPr>
        <w:t> </w:t>
      </w:r>
      <w:r>
        <w:rPr/>
        <w:t>experience</w:t>
      </w:r>
      <w:r>
        <w:rPr>
          <w:spacing w:val="-11"/>
        </w:rPr>
        <w:t> </w:t>
      </w:r>
      <w:r>
        <w:rPr/>
        <w:t>with</w:t>
      </w:r>
      <w:r>
        <w:rPr>
          <w:spacing w:val="-11"/>
        </w:rPr>
        <w:t> </w:t>
      </w:r>
      <w:r>
        <w:rPr/>
        <w:t>biomass</w:t>
      </w:r>
      <w:r>
        <w:rPr>
          <w:spacing w:val="-12"/>
        </w:rPr>
        <w:t> </w:t>
      </w:r>
      <w:r>
        <w:rPr/>
        <w:t>gasification</w:t>
      </w:r>
      <w:r>
        <w:rPr>
          <w:spacing w:val="-11"/>
        </w:rPr>
        <w:t> </w:t>
      </w:r>
      <w:r>
        <w:rPr/>
        <w:t>and</w:t>
      </w:r>
      <w:r>
        <w:rPr>
          <w:spacing w:val="-11"/>
        </w:rPr>
        <w:t> </w:t>
      </w:r>
      <w:r>
        <w:rPr/>
        <w:t>fluidized bed gasification has been</w:t>
      </w:r>
      <w:r>
        <w:rPr>
          <w:spacing w:val="-1"/>
        </w:rPr>
        <w:t> </w:t>
      </w:r>
      <w:r>
        <w:rPr/>
        <w:t>limited.</w:t>
      </w:r>
    </w:p>
    <w:p>
      <w:pPr>
        <w:pStyle w:val="BodyText"/>
        <w:spacing w:line="225" w:lineRule="auto" w:before="10"/>
        <w:ind w:left="116" w:right="1131" w:firstLine="284"/>
        <w:jc w:val="both"/>
      </w:pPr>
      <w:r>
        <w:rPr/>
        <w:t>CO</w:t>
      </w:r>
      <w:r>
        <w:rPr>
          <w:position w:val="-6"/>
          <w:sz w:val="11"/>
        </w:rPr>
        <w:t>2 </w:t>
      </w:r>
      <w:r>
        <w:rPr/>
        <w:t>capture technology is well established for gasification systems that make chemicals and synthetic fuels (NETL-DOE, 2002). Gasification-based NH</w:t>
      </w:r>
      <w:r>
        <w:rPr>
          <w:position w:val="-6"/>
          <w:sz w:val="11"/>
        </w:rPr>
        <w:t>3  </w:t>
      </w:r>
      <w:r>
        <w:rPr/>
        <w:t>plants (many in China)</w:t>
      </w:r>
      <w:r>
        <w:rPr>
          <w:spacing w:val="32"/>
        </w:rPr>
        <w:t> </w:t>
      </w:r>
      <w:r>
        <w:rPr/>
        <w:t>include</w:t>
      </w:r>
    </w:p>
    <w:p>
      <w:pPr>
        <w:pStyle w:val="BodyText"/>
        <w:spacing w:line="187" w:lineRule="auto"/>
        <w:ind w:left="116"/>
        <w:jc w:val="both"/>
        <w:rPr>
          <w:sz w:val="11"/>
        </w:rPr>
      </w:pPr>
      <w:r>
        <w:rPr/>
        <w:t>making</w:t>
      </w:r>
      <w:r>
        <w:rPr>
          <w:spacing w:val="18"/>
        </w:rPr>
        <w:t> </w:t>
      </w:r>
      <w:r>
        <w:rPr/>
        <w:t>pure</w:t>
      </w:r>
      <w:r>
        <w:rPr>
          <w:spacing w:val="20"/>
        </w:rPr>
        <w:t> </w:t>
      </w:r>
      <w:r>
        <w:rPr/>
        <w:t>H</w:t>
      </w:r>
      <w:r>
        <w:rPr>
          <w:position w:val="-6"/>
          <w:sz w:val="11"/>
        </w:rPr>
        <w:t>2 </w:t>
      </w:r>
      <w:r>
        <w:rPr>
          <w:spacing w:val="14"/>
          <w:position w:val="-6"/>
          <w:sz w:val="11"/>
        </w:rPr>
        <w:t> </w:t>
      </w:r>
      <w:r>
        <w:rPr/>
        <w:t>and</w:t>
      </w:r>
      <w:r>
        <w:rPr>
          <w:spacing w:val="20"/>
        </w:rPr>
        <w:t> </w:t>
      </w:r>
      <w:r>
        <w:rPr/>
        <w:t>CO</w:t>
      </w:r>
      <w:r>
        <w:rPr>
          <w:position w:val="-6"/>
          <w:sz w:val="11"/>
        </w:rPr>
        <w:t>2 </w:t>
      </w:r>
      <w:r>
        <w:rPr>
          <w:spacing w:val="15"/>
          <w:position w:val="-6"/>
          <w:sz w:val="11"/>
        </w:rPr>
        <w:t> </w:t>
      </w:r>
      <w:r>
        <w:rPr/>
        <w:t>separation</w:t>
      </w:r>
      <w:r>
        <w:rPr>
          <w:spacing w:val="18"/>
        </w:rPr>
        <w:t> </w:t>
      </w:r>
      <w:r>
        <w:rPr/>
        <w:t>at</w:t>
      </w:r>
      <w:r>
        <w:rPr>
          <w:spacing w:val="20"/>
        </w:rPr>
        <w:t> </w:t>
      </w:r>
      <w:r>
        <w:rPr/>
        <w:t>rates</w:t>
      </w:r>
      <w:r>
        <w:rPr>
          <w:spacing w:val="20"/>
        </w:rPr>
        <w:t> </w:t>
      </w:r>
      <w:r>
        <w:rPr/>
        <w:t>up</w:t>
      </w:r>
      <w:r>
        <w:rPr>
          <w:spacing w:val="20"/>
        </w:rPr>
        <w:t> </w:t>
      </w:r>
      <w:r>
        <w:rPr/>
        <w:t>to</w:t>
      </w:r>
      <w:r>
        <w:rPr>
          <w:spacing w:val="20"/>
        </w:rPr>
        <w:t> </w:t>
      </w:r>
      <w:r>
        <w:rPr/>
        <w:t>3500</w:t>
      </w:r>
      <w:r>
        <w:rPr>
          <w:spacing w:val="20"/>
        </w:rPr>
        <w:t> </w:t>
      </w:r>
      <w:r>
        <w:rPr/>
        <w:t>tCO</w:t>
      </w:r>
      <w:r>
        <w:rPr>
          <w:position w:val="-6"/>
          <w:sz w:val="11"/>
        </w:rPr>
        <w:t>2</w:t>
      </w:r>
    </w:p>
    <w:p>
      <w:pPr>
        <w:pStyle w:val="BodyText"/>
        <w:spacing w:line="210" w:lineRule="exact"/>
        <w:ind w:left="116"/>
        <w:jc w:val="both"/>
      </w:pPr>
      <w:r>
        <w:rPr/>
        <w:t>d</w:t>
      </w:r>
      <w:r>
        <w:rPr>
          <w:position w:val="7"/>
          <w:sz w:val="11"/>
        </w:rPr>
        <w:t>-1    </w:t>
      </w:r>
      <w:r>
        <w:rPr/>
        <w:t>per  plant.  South  African  plants  making</w:t>
      </w:r>
      <w:r>
        <w:rPr>
          <w:spacing w:val="-1"/>
        </w:rPr>
        <w:t> </w:t>
      </w:r>
      <w:r>
        <w:rPr/>
        <w:t>Fischer-Tropsch</w:t>
      </w:r>
    </w:p>
    <w:p>
      <w:pPr>
        <w:pStyle w:val="BodyText"/>
        <w:spacing w:line="249" w:lineRule="auto" w:before="3"/>
        <w:ind w:left="116" w:right="1132"/>
        <w:jc w:val="both"/>
      </w:pPr>
      <w:r>
        <w:rPr/>
        <w:t>fuels</w:t>
      </w:r>
      <w:r>
        <w:rPr>
          <w:spacing w:val="-6"/>
        </w:rPr>
        <w:t> </w:t>
      </w:r>
      <w:r>
        <w:rPr/>
        <w:t>and</w:t>
      </w:r>
      <w:r>
        <w:rPr>
          <w:spacing w:val="-6"/>
        </w:rPr>
        <w:t> </w:t>
      </w:r>
      <w:r>
        <w:rPr/>
        <w:t>chemicals</w:t>
      </w:r>
      <w:r>
        <w:rPr>
          <w:spacing w:val="-6"/>
        </w:rPr>
        <w:t> </w:t>
      </w:r>
      <w:r>
        <w:rPr/>
        <w:t>and</w:t>
      </w:r>
      <w:r>
        <w:rPr>
          <w:spacing w:val="-6"/>
        </w:rPr>
        <w:t> </w:t>
      </w:r>
      <w:r>
        <w:rPr/>
        <w:t>a</w:t>
      </w:r>
      <w:r>
        <w:rPr>
          <w:spacing w:val="-6"/>
        </w:rPr>
        <w:t> </w:t>
      </w:r>
      <w:r>
        <w:rPr/>
        <w:t>North</w:t>
      </w:r>
      <w:r>
        <w:rPr>
          <w:spacing w:val="-6"/>
        </w:rPr>
        <w:t> </w:t>
      </w:r>
      <w:r>
        <w:rPr/>
        <w:t>Dakota</w:t>
      </w:r>
      <w:r>
        <w:rPr>
          <w:spacing w:val="-6"/>
        </w:rPr>
        <w:t> </w:t>
      </w:r>
      <w:r>
        <w:rPr/>
        <w:t>plant</w:t>
      </w:r>
      <w:r>
        <w:rPr>
          <w:spacing w:val="-5"/>
        </w:rPr>
        <w:t> </w:t>
      </w:r>
      <w:r>
        <w:rPr/>
        <w:t>making</w:t>
      </w:r>
      <w:r>
        <w:rPr>
          <w:spacing w:val="-6"/>
        </w:rPr>
        <w:t> </w:t>
      </w:r>
      <w:r>
        <w:rPr/>
        <w:t>synthetic natural gas (SNG) from coal also produce large streams of nearly</w:t>
      </w:r>
      <w:r>
        <w:rPr>
          <w:spacing w:val="38"/>
        </w:rPr>
        <w:t> </w:t>
      </w:r>
      <w:r>
        <w:rPr/>
        <w:t>pure</w:t>
      </w:r>
      <w:r>
        <w:rPr>
          <w:spacing w:val="39"/>
        </w:rPr>
        <w:t> </w:t>
      </w:r>
      <w:r>
        <w:rPr/>
        <w:t>CO</w:t>
      </w:r>
      <w:r>
        <w:rPr>
          <w:position w:val="-6"/>
          <w:sz w:val="11"/>
        </w:rPr>
        <w:t>2</w:t>
      </w:r>
      <w:r>
        <w:rPr/>
        <w:t>.</w:t>
      </w:r>
      <w:r>
        <w:rPr>
          <w:spacing w:val="39"/>
        </w:rPr>
        <w:t> </w:t>
      </w:r>
      <w:hyperlink w:history="true" w:anchor="_bookmark18">
        <w:r>
          <w:rPr/>
          <w:t>Figure</w:t>
        </w:r>
        <w:r>
          <w:rPr>
            <w:spacing w:val="39"/>
          </w:rPr>
          <w:t> </w:t>
        </w:r>
        <w:r>
          <w:rPr/>
          <w:t>3.15</w:t>
        </w:r>
      </w:hyperlink>
      <w:r>
        <w:rPr>
          <w:spacing w:val="39"/>
        </w:rPr>
        <w:t> </w:t>
      </w:r>
      <w:r>
        <w:rPr/>
        <w:t>shows</w:t>
      </w:r>
      <w:r>
        <w:rPr>
          <w:spacing w:val="39"/>
        </w:rPr>
        <w:t> </w:t>
      </w:r>
      <w:r>
        <w:rPr/>
        <w:t>a</w:t>
      </w:r>
      <w:r>
        <w:rPr>
          <w:spacing w:val="39"/>
        </w:rPr>
        <w:t> </w:t>
      </w:r>
      <w:r>
        <w:rPr/>
        <w:t>picture</w:t>
      </w:r>
      <w:r>
        <w:rPr>
          <w:spacing w:val="39"/>
        </w:rPr>
        <w:t> </w:t>
      </w:r>
      <w:r>
        <w:rPr/>
        <w:t>of</w:t>
      </w:r>
      <w:r>
        <w:rPr>
          <w:spacing w:val="39"/>
        </w:rPr>
        <w:t> </w:t>
      </w:r>
      <w:r>
        <w:rPr/>
        <w:t>the</w:t>
      </w:r>
      <w:r>
        <w:rPr>
          <w:spacing w:val="39"/>
        </w:rPr>
        <w:t> </w:t>
      </w:r>
      <w:r>
        <w:rPr/>
        <w:t>North</w:t>
      </w:r>
    </w:p>
    <w:p>
      <w:pPr>
        <w:spacing w:after="0" w:line="249" w:lineRule="auto"/>
        <w:jc w:val="both"/>
        <w:sectPr>
          <w:type w:val="continuous"/>
          <w:pgSz w:w="12240" w:h="15840"/>
          <w:pgMar w:top="480" w:bottom="280" w:left="620" w:right="0"/>
          <w:cols w:num="2" w:equalWidth="0">
            <w:col w:w="5201" w:space="126"/>
            <w:col w:w="6293"/>
          </w:cols>
        </w:sectPr>
      </w:pPr>
    </w:p>
    <w:p>
      <w:pPr>
        <w:pStyle w:val="BodyText"/>
        <w:spacing w:line="182" w:lineRule="exact"/>
        <w:ind w:left="117"/>
      </w:pPr>
      <w:r>
        <w:rPr/>
        <w:t>and gas clean-up system deployed. These alternative design</w:t>
      </w:r>
    </w:p>
    <w:p>
      <w:pPr>
        <w:pStyle w:val="BodyText"/>
        <w:spacing w:line="177" w:lineRule="auto"/>
        <w:ind w:left="117"/>
        <w:rPr>
          <w:sz w:val="11"/>
        </w:rPr>
      </w:pPr>
      <w:r>
        <w:rPr/>
        <w:br w:type="column"/>
      </w:r>
      <w:r>
        <w:rPr/>
        <w:t>Dakota gasification plant in which 3.3 MtCO</w:t>
      </w:r>
      <w:r>
        <w:rPr>
          <w:position w:val="-6"/>
          <w:sz w:val="11"/>
        </w:rPr>
        <w:t>2</w:t>
      </w:r>
    </w:p>
    <w:p>
      <w:pPr>
        <w:spacing w:line="182" w:lineRule="exact" w:before="0"/>
        <w:ind w:left="26" w:right="0" w:firstLine="0"/>
        <w:jc w:val="left"/>
        <w:rPr>
          <w:sz w:val="20"/>
        </w:rPr>
      </w:pPr>
      <w:r>
        <w:rPr/>
        <w:br w:type="column"/>
      </w:r>
      <w:r>
        <w:rPr>
          <w:sz w:val="20"/>
        </w:rPr>
        <w:t>yr</w:t>
      </w:r>
      <w:r>
        <w:rPr>
          <w:position w:val="7"/>
          <w:sz w:val="11"/>
        </w:rPr>
        <w:t>-1 </w:t>
      </w:r>
      <w:r>
        <w:rPr>
          <w:sz w:val="20"/>
        </w:rPr>
        <w:t>is captured</w:t>
      </w:r>
    </w:p>
    <w:p>
      <w:pPr>
        <w:spacing w:after="0" w:line="182" w:lineRule="exact"/>
        <w:jc w:val="left"/>
        <w:rPr>
          <w:sz w:val="20"/>
        </w:rPr>
        <w:sectPr>
          <w:type w:val="continuous"/>
          <w:pgSz w:w="12240" w:h="15840"/>
          <w:pgMar w:top="480" w:bottom="280" w:left="620" w:right="0"/>
          <w:cols w:num="3" w:equalWidth="0">
            <w:col w:w="5201" w:space="125"/>
            <w:col w:w="3880" w:space="40"/>
            <w:col w:w="2374"/>
          </w:cols>
        </w:sectPr>
      </w:pPr>
    </w:p>
    <w:p>
      <w:pPr>
        <w:pStyle w:val="BodyText"/>
        <w:spacing w:line="201" w:lineRule="exact"/>
        <w:ind w:left="117"/>
      </w:pPr>
      <w:r>
        <w:rPr/>
        <w:t>options</w:t>
      </w:r>
      <w:r>
        <w:rPr>
          <w:spacing w:val="-12"/>
        </w:rPr>
        <w:t> </w:t>
      </w:r>
      <w:r>
        <w:rPr/>
        <w:t>determine</w:t>
      </w:r>
      <w:r>
        <w:rPr>
          <w:spacing w:val="-12"/>
        </w:rPr>
        <w:t> </w:t>
      </w:r>
      <w:r>
        <w:rPr/>
        <w:t>the</w:t>
      </w:r>
      <w:r>
        <w:rPr>
          <w:spacing w:val="-12"/>
        </w:rPr>
        <w:t> </w:t>
      </w:r>
      <w:r>
        <w:rPr/>
        <w:t>fraction</w:t>
      </w:r>
      <w:r>
        <w:rPr>
          <w:spacing w:val="-12"/>
        </w:rPr>
        <w:t> </w:t>
      </w:r>
      <w:r>
        <w:rPr/>
        <w:t>of</w:t>
      </w:r>
      <w:r>
        <w:rPr>
          <w:spacing w:val="-12"/>
        </w:rPr>
        <w:t> </w:t>
      </w:r>
      <w:r>
        <w:rPr/>
        <w:t>feedstock</w:t>
      </w:r>
      <w:r>
        <w:rPr>
          <w:spacing w:val="-12"/>
        </w:rPr>
        <w:t> </w:t>
      </w:r>
      <w:r>
        <w:rPr/>
        <w:t>converted</w:t>
      </w:r>
      <w:r>
        <w:rPr>
          <w:spacing w:val="-12"/>
        </w:rPr>
        <w:t> </w:t>
      </w:r>
      <w:r>
        <w:rPr/>
        <w:t>to</w:t>
      </w:r>
      <w:r>
        <w:rPr>
          <w:spacing w:val="-11"/>
        </w:rPr>
        <w:t> </w:t>
      </w:r>
      <w:r>
        <w:rPr/>
        <w:t>syngas,</w:t>
      </w:r>
    </w:p>
    <w:p>
      <w:pPr>
        <w:pStyle w:val="BodyText"/>
        <w:spacing w:before="10"/>
        <w:ind w:left="117"/>
      </w:pPr>
      <w:r>
        <w:rPr/>
        <w:t>syngas</w:t>
      </w:r>
      <w:r>
        <w:rPr>
          <w:spacing w:val="-9"/>
        </w:rPr>
        <w:t> </w:t>
      </w:r>
      <w:r>
        <w:rPr/>
        <w:t>composition</w:t>
      </w:r>
      <w:r>
        <w:rPr>
          <w:spacing w:val="-9"/>
        </w:rPr>
        <w:t> </w:t>
      </w:r>
      <w:r>
        <w:rPr/>
        <w:t>and</w:t>
      </w:r>
      <w:r>
        <w:rPr>
          <w:spacing w:val="-9"/>
        </w:rPr>
        <w:t> </w:t>
      </w:r>
      <w:r>
        <w:rPr/>
        <w:t>cost.</w:t>
      </w:r>
      <w:r>
        <w:rPr>
          <w:spacing w:val="-19"/>
        </w:rPr>
        <w:t> </w:t>
      </w:r>
      <w:r>
        <w:rPr/>
        <w:t>As</w:t>
      </w:r>
      <w:r>
        <w:rPr>
          <w:spacing w:val="-8"/>
        </w:rPr>
        <w:t> </w:t>
      </w:r>
      <w:r>
        <w:rPr/>
        <w:t>economics</w:t>
      </w:r>
      <w:r>
        <w:rPr>
          <w:spacing w:val="-9"/>
        </w:rPr>
        <w:t> </w:t>
      </w:r>
      <w:r>
        <w:rPr/>
        <w:t>depend</w:t>
      </w:r>
      <w:r>
        <w:rPr>
          <w:spacing w:val="-9"/>
        </w:rPr>
        <w:t> </w:t>
      </w:r>
      <w:r>
        <w:rPr/>
        <w:t>strongly</w:t>
      </w:r>
      <w:r>
        <w:rPr>
          <w:spacing w:val="-8"/>
        </w:rPr>
        <w:t> </w:t>
      </w:r>
      <w:r>
        <w:rPr/>
        <w:t>on</w:t>
      </w:r>
    </w:p>
    <w:p>
      <w:pPr>
        <w:pStyle w:val="BodyText"/>
        <w:spacing w:line="201" w:lineRule="exact"/>
        <w:ind w:left="117"/>
      </w:pPr>
      <w:r>
        <w:rPr/>
        <w:br w:type="column"/>
      </w:r>
      <w:r>
        <w:rPr/>
        <w:t>using</w:t>
      </w:r>
      <w:r>
        <w:rPr>
          <w:spacing w:val="-14"/>
        </w:rPr>
        <w:t> </w:t>
      </w:r>
      <w:r>
        <w:rPr/>
        <w:t>a</w:t>
      </w:r>
      <w:r>
        <w:rPr>
          <w:spacing w:val="-13"/>
        </w:rPr>
        <w:t> </w:t>
      </w:r>
      <w:r>
        <w:rPr/>
        <w:t>refrigerated</w:t>
      </w:r>
      <w:r>
        <w:rPr>
          <w:spacing w:val="-14"/>
        </w:rPr>
        <w:t> </w:t>
      </w:r>
      <w:r>
        <w:rPr/>
        <w:t>methanol-based,</w:t>
      </w:r>
      <w:r>
        <w:rPr>
          <w:spacing w:val="-13"/>
        </w:rPr>
        <w:t> </w:t>
      </w:r>
      <w:r>
        <w:rPr/>
        <w:t>physical</w:t>
      </w:r>
      <w:r>
        <w:rPr>
          <w:spacing w:val="-14"/>
        </w:rPr>
        <w:t> </w:t>
      </w:r>
      <w:r>
        <w:rPr/>
        <w:t>solvent</w:t>
      </w:r>
      <w:r>
        <w:rPr>
          <w:spacing w:val="-13"/>
        </w:rPr>
        <w:t> </w:t>
      </w:r>
      <w:r>
        <w:rPr/>
        <w:t>scrubbing</w:t>
      </w:r>
    </w:p>
    <w:p>
      <w:pPr>
        <w:pStyle w:val="BodyText"/>
        <w:spacing w:before="10"/>
        <w:ind w:left="117"/>
      </w:pPr>
      <w:r>
        <w:rPr/>
        <w:t>process (Rectisol process, see Section 3.5.2.11 and </w:t>
      </w:r>
      <w:hyperlink w:history="true" w:anchor="_bookmark5">
        <w:r>
          <w:rPr>
            <w:spacing w:val="-3"/>
          </w:rPr>
          <w:t>Table </w:t>
        </w:r>
        <w:r>
          <w:rPr>
            <w:spacing w:val="11"/>
          </w:rPr>
          <w:t> </w:t>
        </w:r>
      </w:hyperlink>
      <w:r>
        <w:rPr/>
        <w:t>3.2).</w:t>
      </w:r>
    </w:p>
    <w:p>
      <w:pPr>
        <w:spacing w:after="0"/>
        <w:sectPr>
          <w:type w:val="continuous"/>
          <w:pgSz w:w="12240" w:h="15840"/>
          <w:pgMar w:top="480" w:bottom="280" w:left="620" w:right="0"/>
          <w:cols w:num="2" w:equalWidth="0">
            <w:col w:w="5200" w:space="126"/>
            <w:col w:w="6294"/>
          </w:cols>
        </w:sectPr>
      </w:pPr>
    </w:p>
    <w:p>
      <w:pPr>
        <w:pStyle w:val="BodyText"/>
        <w:spacing w:before="10"/>
        <w:ind w:left="117"/>
      </w:pPr>
      <w:r>
        <w:rPr/>
        <w:t>scale, gasification is generally considered to be suitable only</w:t>
      </w:r>
    </w:p>
    <w:p>
      <w:pPr>
        <w:pStyle w:val="BodyText"/>
        <w:spacing w:line="277" w:lineRule="exact" w:before="10"/>
        <w:ind w:left="117"/>
        <w:rPr>
          <w:sz w:val="11"/>
        </w:rPr>
      </w:pPr>
      <w:r>
        <w:rPr/>
        <w:br w:type="column"/>
      </w:r>
      <w:r>
        <w:rPr/>
        <w:t>Most of this captured CO</w:t>
      </w:r>
      <w:r>
        <w:rPr>
          <w:position w:val="-6"/>
          <w:sz w:val="11"/>
        </w:rPr>
        <w:t>2</w:t>
      </w:r>
    </w:p>
    <w:p>
      <w:pPr>
        <w:pStyle w:val="BodyText"/>
        <w:spacing w:before="10"/>
        <w:ind w:left="9"/>
        <w:rPr>
          <w:sz w:val="11"/>
        </w:rPr>
      </w:pPr>
      <w:r>
        <w:rPr/>
        <w:br w:type="column"/>
      </w:r>
      <w:r>
        <w:rPr/>
        <w:t>is vented and about 1.5 Mtonnes yr</w:t>
      </w:r>
      <w:r>
        <w:rPr>
          <w:position w:val="7"/>
          <w:sz w:val="11"/>
        </w:rPr>
        <w:t>-1</w:t>
      </w:r>
    </w:p>
    <w:p>
      <w:pPr>
        <w:spacing w:after="0"/>
        <w:rPr>
          <w:sz w:val="11"/>
        </w:rPr>
        <w:sectPr>
          <w:type w:val="continuous"/>
          <w:pgSz w:w="12240" w:h="15840"/>
          <w:pgMar w:top="480" w:bottom="280" w:left="620" w:right="0"/>
          <w:cols w:num="3" w:equalWidth="0">
            <w:col w:w="5200" w:space="126"/>
            <w:col w:w="2206" w:space="40"/>
            <w:col w:w="4048"/>
          </w:cols>
        </w:sectPr>
      </w:pPr>
    </w:p>
    <w:p>
      <w:pPr>
        <w:pStyle w:val="BodyText"/>
        <w:spacing w:line="187" w:lineRule="auto"/>
        <w:ind w:left="117"/>
        <w:jc w:val="both"/>
      </w:pPr>
      <w:r>
        <w:rPr/>
        <w:t>for large plants. The gasifier output contains CO, H</w:t>
      </w:r>
      <w:r>
        <w:rPr>
          <w:position w:val="-6"/>
          <w:sz w:val="11"/>
        </w:rPr>
        <w:t>2</w:t>
      </w:r>
      <w:r>
        <w:rPr/>
        <w:t>, CO</w:t>
      </w:r>
      <w:r>
        <w:rPr>
          <w:position w:val="-6"/>
          <w:sz w:val="11"/>
        </w:rPr>
        <w:t>2, </w:t>
      </w:r>
      <w:r>
        <w:rPr/>
        <w:t>H</w:t>
      </w:r>
      <w:r>
        <w:rPr>
          <w:position w:val="-6"/>
          <w:sz w:val="11"/>
        </w:rPr>
        <w:t>2</w:t>
      </w:r>
      <w:r>
        <w:rPr/>
        <w:t>O</w:t>
      </w:r>
    </w:p>
    <w:p>
      <w:pPr>
        <w:pStyle w:val="BodyText"/>
        <w:spacing w:line="206" w:lineRule="auto"/>
        <w:ind w:left="117" w:right="38"/>
        <w:jc w:val="both"/>
      </w:pPr>
      <w:r>
        <w:rPr/>
        <w:t>and impurities (e.g., N</w:t>
      </w:r>
      <w:r>
        <w:rPr>
          <w:position w:val="-6"/>
          <w:sz w:val="11"/>
        </w:rPr>
        <w:t>2</w:t>
      </w:r>
      <w:r>
        <w:rPr/>
        <w:t>, COS, H</w:t>
      </w:r>
      <w:r>
        <w:rPr>
          <w:position w:val="-6"/>
          <w:sz w:val="11"/>
        </w:rPr>
        <w:t>2</w:t>
      </w:r>
      <w:r>
        <w:rPr/>
        <w:t>S, HCN, NH</w:t>
      </w:r>
      <w:r>
        <w:rPr>
          <w:position w:val="-6"/>
          <w:sz w:val="11"/>
        </w:rPr>
        <w:t>3</w:t>
      </w:r>
      <w:r>
        <w:rPr/>
        <w:t>, volatile trace minerals and Hg) that must be managed appropriately.</w:t>
      </w:r>
    </w:p>
    <w:p>
      <w:pPr>
        <w:pStyle w:val="BodyText"/>
        <w:spacing w:line="240" w:lineRule="exact" w:before="2"/>
        <w:ind w:left="117" w:right="38" w:firstLine="284"/>
        <w:jc w:val="both"/>
      </w:pPr>
      <w:r>
        <w:rPr/>
        <w:t>A worldwide survey of commercial gasification projects identified 128 operating gasification plants with 366 gasifiers producing 42,700 MW</w:t>
      </w:r>
      <w:r>
        <w:rPr>
          <w:position w:val="-6"/>
          <w:sz w:val="11"/>
        </w:rPr>
        <w:t>t </w:t>
      </w:r>
      <w:r>
        <w:rPr/>
        <w:t>of syngas (NETL-DOE, 2002 </w:t>
      </w:r>
      <w:r>
        <w:rPr>
          <w:spacing w:val="-4"/>
        </w:rPr>
        <w:t>and </w:t>
      </w:r>
      <w:r>
        <w:rPr/>
        <w:t>Simbeck, 2001a). There are also about 24,500 MW</w:t>
      </w:r>
      <w:r>
        <w:rPr>
          <w:position w:val="-6"/>
          <w:sz w:val="11"/>
        </w:rPr>
        <w:t>t </w:t>
      </w:r>
      <w:r>
        <w:rPr/>
        <w:t>of syngas projects under development or construction, with 4000-5000 MW</w:t>
      </w:r>
      <w:r>
        <w:rPr>
          <w:position w:val="-6"/>
          <w:sz w:val="11"/>
        </w:rPr>
        <w:t>t </w:t>
      </w:r>
      <w:r>
        <w:rPr/>
        <w:t>of syngas added annually. The feedstocks are mainly higher</w:t>
      </w:r>
      <w:r>
        <w:rPr>
          <w:spacing w:val="-18"/>
        </w:rPr>
        <w:t> </w:t>
      </w:r>
      <w:r>
        <w:rPr/>
        <w:t>rank</w:t>
      </w:r>
      <w:r>
        <w:rPr>
          <w:spacing w:val="-18"/>
        </w:rPr>
        <w:t> </w:t>
      </w:r>
      <w:r>
        <w:rPr/>
        <w:t>coals</w:t>
      </w:r>
      <w:r>
        <w:rPr>
          <w:spacing w:val="-18"/>
        </w:rPr>
        <w:t> </w:t>
      </w:r>
      <w:r>
        <w:rPr/>
        <w:t>and</w:t>
      </w:r>
      <w:r>
        <w:rPr>
          <w:spacing w:val="-18"/>
        </w:rPr>
        <w:t> </w:t>
      </w:r>
      <w:r>
        <w:rPr/>
        <w:t>oil</w:t>
      </w:r>
      <w:r>
        <w:rPr>
          <w:spacing w:val="-18"/>
        </w:rPr>
        <w:t> </w:t>
      </w:r>
      <w:r>
        <w:rPr/>
        <w:t>residues.</w:t>
      </w:r>
      <w:r>
        <w:rPr>
          <w:spacing w:val="-18"/>
        </w:rPr>
        <w:t> </w:t>
      </w:r>
      <w:r>
        <w:rPr/>
        <w:t>Most</w:t>
      </w:r>
      <w:r>
        <w:rPr>
          <w:spacing w:val="-18"/>
        </w:rPr>
        <w:t> </w:t>
      </w:r>
      <w:r>
        <w:rPr/>
        <w:t>commercial</w:t>
      </w:r>
      <w:r>
        <w:rPr>
          <w:spacing w:val="-18"/>
        </w:rPr>
        <w:t> </w:t>
      </w:r>
      <w:r>
        <w:rPr/>
        <w:t>gasification growth</w:t>
      </w:r>
      <w:r>
        <w:rPr>
          <w:spacing w:val="-27"/>
        </w:rPr>
        <w:t> </w:t>
      </w:r>
      <w:r>
        <w:rPr/>
        <w:t>for</w:t>
      </w:r>
      <w:r>
        <w:rPr>
          <w:spacing w:val="-26"/>
        </w:rPr>
        <w:t> </w:t>
      </w:r>
      <w:r>
        <w:rPr/>
        <w:t>the</w:t>
      </w:r>
      <w:r>
        <w:rPr>
          <w:spacing w:val="-26"/>
        </w:rPr>
        <w:t> </w:t>
      </w:r>
      <w:r>
        <w:rPr/>
        <w:t>last</w:t>
      </w:r>
      <w:r>
        <w:rPr>
          <w:spacing w:val="-27"/>
        </w:rPr>
        <w:t> </w:t>
      </w:r>
      <w:r>
        <w:rPr/>
        <w:t>20</w:t>
      </w:r>
      <w:r>
        <w:rPr>
          <w:spacing w:val="-26"/>
        </w:rPr>
        <w:t> </w:t>
      </w:r>
      <w:r>
        <w:rPr/>
        <w:t>years</w:t>
      </w:r>
      <w:r>
        <w:rPr>
          <w:spacing w:val="-26"/>
        </w:rPr>
        <w:t> </w:t>
      </w:r>
      <w:r>
        <w:rPr/>
        <w:t>has</w:t>
      </w:r>
      <w:r>
        <w:rPr>
          <w:spacing w:val="-27"/>
        </w:rPr>
        <w:t> </w:t>
      </w:r>
      <w:r>
        <w:rPr/>
        <w:t>involved</w:t>
      </w:r>
      <w:r>
        <w:rPr>
          <w:spacing w:val="-26"/>
        </w:rPr>
        <w:t> </w:t>
      </w:r>
      <w:r>
        <w:rPr/>
        <w:t>entrained-flow</w:t>
      </w:r>
      <w:r>
        <w:rPr>
          <w:spacing w:val="-26"/>
        </w:rPr>
        <w:t> </w:t>
      </w:r>
      <w:r>
        <w:rPr/>
        <w:t>gasifiers, for which there are three competing systems on the market. Recent commercial gasification development has been </w:t>
      </w:r>
      <w:r>
        <w:rPr>
          <w:spacing w:val="-3"/>
        </w:rPr>
        <w:t>mainly </w:t>
      </w:r>
      <w:r>
        <w:rPr/>
        <w:t>with industrial ammonia production, industrial polygeneration (in</w:t>
      </w:r>
      <w:r>
        <w:rPr>
          <w:spacing w:val="20"/>
        </w:rPr>
        <w:t> </w:t>
      </w:r>
      <w:r>
        <w:rPr/>
        <w:t>which</w:t>
      </w:r>
      <w:r>
        <w:rPr>
          <w:spacing w:val="21"/>
        </w:rPr>
        <w:t> </w:t>
      </w:r>
      <w:r>
        <w:rPr/>
        <w:t>clean</w:t>
      </w:r>
      <w:r>
        <w:rPr>
          <w:spacing w:val="20"/>
        </w:rPr>
        <w:t> </w:t>
      </w:r>
      <w:r>
        <w:rPr/>
        <w:t>syngas</w:t>
      </w:r>
      <w:r>
        <w:rPr>
          <w:spacing w:val="21"/>
        </w:rPr>
        <w:t> </w:t>
      </w:r>
      <w:r>
        <w:rPr/>
        <w:t>is</w:t>
      </w:r>
      <w:r>
        <w:rPr>
          <w:spacing w:val="21"/>
        </w:rPr>
        <w:t> </w:t>
      </w:r>
      <w:r>
        <w:rPr/>
        <w:t>used</w:t>
      </w:r>
      <w:r>
        <w:rPr>
          <w:spacing w:val="20"/>
        </w:rPr>
        <w:t> </w:t>
      </w:r>
      <w:r>
        <w:rPr/>
        <w:t>to</w:t>
      </w:r>
      <w:r>
        <w:rPr>
          <w:spacing w:val="21"/>
        </w:rPr>
        <w:t> </w:t>
      </w:r>
      <w:r>
        <w:rPr/>
        <w:t>make</w:t>
      </w:r>
      <w:r>
        <w:rPr>
          <w:spacing w:val="21"/>
        </w:rPr>
        <w:t> </w:t>
      </w:r>
      <w:r>
        <w:rPr/>
        <w:t>electricity</w:t>
      </w:r>
      <w:r>
        <w:rPr>
          <w:spacing w:val="20"/>
        </w:rPr>
        <w:t> </w:t>
      </w:r>
      <w:r>
        <w:rPr/>
        <w:t>and</w:t>
      </w:r>
      <w:r>
        <w:rPr>
          <w:spacing w:val="21"/>
        </w:rPr>
        <w:t> </w:t>
      </w:r>
      <w:r>
        <w:rPr/>
        <w:t>steam</w:t>
      </w:r>
    </w:p>
    <w:p>
      <w:pPr>
        <w:pStyle w:val="BodyText"/>
        <w:spacing w:line="193" w:lineRule="exact"/>
        <w:ind w:left="96" w:right="1131"/>
        <w:jc w:val="right"/>
      </w:pPr>
      <w:r>
        <w:rPr/>
        <w:br w:type="column"/>
      </w:r>
      <w:r>
        <w:rPr/>
        <w:t>of</w:t>
      </w:r>
      <w:r>
        <w:rPr>
          <w:spacing w:val="22"/>
        </w:rPr>
        <w:t> </w:t>
      </w:r>
      <w:r>
        <w:rPr/>
        <w:t>this</w:t>
      </w:r>
      <w:r>
        <w:rPr>
          <w:spacing w:val="23"/>
        </w:rPr>
        <w:t> </w:t>
      </w:r>
      <w:r>
        <w:rPr/>
        <w:t>stream</w:t>
      </w:r>
      <w:r>
        <w:rPr>
          <w:spacing w:val="22"/>
        </w:rPr>
        <w:t> </w:t>
      </w:r>
      <w:r>
        <w:rPr/>
        <w:t>is</w:t>
      </w:r>
      <w:r>
        <w:rPr>
          <w:spacing w:val="23"/>
        </w:rPr>
        <w:t> </w:t>
      </w:r>
      <w:r>
        <w:rPr/>
        <w:t>currently</w:t>
      </w:r>
      <w:r>
        <w:rPr>
          <w:spacing w:val="23"/>
        </w:rPr>
        <w:t> </w:t>
      </w:r>
      <w:r>
        <w:rPr/>
        <w:t>pipelined</w:t>
      </w:r>
      <w:r>
        <w:rPr>
          <w:spacing w:val="22"/>
        </w:rPr>
        <w:t> </w:t>
      </w:r>
      <w:r>
        <w:rPr/>
        <w:t>to</w:t>
      </w:r>
      <w:r>
        <w:rPr>
          <w:spacing w:val="23"/>
        </w:rPr>
        <w:t> </w:t>
      </w:r>
      <w:r>
        <w:rPr/>
        <w:t>the</w:t>
      </w:r>
      <w:r>
        <w:rPr>
          <w:spacing w:val="20"/>
        </w:rPr>
        <w:t> </w:t>
      </w:r>
      <w:r>
        <w:rPr/>
        <w:t>Weyburn,</w:t>
      </w:r>
      <w:r>
        <w:rPr>
          <w:spacing w:val="23"/>
        </w:rPr>
        <w:t> </w:t>
      </w:r>
      <w:r>
        <w:rPr/>
        <w:t>Canada</w:t>
      </w:r>
    </w:p>
    <w:p>
      <w:pPr>
        <w:pStyle w:val="BodyText"/>
        <w:spacing w:line="240" w:lineRule="exact" w:before="4"/>
        <w:ind w:left="96" w:right="1131"/>
        <w:jc w:val="right"/>
      </w:pPr>
      <w:r>
        <w:rPr/>
        <w:t>enhanced oil recovery and CO</w:t>
      </w:r>
      <w:r>
        <w:rPr>
          <w:position w:val="-6"/>
          <w:sz w:val="11"/>
        </w:rPr>
        <w:t>2 </w:t>
      </w:r>
      <w:r>
        <w:rPr/>
        <w:t>storage project (see</w:t>
      </w:r>
      <w:r>
        <w:rPr>
          <w:spacing w:val="-17"/>
        </w:rPr>
        <w:t> </w:t>
      </w:r>
      <w:r>
        <w:rPr/>
        <w:t>Chapter</w:t>
      </w:r>
      <w:r>
        <w:rPr>
          <w:spacing w:val="-1"/>
        </w:rPr>
        <w:t> </w:t>
      </w:r>
      <w:r>
        <w:rPr/>
        <w:t>5). When CO</w:t>
      </w:r>
      <w:r>
        <w:rPr>
          <w:position w:val="-6"/>
          <w:sz w:val="11"/>
        </w:rPr>
        <w:t>2 </w:t>
      </w:r>
      <w:r>
        <w:rPr/>
        <w:t>capture is an objective, O</w:t>
      </w:r>
      <w:r>
        <w:rPr>
          <w:position w:val="-6"/>
          <w:sz w:val="11"/>
        </w:rPr>
        <w:t>2</w:t>
      </w:r>
      <w:r>
        <w:rPr/>
        <w:t>-blown</w:t>
      </w:r>
      <w:r>
        <w:rPr>
          <w:spacing w:val="15"/>
        </w:rPr>
        <w:t> </w:t>
      </w:r>
      <w:r>
        <w:rPr/>
        <w:t>and</w:t>
      </w:r>
      <w:r>
        <w:rPr>
          <w:spacing w:val="47"/>
        </w:rPr>
        <w:t> </w:t>
      </w:r>
      <w:r>
        <w:rPr/>
        <w:t>high- pressure</w:t>
      </w:r>
      <w:r>
        <w:rPr>
          <w:spacing w:val="-11"/>
        </w:rPr>
        <w:t> </w:t>
      </w:r>
      <w:r>
        <w:rPr/>
        <w:t>systems</w:t>
      </w:r>
      <w:r>
        <w:rPr>
          <w:spacing w:val="-10"/>
        </w:rPr>
        <w:t> </w:t>
      </w:r>
      <w:r>
        <w:rPr/>
        <w:t>are</w:t>
      </w:r>
      <w:r>
        <w:rPr>
          <w:spacing w:val="-10"/>
        </w:rPr>
        <w:t> </w:t>
      </w:r>
      <w:r>
        <w:rPr/>
        <w:t>preferred</w:t>
      </w:r>
      <w:r>
        <w:rPr>
          <w:spacing w:val="-11"/>
        </w:rPr>
        <w:t> </w:t>
      </w:r>
      <w:r>
        <w:rPr/>
        <w:t>because</w:t>
      </w:r>
      <w:r>
        <w:rPr>
          <w:spacing w:val="-10"/>
        </w:rPr>
        <w:t> </w:t>
      </w:r>
      <w:r>
        <w:rPr/>
        <w:t>of</w:t>
      </w:r>
      <w:r>
        <w:rPr>
          <w:spacing w:val="-10"/>
        </w:rPr>
        <w:t> </w:t>
      </w:r>
      <w:r>
        <w:rPr/>
        <w:t>the</w:t>
      </w:r>
      <w:r>
        <w:rPr>
          <w:spacing w:val="-11"/>
        </w:rPr>
        <w:t> </w:t>
      </w:r>
      <w:r>
        <w:rPr/>
        <w:t>higher</w:t>
      </w:r>
      <w:r>
        <w:rPr>
          <w:spacing w:val="-10"/>
        </w:rPr>
        <w:t> </w:t>
      </w:r>
      <w:r>
        <w:rPr/>
        <w:t>CO</w:t>
      </w:r>
      <w:r>
        <w:rPr>
          <w:position w:val="-6"/>
          <w:sz w:val="11"/>
        </w:rPr>
        <w:t>2</w:t>
      </w:r>
      <w:r>
        <w:rPr>
          <w:spacing w:val="13"/>
          <w:position w:val="-6"/>
          <w:sz w:val="11"/>
        </w:rPr>
        <w:t> </w:t>
      </w:r>
      <w:r>
        <w:rPr/>
        <w:t>partial pressures. De-carbonization via gasification</w:t>
      </w:r>
      <w:r>
        <w:rPr>
          <w:spacing w:val="1"/>
        </w:rPr>
        <w:t> </w:t>
      </w:r>
      <w:r>
        <w:rPr/>
        <w:t>entails</w:t>
      </w:r>
      <w:r>
        <w:rPr>
          <w:spacing w:val="38"/>
        </w:rPr>
        <w:t> </w:t>
      </w:r>
      <w:r>
        <w:rPr/>
        <w:t>lower energy</w:t>
      </w:r>
      <w:r>
        <w:rPr>
          <w:spacing w:val="31"/>
        </w:rPr>
        <w:t> </w:t>
      </w:r>
      <w:r>
        <w:rPr/>
        <w:t>penalties</w:t>
      </w:r>
      <w:r>
        <w:rPr>
          <w:spacing w:val="32"/>
        </w:rPr>
        <w:t> </w:t>
      </w:r>
      <w:r>
        <w:rPr/>
        <w:t>for</w:t>
      </w:r>
      <w:r>
        <w:rPr>
          <w:spacing w:val="32"/>
        </w:rPr>
        <w:t> </w:t>
      </w:r>
      <w:r>
        <w:rPr/>
        <w:t>CO</w:t>
      </w:r>
      <w:r>
        <w:rPr>
          <w:position w:val="-6"/>
          <w:sz w:val="11"/>
        </w:rPr>
        <w:t>2</w:t>
      </w:r>
      <w:r>
        <w:rPr>
          <w:spacing w:val="26"/>
          <w:position w:val="-6"/>
          <w:sz w:val="11"/>
        </w:rPr>
        <w:t> </w:t>
      </w:r>
      <w:r>
        <w:rPr/>
        <w:t>capture</w:t>
      </w:r>
      <w:r>
        <w:rPr>
          <w:spacing w:val="32"/>
        </w:rPr>
        <w:t> </w:t>
      </w:r>
      <w:r>
        <w:rPr/>
        <w:t>than</w:t>
      </w:r>
      <w:r>
        <w:rPr>
          <w:spacing w:val="32"/>
        </w:rPr>
        <w:t> </w:t>
      </w:r>
      <w:r>
        <w:rPr/>
        <w:t>does</w:t>
      </w:r>
      <w:r>
        <w:rPr>
          <w:spacing w:val="32"/>
        </w:rPr>
        <w:t> </w:t>
      </w:r>
      <w:r>
        <w:rPr/>
        <w:t>post-combustion capture</w:t>
      </w:r>
      <w:r>
        <w:rPr>
          <w:spacing w:val="28"/>
        </w:rPr>
        <w:t> </w:t>
      </w:r>
      <w:r>
        <w:rPr/>
        <w:t>when</w:t>
      </w:r>
      <w:r>
        <w:rPr>
          <w:spacing w:val="29"/>
        </w:rPr>
        <w:t> </w:t>
      </w:r>
      <w:r>
        <w:rPr/>
        <w:t>considering</w:t>
      </w:r>
      <w:r>
        <w:rPr>
          <w:spacing w:val="28"/>
        </w:rPr>
        <w:t> </w:t>
      </w:r>
      <w:r>
        <w:rPr/>
        <w:t>only</w:t>
      </w:r>
      <w:r>
        <w:rPr>
          <w:spacing w:val="29"/>
        </w:rPr>
        <w:t> </w:t>
      </w:r>
      <w:r>
        <w:rPr/>
        <w:t>the</w:t>
      </w:r>
      <w:r>
        <w:rPr>
          <w:spacing w:val="28"/>
        </w:rPr>
        <w:t> </w:t>
      </w:r>
      <w:r>
        <w:rPr/>
        <w:t>separation</w:t>
      </w:r>
      <w:r>
        <w:rPr>
          <w:spacing w:val="29"/>
        </w:rPr>
        <w:t> </w:t>
      </w:r>
      <w:r>
        <w:rPr/>
        <w:t>stage,</w:t>
      </w:r>
      <w:r>
        <w:rPr>
          <w:spacing w:val="29"/>
        </w:rPr>
        <w:t> </w:t>
      </w:r>
      <w:r>
        <w:rPr/>
        <w:t>because the</w:t>
      </w:r>
      <w:r>
        <w:rPr>
          <w:spacing w:val="26"/>
        </w:rPr>
        <w:t> </w:t>
      </w:r>
      <w:r>
        <w:rPr/>
        <w:t>CO</w:t>
      </w:r>
      <w:r>
        <w:rPr>
          <w:position w:val="-6"/>
          <w:sz w:val="11"/>
        </w:rPr>
        <w:t>2</w:t>
      </w:r>
      <w:r>
        <w:rPr>
          <w:spacing w:val="21"/>
          <w:position w:val="-6"/>
          <w:sz w:val="11"/>
        </w:rPr>
        <w:t> </w:t>
      </w:r>
      <w:r>
        <w:rPr/>
        <w:t>can</w:t>
      </w:r>
      <w:r>
        <w:rPr>
          <w:spacing w:val="27"/>
        </w:rPr>
        <w:t> </w:t>
      </w:r>
      <w:r>
        <w:rPr/>
        <w:t>be</w:t>
      </w:r>
      <w:r>
        <w:rPr>
          <w:spacing w:val="26"/>
        </w:rPr>
        <w:t> </w:t>
      </w:r>
      <w:r>
        <w:rPr/>
        <w:t>recovered</w:t>
      </w:r>
      <w:r>
        <w:rPr>
          <w:spacing w:val="26"/>
        </w:rPr>
        <w:t> </w:t>
      </w:r>
      <w:r>
        <w:rPr/>
        <w:t>at</w:t>
      </w:r>
      <w:r>
        <w:rPr>
          <w:spacing w:val="26"/>
        </w:rPr>
        <w:t> </w:t>
      </w:r>
      <w:r>
        <w:rPr/>
        <w:t>partial</w:t>
      </w:r>
      <w:r>
        <w:rPr>
          <w:spacing w:val="27"/>
        </w:rPr>
        <w:t> </w:t>
      </w:r>
      <w:r>
        <w:rPr/>
        <w:t>pressures</w:t>
      </w:r>
      <w:r>
        <w:rPr>
          <w:spacing w:val="26"/>
        </w:rPr>
        <w:t> </w:t>
      </w:r>
      <w:r>
        <w:rPr/>
        <w:t>up</w:t>
      </w:r>
      <w:r>
        <w:rPr>
          <w:spacing w:val="26"/>
        </w:rPr>
        <w:t> </w:t>
      </w:r>
      <w:r>
        <w:rPr/>
        <w:t>to</w:t>
      </w:r>
      <w:r>
        <w:rPr>
          <w:spacing w:val="26"/>
        </w:rPr>
        <w:t> </w:t>
      </w:r>
      <w:r>
        <w:rPr/>
        <w:t>3</w:t>
      </w:r>
      <w:r>
        <w:rPr>
          <w:spacing w:val="27"/>
        </w:rPr>
        <w:t> </w:t>
      </w:r>
      <w:r>
        <w:rPr/>
        <w:t>orders of</w:t>
      </w:r>
      <w:r>
        <w:rPr>
          <w:spacing w:val="20"/>
        </w:rPr>
        <w:t> </w:t>
      </w:r>
      <w:r>
        <w:rPr/>
        <w:t>magnitude</w:t>
      </w:r>
      <w:r>
        <w:rPr>
          <w:spacing w:val="20"/>
        </w:rPr>
        <w:t> </w:t>
      </w:r>
      <w:r>
        <w:rPr/>
        <w:t>higher.</w:t>
      </w:r>
      <w:r>
        <w:rPr>
          <w:spacing w:val="16"/>
        </w:rPr>
        <w:t> </w:t>
      </w:r>
      <w:r>
        <w:rPr/>
        <w:t>This</w:t>
      </w:r>
      <w:r>
        <w:rPr>
          <w:spacing w:val="21"/>
        </w:rPr>
        <w:t> </w:t>
      </w:r>
      <w:r>
        <w:rPr/>
        <w:t>greatly</w:t>
      </w:r>
      <w:r>
        <w:rPr>
          <w:spacing w:val="20"/>
        </w:rPr>
        <w:t> </w:t>
      </w:r>
      <w:r>
        <w:rPr/>
        <w:t>reduces</w:t>
      </w:r>
      <w:r>
        <w:rPr>
          <w:spacing w:val="20"/>
        </w:rPr>
        <w:t> </w:t>
      </w:r>
      <w:r>
        <w:rPr/>
        <w:t>CO</w:t>
      </w:r>
      <w:r>
        <w:rPr>
          <w:position w:val="-6"/>
          <w:sz w:val="11"/>
        </w:rPr>
        <w:t>2</w:t>
      </w:r>
      <w:r>
        <w:rPr>
          <w:spacing w:val="15"/>
          <w:position w:val="-6"/>
          <w:sz w:val="11"/>
        </w:rPr>
        <w:t> </w:t>
      </w:r>
      <w:r>
        <w:rPr/>
        <w:t>absorber</w:t>
      </w:r>
      <w:r>
        <w:rPr>
          <w:spacing w:val="20"/>
        </w:rPr>
        <w:t> </w:t>
      </w:r>
      <w:r>
        <w:rPr/>
        <w:t>size,</w:t>
      </w:r>
      <w:r>
        <w:rPr>
          <w:spacing w:val="-1"/>
        </w:rPr>
        <w:t> </w:t>
      </w:r>
      <w:r>
        <w:rPr/>
        <w:t>solvent</w:t>
      </w:r>
      <w:r>
        <w:rPr>
          <w:spacing w:val="-16"/>
        </w:rPr>
        <w:t> </w:t>
      </w:r>
      <w:r>
        <w:rPr/>
        <w:t>circulation</w:t>
      </w:r>
      <w:r>
        <w:rPr>
          <w:spacing w:val="-15"/>
        </w:rPr>
        <w:t> </w:t>
      </w:r>
      <w:r>
        <w:rPr/>
        <w:t>rates</w:t>
      </w:r>
      <w:r>
        <w:rPr>
          <w:spacing w:val="-15"/>
        </w:rPr>
        <w:t> </w:t>
      </w:r>
      <w:r>
        <w:rPr/>
        <w:t>and</w:t>
      </w:r>
      <w:r>
        <w:rPr>
          <w:spacing w:val="-16"/>
        </w:rPr>
        <w:t> </w:t>
      </w:r>
      <w:r>
        <w:rPr/>
        <w:t>CO</w:t>
      </w:r>
      <w:r>
        <w:rPr>
          <w:position w:val="-6"/>
          <w:sz w:val="11"/>
        </w:rPr>
        <w:t>2</w:t>
      </w:r>
      <w:r>
        <w:rPr>
          <w:spacing w:val="7"/>
          <w:position w:val="-6"/>
          <w:sz w:val="11"/>
        </w:rPr>
        <w:t> </w:t>
      </w:r>
      <w:r>
        <w:rPr/>
        <w:t>stripping</w:t>
      </w:r>
      <w:r>
        <w:rPr>
          <w:spacing w:val="-15"/>
        </w:rPr>
        <w:t> </w:t>
      </w:r>
      <w:r>
        <w:rPr/>
        <w:t>energy</w:t>
      </w:r>
      <w:r>
        <w:rPr>
          <w:spacing w:val="-15"/>
        </w:rPr>
        <w:t> </w:t>
      </w:r>
      <w:r>
        <w:rPr/>
        <w:t>requirements. However,</w:t>
      </w:r>
      <w:r>
        <w:rPr>
          <w:spacing w:val="23"/>
        </w:rPr>
        <w:t> </w:t>
      </w:r>
      <w:r>
        <w:rPr/>
        <w:t>additional</w:t>
      </w:r>
      <w:r>
        <w:rPr>
          <w:spacing w:val="22"/>
        </w:rPr>
        <w:t> </w:t>
      </w:r>
      <w:r>
        <w:rPr/>
        <w:t>energy</w:t>
      </w:r>
      <w:r>
        <w:rPr>
          <w:spacing w:val="23"/>
        </w:rPr>
        <w:t> </w:t>
      </w:r>
      <w:r>
        <w:rPr/>
        <w:t>penalties</w:t>
      </w:r>
      <w:r>
        <w:rPr>
          <w:spacing w:val="22"/>
        </w:rPr>
        <w:t> </w:t>
      </w:r>
      <w:r>
        <w:rPr/>
        <w:t>are</w:t>
      </w:r>
      <w:r>
        <w:rPr>
          <w:spacing w:val="23"/>
        </w:rPr>
        <w:t> </w:t>
      </w:r>
      <w:r>
        <w:rPr/>
        <w:t>incurred</w:t>
      </w:r>
      <w:r>
        <w:rPr>
          <w:spacing w:val="23"/>
        </w:rPr>
        <w:t> </w:t>
      </w:r>
      <w:r>
        <w:rPr/>
        <w:t>in</w:t>
      </w:r>
      <w:r>
        <w:rPr>
          <w:spacing w:val="24"/>
        </w:rPr>
        <w:t> </w:t>
      </w:r>
      <w:r>
        <w:rPr/>
        <w:t>shifting</w:t>
      </w:r>
      <w:r>
        <w:rPr>
          <w:spacing w:val="-1"/>
        </w:rPr>
        <w:t> </w:t>
      </w:r>
      <w:r>
        <w:rPr/>
        <w:t>the</w:t>
      </w:r>
      <w:r>
        <w:rPr>
          <w:spacing w:val="16"/>
        </w:rPr>
        <w:t> </w:t>
      </w:r>
      <w:r>
        <w:rPr/>
        <w:t>CO</w:t>
      </w:r>
      <w:r>
        <w:rPr>
          <w:spacing w:val="16"/>
        </w:rPr>
        <w:t> </w:t>
      </w:r>
      <w:r>
        <w:rPr/>
        <w:t>in</w:t>
      </w:r>
      <w:r>
        <w:rPr>
          <w:spacing w:val="17"/>
        </w:rPr>
        <w:t> </w:t>
      </w:r>
      <w:r>
        <w:rPr/>
        <w:t>the</w:t>
      </w:r>
      <w:r>
        <w:rPr>
          <w:spacing w:val="16"/>
        </w:rPr>
        <w:t> </w:t>
      </w:r>
      <w:r>
        <w:rPr/>
        <w:t>syngas</w:t>
      </w:r>
      <w:r>
        <w:rPr>
          <w:spacing w:val="16"/>
        </w:rPr>
        <w:t> </w:t>
      </w:r>
      <w:r>
        <w:rPr/>
        <w:t>to</w:t>
      </w:r>
      <w:r>
        <w:rPr>
          <w:spacing w:val="17"/>
        </w:rPr>
        <w:t> </w:t>
      </w:r>
      <w:r>
        <w:rPr/>
        <w:t>CO</w:t>
      </w:r>
      <w:r>
        <w:rPr>
          <w:position w:val="-6"/>
          <w:sz w:val="11"/>
        </w:rPr>
        <w:t>2</w:t>
      </w:r>
      <w:r>
        <w:rPr>
          <w:spacing w:val="11"/>
          <w:position w:val="-6"/>
          <w:sz w:val="11"/>
        </w:rPr>
        <w:t> </w:t>
      </w:r>
      <w:r>
        <w:rPr/>
        <w:t>and</w:t>
      </w:r>
      <w:r>
        <w:rPr>
          <w:spacing w:val="17"/>
        </w:rPr>
        <w:t> </w:t>
      </w:r>
      <w:r>
        <w:rPr/>
        <w:t>in</w:t>
      </w:r>
      <w:r>
        <w:rPr>
          <w:spacing w:val="16"/>
        </w:rPr>
        <w:t> </w:t>
      </w:r>
      <w:r>
        <w:rPr/>
        <w:t>other</w:t>
      </w:r>
      <w:r>
        <w:rPr>
          <w:spacing w:val="16"/>
        </w:rPr>
        <w:t> </w:t>
      </w:r>
      <w:r>
        <w:rPr/>
        <w:t>parts</w:t>
      </w:r>
      <w:r>
        <w:rPr>
          <w:spacing w:val="17"/>
        </w:rPr>
        <w:t> </w:t>
      </w:r>
      <w:r>
        <w:rPr/>
        <w:t>of</w:t>
      </w:r>
      <w:r>
        <w:rPr>
          <w:spacing w:val="16"/>
        </w:rPr>
        <w:t> </w:t>
      </w:r>
      <w:r>
        <w:rPr/>
        <w:t>the</w:t>
      </w:r>
      <w:r>
        <w:rPr>
          <w:spacing w:val="17"/>
        </w:rPr>
        <w:t> </w:t>
      </w:r>
      <w:r>
        <w:rPr/>
        <w:t>system</w:t>
      </w:r>
      <w:r>
        <w:rPr>
          <w:spacing w:val="-1"/>
        </w:rPr>
        <w:t> </w:t>
      </w:r>
      <w:r>
        <w:rPr/>
        <w:t>(see  examples for  IGCC  plant  with CO</w:t>
      </w:r>
      <w:r>
        <w:rPr>
          <w:position w:val="-6"/>
          <w:sz w:val="11"/>
        </w:rPr>
        <w:t>2   </w:t>
      </w:r>
      <w:r>
        <w:rPr/>
        <w:t>capture in  </w:t>
      </w:r>
      <w:r>
        <w:rPr>
          <w:spacing w:val="26"/>
        </w:rPr>
        <w:t> </w:t>
      </w:r>
      <w:hyperlink w:history="true" w:anchor="_bookmark11">
        <w:r>
          <w:rPr/>
          <w:t>Figures</w:t>
        </w:r>
      </w:hyperlink>
    </w:p>
    <w:p>
      <w:pPr>
        <w:pStyle w:val="ListParagraph"/>
        <w:numPr>
          <w:ilvl w:val="1"/>
          <w:numId w:val="5"/>
        </w:numPr>
        <w:tabs>
          <w:tab w:pos="451" w:val="left" w:leader="none"/>
        </w:tabs>
        <w:spacing w:line="249" w:lineRule="auto" w:before="6" w:after="0"/>
        <w:ind w:left="117" w:right="1131" w:firstLine="0"/>
        <w:jc w:val="right"/>
        <w:rPr>
          <w:sz w:val="20"/>
        </w:rPr>
      </w:pPr>
      <w:r>
        <w:rPr>
          <w:sz w:val="20"/>
        </w:rPr>
        <w:t>and</w:t>
      </w:r>
      <w:r>
        <w:rPr>
          <w:spacing w:val="33"/>
          <w:sz w:val="20"/>
        </w:rPr>
        <w:t> </w:t>
      </w:r>
      <w:hyperlink w:history="true" w:anchor="_bookmark12">
        <w:r>
          <w:rPr>
            <w:sz w:val="20"/>
          </w:rPr>
          <w:t>3.7).</w:t>
        </w:r>
      </w:hyperlink>
      <w:r>
        <w:rPr>
          <w:spacing w:val="34"/>
          <w:sz w:val="20"/>
        </w:rPr>
        <w:t> </w:t>
      </w:r>
      <w:r>
        <w:rPr>
          <w:sz w:val="20"/>
        </w:rPr>
        <w:t>Recent</w:t>
      </w:r>
      <w:r>
        <w:rPr>
          <w:spacing w:val="33"/>
          <w:sz w:val="20"/>
        </w:rPr>
        <w:t> </w:t>
      </w:r>
      <w:r>
        <w:rPr>
          <w:sz w:val="20"/>
        </w:rPr>
        <w:t>analyses</w:t>
      </w:r>
      <w:r>
        <w:rPr>
          <w:spacing w:val="33"/>
          <w:sz w:val="20"/>
        </w:rPr>
        <w:t> </w:t>
      </w:r>
      <w:r>
        <w:rPr>
          <w:sz w:val="20"/>
        </w:rPr>
        <w:t>for</w:t>
      </w:r>
      <w:r>
        <w:rPr>
          <w:spacing w:val="34"/>
          <w:sz w:val="20"/>
        </w:rPr>
        <w:t> </w:t>
      </w:r>
      <w:r>
        <w:rPr>
          <w:sz w:val="20"/>
        </w:rPr>
        <w:t>bituminous</w:t>
      </w:r>
      <w:r>
        <w:rPr>
          <w:spacing w:val="33"/>
          <w:sz w:val="20"/>
        </w:rPr>
        <w:t> </w:t>
      </w:r>
      <w:r>
        <w:rPr>
          <w:sz w:val="20"/>
        </w:rPr>
        <w:t>coals</w:t>
      </w:r>
      <w:r>
        <w:rPr>
          <w:spacing w:val="33"/>
          <w:sz w:val="20"/>
        </w:rPr>
        <w:t> </w:t>
      </w:r>
      <w:r>
        <w:rPr>
          <w:sz w:val="20"/>
        </w:rPr>
        <w:t>(see,</w:t>
      </w:r>
      <w:r>
        <w:rPr>
          <w:spacing w:val="33"/>
          <w:sz w:val="20"/>
        </w:rPr>
        <w:t> </w:t>
      </w:r>
      <w:r>
        <w:rPr>
          <w:spacing w:val="-4"/>
          <w:sz w:val="20"/>
        </w:rPr>
        <w:t>for</w:t>
      </w:r>
      <w:r>
        <w:rPr>
          <w:sz w:val="20"/>
        </w:rPr>
        <w:t> example, IEA GHG, 2003) suggest using simple</w:t>
      </w:r>
      <w:r>
        <w:rPr>
          <w:spacing w:val="10"/>
          <w:sz w:val="20"/>
        </w:rPr>
        <w:t> </w:t>
      </w:r>
      <w:r>
        <w:rPr>
          <w:sz w:val="20"/>
        </w:rPr>
        <w:t>high-pressure</w:t>
      </w:r>
    </w:p>
    <w:p>
      <w:pPr>
        <w:spacing w:after="0" w:line="249" w:lineRule="auto"/>
        <w:jc w:val="right"/>
        <w:rPr>
          <w:sz w:val="20"/>
        </w:rPr>
        <w:sectPr>
          <w:type w:val="continuous"/>
          <w:pgSz w:w="12240" w:h="15840"/>
          <w:pgMar w:top="480" w:bottom="280" w:left="620" w:right="0"/>
          <w:cols w:num="2" w:equalWidth="0">
            <w:col w:w="5201" w:space="125"/>
            <w:col w:w="6294"/>
          </w:cols>
        </w:sectPr>
      </w:pPr>
    </w:p>
    <w:p>
      <w:pPr>
        <w:pStyle w:val="BodyText"/>
      </w:pPr>
    </w:p>
    <w:p>
      <w:pPr>
        <w:spacing w:after="0"/>
        <w:sectPr>
          <w:pgSz w:w="12240" w:h="15840"/>
          <w:pgMar w:header="567" w:footer="0" w:top="800" w:bottom="280" w:left="620" w:right="0"/>
        </w:sectPr>
      </w:pPr>
    </w:p>
    <w:p>
      <w:pPr>
        <w:pStyle w:val="BodyText"/>
        <w:spacing w:before="4"/>
        <w:rPr>
          <w:sz w:val="8"/>
        </w:rPr>
      </w:pPr>
    </w:p>
    <w:p>
      <w:pPr>
        <w:pStyle w:val="BodyText"/>
        <w:ind w:left="536" w:right="-44"/>
      </w:pPr>
      <w:r>
        <w:rPr/>
        <w:drawing>
          <wp:inline distT="0" distB="0" distL="0" distR="0">
            <wp:extent cx="3185774" cy="2295144"/>
            <wp:effectExtent l="0" t="0" r="0" b="0"/>
            <wp:docPr id="39" name="image166.jpeg"/>
            <wp:cNvGraphicFramePr>
              <a:graphicFrameLocks noChangeAspect="1"/>
            </wp:cNvGraphicFramePr>
            <a:graphic>
              <a:graphicData uri="http://schemas.openxmlformats.org/drawingml/2006/picture">
                <pic:pic>
                  <pic:nvPicPr>
                    <pic:cNvPr id="40" name="image166.jpeg"/>
                    <pic:cNvPicPr/>
                  </pic:nvPicPr>
                  <pic:blipFill>
                    <a:blip r:embed="rId172" cstate="print"/>
                    <a:stretch>
                      <a:fillRect/>
                    </a:stretch>
                  </pic:blipFill>
                  <pic:spPr>
                    <a:xfrm>
                      <a:off x="0" y="0"/>
                      <a:ext cx="3185774" cy="2295144"/>
                    </a:xfrm>
                    <a:prstGeom prst="rect">
                      <a:avLst/>
                    </a:prstGeom>
                  </pic:spPr>
                </pic:pic>
              </a:graphicData>
            </a:graphic>
          </wp:inline>
        </w:drawing>
      </w:r>
      <w:r>
        <w:rPr/>
      </w:r>
    </w:p>
    <w:p>
      <w:pPr>
        <w:spacing w:line="240" w:lineRule="exact" w:before="95"/>
        <w:ind w:left="513" w:right="170" w:firstLine="0"/>
        <w:jc w:val="left"/>
        <w:rPr>
          <w:sz w:val="18"/>
        </w:rPr>
      </w:pPr>
      <w:bookmarkStart w:name="_bookmark18" w:id="50"/>
      <w:bookmarkEnd w:id="50"/>
      <w:r>
        <w:rPr/>
      </w:r>
      <w:r>
        <w:rPr>
          <w:b/>
          <w:sz w:val="18"/>
        </w:rPr>
        <w:t>Figure 3.15 </w:t>
      </w:r>
      <w:r>
        <w:rPr>
          <w:sz w:val="18"/>
        </w:rPr>
        <w:t>North Dakota coal gasification plant with 3.3 MtCO</w:t>
      </w:r>
      <w:r>
        <w:rPr>
          <w:position w:val="-5"/>
          <w:sz w:val="10"/>
        </w:rPr>
        <w:t>2 </w:t>
      </w:r>
      <w:r>
        <w:rPr>
          <w:sz w:val="18"/>
        </w:rPr>
        <w:t>yr</w:t>
      </w:r>
      <w:r>
        <w:rPr>
          <w:position w:val="6"/>
          <w:sz w:val="10"/>
        </w:rPr>
        <w:t>−1 </w:t>
      </w:r>
      <w:r>
        <w:rPr>
          <w:sz w:val="18"/>
        </w:rPr>
        <w:t>capture using a cold methanol, physical solvent process (cluster of 4 tall columns in the middle of the picture represent the H</w:t>
      </w:r>
      <w:r>
        <w:rPr>
          <w:position w:val="-5"/>
          <w:sz w:val="10"/>
        </w:rPr>
        <w:t>2</w:t>
      </w:r>
      <w:r>
        <w:rPr>
          <w:sz w:val="18"/>
        </w:rPr>
        <w:t>S and CO</w:t>
      </w:r>
      <w:r>
        <w:rPr>
          <w:position w:val="-5"/>
          <w:sz w:val="10"/>
        </w:rPr>
        <w:t>2 </w:t>
      </w:r>
      <w:r>
        <w:rPr>
          <w:sz w:val="18"/>
        </w:rPr>
        <w:t>capture processes; part of the captured stream is used for EOR with CO</w:t>
      </w:r>
      <w:r>
        <w:rPr>
          <w:position w:val="-5"/>
          <w:sz w:val="10"/>
        </w:rPr>
        <w:t>2 </w:t>
      </w:r>
      <w:r>
        <w:rPr>
          <w:sz w:val="18"/>
        </w:rPr>
        <w:t>storage in Weyburn, Saskatchewan, Canada).</w:t>
      </w:r>
    </w:p>
    <w:p>
      <w:pPr>
        <w:pStyle w:val="BodyText"/>
        <w:spacing w:before="10"/>
      </w:pPr>
    </w:p>
    <w:p>
      <w:pPr>
        <w:pStyle w:val="BodyText"/>
        <w:spacing w:line="240" w:lineRule="exact"/>
        <w:ind w:left="513"/>
        <w:jc w:val="both"/>
      </w:pPr>
      <w:r>
        <w:rPr/>
        <w:t>entrained-flow gasifiers with water slurry feed and direct</w:t>
      </w:r>
      <w:r>
        <w:rPr>
          <w:spacing w:val="-29"/>
        </w:rPr>
        <w:t> </w:t>
      </w:r>
      <w:r>
        <w:rPr/>
        <w:t>water quench followed by ‘sour’ (sulphur-tolerant) shift reactors </w:t>
      </w:r>
      <w:r>
        <w:rPr>
          <w:spacing w:val="-4"/>
        </w:rPr>
        <w:t>and </w:t>
      </w:r>
      <w:r>
        <w:rPr/>
        <w:t>finally</w:t>
      </w:r>
      <w:r>
        <w:rPr>
          <w:spacing w:val="-13"/>
        </w:rPr>
        <w:t> </w:t>
      </w:r>
      <w:r>
        <w:rPr/>
        <w:t>co-removal</w:t>
      </w:r>
      <w:r>
        <w:rPr>
          <w:spacing w:val="-12"/>
        </w:rPr>
        <w:t> </w:t>
      </w:r>
      <w:r>
        <w:rPr/>
        <w:t>of</w:t>
      </w:r>
      <w:r>
        <w:rPr>
          <w:spacing w:val="-12"/>
        </w:rPr>
        <w:t> </w:t>
      </w:r>
      <w:r>
        <w:rPr/>
        <w:t>CO</w:t>
      </w:r>
      <w:r>
        <w:rPr>
          <w:position w:val="-6"/>
          <w:sz w:val="11"/>
        </w:rPr>
        <w:t>2</w:t>
      </w:r>
      <w:r>
        <w:rPr>
          <w:spacing w:val="11"/>
          <w:position w:val="-6"/>
          <w:sz w:val="11"/>
        </w:rPr>
        <w:t> </w:t>
      </w:r>
      <w:r>
        <w:rPr/>
        <w:t>and</w:t>
      </w:r>
      <w:r>
        <w:rPr>
          <w:spacing w:val="-12"/>
        </w:rPr>
        <w:t> </w:t>
      </w:r>
      <w:r>
        <w:rPr/>
        <w:t>H</w:t>
      </w:r>
      <w:r>
        <w:rPr>
          <w:position w:val="-6"/>
          <w:sz w:val="11"/>
        </w:rPr>
        <w:t>2</w:t>
      </w:r>
      <w:r>
        <w:rPr/>
        <w:t>S</w:t>
      </w:r>
      <w:r>
        <w:rPr>
          <w:spacing w:val="-12"/>
        </w:rPr>
        <w:t> </w:t>
      </w:r>
      <w:r>
        <w:rPr/>
        <w:t>by</w:t>
      </w:r>
      <w:r>
        <w:rPr>
          <w:spacing w:val="-12"/>
        </w:rPr>
        <w:t> </w:t>
      </w:r>
      <w:r>
        <w:rPr/>
        <w:t>physical</w:t>
      </w:r>
      <w:r>
        <w:rPr>
          <w:spacing w:val="-13"/>
        </w:rPr>
        <w:t> </w:t>
      </w:r>
      <w:r>
        <w:rPr/>
        <w:t>absorption.</w:t>
      </w:r>
      <w:r>
        <w:rPr>
          <w:spacing w:val="-15"/>
        </w:rPr>
        <w:t> </w:t>
      </w:r>
      <w:r>
        <w:rPr/>
        <w:t>With sour shifting, hot raw syngas leaving the gasifier requires only one cooling cycle and less processing. Oxygen requirements increase for slurry fed gasifiers and conversion efficiencies decline</w:t>
      </w:r>
      <w:r>
        <w:rPr>
          <w:spacing w:val="-13"/>
        </w:rPr>
        <w:t> </w:t>
      </w:r>
      <w:r>
        <w:rPr/>
        <w:t>with</w:t>
      </w:r>
      <w:r>
        <w:rPr>
          <w:spacing w:val="-11"/>
        </w:rPr>
        <w:t> </w:t>
      </w:r>
      <w:r>
        <w:rPr/>
        <w:t>higher</w:t>
      </w:r>
      <w:r>
        <w:rPr>
          <w:spacing w:val="-11"/>
        </w:rPr>
        <w:t> </w:t>
      </w:r>
      <w:r>
        <w:rPr/>
        <w:t>cycle</w:t>
      </w:r>
      <w:r>
        <w:rPr>
          <w:spacing w:val="-12"/>
        </w:rPr>
        <w:t> </w:t>
      </w:r>
      <w:r>
        <w:rPr/>
        <w:t>efficiency</w:t>
      </w:r>
      <w:r>
        <w:rPr>
          <w:spacing w:val="-12"/>
        </w:rPr>
        <w:t> </w:t>
      </w:r>
      <w:r>
        <w:rPr/>
        <w:t>losses</w:t>
      </w:r>
      <w:r>
        <w:rPr>
          <w:spacing w:val="-12"/>
        </w:rPr>
        <w:t> </w:t>
      </w:r>
      <w:r>
        <w:rPr/>
        <w:t>with</w:t>
      </w:r>
      <w:r>
        <w:rPr>
          <w:spacing w:val="-11"/>
        </w:rPr>
        <w:t> </w:t>
      </w:r>
      <w:r>
        <w:rPr/>
        <w:t>quench</w:t>
      </w:r>
      <w:r>
        <w:rPr>
          <w:spacing w:val="-12"/>
        </w:rPr>
        <w:t> </w:t>
      </w:r>
      <w:r>
        <w:rPr/>
        <w:t>cooling. Similar trends are also noted with a shift from bituminous to lower</w:t>
      </w:r>
      <w:r>
        <w:rPr>
          <w:spacing w:val="-7"/>
        </w:rPr>
        <w:t> </w:t>
      </w:r>
      <w:r>
        <w:rPr/>
        <w:t>rank</w:t>
      </w:r>
      <w:r>
        <w:rPr>
          <w:spacing w:val="-6"/>
        </w:rPr>
        <w:t> </w:t>
      </w:r>
      <w:r>
        <w:rPr/>
        <w:t>sub-bituminous</w:t>
      </w:r>
      <w:r>
        <w:rPr>
          <w:spacing w:val="-6"/>
        </w:rPr>
        <w:t> </w:t>
      </w:r>
      <w:r>
        <w:rPr/>
        <w:t>coal</w:t>
      </w:r>
      <w:r>
        <w:rPr>
          <w:spacing w:val="-7"/>
        </w:rPr>
        <w:t> </w:t>
      </w:r>
      <w:r>
        <w:rPr/>
        <w:t>and</w:t>
      </w:r>
      <w:r>
        <w:rPr>
          <w:spacing w:val="-6"/>
        </w:rPr>
        <w:t> </w:t>
      </w:r>
      <w:r>
        <w:rPr/>
        <w:t>lignite</w:t>
      </w:r>
      <w:r>
        <w:rPr>
          <w:spacing w:val="-6"/>
        </w:rPr>
        <w:t> </w:t>
      </w:r>
      <w:r>
        <w:rPr/>
        <w:t>(Breton</w:t>
      </w:r>
      <w:r>
        <w:rPr>
          <w:spacing w:val="-6"/>
        </w:rPr>
        <w:t> </w:t>
      </w:r>
      <w:r>
        <w:rPr/>
        <w:t>and</w:t>
      </w:r>
      <w:r>
        <w:rPr>
          <w:spacing w:val="-17"/>
        </w:rPr>
        <w:t> </w:t>
      </w:r>
      <w:r>
        <w:rPr/>
        <w:t>Amick, 2002). Some analyses (e.g., Stobbs and Clark, 2005) suggest that the advantages of pre-combustion over </w:t>
      </w:r>
      <w:r>
        <w:rPr>
          <w:spacing w:val="-2"/>
        </w:rPr>
        <w:t>post-combustion </w:t>
      </w:r>
      <w:r>
        <w:rPr/>
        <w:t>de-carbonization may be small or disappear for low-rank  coals converted with entrained-flow gasifiers. High-pressure, fluidized-bed gasifiers may be better suited for use with low- rank</w:t>
      </w:r>
      <w:r>
        <w:rPr>
          <w:spacing w:val="-13"/>
        </w:rPr>
        <w:t> </w:t>
      </w:r>
      <w:r>
        <w:rPr/>
        <w:t>coals,</w:t>
      </w:r>
      <w:r>
        <w:rPr>
          <w:spacing w:val="-13"/>
        </w:rPr>
        <w:t> </w:t>
      </w:r>
      <w:r>
        <w:rPr/>
        <w:t>biomass</w:t>
      </w:r>
      <w:r>
        <w:rPr>
          <w:spacing w:val="-13"/>
        </w:rPr>
        <w:t> </w:t>
      </w:r>
      <w:r>
        <w:rPr/>
        <w:t>and</w:t>
      </w:r>
      <w:r>
        <w:rPr>
          <w:spacing w:val="-13"/>
        </w:rPr>
        <w:t> </w:t>
      </w:r>
      <w:r>
        <w:rPr/>
        <w:t>various</w:t>
      </w:r>
      <w:r>
        <w:rPr>
          <w:spacing w:val="-13"/>
        </w:rPr>
        <w:t> </w:t>
      </w:r>
      <w:r>
        <w:rPr/>
        <w:t>carbonaceous</w:t>
      </w:r>
      <w:r>
        <w:rPr>
          <w:spacing w:val="-13"/>
        </w:rPr>
        <w:t> </w:t>
      </w:r>
      <w:r>
        <w:rPr/>
        <w:t>wastes.</w:t>
      </w:r>
      <w:r>
        <w:rPr>
          <w:spacing w:val="-23"/>
        </w:rPr>
        <w:t> </w:t>
      </w:r>
      <w:r>
        <w:rPr/>
        <w:t>Although there</w:t>
      </w:r>
      <w:r>
        <w:rPr>
          <w:spacing w:val="-15"/>
        </w:rPr>
        <w:t> </w:t>
      </w:r>
      <w:r>
        <w:rPr/>
        <w:t>are</w:t>
      </w:r>
      <w:r>
        <w:rPr>
          <w:spacing w:val="-15"/>
        </w:rPr>
        <w:t> </w:t>
      </w:r>
      <w:r>
        <w:rPr/>
        <w:t>examples</w:t>
      </w:r>
      <w:r>
        <w:rPr>
          <w:spacing w:val="-15"/>
        </w:rPr>
        <w:t> </w:t>
      </w:r>
      <w:r>
        <w:rPr/>
        <w:t>of</w:t>
      </w:r>
      <w:r>
        <w:rPr>
          <w:spacing w:val="-14"/>
        </w:rPr>
        <w:t> </w:t>
      </w:r>
      <w:r>
        <w:rPr/>
        <w:t>successful</w:t>
      </w:r>
      <w:r>
        <w:rPr>
          <w:spacing w:val="-14"/>
        </w:rPr>
        <w:t> </w:t>
      </w:r>
      <w:r>
        <w:rPr/>
        <w:t>demonstration</w:t>
      </w:r>
      <w:r>
        <w:rPr>
          <w:spacing w:val="-15"/>
        </w:rPr>
        <w:t> </w:t>
      </w:r>
      <w:r>
        <w:rPr/>
        <w:t>of</w:t>
      </w:r>
      <w:r>
        <w:rPr>
          <w:spacing w:val="-14"/>
        </w:rPr>
        <w:t> </w:t>
      </w:r>
      <w:r>
        <w:rPr/>
        <w:t>such</w:t>
      </w:r>
      <w:r>
        <w:rPr>
          <w:spacing w:val="-15"/>
        </w:rPr>
        <w:t> </w:t>
      </w:r>
      <w:r>
        <w:rPr/>
        <w:t>gasifiers (e.g., the high temperature Winkler, Renzenbrink </w:t>
      </w:r>
      <w:r>
        <w:rPr>
          <w:i/>
        </w:rPr>
        <w:t>et al</w:t>
      </w:r>
      <w:r>
        <w:rPr/>
        <w:t>., </w:t>
      </w:r>
      <w:r>
        <w:rPr>
          <w:spacing w:val="-3"/>
        </w:rPr>
        <w:t>1998), </w:t>
      </w:r>
      <w:r>
        <w:rPr/>
        <w:t>there has been little commercial-scale operating experience.</w:t>
      </w:r>
    </w:p>
    <w:p>
      <w:pPr>
        <w:pStyle w:val="BodyText"/>
        <w:spacing w:line="240" w:lineRule="exact"/>
        <w:ind w:left="513" w:firstLine="284"/>
        <w:jc w:val="both"/>
      </w:pPr>
      <w:r>
        <w:rPr/>
        <w:t>The H</w:t>
      </w:r>
      <w:r>
        <w:rPr>
          <w:position w:val="-6"/>
          <w:sz w:val="11"/>
        </w:rPr>
        <w:t>2</w:t>
      </w:r>
      <w:r>
        <w:rPr/>
        <w:t>S in syngas must be removed to levels of tens of ppm for IGCC plants for compliance with SO</w:t>
      </w:r>
      <w:r>
        <w:rPr>
          <w:position w:val="-6"/>
          <w:sz w:val="11"/>
        </w:rPr>
        <w:t>2 </w:t>
      </w:r>
      <w:r>
        <w:rPr/>
        <w:t>emissions regulations and to levels much less than 1 ppm for plants </w:t>
      </w:r>
      <w:r>
        <w:rPr>
          <w:spacing w:val="-3"/>
        </w:rPr>
        <w:t>that </w:t>
      </w:r>
      <w:r>
        <w:rPr/>
        <w:t>make chemicals or synthetic fuels, so as to protect synthesis catalysts. If the CO</w:t>
      </w:r>
      <w:r>
        <w:rPr>
          <w:position w:val="-6"/>
          <w:sz w:val="11"/>
        </w:rPr>
        <w:t>2 </w:t>
      </w:r>
      <w:r>
        <w:rPr/>
        <w:t>must be provided for storage in relatively pure form, the common practice would be to recover first H</w:t>
      </w:r>
      <w:r>
        <w:rPr>
          <w:position w:val="-6"/>
          <w:sz w:val="11"/>
        </w:rPr>
        <w:t>2</w:t>
      </w:r>
      <w:r>
        <w:rPr/>
        <w:t>S (which is absorbed more readily than CO</w:t>
      </w:r>
      <w:r>
        <w:rPr>
          <w:position w:val="-6"/>
          <w:sz w:val="11"/>
        </w:rPr>
        <w:t>2</w:t>
      </w:r>
      <w:r>
        <w:rPr/>
        <w:t>) from syngas (along with a small amount of CO</w:t>
      </w:r>
      <w:r>
        <w:rPr>
          <w:position w:val="-6"/>
          <w:sz w:val="11"/>
        </w:rPr>
        <w:t>2</w:t>
      </w:r>
      <w:r>
        <w:rPr/>
        <w:t>) in one recovery unit, followed by reduction of H</w:t>
      </w:r>
      <w:r>
        <w:rPr>
          <w:position w:val="-6"/>
          <w:sz w:val="11"/>
        </w:rPr>
        <w:t>2</w:t>
      </w:r>
      <w:r>
        <w:rPr/>
        <w:t>S to elemental sulphur in a Claus plant and tail gas</w:t>
      </w:r>
      <w:r>
        <w:rPr>
          <w:spacing w:val="-9"/>
        </w:rPr>
        <w:t> </w:t>
      </w:r>
      <w:r>
        <w:rPr/>
        <w:t>clean-up,</w:t>
      </w:r>
      <w:r>
        <w:rPr>
          <w:spacing w:val="-9"/>
        </w:rPr>
        <w:t> </w:t>
      </w:r>
      <w:r>
        <w:rPr/>
        <w:t>and</w:t>
      </w:r>
      <w:r>
        <w:rPr>
          <w:spacing w:val="-9"/>
        </w:rPr>
        <w:t> </w:t>
      </w:r>
      <w:r>
        <w:rPr/>
        <w:t>subsequent</w:t>
      </w:r>
      <w:r>
        <w:rPr>
          <w:spacing w:val="-9"/>
        </w:rPr>
        <w:t> </w:t>
      </w:r>
      <w:r>
        <w:rPr/>
        <w:t>recovery</w:t>
      </w:r>
      <w:r>
        <w:rPr>
          <w:spacing w:val="-9"/>
        </w:rPr>
        <w:t> </w:t>
      </w:r>
      <w:r>
        <w:rPr/>
        <w:t>of</w:t>
      </w:r>
      <w:r>
        <w:rPr>
          <w:spacing w:val="-9"/>
        </w:rPr>
        <w:t> </w:t>
      </w:r>
      <w:r>
        <w:rPr/>
        <w:t>most</w:t>
      </w:r>
      <w:r>
        <w:rPr>
          <w:spacing w:val="-9"/>
        </w:rPr>
        <w:t> </w:t>
      </w:r>
      <w:r>
        <w:rPr/>
        <w:t>of</w:t>
      </w:r>
      <w:r>
        <w:rPr>
          <w:spacing w:val="-9"/>
        </w:rPr>
        <w:t> </w:t>
      </w:r>
      <w:r>
        <w:rPr/>
        <w:t>the</w:t>
      </w:r>
      <w:r>
        <w:rPr>
          <w:spacing w:val="-9"/>
        </w:rPr>
        <w:t> </w:t>
      </w:r>
      <w:r>
        <w:rPr/>
        <w:t>remaining CO</w:t>
      </w:r>
      <w:r>
        <w:rPr>
          <w:position w:val="-6"/>
          <w:sz w:val="11"/>
        </w:rPr>
        <w:t>2 </w:t>
      </w:r>
      <w:r>
        <w:rPr/>
        <w:t>in a separate downstream unit. An alternative option is to recover sulphur in the form of sulphuric acid (McDaniel and Hormick, 2002). If H</w:t>
      </w:r>
      <w:r>
        <w:rPr>
          <w:position w:val="-6"/>
          <w:sz w:val="11"/>
        </w:rPr>
        <w:t>2</w:t>
      </w:r>
      <w:r>
        <w:rPr/>
        <w:t>S/CO</w:t>
      </w:r>
      <w:r>
        <w:rPr>
          <w:position w:val="-6"/>
          <w:sz w:val="11"/>
        </w:rPr>
        <w:t>2 </w:t>
      </w:r>
      <w:r>
        <w:rPr/>
        <w:t>co-storage is allowed, however, it would often be desirable to recover H</w:t>
      </w:r>
      <w:r>
        <w:rPr>
          <w:position w:val="-6"/>
          <w:sz w:val="11"/>
        </w:rPr>
        <w:t>2</w:t>
      </w:r>
      <w:r>
        <w:rPr/>
        <w:t>S and CO</w:t>
      </w:r>
      <w:r>
        <w:rPr>
          <w:position w:val="-6"/>
          <w:sz w:val="11"/>
        </w:rPr>
        <w:t>2 </w:t>
      </w:r>
      <w:r>
        <w:rPr/>
        <w:t>in the same physical absorption unit, which would lead to moderate</w:t>
      </w:r>
      <w:r>
        <w:rPr>
          <w:spacing w:val="-22"/>
        </w:rPr>
        <w:t> </w:t>
      </w:r>
      <w:r>
        <w:rPr/>
        <w:t>system cost savings (IEA GHG, 2003; Larson and Ren, 2003; Kreutz </w:t>
      </w:r>
      <w:r>
        <w:rPr>
          <w:i/>
        </w:rPr>
        <w:t>et</w:t>
      </w:r>
      <w:r>
        <w:rPr>
          <w:i/>
          <w:spacing w:val="10"/>
        </w:rPr>
        <w:t> </w:t>
      </w:r>
      <w:r>
        <w:rPr>
          <w:i/>
        </w:rPr>
        <w:t>al.</w:t>
      </w:r>
      <w:r>
        <w:rPr/>
        <w:t>,</w:t>
      </w:r>
      <w:r>
        <w:rPr>
          <w:spacing w:val="10"/>
        </w:rPr>
        <w:t> </w:t>
      </w:r>
      <w:r>
        <w:rPr/>
        <w:t>2005)</w:t>
      </w:r>
      <w:r>
        <w:rPr>
          <w:spacing w:val="11"/>
        </w:rPr>
        <w:t> </w:t>
      </w:r>
      <w:r>
        <w:rPr/>
        <w:t>especially</w:t>
      </w:r>
      <w:r>
        <w:rPr>
          <w:spacing w:val="10"/>
        </w:rPr>
        <w:t> </w:t>
      </w:r>
      <w:r>
        <w:rPr/>
        <w:t>in</w:t>
      </w:r>
      <w:r>
        <w:rPr>
          <w:spacing w:val="11"/>
        </w:rPr>
        <w:t> </w:t>
      </w:r>
      <w:r>
        <w:rPr/>
        <w:t>light</w:t>
      </w:r>
      <w:r>
        <w:rPr>
          <w:spacing w:val="10"/>
        </w:rPr>
        <w:t> </w:t>
      </w:r>
      <w:r>
        <w:rPr/>
        <w:t>of</w:t>
      </w:r>
      <w:r>
        <w:rPr>
          <w:spacing w:val="11"/>
        </w:rPr>
        <w:t> </w:t>
      </w:r>
      <w:r>
        <w:rPr/>
        <w:t>the</w:t>
      </w:r>
      <w:r>
        <w:rPr>
          <w:spacing w:val="10"/>
        </w:rPr>
        <w:t> </w:t>
      </w:r>
      <w:r>
        <w:rPr/>
        <w:t>typically</w:t>
      </w:r>
      <w:r>
        <w:rPr>
          <w:spacing w:val="11"/>
        </w:rPr>
        <w:t> </w:t>
      </w:r>
      <w:r>
        <w:rPr/>
        <w:t>poor</w:t>
      </w:r>
      <w:r>
        <w:rPr>
          <w:spacing w:val="10"/>
        </w:rPr>
        <w:t> </w:t>
      </w:r>
      <w:r>
        <w:rPr/>
        <w:t>prospects</w:t>
      </w:r>
    </w:p>
    <w:p>
      <w:pPr>
        <w:pStyle w:val="BodyText"/>
        <w:spacing w:before="10"/>
        <w:rPr>
          <w:sz w:val="17"/>
        </w:rPr>
      </w:pPr>
      <w:r>
        <w:rPr/>
        <w:br w:type="column"/>
      </w:r>
      <w:r>
        <w:rPr>
          <w:sz w:val="17"/>
        </w:rPr>
      </w:r>
    </w:p>
    <w:p>
      <w:pPr>
        <w:pStyle w:val="BodyText"/>
        <w:spacing w:line="240" w:lineRule="exact"/>
        <w:ind w:left="241" w:right="734"/>
        <w:jc w:val="both"/>
      </w:pPr>
      <w:r>
        <w:rPr/>
        <w:t>for selling byproduct sulphur or sulphuric acid. Although co- storage of H</w:t>
      </w:r>
      <w:r>
        <w:rPr>
          <w:position w:val="-6"/>
          <w:sz w:val="11"/>
        </w:rPr>
        <w:t>2</w:t>
      </w:r>
      <w:r>
        <w:rPr/>
        <w:t>S and CO</w:t>
      </w:r>
      <w:r>
        <w:rPr>
          <w:position w:val="-6"/>
          <w:sz w:val="11"/>
        </w:rPr>
        <w:t>2 </w:t>
      </w:r>
      <w:r>
        <w:rPr/>
        <w:t>is routinely pursued in </w:t>
      </w:r>
      <w:r>
        <w:rPr>
          <w:spacing w:val="-3"/>
        </w:rPr>
        <w:t>Western </w:t>
      </w:r>
      <w:r>
        <w:rPr/>
        <w:t>Canada as</w:t>
      </w:r>
      <w:r>
        <w:rPr>
          <w:spacing w:val="-11"/>
        </w:rPr>
        <w:t> </w:t>
      </w:r>
      <w:r>
        <w:rPr/>
        <w:t>an</w:t>
      </w:r>
      <w:r>
        <w:rPr>
          <w:spacing w:val="-11"/>
        </w:rPr>
        <w:t> </w:t>
      </w:r>
      <w:r>
        <w:rPr/>
        <w:t>acid</w:t>
      </w:r>
      <w:r>
        <w:rPr>
          <w:spacing w:val="-11"/>
        </w:rPr>
        <w:t> </w:t>
      </w:r>
      <w:r>
        <w:rPr/>
        <w:t>gas</w:t>
      </w:r>
      <w:r>
        <w:rPr>
          <w:spacing w:val="-11"/>
        </w:rPr>
        <w:t> </w:t>
      </w:r>
      <w:r>
        <w:rPr/>
        <w:t>management</w:t>
      </w:r>
      <w:r>
        <w:rPr>
          <w:spacing w:val="-12"/>
        </w:rPr>
        <w:t> </w:t>
      </w:r>
      <w:r>
        <w:rPr/>
        <w:t>strategy</w:t>
      </w:r>
      <w:r>
        <w:rPr>
          <w:spacing w:val="-12"/>
        </w:rPr>
        <w:t> </w:t>
      </w:r>
      <w:r>
        <w:rPr/>
        <w:t>for</w:t>
      </w:r>
      <w:r>
        <w:rPr>
          <w:spacing w:val="-11"/>
        </w:rPr>
        <w:t> </w:t>
      </w:r>
      <w:r>
        <w:rPr/>
        <w:t>sour</w:t>
      </w:r>
      <w:r>
        <w:rPr>
          <w:spacing w:val="-12"/>
        </w:rPr>
        <w:t> </w:t>
      </w:r>
      <w:r>
        <w:rPr/>
        <w:t>natural</w:t>
      </w:r>
      <w:r>
        <w:rPr>
          <w:spacing w:val="-12"/>
        </w:rPr>
        <w:t> </w:t>
      </w:r>
      <w:r>
        <w:rPr/>
        <w:t>gas</w:t>
      </w:r>
      <w:r>
        <w:rPr>
          <w:spacing w:val="-11"/>
        </w:rPr>
        <w:t> </w:t>
      </w:r>
      <w:r>
        <w:rPr/>
        <w:t>projects (Bachu and Gunter, 2005), it is not yet clear that co-storage would</w:t>
      </w:r>
      <w:r>
        <w:rPr>
          <w:spacing w:val="-10"/>
        </w:rPr>
        <w:t> </w:t>
      </w:r>
      <w:r>
        <w:rPr/>
        <w:t>be</w:t>
      </w:r>
      <w:r>
        <w:rPr>
          <w:spacing w:val="-9"/>
        </w:rPr>
        <w:t> </w:t>
      </w:r>
      <w:r>
        <w:rPr/>
        <w:t>routinely</w:t>
      </w:r>
      <w:r>
        <w:rPr>
          <w:spacing w:val="-9"/>
        </w:rPr>
        <w:t> </w:t>
      </w:r>
      <w:r>
        <w:rPr/>
        <w:t>viable</w:t>
      </w:r>
      <w:r>
        <w:rPr>
          <w:spacing w:val="-10"/>
        </w:rPr>
        <w:t> </w:t>
      </w:r>
      <w:r>
        <w:rPr/>
        <w:t>at</w:t>
      </w:r>
      <w:r>
        <w:rPr>
          <w:spacing w:val="-9"/>
        </w:rPr>
        <w:t> </w:t>
      </w:r>
      <w:r>
        <w:rPr/>
        <w:t>large</w:t>
      </w:r>
      <w:r>
        <w:rPr>
          <w:spacing w:val="-9"/>
        </w:rPr>
        <w:t> </w:t>
      </w:r>
      <w:r>
        <w:rPr/>
        <w:t>scales</w:t>
      </w:r>
      <w:r>
        <w:rPr>
          <w:spacing w:val="-10"/>
        </w:rPr>
        <w:t> </w:t>
      </w:r>
      <w:r>
        <w:rPr/>
        <w:t>-</w:t>
      </w:r>
      <w:r>
        <w:rPr>
          <w:spacing w:val="-9"/>
        </w:rPr>
        <w:t> </w:t>
      </w:r>
      <w:r>
        <w:rPr/>
        <w:t>a</w:t>
      </w:r>
      <w:r>
        <w:rPr>
          <w:spacing w:val="-9"/>
        </w:rPr>
        <w:t> </w:t>
      </w:r>
      <w:r>
        <w:rPr/>
        <w:t>typical</w:t>
      </w:r>
      <w:r>
        <w:rPr>
          <w:spacing w:val="-9"/>
        </w:rPr>
        <w:t> </w:t>
      </w:r>
      <w:r>
        <w:rPr/>
        <w:t>gasification- based energy project would involve an annual CO</w:t>
      </w:r>
      <w:r>
        <w:rPr>
          <w:position w:val="-6"/>
          <w:sz w:val="11"/>
        </w:rPr>
        <w:t>2 </w:t>
      </w:r>
      <w:r>
        <w:rPr/>
        <w:t>storage rate of</w:t>
      </w:r>
      <w:r>
        <w:rPr>
          <w:spacing w:val="-11"/>
        </w:rPr>
        <w:t> </w:t>
      </w:r>
      <w:r>
        <w:rPr/>
        <w:t>1-4</w:t>
      </w:r>
      <w:r>
        <w:rPr>
          <w:spacing w:val="-10"/>
        </w:rPr>
        <w:t> </w:t>
      </w:r>
      <w:r>
        <w:rPr/>
        <w:t>Mtonnes</w:t>
      </w:r>
      <w:r>
        <w:rPr>
          <w:spacing w:val="-10"/>
        </w:rPr>
        <w:t> </w:t>
      </w:r>
      <w:r>
        <w:rPr/>
        <w:t>yr</w:t>
      </w:r>
      <w:r>
        <w:rPr>
          <w:position w:val="7"/>
          <w:sz w:val="11"/>
        </w:rPr>
        <w:t>-1</w:t>
      </w:r>
      <w:r>
        <w:rPr/>
        <w:t>,</w:t>
      </w:r>
      <w:r>
        <w:rPr>
          <w:spacing w:val="-10"/>
        </w:rPr>
        <w:t> </w:t>
      </w:r>
      <w:r>
        <w:rPr/>
        <w:t>whereas</w:t>
      </w:r>
      <w:r>
        <w:rPr>
          <w:spacing w:val="-11"/>
        </w:rPr>
        <w:t> </w:t>
      </w:r>
      <w:r>
        <w:rPr/>
        <w:t>the</w:t>
      </w:r>
      <w:r>
        <w:rPr>
          <w:spacing w:val="-10"/>
        </w:rPr>
        <w:t> </w:t>
      </w:r>
      <w:r>
        <w:rPr/>
        <w:t>total</w:t>
      </w:r>
      <w:r>
        <w:rPr>
          <w:spacing w:val="-10"/>
        </w:rPr>
        <w:t> </w:t>
      </w:r>
      <w:r>
        <w:rPr/>
        <w:t>CO</w:t>
      </w:r>
      <w:r>
        <w:rPr>
          <w:spacing w:val="46"/>
        </w:rPr>
        <w:t> </w:t>
      </w:r>
      <w:r>
        <w:rPr/>
        <w:t>storage</w:t>
      </w:r>
      <w:r>
        <w:rPr>
          <w:spacing w:val="-10"/>
        </w:rPr>
        <w:t> </w:t>
      </w:r>
      <w:r>
        <w:rPr/>
        <w:t>rate</w:t>
      </w:r>
      <w:r>
        <w:rPr>
          <w:spacing w:val="-10"/>
        </w:rPr>
        <w:t> </w:t>
      </w:r>
      <w:r>
        <w:rPr/>
        <w:t>for</w:t>
      </w:r>
      <w:r>
        <w:rPr>
          <w:spacing w:val="-10"/>
        </w:rPr>
        <w:t> </w:t>
      </w:r>
      <w:r>
        <w:rPr/>
        <w:t>all</w:t>
      </w:r>
      <w:r>
        <w:rPr>
          <w:spacing w:val="-11"/>
        </w:rPr>
        <w:t> </w:t>
      </w:r>
      <w:r>
        <w:rPr/>
        <w:t>48 Canadian projects is presently only 0.48 Mtonnes yr</w:t>
      </w:r>
      <w:r>
        <w:rPr>
          <w:position w:val="7"/>
          <w:sz w:val="11"/>
        </w:rPr>
        <w:t>-1 </w:t>
      </w:r>
      <w:r>
        <w:rPr/>
        <w:t>(Bachu and Gunter,</w:t>
      </w:r>
      <w:r>
        <w:rPr>
          <w:spacing w:val="-1"/>
        </w:rPr>
        <w:t> </w:t>
      </w:r>
      <w:r>
        <w:rPr/>
        <w:t>2005).</w:t>
      </w:r>
    </w:p>
    <w:p>
      <w:pPr>
        <w:pStyle w:val="BodyText"/>
        <w:spacing w:before="4"/>
        <w:rPr>
          <w:sz w:val="21"/>
        </w:rPr>
      </w:pPr>
    </w:p>
    <w:p>
      <w:pPr>
        <w:pStyle w:val="ListParagraph"/>
        <w:numPr>
          <w:ilvl w:val="3"/>
          <w:numId w:val="21"/>
        </w:numPr>
        <w:tabs>
          <w:tab w:pos="1112" w:val="left" w:leader="none"/>
        </w:tabs>
        <w:spacing w:line="240" w:lineRule="auto" w:before="0" w:after="0"/>
        <w:ind w:left="1111" w:right="0" w:hanging="871"/>
        <w:jc w:val="both"/>
        <w:rPr>
          <w:i/>
          <w:sz w:val="20"/>
        </w:rPr>
      </w:pPr>
      <w:r>
        <w:rPr/>
        <w:pict>
          <v:shape style="position:absolute;margin-left:486.333191pt;margin-top:-39.714062pt;width:2.9pt;height:5.8pt;mso-position-horizontal-relative:page;mso-position-vertical-relative:paragraph;z-index:-272420864"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i/>
          <w:sz w:val="20"/>
        </w:rPr>
        <w:t>Integrated gasification combined cycle (IGCC)</w:t>
      </w:r>
      <w:r>
        <w:rPr>
          <w:i/>
          <w:spacing w:val="-3"/>
          <w:sz w:val="20"/>
        </w:rPr>
        <w:t> </w:t>
      </w:r>
      <w:r>
        <w:rPr>
          <w:i/>
          <w:sz w:val="20"/>
        </w:rPr>
        <w:t>for</w:t>
      </w:r>
    </w:p>
    <w:p>
      <w:pPr>
        <w:spacing w:before="10"/>
        <w:ind w:left="1061" w:right="0" w:firstLine="0"/>
        <w:jc w:val="both"/>
        <w:rPr>
          <w:i/>
          <w:sz w:val="20"/>
        </w:rPr>
      </w:pPr>
      <w:r>
        <w:rPr>
          <w:i/>
          <w:sz w:val="20"/>
        </w:rPr>
        <w:t>power generation</w:t>
      </w:r>
    </w:p>
    <w:p>
      <w:pPr>
        <w:pStyle w:val="BodyText"/>
        <w:spacing w:line="240" w:lineRule="exact" w:before="5"/>
        <w:ind w:left="241" w:right="732"/>
        <w:jc w:val="both"/>
      </w:pPr>
      <w:r>
        <w:rPr/>
        <w:t>In a coal IGCC, syngas exiting the gasifier is cleaned of particles, H</w:t>
      </w:r>
      <w:r>
        <w:rPr>
          <w:position w:val="-6"/>
          <w:sz w:val="11"/>
        </w:rPr>
        <w:t>2</w:t>
      </w:r>
      <w:r>
        <w:rPr/>
        <w:t>S and other contaminants and then burned to make electricity via a gas turbine/steam turbine combined cycle. The syngas is generated and converted to electricity at the same site, both to avoid the high cost of pipeline transport of syngas (with a heating value only about 1/3 of that for natural gas) and to cost-effectively exploit opportunities for making extra power in the combined cycle’s steam turbine using steam from syngas cooling. The main drivers for IGCC development were originally the prospects of  exploiting  continuing  advances  in gas turbine technology, the ease of realizing low levels </w:t>
      </w:r>
      <w:r>
        <w:rPr>
          <w:spacing w:val="-6"/>
        </w:rPr>
        <w:t>of </w:t>
      </w:r>
      <w:r>
        <w:rPr/>
        <w:t>air-pollutant emissions when contaminants are removed from syngas, and greatly reduced process stream volumes compared to flue gas streams from combustion which are at low pressure and diluted with nitrogen from</w:t>
      </w:r>
      <w:r>
        <w:rPr>
          <w:spacing w:val="-2"/>
        </w:rPr>
        <w:t> </w:t>
      </w:r>
      <w:r>
        <w:rPr>
          <w:spacing w:val="-3"/>
        </w:rPr>
        <w:t>air.</w:t>
      </w:r>
    </w:p>
    <w:p>
      <w:pPr>
        <w:pStyle w:val="BodyText"/>
        <w:spacing w:line="240" w:lineRule="exact"/>
        <w:ind w:left="241" w:right="733" w:firstLine="284"/>
        <w:jc w:val="both"/>
      </w:pPr>
      <w:r>
        <w:rPr/>
        <w:t>Since the technology was initially demonstrated in the 1980s, about 4 </w:t>
      </w:r>
      <w:r>
        <w:rPr>
          <w:spacing w:val="-6"/>
        </w:rPr>
        <w:t>GW</w:t>
      </w:r>
      <w:r>
        <w:rPr>
          <w:spacing w:val="-6"/>
          <w:position w:val="-6"/>
          <w:sz w:val="11"/>
        </w:rPr>
        <w:t>e </w:t>
      </w:r>
      <w:r>
        <w:rPr/>
        <w:t>of IGCC power plants have been built. Most of this capacity is fuelled with oil or petcoke; less than   1 </w:t>
      </w:r>
      <w:r>
        <w:rPr>
          <w:spacing w:val="-6"/>
        </w:rPr>
        <w:t>GW</w:t>
      </w:r>
      <w:r>
        <w:rPr>
          <w:spacing w:val="-6"/>
          <w:position w:val="-6"/>
          <w:sz w:val="11"/>
        </w:rPr>
        <w:t>e </w:t>
      </w:r>
      <w:r>
        <w:rPr/>
        <w:t>of the total is designed for coal (IEA CCC, 2005) and </w:t>
      </w:r>
      <w:r>
        <w:rPr>
          <w:spacing w:val="-14"/>
        </w:rPr>
        <w:t>3 </w:t>
      </w:r>
      <w:r>
        <w:rPr/>
        <w:t>out of 4 plants currently operating on coal and/or petcoke.</w:t>
      </w:r>
      <w:r>
        <w:rPr>
          <w:spacing w:val="-14"/>
        </w:rPr>
        <w:t> </w:t>
      </w:r>
      <w:r>
        <w:rPr/>
        <w:t>This experience has demonstrated IGCC load-following </w:t>
      </w:r>
      <w:r>
        <w:rPr>
          <w:spacing w:val="-4"/>
        </w:rPr>
        <w:t>capability, </w:t>
      </w:r>
      <w:r>
        <w:rPr/>
        <w:t>although the technology will probably be used mainly in base load applications. All coal-based IGCC projects have </w:t>
      </w:r>
      <w:r>
        <w:rPr>
          <w:spacing w:val="-3"/>
        </w:rPr>
        <w:t>been </w:t>
      </w:r>
      <w:r>
        <w:rPr/>
        <w:t>subsidized, whereas only the Italian oil-based IGCC projects have</w:t>
      </w:r>
      <w:r>
        <w:rPr>
          <w:spacing w:val="-10"/>
        </w:rPr>
        <w:t> </w:t>
      </w:r>
      <w:r>
        <w:rPr/>
        <w:t>been</w:t>
      </w:r>
      <w:r>
        <w:rPr>
          <w:spacing w:val="-10"/>
        </w:rPr>
        <w:t> </w:t>
      </w:r>
      <w:r>
        <w:rPr/>
        <w:t>subsidized.</w:t>
      </w:r>
      <w:r>
        <w:rPr>
          <w:spacing w:val="-10"/>
        </w:rPr>
        <w:t> </w:t>
      </w:r>
      <w:r>
        <w:rPr/>
        <w:t>Other</w:t>
      </w:r>
      <w:r>
        <w:rPr>
          <w:spacing w:val="-10"/>
        </w:rPr>
        <w:t> </w:t>
      </w:r>
      <w:r>
        <w:rPr/>
        <w:t>polygeneration</w:t>
      </w:r>
      <w:r>
        <w:rPr>
          <w:spacing w:val="-10"/>
        </w:rPr>
        <w:t> </w:t>
      </w:r>
      <w:r>
        <w:rPr/>
        <w:t>projects</w:t>
      </w:r>
      <w:r>
        <w:rPr>
          <w:spacing w:val="-10"/>
        </w:rPr>
        <w:t> </w:t>
      </w:r>
      <w:r>
        <w:rPr/>
        <w:t>in</w:t>
      </w:r>
      <w:r>
        <w:rPr>
          <w:spacing w:val="-9"/>
        </w:rPr>
        <w:t> </w:t>
      </w:r>
      <w:r>
        <w:rPr/>
        <w:t>Canada, the Netherlands and the United States, as well as an oil-based IGCC in Japan, have not been subsidized (Simbeck,</w:t>
      </w:r>
      <w:r>
        <w:rPr>
          <w:spacing w:val="-11"/>
        </w:rPr>
        <w:t> </w:t>
      </w:r>
      <w:r>
        <w:rPr/>
        <w:t>2001a).</w:t>
      </w:r>
    </w:p>
    <w:p>
      <w:pPr>
        <w:pStyle w:val="BodyText"/>
        <w:spacing w:line="249" w:lineRule="auto" w:before="5"/>
        <w:ind w:left="241" w:right="733" w:firstLine="284"/>
        <w:jc w:val="both"/>
      </w:pPr>
      <w:r>
        <w:rPr/>
        <w:t>IGCC has not yet been deployed more widely because of strong</w:t>
      </w:r>
      <w:r>
        <w:rPr>
          <w:spacing w:val="-22"/>
        </w:rPr>
        <w:t> </w:t>
      </w:r>
      <w:r>
        <w:rPr/>
        <w:t>competition</w:t>
      </w:r>
      <w:r>
        <w:rPr>
          <w:spacing w:val="-23"/>
        </w:rPr>
        <w:t> </w:t>
      </w:r>
      <w:r>
        <w:rPr/>
        <w:t>from</w:t>
      </w:r>
      <w:r>
        <w:rPr>
          <w:spacing w:val="-21"/>
        </w:rPr>
        <w:t> </w:t>
      </w:r>
      <w:r>
        <w:rPr/>
        <w:t>the</w:t>
      </w:r>
      <w:r>
        <w:rPr>
          <w:spacing w:val="-22"/>
        </w:rPr>
        <w:t> </w:t>
      </w:r>
      <w:r>
        <w:rPr/>
        <w:t>natural</w:t>
      </w:r>
      <w:r>
        <w:rPr>
          <w:spacing w:val="-21"/>
        </w:rPr>
        <w:t> </w:t>
      </w:r>
      <w:r>
        <w:rPr/>
        <w:t>gas</w:t>
      </w:r>
      <w:r>
        <w:rPr>
          <w:spacing w:val="-22"/>
        </w:rPr>
        <w:t> </w:t>
      </w:r>
      <w:r>
        <w:rPr/>
        <w:t>combined</w:t>
      </w:r>
      <w:r>
        <w:rPr>
          <w:spacing w:val="-22"/>
        </w:rPr>
        <w:t> </w:t>
      </w:r>
      <w:r>
        <w:rPr/>
        <w:t>cycle</w:t>
      </w:r>
      <w:r>
        <w:rPr>
          <w:spacing w:val="-21"/>
        </w:rPr>
        <w:t> </w:t>
      </w:r>
      <w:r>
        <w:rPr/>
        <w:t>(NGCC) wherever natural gas is readily available at low prices, because coal-based IGCC plants are not less costly than pulverized coal fired steam-electric plants and because of availability (reliability) concerns. IGCC availability has improved in</w:t>
      </w:r>
      <w:r>
        <w:rPr>
          <w:spacing w:val="-31"/>
        </w:rPr>
        <w:t> </w:t>
      </w:r>
      <w:r>
        <w:rPr>
          <w:spacing w:val="-3"/>
        </w:rPr>
        <w:t>recent </w:t>
      </w:r>
      <w:r>
        <w:rPr/>
        <w:t>years in commercial-scale demonstration units </w:t>
      </w:r>
      <w:r>
        <w:rPr>
          <w:spacing w:val="-3"/>
        </w:rPr>
        <w:t>(Wabash River Energy, </w:t>
      </w:r>
      <w:r>
        <w:rPr/>
        <w:t>2000; McDaniel and Hornick, 2002). Also,</w:t>
      </w:r>
      <w:r>
        <w:rPr>
          <w:spacing w:val="-27"/>
        </w:rPr>
        <w:t> </w:t>
      </w:r>
      <w:r>
        <w:rPr/>
        <w:t>availability has</w:t>
      </w:r>
      <w:r>
        <w:rPr>
          <w:spacing w:val="-8"/>
        </w:rPr>
        <w:t> </w:t>
      </w:r>
      <w:r>
        <w:rPr/>
        <w:t>been</w:t>
      </w:r>
      <w:r>
        <w:rPr>
          <w:spacing w:val="-7"/>
        </w:rPr>
        <w:t> </w:t>
      </w:r>
      <w:r>
        <w:rPr/>
        <w:t>better</w:t>
      </w:r>
      <w:r>
        <w:rPr>
          <w:spacing w:val="-8"/>
        </w:rPr>
        <w:t> </w:t>
      </w:r>
      <w:r>
        <w:rPr/>
        <w:t>for</w:t>
      </w:r>
      <w:r>
        <w:rPr>
          <w:spacing w:val="-7"/>
        </w:rPr>
        <w:t> </w:t>
      </w:r>
      <w:r>
        <w:rPr/>
        <w:t>industrial</w:t>
      </w:r>
      <w:r>
        <w:rPr>
          <w:spacing w:val="-7"/>
        </w:rPr>
        <w:t> </w:t>
      </w:r>
      <w:r>
        <w:rPr/>
        <w:t>polygeneration</w:t>
      </w:r>
      <w:r>
        <w:rPr>
          <w:spacing w:val="-8"/>
        </w:rPr>
        <w:t> </w:t>
      </w:r>
      <w:r>
        <w:rPr/>
        <w:t>and</w:t>
      </w:r>
      <w:r>
        <w:rPr>
          <w:spacing w:val="-7"/>
        </w:rPr>
        <w:t> </w:t>
      </w:r>
      <w:r>
        <w:rPr/>
        <w:t>IGCC</w:t>
      </w:r>
      <w:r>
        <w:rPr>
          <w:spacing w:val="-8"/>
        </w:rPr>
        <w:t> </w:t>
      </w:r>
      <w:r>
        <w:rPr/>
        <w:t>projects at oil refineries and chemical plants where personnel are experienced with the chemical processes involved. The recent rise in natural gas prices in the USA has also increased interest in IGCC.</w:t>
      </w:r>
    </w:p>
    <w:p>
      <w:pPr>
        <w:pStyle w:val="BodyText"/>
        <w:spacing w:line="240" w:lineRule="exact" w:before="6"/>
        <w:ind w:left="241" w:right="734" w:firstLine="284"/>
        <w:jc w:val="both"/>
      </w:pPr>
      <w:r>
        <w:rPr/>
        <w:t>Because</w:t>
      </w:r>
      <w:r>
        <w:rPr>
          <w:spacing w:val="-7"/>
        </w:rPr>
        <w:t> </w:t>
      </w:r>
      <w:r>
        <w:rPr/>
        <w:t>of</w:t>
      </w:r>
      <w:r>
        <w:rPr>
          <w:spacing w:val="-7"/>
        </w:rPr>
        <w:t> </w:t>
      </w:r>
      <w:r>
        <w:rPr/>
        <w:t>the</w:t>
      </w:r>
      <w:r>
        <w:rPr>
          <w:spacing w:val="-7"/>
        </w:rPr>
        <w:t> </w:t>
      </w:r>
      <w:r>
        <w:rPr/>
        <w:t>advantages</w:t>
      </w:r>
      <w:r>
        <w:rPr>
          <w:spacing w:val="-7"/>
        </w:rPr>
        <w:t> </w:t>
      </w:r>
      <w:r>
        <w:rPr/>
        <w:t>for</w:t>
      </w:r>
      <w:r>
        <w:rPr>
          <w:spacing w:val="-7"/>
        </w:rPr>
        <w:t> </w:t>
      </w:r>
      <w:r>
        <w:rPr/>
        <w:t>gasification</w:t>
      </w:r>
      <w:r>
        <w:rPr>
          <w:spacing w:val="-7"/>
        </w:rPr>
        <w:t> </w:t>
      </w:r>
      <w:r>
        <w:rPr/>
        <w:t>of</w:t>
      </w:r>
      <w:r>
        <w:rPr>
          <w:spacing w:val="-7"/>
        </w:rPr>
        <w:t> </w:t>
      </w:r>
      <w:r>
        <w:rPr/>
        <w:t>CO</w:t>
      </w:r>
      <w:r>
        <w:rPr>
          <w:position w:val="-6"/>
          <w:sz w:val="11"/>
        </w:rPr>
        <w:t>2</w:t>
      </w:r>
      <w:r>
        <w:rPr>
          <w:spacing w:val="15"/>
          <w:position w:val="-6"/>
          <w:sz w:val="11"/>
        </w:rPr>
        <w:t> </w:t>
      </w:r>
      <w:r>
        <w:rPr/>
        <w:t>capture</w:t>
      </w:r>
      <w:r>
        <w:rPr>
          <w:spacing w:val="-7"/>
        </w:rPr>
        <w:t> </w:t>
      </w:r>
      <w:r>
        <w:rPr/>
        <w:t>at high partial pressures discussed above, IGCC may be</w:t>
      </w:r>
      <w:r>
        <w:rPr>
          <w:spacing w:val="-33"/>
        </w:rPr>
        <w:t> </w:t>
      </w:r>
      <w:r>
        <w:rPr/>
        <w:t>attractive for coal power plants in a carbon-constrained world (Karg and Hannemann,</w:t>
      </w:r>
      <w:r>
        <w:rPr>
          <w:spacing w:val="29"/>
        </w:rPr>
        <w:t> </w:t>
      </w:r>
      <w:r>
        <w:rPr/>
        <w:t>2004).</w:t>
      </w:r>
      <w:r>
        <w:rPr>
          <w:spacing w:val="31"/>
        </w:rPr>
        <w:t> </w:t>
      </w:r>
      <w:r>
        <w:rPr/>
        <w:t>CO</w:t>
      </w:r>
      <w:r>
        <w:rPr>
          <w:position w:val="-6"/>
          <w:sz w:val="11"/>
        </w:rPr>
        <w:t>2</w:t>
      </w:r>
      <w:r>
        <w:rPr>
          <w:spacing w:val="19"/>
          <w:position w:val="-6"/>
          <w:sz w:val="11"/>
        </w:rPr>
        <w:t> </w:t>
      </w:r>
      <w:r>
        <w:rPr/>
        <w:t>capture</w:t>
      </w:r>
      <w:r>
        <w:rPr>
          <w:spacing w:val="31"/>
        </w:rPr>
        <w:t> </w:t>
      </w:r>
      <w:r>
        <w:rPr/>
        <w:t>for</w:t>
      </w:r>
      <w:r>
        <w:rPr>
          <w:spacing w:val="31"/>
        </w:rPr>
        <w:t> </w:t>
      </w:r>
      <w:r>
        <w:rPr/>
        <w:t>pre-combustion</w:t>
      </w:r>
      <w:r>
        <w:rPr>
          <w:spacing w:val="31"/>
        </w:rPr>
        <w:t> </w:t>
      </w:r>
      <w:r>
        <w:rPr/>
        <w:t>systems</w:t>
      </w:r>
    </w:p>
    <w:p>
      <w:pPr>
        <w:spacing w:after="0" w:line="240" w:lineRule="exact"/>
        <w:jc w:val="both"/>
        <w:sectPr>
          <w:type w:val="continuous"/>
          <w:pgSz w:w="12240" w:h="15840"/>
          <w:pgMar w:top="480" w:bottom="280" w:left="620" w:right="0"/>
          <w:cols w:num="2" w:equalWidth="0">
            <w:col w:w="5559" w:space="40"/>
            <w:col w:w="6021"/>
          </w:cols>
        </w:sectPr>
      </w:pPr>
    </w:p>
    <w:p>
      <w:pPr>
        <w:pStyle w:val="BodyText"/>
      </w:pPr>
    </w:p>
    <w:p>
      <w:pPr>
        <w:pStyle w:val="BodyText"/>
        <w:spacing w:before="9"/>
        <w:rPr>
          <w:sz w:val="16"/>
        </w:rPr>
      </w:pPr>
    </w:p>
    <w:p>
      <w:pPr>
        <w:spacing w:after="0"/>
        <w:rPr>
          <w:sz w:val="16"/>
        </w:rPr>
        <w:sectPr>
          <w:pgSz w:w="12240" w:h="15840"/>
          <w:pgMar w:header="567" w:footer="0" w:top="760" w:bottom="280" w:left="620" w:right="0"/>
        </w:sectPr>
      </w:pPr>
    </w:p>
    <w:p>
      <w:pPr>
        <w:pStyle w:val="BodyText"/>
        <w:spacing w:line="240" w:lineRule="exact" w:before="58"/>
        <w:ind w:left="117" w:right="38"/>
        <w:jc w:val="both"/>
      </w:pPr>
      <w:r>
        <w:rPr/>
        <w:t>is commercially </w:t>
      </w:r>
      <w:r>
        <w:rPr>
          <w:spacing w:val="-3"/>
        </w:rPr>
        <w:t>ready, </w:t>
      </w:r>
      <w:r>
        <w:rPr/>
        <w:t>however, no IGCC plant </w:t>
      </w:r>
      <w:r>
        <w:rPr>
          <w:spacing w:val="-2"/>
        </w:rPr>
        <w:t>incorporating </w:t>
      </w:r>
      <w:r>
        <w:rPr/>
        <w:t>CO</w:t>
      </w:r>
      <w:r>
        <w:rPr>
          <w:position w:val="-6"/>
          <w:sz w:val="11"/>
        </w:rPr>
        <w:t>2</w:t>
      </w:r>
      <w:r>
        <w:rPr>
          <w:spacing w:val="3"/>
          <w:position w:val="-6"/>
          <w:sz w:val="11"/>
        </w:rPr>
        <w:t> </w:t>
      </w:r>
      <w:r>
        <w:rPr/>
        <w:t>capture</w:t>
      </w:r>
      <w:r>
        <w:rPr>
          <w:spacing w:val="-19"/>
        </w:rPr>
        <w:t> </w:t>
      </w:r>
      <w:r>
        <w:rPr/>
        <w:t>has</w:t>
      </w:r>
      <w:r>
        <w:rPr>
          <w:spacing w:val="-19"/>
        </w:rPr>
        <w:t> </w:t>
      </w:r>
      <w:r>
        <w:rPr/>
        <w:t>yet</w:t>
      </w:r>
      <w:r>
        <w:rPr>
          <w:spacing w:val="-19"/>
        </w:rPr>
        <w:t> </w:t>
      </w:r>
      <w:r>
        <w:rPr/>
        <w:t>been</w:t>
      </w:r>
      <w:r>
        <w:rPr>
          <w:spacing w:val="-20"/>
        </w:rPr>
        <w:t> </w:t>
      </w:r>
      <w:r>
        <w:rPr/>
        <w:t>built.</w:t>
      </w:r>
      <w:r>
        <w:rPr>
          <w:spacing w:val="-21"/>
        </w:rPr>
        <w:t> </w:t>
      </w:r>
      <w:r>
        <w:rPr/>
        <w:t>With</w:t>
      </w:r>
      <w:r>
        <w:rPr>
          <w:spacing w:val="-20"/>
        </w:rPr>
        <w:t> </w:t>
      </w:r>
      <w:r>
        <w:rPr/>
        <w:t>current</w:t>
      </w:r>
      <w:r>
        <w:rPr>
          <w:spacing w:val="-19"/>
        </w:rPr>
        <w:t> </w:t>
      </w:r>
      <w:r>
        <w:rPr/>
        <w:t>technology,</w:t>
      </w:r>
      <w:r>
        <w:rPr>
          <w:spacing w:val="-19"/>
        </w:rPr>
        <w:t> </w:t>
      </w:r>
      <w:r>
        <w:rPr/>
        <w:t>average estimates</w:t>
      </w:r>
      <w:r>
        <w:rPr>
          <w:spacing w:val="-19"/>
        </w:rPr>
        <w:t> </w:t>
      </w:r>
      <w:r>
        <w:rPr/>
        <w:t>of</w:t>
      </w:r>
      <w:r>
        <w:rPr>
          <w:spacing w:val="-18"/>
        </w:rPr>
        <w:t> </w:t>
      </w:r>
      <w:r>
        <w:rPr/>
        <w:t>the</w:t>
      </w:r>
      <w:r>
        <w:rPr>
          <w:spacing w:val="-18"/>
        </w:rPr>
        <w:t> </w:t>
      </w:r>
      <w:r>
        <w:rPr/>
        <w:t>energy</w:t>
      </w:r>
      <w:r>
        <w:rPr>
          <w:spacing w:val="-18"/>
        </w:rPr>
        <w:t> </w:t>
      </w:r>
      <w:r>
        <w:rPr/>
        <w:t>penalties</w:t>
      </w:r>
      <w:r>
        <w:rPr>
          <w:spacing w:val="-18"/>
        </w:rPr>
        <w:t> </w:t>
      </w:r>
      <w:r>
        <w:rPr/>
        <w:t>and</w:t>
      </w:r>
      <w:r>
        <w:rPr>
          <w:spacing w:val="-19"/>
        </w:rPr>
        <w:t> </w:t>
      </w:r>
      <w:r>
        <w:rPr/>
        <w:t>the</w:t>
      </w:r>
      <w:r>
        <w:rPr>
          <w:spacing w:val="-18"/>
        </w:rPr>
        <w:t> </w:t>
      </w:r>
      <w:r>
        <w:rPr/>
        <w:t>impact</w:t>
      </w:r>
      <w:r>
        <w:rPr>
          <w:spacing w:val="-18"/>
        </w:rPr>
        <w:t> </w:t>
      </w:r>
      <w:r>
        <w:rPr/>
        <w:t>of</w:t>
      </w:r>
      <w:r>
        <w:rPr>
          <w:spacing w:val="-18"/>
        </w:rPr>
        <w:t> </w:t>
      </w:r>
      <w:r>
        <w:rPr/>
        <w:t>increased</w:t>
      </w:r>
      <w:r>
        <w:rPr>
          <w:spacing w:val="-18"/>
        </w:rPr>
        <w:t> </w:t>
      </w:r>
      <w:r>
        <w:rPr>
          <w:spacing w:val="-3"/>
        </w:rPr>
        <w:t>fuel </w:t>
      </w:r>
      <w:r>
        <w:rPr/>
        <w:t>use for CO</w:t>
      </w:r>
      <w:hyperlink w:history="true" w:anchor="_bookmark10">
        <w:r>
          <w:rPr>
            <w:position w:val="-6"/>
            <w:sz w:val="11"/>
          </w:rPr>
          <w:t>2</w:t>
        </w:r>
      </w:hyperlink>
      <w:r>
        <w:rPr>
          <w:position w:val="-6"/>
          <w:sz w:val="11"/>
        </w:rPr>
        <w:t> </w:t>
      </w:r>
      <w:r>
        <w:rPr/>
        <w:t>removal are compared with other capture systems in </w:t>
      </w:r>
      <w:hyperlink w:history="true" w:anchor="_bookmark10">
        <w:r>
          <w:rPr/>
          <w:t>Figures 3.6</w:t>
        </w:r>
      </w:hyperlink>
      <w:r>
        <w:rPr/>
        <w:t> and </w:t>
      </w:r>
      <w:hyperlink w:history="true" w:anchor="_bookmark12">
        <w:r>
          <w:rPr/>
          <w:t>3.7</w:t>
        </w:r>
      </w:hyperlink>
      <w:r>
        <w:rPr/>
        <w:t> and show the prospective potential of IGCC options. The data in </w:t>
      </w:r>
      <w:hyperlink w:history="true" w:anchor="_bookmark10">
        <w:r>
          <w:rPr/>
          <w:t>Figures 3.6 </w:t>
        </w:r>
      </w:hyperlink>
      <w:r>
        <w:rPr/>
        <w:t>and </w:t>
      </w:r>
      <w:hyperlink w:history="true" w:anchor="_bookmark12">
        <w:r>
          <w:rPr/>
          <w:t>3.7 </w:t>
        </w:r>
      </w:hyperlink>
      <w:r>
        <w:rPr/>
        <w:t>also show that some IGCC options may be different from others (i.e., slurry fed and quench cooled versus dry feed and syngas cooling)</w:t>
      </w:r>
      <w:r>
        <w:rPr>
          <w:spacing w:val="-35"/>
        </w:rPr>
        <w:t> </w:t>
      </w:r>
      <w:r>
        <w:rPr/>
        <w:t>and their relative merits in terms of the capital cost of plant and the delivered cost of power are discussed in Section</w:t>
      </w:r>
      <w:r>
        <w:rPr>
          <w:spacing w:val="-3"/>
        </w:rPr>
        <w:t> </w:t>
      </w:r>
      <w:r>
        <w:rPr/>
        <w:t>3.7.</w:t>
      </w:r>
    </w:p>
    <w:p>
      <w:pPr>
        <w:pStyle w:val="BodyText"/>
        <w:spacing w:line="240" w:lineRule="exact" w:before="58"/>
        <w:ind w:left="117" w:right="1131" w:hanging="1"/>
        <w:jc w:val="both"/>
      </w:pPr>
      <w:r>
        <w:rPr/>
        <w:br w:type="column"/>
      </w:r>
      <w:r>
        <w:rPr/>
        <w:t>can</w:t>
      </w:r>
      <w:r>
        <w:rPr>
          <w:spacing w:val="-14"/>
        </w:rPr>
        <w:t> </w:t>
      </w:r>
      <w:r>
        <w:rPr/>
        <w:t>be</w:t>
      </w:r>
      <w:r>
        <w:rPr>
          <w:spacing w:val="-13"/>
        </w:rPr>
        <w:t> </w:t>
      </w:r>
      <w:r>
        <w:rPr/>
        <w:t>made</w:t>
      </w:r>
      <w:r>
        <w:rPr>
          <w:spacing w:val="-14"/>
        </w:rPr>
        <w:t> </w:t>
      </w:r>
      <w:r>
        <w:rPr/>
        <w:t>from</w:t>
      </w:r>
      <w:r>
        <w:rPr>
          <w:spacing w:val="-13"/>
        </w:rPr>
        <w:t> </w:t>
      </w:r>
      <w:r>
        <w:rPr/>
        <w:t>syngas</w:t>
      </w:r>
      <w:r>
        <w:rPr>
          <w:spacing w:val="-13"/>
        </w:rPr>
        <w:t> </w:t>
      </w:r>
      <w:r>
        <w:rPr/>
        <w:t>via</w:t>
      </w:r>
      <w:r>
        <w:rPr>
          <w:spacing w:val="-13"/>
        </w:rPr>
        <w:t> </w:t>
      </w:r>
      <w:r>
        <w:rPr/>
        <w:t>gasification</w:t>
      </w:r>
      <w:r>
        <w:rPr>
          <w:spacing w:val="-14"/>
        </w:rPr>
        <w:t> </w:t>
      </w:r>
      <w:r>
        <w:rPr/>
        <w:t>of</w:t>
      </w:r>
      <w:r>
        <w:rPr>
          <w:spacing w:val="-13"/>
        </w:rPr>
        <w:t> </w:t>
      </w:r>
      <w:r>
        <w:rPr/>
        <w:t>coal</w:t>
      </w:r>
      <w:r>
        <w:rPr>
          <w:spacing w:val="-13"/>
        </w:rPr>
        <w:t> </w:t>
      </w:r>
      <w:r>
        <w:rPr/>
        <w:t>or</w:t>
      </w:r>
      <w:r>
        <w:rPr>
          <w:spacing w:val="-14"/>
        </w:rPr>
        <w:t> </w:t>
      </w:r>
      <w:r>
        <w:rPr/>
        <w:t>other</w:t>
      </w:r>
      <w:r>
        <w:rPr>
          <w:spacing w:val="-13"/>
        </w:rPr>
        <w:t> </w:t>
      </w:r>
      <w:r>
        <w:rPr/>
        <w:t>low</w:t>
      </w:r>
      <w:r>
        <w:rPr>
          <w:spacing w:val="-14"/>
        </w:rPr>
        <w:t> </w:t>
      </w:r>
      <w:r>
        <w:rPr/>
        <w:t>H/ C ratio feedstocks. Potential products include synthetic natural gas, Fischer-Tropsch diesel/gasoline, dimethyl ether, methanol and</w:t>
      </w:r>
      <w:r>
        <w:rPr>
          <w:spacing w:val="-8"/>
        </w:rPr>
        <w:t> </w:t>
      </w:r>
      <w:r>
        <w:rPr/>
        <w:t>gasoline</w:t>
      </w:r>
      <w:r>
        <w:rPr>
          <w:spacing w:val="-7"/>
        </w:rPr>
        <w:t> </w:t>
      </w:r>
      <w:r>
        <w:rPr/>
        <w:t>from</w:t>
      </w:r>
      <w:r>
        <w:rPr>
          <w:spacing w:val="-8"/>
        </w:rPr>
        <w:t> </w:t>
      </w:r>
      <w:r>
        <w:rPr/>
        <w:t>methanol</w:t>
      </w:r>
      <w:r>
        <w:rPr>
          <w:spacing w:val="-7"/>
        </w:rPr>
        <w:t> </w:t>
      </w:r>
      <w:r>
        <w:rPr/>
        <w:t>via</w:t>
      </w:r>
      <w:r>
        <w:rPr>
          <w:spacing w:val="-8"/>
        </w:rPr>
        <w:t> </w:t>
      </w:r>
      <w:r>
        <w:rPr/>
        <w:t>the</w:t>
      </w:r>
      <w:r>
        <w:rPr>
          <w:spacing w:val="-7"/>
        </w:rPr>
        <w:t> </w:t>
      </w:r>
      <w:r>
        <w:rPr/>
        <w:t>Mobil</w:t>
      </w:r>
      <w:r>
        <w:rPr>
          <w:spacing w:val="-8"/>
        </w:rPr>
        <w:t> </w:t>
      </w:r>
      <w:r>
        <w:rPr/>
        <w:t>process.</w:t>
      </w:r>
      <w:r>
        <w:rPr>
          <w:spacing w:val="-18"/>
        </w:rPr>
        <w:t> </w:t>
      </w:r>
      <w:r>
        <w:rPr/>
        <w:t>A</w:t>
      </w:r>
      <w:r>
        <w:rPr>
          <w:spacing w:val="-18"/>
        </w:rPr>
        <w:t> </w:t>
      </w:r>
      <w:r>
        <w:rPr/>
        <w:t>byproduct is typically a stream of relatively pure CO</w:t>
      </w:r>
      <w:r>
        <w:rPr>
          <w:position w:val="-6"/>
          <w:sz w:val="11"/>
        </w:rPr>
        <w:t>2 </w:t>
      </w:r>
      <w:r>
        <w:rPr/>
        <w:t>that can be</w:t>
      </w:r>
      <w:r>
        <w:rPr>
          <w:spacing w:val="-13"/>
        </w:rPr>
        <w:t> </w:t>
      </w:r>
      <w:r>
        <w:rPr/>
        <w:t>captured and</w:t>
      </w:r>
      <w:r>
        <w:rPr>
          <w:spacing w:val="-1"/>
        </w:rPr>
        <w:t> </w:t>
      </w:r>
      <w:r>
        <w:rPr/>
        <w:t>stored.</w:t>
      </w:r>
    </w:p>
    <w:p>
      <w:pPr>
        <w:pStyle w:val="BodyText"/>
        <w:spacing w:line="249" w:lineRule="auto" w:before="5"/>
        <w:ind w:left="117" w:right="1131" w:firstLine="283"/>
        <w:jc w:val="both"/>
      </w:pPr>
      <w:r>
        <w:rPr/>
        <w:t>Coal derived Fischer-Tropsch synfuels and chemicals have been produced on a commercial scale in South Africa; coal methanol</w:t>
      </w:r>
      <w:r>
        <w:rPr>
          <w:spacing w:val="-24"/>
        </w:rPr>
        <w:t> </w:t>
      </w:r>
      <w:r>
        <w:rPr/>
        <w:t>is</w:t>
      </w:r>
      <w:r>
        <w:rPr>
          <w:spacing w:val="-23"/>
        </w:rPr>
        <w:t> </w:t>
      </w:r>
      <w:r>
        <w:rPr/>
        <w:t>produced</w:t>
      </w:r>
      <w:r>
        <w:rPr>
          <w:spacing w:val="-23"/>
        </w:rPr>
        <w:t> </w:t>
      </w:r>
      <w:r>
        <w:rPr/>
        <w:t>in</w:t>
      </w:r>
      <w:r>
        <w:rPr>
          <w:spacing w:val="-24"/>
        </w:rPr>
        <w:t> </w:t>
      </w:r>
      <w:r>
        <w:rPr/>
        <w:t>China</w:t>
      </w:r>
      <w:r>
        <w:rPr>
          <w:spacing w:val="-23"/>
        </w:rPr>
        <w:t> </w:t>
      </w:r>
      <w:r>
        <w:rPr/>
        <w:t>and</w:t>
      </w:r>
      <w:r>
        <w:rPr>
          <w:spacing w:val="-23"/>
        </w:rPr>
        <w:t> </w:t>
      </w:r>
      <w:r>
        <w:rPr/>
        <w:t>at</w:t>
      </w:r>
      <w:r>
        <w:rPr>
          <w:spacing w:val="-24"/>
        </w:rPr>
        <w:t> </w:t>
      </w:r>
      <w:r>
        <w:rPr/>
        <w:t>one</w:t>
      </w:r>
      <w:r>
        <w:rPr>
          <w:spacing w:val="-23"/>
        </w:rPr>
        <w:t> </w:t>
      </w:r>
      <w:r>
        <w:rPr/>
        <w:t>US</w:t>
      </w:r>
      <w:r>
        <w:rPr>
          <w:spacing w:val="-23"/>
        </w:rPr>
        <w:t> </w:t>
      </w:r>
      <w:r>
        <w:rPr/>
        <w:t>plant;</w:t>
      </w:r>
      <w:r>
        <w:rPr>
          <w:spacing w:val="-24"/>
        </w:rPr>
        <w:t> </w:t>
      </w:r>
      <w:r>
        <w:rPr/>
        <w:t>and</w:t>
      </w:r>
      <w:r>
        <w:rPr>
          <w:spacing w:val="-23"/>
        </w:rPr>
        <w:t> </w:t>
      </w:r>
      <w:r>
        <w:rPr/>
        <w:t>coal</w:t>
      </w:r>
      <w:r>
        <w:rPr>
          <w:spacing w:val="-23"/>
        </w:rPr>
        <w:t> </w:t>
      </w:r>
      <w:r>
        <w:rPr/>
        <w:t>SNG is produced at a North Dakota (US) plant (NETL-DOE,</w:t>
      </w:r>
      <w:r>
        <w:rPr>
          <w:spacing w:val="16"/>
        </w:rPr>
        <w:t> </w:t>
      </w:r>
      <w:r>
        <w:rPr/>
        <w:t>2002).</w:t>
      </w:r>
    </w:p>
    <w:p>
      <w:pPr>
        <w:spacing w:after="0" w:line="249" w:lineRule="auto"/>
        <w:jc w:val="both"/>
        <w:sectPr>
          <w:type w:val="continuous"/>
          <w:pgSz w:w="12240" w:h="15840"/>
          <w:pgMar w:top="480" w:bottom="280" w:left="620" w:right="0"/>
          <w:cols w:num="2" w:equalWidth="0">
            <w:col w:w="5202" w:space="125"/>
            <w:col w:w="6293"/>
          </w:cols>
        </w:sectPr>
      </w:pPr>
    </w:p>
    <w:p>
      <w:pPr>
        <w:pStyle w:val="BodyText"/>
        <w:spacing w:line="277" w:lineRule="exact" w:before="3"/>
        <w:jc w:val="right"/>
        <w:rPr>
          <w:sz w:val="11"/>
        </w:rPr>
      </w:pPr>
      <w:r>
        <w:rPr/>
        <w:t>Since 2000, 1.5 MtCO</w:t>
      </w:r>
      <w:r>
        <w:rPr>
          <w:position w:val="-6"/>
          <w:sz w:val="11"/>
        </w:rPr>
        <w:t>2</w:t>
      </w:r>
    </w:p>
    <w:p>
      <w:pPr>
        <w:pStyle w:val="BodyText"/>
        <w:spacing w:before="3"/>
        <w:ind w:left="34"/>
      </w:pPr>
      <w:r>
        <w:rPr/>
        <w:br w:type="column"/>
      </w:r>
      <w:r>
        <w:rPr/>
        <w:t>yr</w:t>
      </w:r>
      <w:r>
        <w:rPr>
          <w:position w:val="7"/>
          <w:sz w:val="11"/>
        </w:rPr>
        <w:t>-1 </w:t>
      </w:r>
      <w:r>
        <w:rPr/>
        <w:t>from the North Dakota synthetic</w:t>
      </w:r>
    </w:p>
    <w:p>
      <w:pPr>
        <w:spacing w:after="0"/>
        <w:sectPr>
          <w:type w:val="continuous"/>
          <w:pgSz w:w="12240" w:h="15840"/>
          <w:pgMar w:top="480" w:bottom="280" w:left="620" w:right="0"/>
          <w:cols w:num="2" w:equalWidth="0">
            <w:col w:w="7381" w:space="40"/>
            <w:col w:w="4199"/>
          </w:cols>
        </w:sectPr>
      </w:pPr>
    </w:p>
    <w:p>
      <w:pPr>
        <w:pStyle w:val="ListParagraph"/>
        <w:numPr>
          <w:ilvl w:val="3"/>
          <w:numId w:val="21"/>
        </w:numPr>
        <w:tabs>
          <w:tab w:pos="937" w:val="left" w:leader="none"/>
        </w:tabs>
        <w:spacing w:line="187" w:lineRule="auto" w:before="0" w:after="0"/>
        <w:ind w:left="937" w:right="0" w:hanging="820"/>
        <w:jc w:val="both"/>
        <w:rPr>
          <w:i/>
          <w:sz w:val="20"/>
        </w:rPr>
      </w:pPr>
      <w:r>
        <w:rPr>
          <w:i/>
          <w:sz w:val="20"/>
        </w:rPr>
        <w:t>Hydrogen from coal with CO</w:t>
      </w:r>
      <w:r>
        <w:rPr>
          <w:i/>
          <w:position w:val="-6"/>
          <w:sz w:val="11"/>
        </w:rPr>
        <w:t>2</w:t>
      </w:r>
      <w:r>
        <w:rPr>
          <w:i/>
          <w:spacing w:val="18"/>
          <w:position w:val="-6"/>
          <w:sz w:val="11"/>
        </w:rPr>
        <w:t> </w:t>
      </w:r>
      <w:r>
        <w:rPr>
          <w:i/>
          <w:sz w:val="20"/>
        </w:rPr>
        <w:t>capture</w:t>
      </w:r>
    </w:p>
    <w:p>
      <w:pPr>
        <w:pStyle w:val="BodyText"/>
        <w:spacing w:line="206" w:lineRule="auto"/>
        <w:ind w:left="116" w:right="39"/>
        <w:jc w:val="both"/>
      </w:pPr>
      <w:r>
        <w:rPr/>
        <w:t>Relative to intensively studied coal IGCC technology with</w:t>
      </w:r>
      <w:r>
        <w:rPr>
          <w:spacing w:val="-36"/>
        </w:rPr>
        <w:t> </w:t>
      </w:r>
      <w:r>
        <w:rPr/>
        <w:t>CO</w:t>
      </w:r>
      <w:r>
        <w:rPr>
          <w:position w:val="-6"/>
          <w:sz w:val="11"/>
        </w:rPr>
        <w:t>2 </w:t>
      </w:r>
      <w:r>
        <w:rPr/>
        <w:t>capture,</w:t>
      </w:r>
      <w:r>
        <w:rPr>
          <w:spacing w:val="-15"/>
        </w:rPr>
        <w:t> </w:t>
      </w:r>
      <w:r>
        <w:rPr/>
        <w:t>there</w:t>
      </w:r>
      <w:r>
        <w:rPr>
          <w:spacing w:val="-14"/>
        </w:rPr>
        <w:t> </w:t>
      </w:r>
      <w:r>
        <w:rPr/>
        <w:t>are</w:t>
      </w:r>
      <w:r>
        <w:rPr>
          <w:spacing w:val="-15"/>
        </w:rPr>
        <w:t> </w:t>
      </w:r>
      <w:r>
        <w:rPr/>
        <w:t>few</w:t>
      </w:r>
      <w:r>
        <w:rPr>
          <w:spacing w:val="-14"/>
        </w:rPr>
        <w:t> </w:t>
      </w:r>
      <w:r>
        <w:rPr/>
        <w:t>studies</w:t>
      </w:r>
      <w:r>
        <w:rPr>
          <w:spacing w:val="-14"/>
        </w:rPr>
        <w:t> </w:t>
      </w:r>
      <w:r>
        <w:rPr/>
        <w:t>in</w:t>
      </w:r>
      <w:r>
        <w:rPr>
          <w:spacing w:val="-15"/>
        </w:rPr>
        <w:t> </w:t>
      </w:r>
      <w:r>
        <w:rPr/>
        <w:t>the</w:t>
      </w:r>
      <w:r>
        <w:rPr>
          <w:spacing w:val="-14"/>
        </w:rPr>
        <w:t> </w:t>
      </w:r>
      <w:r>
        <w:rPr/>
        <w:t>public</w:t>
      </w:r>
      <w:r>
        <w:rPr>
          <w:spacing w:val="-14"/>
        </w:rPr>
        <w:t> </w:t>
      </w:r>
      <w:r>
        <w:rPr/>
        <w:t>domain</w:t>
      </w:r>
      <w:r>
        <w:rPr>
          <w:spacing w:val="-15"/>
        </w:rPr>
        <w:t> </w:t>
      </w:r>
      <w:r>
        <w:rPr/>
        <w:t>on</w:t>
      </w:r>
      <w:r>
        <w:rPr>
          <w:spacing w:val="-14"/>
        </w:rPr>
        <w:t> </w:t>
      </w:r>
      <w:r>
        <w:rPr/>
        <w:t>making</w:t>
      </w:r>
      <w:r>
        <w:rPr>
          <w:spacing w:val="-15"/>
        </w:rPr>
        <w:t> </w:t>
      </w:r>
      <w:r>
        <w:rPr/>
        <w:t>H</w:t>
      </w:r>
      <w:r>
        <w:rPr>
          <w:position w:val="-6"/>
          <w:sz w:val="11"/>
        </w:rPr>
        <w:t>2 </w:t>
      </w:r>
      <w:r>
        <w:rPr/>
        <w:t>from</w:t>
      </w:r>
      <w:r>
        <w:rPr>
          <w:spacing w:val="-22"/>
        </w:rPr>
        <w:t> </w:t>
      </w:r>
      <w:r>
        <w:rPr/>
        <w:t>coal</w:t>
      </w:r>
      <w:r>
        <w:rPr>
          <w:spacing w:val="-22"/>
        </w:rPr>
        <w:t> </w:t>
      </w:r>
      <w:r>
        <w:rPr/>
        <w:t>via</w:t>
      </w:r>
      <w:r>
        <w:rPr>
          <w:spacing w:val="-22"/>
        </w:rPr>
        <w:t> </w:t>
      </w:r>
      <w:r>
        <w:rPr/>
        <w:t>gasification</w:t>
      </w:r>
      <w:r>
        <w:rPr>
          <w:spacing w:val="-22"/>
        </w:rPr>
        <w:t> </w:t>
      </w:r>
      <w:r>
        <w:rPr/>
        <w:t>with</w:t>
      </w:r>
      <w:r>
        <w:rPr>
          <w:spacing w:val="-22"/>
        </w:rPr>
        <w:t> </w:t>
      </w:r>
      <w:r>
        <w:rPr/>
        <w:t>CO</w:t>
      </w:r>
      <w:r>
        <w:rPr>
          <w:position w:val="-6"/>
          <w:sz w:val="11"/>
        </w:rPr>
        <w:t>2 </w:t>
      </w:r>
      <w:r>
        <w:rPr/>
        <w:t>capture</w:t>
      </w:r>
      <w:r>
        <w:rPr>
          <w:spacing w:val="-22"/>
        </w:rPr>
        <w:t> </w:t>
      </w:r>
      <w:r>
        <w:rPr/>
        <w:t>(NRC,</w:t>
      </w:r>
      <w:r>
        <w:rPr>
          <w:spacing w:val="-22"/>
        </w:rPr>
        <w:t> </w:t>
      </w:r>
      <w:r>
        <w:rPr/>
        <w:t>2004;</w:t>
      </w:r>
      <w:r>
        <w:rPr>
          <w:spacing w:val="-22"/>
        </w:rPr>
        <w:t> </w:t>
      </w:r>
      <w:r>
        <w:rPr/>
        <w:t>Parsons 2002a,</w:t>
      </w:r>
      <w:r>
        <w:rPr>
          <w:spacing w:val="-18"/>
        </w:rPr>
        <w:t> </w:t>
      </w:r>
      <w:r>
        <w:rPr/>
        <w:t>b;</w:t>
      </w:r>
      <w:r>
        <w:rPr>
          <w:spacing w:val="-17"/>
        </w:rPr>
        <w:t> </w:t>
      </w:r>
      <w:r>
        <w:rPr/>
        <w:t>Gray</w:t>
      </w:r>
      <w:r>
        <w:rPr>
          <w:spacing w:val="-17"/>
        </w:rPr>
        <w:t> </w:t>
      </w:r>
      <w:r>
        <w:rPr/>
        <w:t>and</w:t>
      </w:r>
      <w:r>
        <w:rPr>
          <w:spacing w:val="-19"/>
        </w:rPr>
        <w:t> </w:t>
      </w:r>
      <w:r>
        <w:rPr/>
        <w:t>Tomlinson,</w:t>
      </w:r>
      <w:r>
        <w:rPr>
          <w:spacing w:val="-18"/>
        </w:rPr>
        <w:t> </w:t>
      </w:r>
      <w:r>
        <w:rPr/>
        <w:t>2003;</w:t>
      </w:r>
      <w:r>
        <w:rPr>
          <w:spacing w:val="-17"/>
        </w:rPr>
        <w:t> </w:t>
      </w:r>
      <w:r>
        <w:rPr/>
        <w:t>Chiesa</w:t>
      </w:r>
      <w:r>
        <w:rPr>
          <w:spacing w:val="-16"/>
        </w:rPr>
        <w:t> </w:t>
      </w:r>
      <w:r>
        <w:rPr>
          <w:i/>
        </w:rPr>
        <w:t>et</w:t>
      </w:r>
      <w:r>
        <w:rPr>
          <w:i/>
          <w:spacing w:val="-17"/>
        </w:rPr>
        <w:t> </w:t>
      </w:r>
      <w:r>
        <w:rPr>
          <w:i/>
        </w:rPr>
        <w:t>al.</w:t>
      </w:r>
      <w:r>
        <w:rPr/>
        <w:t>,</w:t>
      </w:r>
      <w:r>
        <w:rPr>
          <w:spacing w:val="-17"/>
        </w:rPr>
        <w:t> </w:t>
      </w:r>
      <w:r>
        <w:rPr/>
        <w:t>2005;</w:t>
      </w:r>
      <w:r>
        <w:rPr>
          <w:spacing w:val="-17"/>
        </w:rPr>
        <w:t> </w:t>
      </w:r>
      <w:r>
        <w:rPr/>
        <w:t>Kreutz</w:t>
      </w:r>
    </w:p>
    <w:p>
      <w:pPr>
        <w:pStyle w:val="BodyText"/>
        <w:spacing w:line="225" w:lineRule="auto"/>
        <w:ind w:left="117" w:right="38"/>
        <w:jc w:val="both"/>
      </w:pPr>
      <w:r>
        <w:rPr>
          <w:i/>
        </w:rPr>
        <w:t>et al.</w:t>
      </w:r>
      <w:r>
        <w:rPr/>
        <w:t>, 2005), even though this H</w:t>
      </w:r>
      <w:r>
        <w:rPr>
          <w:position w:val="-6"/>
          <w:sz w:val="11"/>
        </w:rPr>
        <w:t>2 </w:t>
      </w:r>
      <w:r>
        <w:rPr/>
        <w:t>technology is well</w:t>
      </w:r>
      <w:r>
        <w:rPr>
          <w:spacing w:val="-34"/>
        </w:rPr>
        <w:t> </w:t>
      </w:r>
      <w:r>
        <w:rPr/>
        <w:t>established commercially, as noted above. With commercial </w:t>
      </w:r>
      <w:r>
        <w:rPr>
          <w:spacing w:val="-3"/>
        </w:rPr>
        <w:t>technology, </w:t>
      </w:r>
      <w:r>
        <w:rPr/>
        <w:t>H</w:t>
      </w:r>
      <w:r>
        <w:rPr>
          <w:position w:val="-6"/>
          <w:sz w:val="11"/>
        </w:rPr>
        <w:t>2  </w:t>
      </w:r>
      <w:r>
        <w:rPr/>
        <w:t>with CO</w:t>
      </w:r>
      <w:r>
        <w:rPr>
          <w:position w:val="-6"/>
          <w:sz w:val="11"/>
        </w:rPr>
        <w:t>2  </w:t>
      </w:r>
      <w:r>
        <w:rPr/>
        <w:t>capture can be produced via coal gasification in</w:t>
      </w:r>
      <w:r>
        <w:rPr>
          <w:spacing w:val="35"/>
        </w:rPr>
        <w:t> </w:t>
      </w:r>
      <w:r>
        <w:rPr>
          <w:spacing w:val="-11"/>
        </w:rPr>
        <w:t>a</w:t>
      </w:r>
    </w:p>
    <w:p>
      <w:pPr>
        <w:pStyle w:val="BodyText"/>
        <w:spacing w:line="187" w:lineRule="auto"/>
        <w:ind w:left="117"/>
        <w:jc w:val="both"/>
      </w:pPr>
      <w:r>
        <w:rPr/>
        <w:t>system</w:t>
      </w:r>
      <w:r>
        <w:rPr>
          <w:spacing w:val="10"/>
        </w:rPr>
        <w:t> </w:t>
      </w:r>
      <w:r>
        <w:rPr/>
        <w:t>similar</w:t>
      </w:r>
      <w:r>
        <w:rPr>
          <w:spacing w:val="10"/>
        </w:rPr>
        <w:t> </w:t>
      </w:r>
      <w:r>
        <w:rPr/>
        <w:t>to</w:t>
      </w:r>
      <w:r>
        <w:rPr>
          <w:spacing w:val="10"/>
        </w:rPr>
        <w:t> </w:t>
      </w:r>
      <w:r>
        <w:rPr/>
        <w:t>a</w:t>
      </w:r>
      <w:r>
        <w:rPr>
          <w:spacing w:val="10"/>
        </w:rPr>
        <w:t> </w:t>
      </w:r>
      <w:r>
        <w:rPr/>
        <w:t>coal</w:t>
      </w:r>
      <w:r>
        <w:rPr>
          <w:spacing w:val="10"/>
        </w:rPr>
        <w:t> </w:t>
      </w:r>
      <w:r>
        <w:rPr/>
        <w:t>IGCC</w:t>
      </w:r>
      <w:r>
        <w:rPr>
          <w:spacing w:val="10"/>
        </w:rPr>
        <w:t> </w:t>
      </w:r>
      <w:r>
        <w:rPr/>
        <w:t>plant</w:t>
      </w:r>
      <w:r>
        <w:rPr>
          <w:spacing w:val="10"/>
        </w:rPr>
        <w:t> </w:t>
      </w:r>
      <w:r>
        <w:rPr/>
        <w:t>with</w:t>
      </w:r>
      <w:r>
        <w:rPr>
          <w:spacing w:val="11"/>
        </w:rPr>
        <w:t> </w:t>
      </w:r>
      <w:r>
        <w:rPr/>
        <w:t>CO</w:t>
      </w:r>
      <w:r>
        <w:rPr>
          <w:position w:val="-6"/>
          <w:sz w:val="11"/>
        </w:rPr>
        <w:t>2 </w:t>
      </w:r>
      <w:r>
        <w:rPr>
          <w:spacing w:val="5"/>
          <w:position w:val="-6"/>
          <w:sz w:val="11"/>
        </w:rPr>
        <w:t> </w:t>
      </w:r>
      <w:r>
        <w:rPr/>
        <w:t>capture.</w:t>
      </w:r>
      <w:r>
        <w:rPr>
          <w:spacing w:val="10"/>
        </w:rPr>
        <w:t> </w:t>
      </w:r>
      <w:r>
        <w:rPr/>
        <w:t>In</w:t>
      </w:r>
      <w:r>
        <w:rPr>
          <w:spacing w:val="10"/>
        </w:rPr>
        <w:t> </w:t>
      </w:r>
      <w:r>
        <w:rPr/>
        <w:t>line</w:t>
      </w:r>
    </w:p>
    <w:p>
      <w:pPr>
        <w:pStyle w:val="BodyText"/>
        <w:spacing w:line="210" w:lineRule="exact"/>
        <w:ind w:left="117"/>
        <w:jc w:val="both"/>
      </w:pPr>
      <w:r>
        <w:rPr/>
        <w:t>with</w:t>
      </w:r>
      <w:r>
        <w:rPr>
          <w:spacing w:val="-25"/>
        </w:rPr>
        <w:t> </w:t>
      </w:r>
      <w:r>
        <w:rPr/>
        <w:t>the</w:t>
      </w:r>
      <w:r>
        <w:rPr>
          <w:spacing w:val="-24"/>
        </w:rPr>
        <w:t> </w:t>
      </w:r>
      <w:r>
        <w:rPr/>
        <w:t>design</w:t>
      </w:r>
      <w:r>
        <w:rPr>
          <w:spacing w:val="-25"/>
        </w:rPr>
        <w:t> </w:t>
      </w:r>
      <w:r>
        <w:rPr/>
        <w:t>recommendations</w:t>
      </w:r>
      <w:r>
        <w:rPr>
          <w:spacing w:val="-24"/>
        </w:rPr>
        <w:t> </w:t>
      </w:r>
      <w:r>
        <w:rPr/>
        <w:t>for</w:t>
      </w:r>
      <w:r>
        <w:rPr>
          <w:spacing w:val="-25"/>
        </w:rPr>
        <w:t> </w:t>
      </w:r>
      <w:r>
        <w:rPr/>
        <w:t>coal</w:t>
      </w:r>
      <w:r>
        <w:rPr>
          <w:spacing w:val="-24"/>
        </w:rPr>
        <w:t> </w:t>
      </w:r>
      <w:r>
        <w:rPr/>
        <w:t>IGCC</w:t>
      </w:r>
      <w:r>
        <w:rPr>
          <w:spacing w:val="-24"/>
        </w:rPr>
        <w:t> </w:t>
      </w:r>
      <w:r>
        <w:rPr/>
        <w:t>plants</w:t>
      </w:r>
      <w:r>
        <w:rPr>
          <w:spacing w:val="-25"/>
        </w:rPr>
        <w:t> </w:t>
      </w:r>
      <w:r>
        <w:rPr/>
        <w:t>described</w:t>
      </w:r>
    </w:p>
    <w:p>
      <w:pPr>
        <w:pStyle w:val="BodyText"/>
        <w:spacing w:line="240" w:lineRule="exact"/>
        <w:ind w:left="116" w:right="38"/>
        <w:jc w:val="both"/>
      </w:pPr>
      <w:r>
        <w:rPr/>
        <w:t>above (IEA GHG, 2003), what follows is the description from a design study of a coal H</w:t>
      </w:r>
      <w:r>
        <w:rPr>
          <w:position w:val="-6"/>
          <w:sz w:val="11"/>
        </w:rPr>
        <w:t>2 </w:t>
      </w:r>
      <w:r>
        <w:rPr/>
        <w:t>system that produces, using best available</w:t>
      </w:r>
      <w:r>
        <w:rPr>
          <w:spacing w:val="-19"/>
        </w:rPr>
        <w:t> </w:t>
      </w:r>
      <w:r>
        <w:rPr/>
        <w:t>technology,</w:t>
      </w:r>
      <w:r>
        <w:rPr>
          <w:spacing w:val="-18"/>
        </w:rPr>
        <w:t> </w:t>
      </w:r>
      <w:r>
        <w:rPr/>
        <w:t>1070</w:t>
      </w:r>
      <w:r>
        <w:rPr>
          <w:spacing w:val="-18"/>
        </w:rPr>
        <w:t> </w:t>
      </w:r>
      <w:r>
        <w:rPr/>
        <w:t>MW</w:t>
      </w:r>
      <w:r>
        <w:rPr>
          <w:position w:val="-6"/>
          <w:sz w:val="11"/>
        </w:rPr>
        <w:t>t</w:t>
      </w:r>
      <w:r>
        <w:rPr>
          <w:spacing w:val="4"/>
          <w:position w:val="-6"/>
          <w:sz w:val="11"/>
        </w:rPr>
        <w:t> </w:t>
      </w:r>
      <w:r>
        <w:rPr/>
        <w:t>of</w:t>
      </w:r>
      <w:r>
        <w:rPr>
          <w:spacing w:val="-18"/>
        </w:rPr>
        <w:t> </w:t>
      </w:r>
      <w:r>
        <w:rPr/>
        <w:t>H</w:t>
      </w:r>
      <w:r>
        <w:rPr>
          <w:position w:val="-6"/>
          <w:sz w:val="11"/>
        </w:rPr>
        <w:t>2</w:t>
      </w:r>
      <w:r>
        <w:rPr>
          <w:spacing w:val="4"/>
          <w:position w:val="-6"/>
          <w:sz w:val="11"/>
        </w:rPr>
        <w:t> </w:t>
      </w:r>
      <w:r>
        <w:rPr/>
        <w:t>from</w:t>
      </w:r>
      <w:r>
        <w:rPr>
          <w:spacing w:val="-18"/>
        </w:rPr>
        <w:t> </w:t>
      </w:r>
      <w:r>
        <w:rPr/>
        <w:t>high-sulphur</w:t>
      </w:r>
      <w:r>
        <w:rPr>
          <w:spacing w:val="-19"/>
        </w:rPr>
        <w:t> </w:t>
      </w:r>
      <w:r>
        <w:rPr/>
        <w:t>(3.4%) bituminous</w:t>
      </w:r>
      <w:r>
        <w:rPr>
          <w:spacing w:val="-9"/>
        </w:rPr>
        <w:t> </w:t>
      </w:r>
      <w:r>
        <w:rPr/>
        <w:t>coal</w:t>
      </w:r>
      <w:r>
        <w:rPr>
          <w:spacing w:val="-9"/>
        </w:rPr>
        <w:t> </w:t>
      </w:r>
      <w:r>
        <w:rPr/>
        <w:t>(Chiesa</w:t>
      </w:r>
      <w:r>
        <w:rPr>
          <w:spacing w:val="-7"/>
        </w:rPr>
        <w:t> </w:t>
      </w:r>
      <w:r>
        <w:rPr>
          <w:i/>
        </w:rPr>
        <w:t>et</w:t>
      </w:r>
      <w:r>
        <w:rPr>
          <w:i/>
          <w:spacing w:val="-9"/>
        </w:rPr>
        <w:t> </w:t>
      </w:r>
      <w:r>
        <w:rPr>
          <w:i/>
        </w:rPr>
        <w:t>al.</w:t>
      </w:r>
      <w:r>
        <w:rPr/>
        <w:t>,</w:t>
      </w:r>
      <w:r>
        <w:rPr>
          <w:spacing w:val="-8"/>
        </w:rPr>
        <w:t> </w:t>
      </w:r>
      <w:r>
        <w:rPr/>
        <w:t>2005;</w:t>
      </w:r>
      <w:r>
        <w:rPr>
          <w:spacing w:val="-9"/>
        </w:rPr>
        <w:t> </w:t>
      </w:r>
      <w:r>
        <w:rPr/>
        <w:t>Kreutz</w:t>
      </w:r>
      <w:r>
        <w:rPr>
          <w:spacing w:val="-8"/>
        </w:rPr>
        <w:t> </w:t>
      </w:r>
      <w:r>
        <w:rPr>
          <w:i/>
        </w:rPr>
        <w:t>et</w:t>
      </w:r>
      <w:r>
        <w:rPr>
          <w:i/>
          <w:spacing w:val="-8"/>
        </w:rPr>
        <w:t> </w:t>
      </w:r>
      <w:r>
        <w:rPr>
          <w:i/>
        </w:rPr>
        <w:t>al.</w:t>
      </w:r>
      <w:r>
        <w:rPr/>
        <w:t>,</w:t>
      </w:r>
      <w:r>
        <w:rPr>
          <w:spacing w:val="-9"/>
        </w:rPr>
        <w:t> </w:t>
      </w:r>
      <w:r>
        <w:rPr/>
        <w:t>2005).</w:t>
      </w:r>
      <w:r>
        <w:rPr>
          <w:spacing w:val="-8"/>
        </w:rPr>
        <w:t> </w:t>
      </w:r>
      <w:r>
        <w:rPr/>
        <w:t>In</w:t>
      </w:r>
      <w:r>
        <w:rPr>
          <w:spacing w:val="-8"/>
        </w:rPr>
        <w:t> </w:t>
      </w:r>
      <w:r>
        <w:rPr/>
        <w:t>the base</w:t>
      </w:r>
      <w:r>
        <w:rPr>
          <w:spacing w:val="-20"/>
        </w:rPr>
        <w:t> </w:t>
      </w:r>
      <w:r>
        <w:rPr/>
        <w:t>case</w:t>
      </w:r>
      <w:r>
        <w:rPr>
          <w:spacing w:val="-19"/>
        </w:rPr>
        <w:t> </w:t>
      </w:r>
      <w:r>
        <w:rPr/>
        <w:t>design,</w:t>
      </w:r>
      <w:r>
        <w:rPr>
          <w:spacing w:val="-19"/>
        </w:rPr>
        <w:t> </w:t>
      </w:r>
      <w:r>
        <w:rPr/>
        <w:t>syngas</w:t>
      </w:r>
      <w:r>
        <w:rPr>
          <w:spacing w:val="-20"/>
        </w:rPr>
        <w:t> </w:t>
      </w:r>
      <w:r>
        <w:rPr/>
        <w:t>is</w:t>
      </w:r>
      <w:r>
        <w:rPr>
          <w:spacing w:val="-19"/>
        </w:rPr>
        <w:t> </w:t>
      </w:r>
      <w:r>
        <w:rPr/>
        <w:t>produced</w:t>
      </w:r>
      <w:r>
        <w:rPr>
          <w:spacing w:val="-19"/>
        </w:rPr>
        <w:t> </w:t>
      </w:r>
      <w:r>
        <w:rPr/>
        <w:t>in</w:t>
      </w:r>
      <w:r>
        <w:rPr>
          <w:spacing w:val="-20"/>
        </w:rPr>
        <w:t> </w:t>
      </w:r>
      <w:r>
        <w:rPr/>
        <w:t>an</w:t>
      </w:r>
      <w:r>
        <w:rPr>
          <w:spacing w:val="-19"/>
        </w:rPr>
        <w:t> </w:t>
      </w:r>
      <w:r>
        <w:rPr/>
        <w:t>entrained</w:t>
      </w:r>
      <w:r>
        <w:rPr>
          <w:spacing w:val="-19"/>
        </w:rPr>
        <w:t> </w:t>
      </w:r>
      <w:r>
        <w:rPr/>
        <w:t>flow</w:t>
      </w:r>
      <w:r>
        <w:rPr>
          <w:spacing w:val="-20"/>
        </w:rPr>
        <w:t> </w:t>
      </w:r>
      <w:r>
        <w:rPr/>
        <w:t>quench gasifier operated at 7 MPa. The syngas is cooled, cleaned of particulate</w:t>
      </w:r>
      <w:r>
        <w:rPr>
          <w:spacing w:val="-7"/>
        </w:rPr>
        <w:t> </w:t>
      </w:r>
      <w:r>
        <w:rPr/>
        <w:t>matter,</w:t>
      </w:r>
      <w:r>
        <w:rPr>
          <w:spacing w:val="-7"/>
        </w:rPr>
        <w:t> </w:t>
      </w:r>
      <w:r>
        <w:rPr/>
        <w:t>and</w:t>
      </w:r>
      <w:r>
        <w:rPr>
          <w:spacing w:val="-6"/>
        </w:rPr>
        <w:t> </w:t>
      </w:r>
      <w:r>
        <w:rPr/>
        <w:t>shifted</w:t>
      </w:r>
      <w:r>
        <w:rPr>
          <w:spacing w:val="-7"/>
        </w:rPr>
        <w:t> </w:t>
      </w:r>
      <w:r>
        <w:rPr/>
        <w:t>(to</w:t>
      </w:r>
      <w:r>
        <w:rPr>
          <w:spacing w:val="-7"/>
        </w:rPr>
        <w:t> </w:t>
      </w:r>
      <w:r>
        <w:rPr/>
        <w:t>primarily</w:t>
      </w:r>
      <w:r>
        <w:rPr>
          <w:spacing w:val="-6"/>
        </w:rPr>
        <w:t> </w:t>
      </w:r>
      <w:r>
        <w:rPr/>
        <w:t>H</w:t>
      </w:r>
      <w:r>
        <w:rPr>
          <w:position w:val="-6"/>
          <w:sz w:val="11"/>
        </w:rPr>
        <w:t>2</w:t>
      </w:r>
      <w:r>
        <w:rPr>
          <w:spacing w:val="16"/>
          <w:position w:val="-6"/>
          <w:sz w:val="11"/>
        </w:rPr>
        <w:t> </w:t>
      </w:r>
      <w:r>
        <w:rPr/>
        <w:t>and</w:t>
      </w:r>
      <w:r>
        <w:rPr>
          <w:spacing w:val="-7"/>
        </w:rPr>
        <w:t> </w:t>
      </w:r>
      <w:r>
        <w:rPr/>
        <w:t>CO</w:t>
      </w:r>
      <w:r>
        <w:rPr>
          <w:position w:val="-6"/>
          <w:sz w:val="11"/>
        </w:rPr>
        <w:t>2</w:t>
      </w:r>
      <w:r>
        <w:rPr/>
        <w:t>)</w:t>
      </w:r>
      <w:r>
        <w:rPr>
          <w:spacing w:val="-6"/>
        </w:rPr>
        <w:t> </w:t>
      </w:r>
      <w:r>
        <w:rPr/>
        <w:t>in</w:t>
      </w:r>
      <w:r>
        <w:rPr>
          <w:spacing w:val="-7"/>
        </w:rPr>
        <w:t> </w:t>
      </w:r>
      <w:r>
        <w:rPr/>
        <w:t>sour water gas shift reactors. After further cooling, H</w:t>
      </w:r>
      <w:r>
        <w:rPr>
          <w:position w:val="-6"/>
          <w:sz w:val="11"/>
        </w:rPr>
        <w:t>2</w:t>
      </w:r>
      <w:r>
        <w:rPr/>
        <w:t>S is removed from the syngas using a physical solvent (Selexol). CO</w:t>
      </w:r>
      <w:r>
        <w:rPr>
          <w:position w:val="-6"/>
          <w:sz w:val="11"/>
        </w:rPr>
        <w:t>2 </w:t>
      </w:r>
      <w:r>
        <w:rPr/>
        <w:t>is then removed from the syngas, again using Selexol. After being stripped from the solvents, the H</w:t>
      </w:r>
      <w:r>
        <w:rPr>
          <w:position w:val="-6"/>
          <w:sz w:val="11"/>
        </w:rPr>
        <w:t>2</w:t>
      </w:r>
      <w:r>
        <w:rPr/>
        <w:t>S is converted to elemental S in a Claus unit and a plant provides tail gas clean-up to remove residual sulphur emissions; and the CO</w:t>
      </w:r>
      <w:r>
        <w:rPr>
          <w:position w:val="-6"/>
          <w:sz w:val="11"/>
        </w:rPr>
        <w:t>2 </w:t>
      </w:r>
      <w:r>
        <w:rPr/>
        <w:t>is either vented or dried and compressed to 150 atm for pipeline transport and underground</w:t>
      </w:r>
      <w:r>
        <w:rPr>
          <w:spacing w:val="-8"/>
        </w:rPr>
        <w:t> </w:t>
      </w:r>
      <w:r>
        <w:rPr/>
        <w:t>storage.</w:t>
      </w:r>
      <w:r>
        <w:rPr>
          <w:spacing w:val="-8"/>
        </w:rPr>
        <w:t> </w:t>
      </w:r>
      <w:r>
        <w:rPr/>
        <w:t>High</w:t>
      </w:r>
      <w:r>
        <w:rPr>
          <w:spacing w:val="-7"/>
        </w:rPr>
        <w:t> </w:t>
      </w:r>
      <w:r>
        <w:rPr/>
        <w:t>purity</w:t>
      </w:r>
      <w:r>
        <w:rPr>
          <w:spacing w:val="-8"/>
        </w:rPr>
        <w:t> </w:t>
      </w:r>
      <w:r>
        <w:rPr/>
        <w:t>H</w:t>
      </w:r>
      <w:r>
        <w:rPr>
          <w:position w:val="-6"/>
          <w:sz w:val="11"/>
        </w:rPr>
        <w:t>2</w:t>
      </w:r>
      <w:r>
        <w:rPr>
          <w:spacing w:val="15"/>
          <w:position w:val="-6"/>
          <w:sz w:val="11"/>
        </w:rPr>
        <w:t> </w:t>
      </w:r>
      <w:r>
        <w:rPr/>
        <w:t>is</w:t>
      </w:r>
      <w:r>
        <w:rPr>
          <w:spacing w:val="-7"/>
        </w:rPr>
        <w:t> </w:t>
      </w:r>
      <w:r>
        <w:rPr/>
        <w:t>extracted</w:t>
      </w:r>
      <w:r>
        <w:rPr>
          <w:spacing w:val="-8"/>
        </w:rPr>
        <w:t> </w:t>
      </w:r>
      <w:r>
        <w:rPr/>
        <w:t>at</w:t>
      </w:r>
      <w:r>
        <w:rPr>
          <w:spacing w:val="-7"/>
        </w:rPr>
        <w:t> </w:t>
      </w:r>
      <w:r>
        <w:rPr/>
        <w:t>6</w:t>
      </w:r>
      <w:r>
        <w:rPr>
          <w:spacing w:val="-8"/>
        </w:rPr>
        <w:t> </w:t>
      </w:r>
      <w:r>
        <w:rPr/>
        <w:t>MPa</w:t>
      </w:r>
      <w:r>
        <w:rPr>
          <w:spacing w:val="-7"/>
        </w:rPr>
        <w:t> </w:t>
      </w:r>
      <w:r>
        <w:rPr/>
        <w:t>from the H</w:t>
      </w:r>
      <w:r>
        <w:rPr>
          <w:position w:val="-6"/>
          <w:sz w:val="11"/>
        </w:rPr>
        <w:t>2</w:t>
      </w:r>
      <w:r>
        <w:rPr/>
        <w:t>-rich syngas via a pressure swing adsorption (PSA) unit. The</w:t>
      </w:r>
      <w:r>
        <w:rPr>
          <w:spacing w:val="-6"/>
        </w:rPr>
        <w:t> </w:t>
      </w:r>
      <w:r>
        <w:rPr/>
        <w:t>PSA</w:t>
      </w:r>
      <w:r>
        <w:rPr>
          <w:spacing w:val="-15"/>
        </w:rPr>
        <w:t> </w:t>
      </w:r>
      <w:r>
        <w:rPr/>
        <w:t>purge</w:t>
      </w:r>
      <w:r>
        <w:rPr>
          <w:spacing w:val="-5"/>
        </w:rPr>
        <w:t> </w:t>
      </w:r>
      <w:r>
        <w:rPr/>
        <w:t>gas</w:t>
      </w:r>
      <w:r>
        <w:rPr>
          <w:spacing w:val="-5"/>
        </w:rPr>
        <w:t> </w:t>
      </w:r>
      <w:r>
        <w:rPr/>
        <w:t>is</w:t>
      </w:r>
      <w:r>
        <w:rPr>
          <w:spacing w:val="-5"/>
        </w:rPr>
        <w:t> </w:t>
      </w:r>
      <w:r>
        <w:rPr/>
        <w:t>compressed</w:t>
      </w:r>
      <w:r>
        <w:rPr>
          <w:spacing w:val="-5"/>
        </w:rPr>
        <w:t> </w:t>
      </w:r>
      <w:r>
        <w:rPr/>
        <w:t>and</w:t>
      </w:r>
      <w:r>
        <w:rPr>
          <w:spacing w:val="-6"/>
        </w:rPr>
        <w:t> </w:t>
      </w:r>
      <w:r>
        <w:rPr/>
        <w:t>burned</w:t>
      </w:r>
      <w:r>
        <w:rPr>
          <w:spacing w:val="-5"/>
        </w:rPr>
        <w:t> </w:t>
      </w:r>
      <w:r>
        <w:rPr/>
        <w:t>in</w:t>
      </w:r>
      <w:r>
        <w:rPr>
          <w:spacing w:val="-5"/>
        </w:rPr>
        <w:t> </w:t>
      </w:r>
      <w:r>
        <w:rPr/>
        <w:t>a</w:t>
      </w:r>
      <w:r>
        <w:rPr>
          <w:spacing w:val="-5"/>
        </w:rPr>
        <w:t> </w:t>
      </w:r>
      <w:r>
        <w:rPr/>
        <w:t>conventional gas</w:t>
      </w:r>
      <w:r>
        <w:rPr>
          <w:spacing w:val="-5"/>
        </w:rPr>
        <w:t> </w:t>
      </w:r>
      <w:r>
        <w:rPr/>
        <w:t>turbine</w:t>
      </w:r>
      <w:r>
        <w:rPr>
          <w:spacing w:val="-5"/>
        </w:rPr>
        <w:t> </w:t>
      </w:r>
      <w:r>
        <w:rPr/>
        <w:t>combined</w:t>
      </w:r>
      <w:r>
        <w:rPr>
          <w:spacing w:val="-6"/>
        </w:rPr>
        <w:t> </w:t>
      </w:r>
      <w:r>
        <w:rPr/>
        <w:t>cycle,</w:t>
      </w:r>
      <w:r>
        <w:rPr>
          <w:spacing w:val="-5"/>
        </w:rPr>
        <w:t> </w:t>
      </w:r>
      <w:r>
        <w:rPr/>
        <w:t>generating</w:t>
      </w:r>
      <w:r>
        <w:rPr>
          <w:spacing w:val="-6"/>
        </w:rPr>
        <w:t> </w:t>
      </w:r>
      <w:r>
        <w:rPr/>
        <w:t>78</w:t>
      </w:r>
      <w:r>
        <w:rPr>
          <w:spacing w:val="-5"/>
        </w:rPr>
        <w:t> </w:t>
      </w:r>
      <w:r>
        <w:rPr>
          <w:spacing w:val="-6"/>
        </w:rPr>
        <w:t>MW</w:t>
      </w:r>
      <w:r>
        <w:rPr>
          <w:spacing w:val="-6"/>
          <w:position w:val="-6"/>
          <w:sz w:val="11"/>
        </w:rPr>
        <w:t>e</w:t>
      </w:r>
      <w:r>
        <w:rPr>
          <w:spacing w:val="-4"/>
          <w:position w:val="-6"/>
          <w:sz w:val="11"/>
        </w:rPr>
        <w:t> </w:t>
      </w:r>
      <w:r>
        <w:rPr/>
        <w:t>and</w:t>
      </w:r>
      <w:r>
        <w:rPr>
          <w:spacing w:val="-5"/>
        </w:rPr>
        <w:t> </w:t>
      </w:r>
      <w:r>
        <w:rPr/>
        <w:t>39</w:t>
      </w:r>
      <w:r>
        <w:rPr>
          <w:spacing w:val="-5"/>
        </w:rPr>
        <w:t> </w:t>
      </w:r>
      <w:r>
        <w:rPr>
          <w:spacing w:val="-6"/>
        </w:rPr>
        <w:t>MW</w:t>
      </w:r>
      <w:r>
        <w:rPr>
          <w:spacing w:val="-6"/>
          <w:position w:val="-6"/>
          <w:sz w:val="11"/>
        </w:rPr>
        <w:t>e</w:t>
      </w:r>
      <w:r>
        <w:rPr>
          <w:spacing w:val="-3"/>
          <w:position w:val="-6"/>
          <w:sz w:val="11"/>
        </w:rPr>
        <w:t> </w:t>
      </w:r>
      <w:r>
        <w:rPr/>
        <w:t>of electricity</w:t>
      </w:r>
      <w:r>
        <w:rPr>
          <w:spacing w:val="-15"/>
        </w:rPr>
        <w:t> </w:t>
      </w:r>
      <w:r>
        <w:rPr/>
        <w:t>in</w:t>
      </w:r>
      <w:r>
        <w:rPr>
          <w:spacing w:val="-14"/>
        </w:rPr>
        <w:t> </w:t>
      </w:r>
      <w:r>
        <w:rPr/>
        <w:t>excess</w:t>
      </w:r>
      <w:r>
        <w:rPr>
          <w:spacing w:val="-14"/>
        </w:rPr>
        <w:t> </w:t>
      </w:r>
      <w:r>
        <w:rPr/>
        <w:t>of</w:t>
      </w:r>
      <w:r>
        <w:rPr>
          <w:spacing w:val="-14"/>
        </w:rPr>
        <w:t> </w:t>
      </w:r>
      <w:r>
        <w:rPr/>
        <w:t>onsite</w:t>
      </w:r>
      <w:r>
        <w:rPr>
          <w:spacing w:val="-14"/>
        </w:rPr>
        <w:t> </w:t>
      </w:r>
      <w:r>
        <w:rPr/>
        <w:t>electricity</w:t>
      </w:r>
      <w:r>
        <w:rPr>
          <w:spacing w:val="-14"/>
        </w:rPr>
        <w:t> </w:t>
      </w:r>
      <w:r>
        <w:rPr/>
        <w:t>needs</w:t>
      </w:r>
      <w:r>
        <w:rPr>
          <w:spacing w:val="-14"/>
        </w:rPr>
        <w:t> </w:t>
      </w:r>
      <w:r>
        <w:rPr/>
        <w:t>in</w:t>
      </w:r>
      <w:r>
        <w:rPr>
          <w:spacing w:val="-14"/>
        </w:rPr>
        <w:t> </w:t>
      </w:r>
      <w:r>
        <w:rPr/>
        <w:t>the</w:t>
      </w:r>
      <w:r>
        <w:rPr>
          <w:spacing w:val="-14"/>
        </w:rPr>
        <w:t> </w:t>
      </w:r>
      <w:r>
        <w:rPr/>
        <w:t>without</w:t>
      </w:r>
      <w:r>
        <w:rPr>
          <w:spacing w:val="-14"/>
        </w:rPr>
        <w:t> </w:t>
      </w:r>
      <w:r>
        <w:rPr/>
        <w:t>and with</w:t>
      </w:r>
      <w:r>
        <w:rPr>
          <w:spacing w:val="-16"/>
        </w:rPr>
        <w:t> </w:t>
      </w:r>
      <w:r>
        <w:rPr/>
        <w:t>CO</w:t>
      </w:r>
      <w:r>
        <w:rPr>
          <w:position w:val="-6"/>
          <w:sz w:val="11"/>
        </w:rPr>
        <w:t>2</w:t>
      </w:r>
      <w:r>
        <w:rPr>
          <w:spacing w:val="7"/>
          <w:position w:val="-6"/>
          <w:sz w:val="11"/>
        </w:rPr>
        <w:t> </w:t>
      </w:r>
      <w:r>
        <w:rPr/>
        <w:t>capture</w:t>
      </w:r>
      <w:r>
        <w:rPr>
          <w:spacing w:val="-16"/>
        </w:rPr>
        <w:t> </w:t>
      </w:r>
      <w:r>
        <w:rPr/>
        <w:t>cases,</w:t>
      </w:r>
      <w:r>
        <w:rPr>
          <w:spacing w:val="-16"/>
        </w:rPr>
        <w:t> </w:t>
      </w:r>
      <w:r>
        <w:rPr/>
        <w:t>respectively.</w:t>
      </w:r>
      <w:r>
        <w:rPr>
          <w:spacing w:val="-16"/>
        </w:rPr>
        <w:t> </w:t>
      </w:r>
      <w:r>
        <w:rPr/>
        <w:t>For</w:t>
      </w:r>
      <w:r>
        <w:rPr>
          <w:spacing w:val="-15"/>
        </w:rPr>
        <w:t> </w:t>
      </w:r>
      <w:r>
        <w:rPr/>
        <w:t>this</w:t>
      </w:r>
      <w:r>
        <w:rPr>
          <w:spacing w:val="-16"/>
        </w:rPr>
        <w:t> </w:t>
      </w:r>
      <w:r>
        <w:rPr/>
        <w:t>base</w:t>
      </w:r>
      <w:r>
        <w:rPr>
          <w:spacing w:val="-16"/>
        </w:rPr>
        <w:t> </w:t>
      </w:r>
      <w:r>
        <w:rPr/>
        <w:t>case</w:t>
      </w:r>
      <w:r>
        <w:rPr>
          <w:spacing w:val="-16"/>
        </w:rPr>
        <w:t> </w:t>
      </w:r>
      <w:r>
        <w:rPr/>
        <w:t>analysis, the effective efficiency of H</w:t>
      </w:r>
      <w:r>
        <w:rPr>
          <w:position w:val="-6"/>
          <w:sz w:val="11"/>
        </w:rPr>
        <w:t>2 </w:t>
      </w:r>
      <w:r>
        <w:rPr/>
        <w:t>manufacture was estimated to </w:t>
      </w:r>
      <w:r>
        <w:rPr>
          <w:spacing w:val="-6"/>
        </w:rPr>
        <w:t>be </w:t>
      </w:r>
      <w:r>
        <w:rPr/>
        <w:t>64% with CO</w:t>
      </w:r>
      <w:r>
        <w:rPr>
          <w:position w:val="-6"/>
          <w:sz w:val="11"/>
        </w:rPr>
        <w:t>2 </w:t>
      </w:r>
      <w:r>
        <w:rPr/>
        <w:t>vented and 61% with CO</w:t>
      </w:r>
      <w:r>
        <w:rPr>
          <w:position w:val="-6"/>
          <w:sz w:val="11"/>
        </w:rPr>
        <w:t>2 </w:t>
      </w:r>
      <w:r>
        <w:rPr/>
        <w:t>captured, while the corresponding emission rates are 16.9 kgCO</w:t>
      </w:r>
      <w:r>
        <w:rPr>
          <w:position w:val="-6"/>
          <w:sz w:val="11"/>
        </w:rPr>
        <w:t>2 </w:t>
      </w:r>
      <w:r>
        <w:rPr/>
        <w:t>and 1.4 kgCO</w:t>
      </w:r>
      <w:r>
        <w:rPr>
          <w:position w:val="-6"/>
          <w:sz w:val="11"/>
        </w:rPr>
        <w:t>2</w:t>
      </w:r>
      <w:r>
        <w:rPr/>
        <w:t>/ kgH</w:t>
      </w:r>
      <w:r>
        <w:rPr>
          <w:position w:val="-6"/>
          <w:sz w:val="11"/>
        </w:rPr>
        <w:t>2</w:t>
      </w:r>
      <w:r>
        <w:rPr/>
        <w:t>, respectively. For the capture case, the CO</w:t>
      </w:r>
      <w:r>
        <w:rPr>
          <w:position w:val="-6"/>
          <w:sz w:val="11"/>
        </w:rPr>
        <w:t>2 </w:t>
      </w:r>
      <w:r>
        <w:rPr/>
        <w:t>removal rate was</w:t>
      </w:r>
      <w:r>
        <w:rPr>
          <w:spacing w:val="-20"/>
        </w:rPr>
        <w:t> </w:t>
      </w:r>
      <w:r>
        <w:rPr/>
        <w:t>14.8</w:t>
      </w:r>
      <w:r>
        <w:rPr>
          <w:spacing w:val="-20"/>
        </w:rPr>
        <w:t> </w:t>
      </w:r>
      <w:r>
        <w:rPr/>
        <w:t>kgCO</w:t>
      </w:r>
      <w:r>
        <w:rPr>
          <w:position w:val="-6"/>
          <w:sz w:val="11"/>
        </w:rPr>
        <w:t>2</w:t>
      </w:r>
      <w:r>
        <w:rPr/>
        <w:t>/kgH</w:t>
      </w:r>
      <w:r>
        <w:rPr>
          <w:position w:val="-6"/>
          <w:sz w:val="11"/>
        </w:rPr>
        <w:t>2</w:t>
      </w:r>
      <w:r>
        <w:rPr/>
        <w:t>.</w:t>
      </w:r>
      <w:r>
        <w:rPr>
          <w:spacing w:val="-24"/>
        </w:rPr>
        <w:t> </w:t>
      </w:r>
      <w:r>
        <w:rPr>
          <w:spacing w:val="-4"/>
        </w:rPr>
        <w:t>Various</w:t>
      </w:r>
      <w:r>
        <w:rPr>
          <w:spacing w:val="-20"/>
        </w:rPr>
        <w:t> </w:t>
      </w:r>
      <w:r>
        <w:rPr/>
        <w:t>alternative</w:t>
      </w:r>
      <w:r>
        <w:rPr>
          <w:spacing w:val="-20"/>
        </w:rPr>
        <w:t> </w:t>
      </w:r>
      <w:r>
        <w:rPr/>
        <w:t>system</w:t>
      </w:r>
      <w:r>
        <w:rPr>
          <w:spacing w:val="-20"/>
        </w:rPr>
        <w:t> </w:t>
      </w:r>
      <w:r>
        <w:rPr/>
        <w:t>configurations were</w:t>
      </w:r>
      <w:r>
        <w:rPr>
          <w:spacing w:val="-7"/>
        </w:rPr>
        <w:t> </w:t>
      </w:r>
      <w:r>
        <w:rPr/>
        <w:t>explored.</w:t>
      </w:r>
      <w:r>
        <w:rPr>
          <w:spacing w:val="-7"/>
        </w:rPr>
        <w:t> </w:t>
      </w:r>
      <w:r>
        <w:rPr/>
        <w:t>It</w:t>
      </w:r>
      <w:r>
        <w:rPr>
          <w:spacing w:val="-7"/>
        </w:rPr>
        <w:t> </w:t>
      </w:r>
      <w:r>
        <w:rPr/>
        <w:t>was</w:t>
      </w:r>
      <w:r>
        <w:rPr>
          <w:spacing w:val="-7"/>
        </w:rPr>
        <w:t> </w:t>
      </w:r>
      <w:r>
        <w:rPr/>
        <w:t>found</w:t>
      </w:r>
      <w:r>
        <w:rPr>
          <w:spacing w:val="-7"/>
        </w:rPr>
        <w:t> </w:t>
      </w:r>
      <w:r>
        <w:rPr/>
        <w:t>that</w:t>
      </w:r>
      <w:r>
        <w:rPr>
          <w:spacing w:val="-7"/>
        </w:rPr>
        <w:t> </w:t>
      </w:r>
      <w:r>
        <w:rPr/>
        <w:t>there</w:t>
      </w:r>
      <w:r>
        <w:rPr>
          <w:spacing w:val="-7"/>
        </w:rPr>
        <w:t> </w:t>
      </w:r>
      <w:r>
        <w:rPr/>
        <w:t>are</w:t>
      </w:r>
      <w:r>
        <w:rPr>
          <w:spacing w:val="-7"/>
        </w:rPr>
        <w:t> </w:t>
      </w:r>
      <w:r>
        <w:rPr/>
        <w:t>no</w:t>
      </w:r>
      <w:r>
        <w:rPr>
          <w:spacing w:val="-7"/>
        </w:rPr>
        <w:t> </w:t>
      </w:r>
      <w:r>
        <w:rPr/>
        <w:t>thermodynamic</w:t>
      </w:r>
      <w:r>
        <w:rPr>
          <w:spacing w:val="-7"/>
        </w:rPr>
        <w:t> </w:t>
      </w:r>
      <w:r>
        <w:rPr/>
        <w:t>or cost advantages from increasing the electricity/H</w:t>
      </w:r>
      <w:r>
        <w:rPr>
          <w:position w:val="-6"/>
          <w:sz w:val="11"/>
        </w:rPr>
        <w:t>2 </w:t>
      </w:r>
      <w:r>
        <w:rPr/>
        <w:t>output ratio, so this ratio would tend to be determined by relative market demands for electricity and H</w:t>
      </w:r>
      <w:r>
        <w:rPr>
          <w:position w:val="-6"/>
          <w:sz w:val="11"/>
        </w:rPr>
        <w:t>2</w:t>
      </w:r>
      <w:r>
        <w:rPr/>
        <w:t>. One potentially significant option for reducing the cost of H</w:t>
      </w:r>
      <w:r>
        <w:rPr>
          <w:position w:val="-6"/>
          <w:sz w:val="11"/>
        </w:rPr>
        <w:t>2 </w:t>
      </w:r>
      <w:r>
        <w:rPr/>
        <w:t>with CO</w:t>
      </w:r>
      <w:r>
        <w:rPr>
          <w:position w:val="-6"/>
          <w:sz w:val="11"/>
        </w:rPr>
        <w:t>2 </w:t>
      </w:r>
      <w:r>
        <w:rPr/>
        <w:t>capture to about</w:t>
      </w:r>
      <w:r>
        <w:rPr>
          <w:spacing w:val="-21"/>
        </w:rPr>
        <w:t> </w:t>
      </w:r>
      <w:r>
        <w:rPr/>
        <w:t>the same</w:t>
      </w:r>
      <w:r>
        <w:rPr>
          <w:spacing w:val="-13"/>
        </w:rPr>
        <w:t> </w:t>
      </w:r>
      <w:r>
        <w:rPr/>
        <w:t>level</w:t>
      </w:r>
      <w:r>
        <w:rPr>
          <w:spacing w:val="-13"/>
        </w:rPr>
        <w:t> </w:t>
      </w:r>
      <w:r>
        <w:rPr/>
        <w:t>as</w:t>
      </w:r>
      <w:r>
        <w:rPr>
          <w:spacing w:val="-12"/>
        </w:rPr>
        <w:t> </w:t>
      </w:r>
      <w:r>
        <w:rPr/>
        <w:t>with</w:t>
      </w:r>
      <w:r>
        <w:rPr>
          <w:spacing w:val="-13"/>
        </w:rPr>
        <w:t> </w:t>
      </w:r>
      <w:r>
        <w:rPr/>
        <w:t>CO</w:t>
      </w:r>
      <w:r>
        <w:rPr>
          <w:position w:val="-6"/>
          <w:sz w:val="11"/>
        </w:rPr>
        <w:t>2</w:t>
      </w:r>
      <w:r>
        <w:rPr>
          <w:spacing w:val="10"/>
          <w:position w:val="-6"/>
          <w:sz w:val="11"/>
        </w:rPr>
        <w:t> </w:t>
      </w:r>
      <w:r>
        <w:rPr/>
        <w:t>vented</w:t>
      </w:r>
      <w:r>
        <w:rPr>
          <w:spacing w:val="-12"/>
        </w:rPr>
        <w:t> </w:t>
      </w:r>
      <w:r>
        <w:rPr/>
        <w:t>involves</w:t>
      </w:r>
      <w:r>
        <w:rPr>
          <w:spacing w:val="-13"/>
        </w:rPr>
        <w:t> </w:t>
      </w:r>
      <w:r>
        <w:rPr/>
        <w:t>H</w:t>
      </w:r>
      <w:r>
        <w:rPr>
          <w:position w:val="-6"/>
          <w:sz w:val="11"/>
        </w:rPr>
        <w:t>2</w:t>
      </w:r>
      <w:r>
        <w:rPr/>
        <w:t>S/CO</w:t>
      </w:r>
      <w:r>
        <w:rPr>
          <w:position w:val="-6"/>
          <w:sz w:val="11"/>
        </w:rPr>
        <w:t>2</w:t>
      </w:r>
      <w:r>
        <w:rPr>
          <w:spacing w:val="10"/>
          <w:position w:val="-6"/>
          <w:sz w:val="11"/>
        </w:rPr>
        <w:t> </w:t>
      </w:r>
      <w:r>
        <w:rPr/>
        <w:t>co-capture</w:t>
      </w:r>
      <w:r>
        <w:rPr>
          <w:spacing w:val="-12"/>
        </w:rPr>
        <w:t> </w:t>
      </w:r>
      <w:r>
        <w:rPr/>
        <w:t>in</w:t>
      </w:r>
      <w:r>
        <w:rPr>
          <w:spacing w:val="-13"/>
        </w:rPr>
        <w:t> </w:t>
      </w:r>
      <w:r>
        <w:rPr/>
        <w:t>a single Selexol unit, as discussed</w:t>
      </w:r>
      <w:r>
        <w:rPr>
          <w:spacing w:val="-10"/>
        </w:rPr>
        <w:t> </w:t>
      </w:r>
      <w:r>
        <w:rPr/>
        <w:t>above.</w:t>
      </w:r>
    </w:p>
    <w:p>
      <w:pPr>
        <w:pStyle w:val="BodyText"/>
        <w:rPr>
          <w:sz w:val="21"/>
        </w:rPr>
      </w:pPr>
    </w:p>
    <w:p>
      <w:pPr>
        <w:pStyle w:val="ListParagraph"/>
        <w:numPr>
          <w:ilvl w:val="3"/>
          <w:numId w:val="21"/>
        </w:numPr>
        <w:tabs>
          <w:tab w:pos="937" w:val="left" w:leader="none"/>
        </w:tabs>
        <w:spacing w:line="240" w:lineRule="auto" w:before="0" w:after="0"/>
        <w:ind w:left="937" w:right="0" w:hanging="820"/>
        <w:jc w:val="both"/>
        <w:rPr>
          <w:i/>
          <w:sz w:val="20"/>
        </w:rPr>
      </w:pPr>
      <w:r>
        <w:rPr>
          <w:i/>
          <w:sz w:val="20"/>
        </w:rPr>
        <w:t>Carbon-based fluid fuels and</w:t>
      </w:r>
      <w:r>
        <w:rPr>
          <w:i/>
          <w:spacing w:val="-6"/>
          <w:sz w:val="20"/>
        </w:rPr>
        <w:t> </w:t>
      </w:r>
      <w:r>
        <w:rPr>
          <w:i/>
          <w:sz w:val="20"/>
        </w:rPr>
        <w:t>multi-products</w:t>
      </w:r>
    </w:p>
    <w:p>
      <w:pPr>
        <w:pStyle w:val="BodyText"/>
        <w:spacing w:before="10"/>
        <w:ind w:left="117"/>
        <w:jc w:val="both"/>
      </w:pPr>
      <w:r>
        <w:rPr/>
        <w:t>As discussed in Chapter 2, clean synthetic high H/C ratio fuels</w:t>
      </w:r>
    </w:p>
    <w:p>
      <w:pPr>
        <w:pStyle w:val="BodyText"/>
        <w:spacing w:line="194" w:lineRule="exact"/>
        <w:ind w:left="116"/>
        <w:jc w:val="both"/>
      </w:pPr>
      <w:r>
        <w:rPr/>
        <w:br w:type="column"/>
      </w:r>
      <w:r>
        <w:rPr/>
        <w:t>natural</w:t>
      </w:r>
      <w:r>
        <w:rPr>
          <w:spacing w:val="27"/>
        </w:rPr>
        <w:t> </w:t>
      </w:r>
      <w:r>
        <w:rPr/>
        <w:t>gas</w:t>
      </w:r>
      <w:r>
        <w:rPr>
          <w:spacing w:val="27"/>
        </w:rPr>
        <w:t> </w:t>
      </w:r>
      <w:r>
        <w:rPr/>
        <w:t>plant</w:t>
      </w:r>
      <w:r>
        <w:rPr>
          <w:spacing w:val="28"/>
        </w:rPr>
        <w:t> </w:t>
      </w:r>
      <w:r>
        <w:rPr/>
        <w:t>(see</w:t>
      </w:r>
      <w:r>
        <w:rPr>
          <w:spacing w:val="27"/>
        </w:rPr>
        <w:t> </w:t>
      </w:r>
      <w:hyperlink w:history="true" w:anchor="_bookmark18">
        <w:r>
          <w:rPr/>
          <w:t>Figure</w:t>
        </w:r>
        <w:r>
          <w:rPr>
            <w:spacing w:val="28"/>
          </w:rPr>
          <w:t> </w:t>
        </w:r>
        <w:r>
          <w:rPr/>
          <w:t>3.15)</w:t>
        </w:r>
      </w:hyperlink>
      <w:r>
        <w:rPr>
          <w:spacing w:val="27"/>
        </w:rPr>
        <w:t> </w:t>
      </w:r>
      <w:r>
        <w:rPr/>
        <w:t>have</w:t>
      </w:r>
      <w:r>
        <w:rPr>
          <w:spacing w:val="28"/>
        </w:rPr>
        <w:t> </w:t>
      </w:r>
      <w:r>
        <w:rPr/>
        <w:t>been</w:t>
      </w:r>
      <w:r>
        <w:rPr>
          <w:spacing w:val="27"/>
        </w:rPr>
        <w:t> </w:t>
      </w:r>
      <w:r>
        <w:rPr/>
        <w:t>transported</w:t>
      </w:r>
      <w:r>
        <w:rPr>
          <w:spacing w:val="28"/>
        </w:rPr>
        <w:t> </w:t>
      </w:r>
      <w:r>
        <w:rPr/>
        <w:t>by</w:t>
      </w:r>
    </w:p>
    <w:p>
      <w:pPr>
        <w:pStyle w:val="BodyText"/>
        <w:spacing w:before="10"/>
        <w:ind w:left="116"/>
        <w:jc w:val="both"/>
      </w:pPr>
      <w:r>
        <w:rPr/>
        <w:t>pipeline,</w:t>
      </w:r>
      <w:r>
        <w:rPr>
          <w:spacing w:val="31"/>
        </w:rPr>
        <w:t> </w:t>
      </w:r>
      <w:r>
        <w:rPr/>
        <w:t>300</w:t>
      </w:r>
      <w:r>
        <w:rPr>
          <w:spacing w:val="31"/>
        </w:rPr>
        <w:t> </w:t>
      </w:r>
      <w:r>
        <w:rPr/>
        <w:t>km</w:t>
      </w:r>
      <w:r>
        <w:rPr>
          <w:spacing w:val="32"/>
        </w:rPr>
        <w:t> </w:t>
      </w:r>
      <w:r>
        <w:rPr/>
        <w:t>to</w:t>
      </w:r>
      <w:r>
        <w:rPr>
          <w:spacing w:val="31"/>
        </w:rPr>
        <w:t> </w:t>
      </w:r>
      <w:r>
        <w:rPr/>
        <w:t>the</w:t>
      </w:r>
      <w:r>
        <w:rPr>
          <w:spacing w:val="29"/>
        </w:rPr>
        <w:t> </w:t>
      </w:r>
      <w:r>
        <w:rPr>
          <w:spacing w:val="-3"/>
        </w:rPr>
        <w:t>Weyburn</w:t>
      </w:r>
      <w:r>
        <w:rPr>
          <w:spacing w:val="31"/>
        </w:rPr>
        <w:t> </w:t>
      </w:r>
      <w:r>
        <w:rPr/>
        <w:t>oil</w:t>
      </w:r>
      <w:r>
        <w:rPr>
          <w:spacing w:val="32"/>
        </w:rPr>
        <w:t> </w:t>
      </w:r>
      <w:r>
        <w:rPr/>
        <w:t>field</w:t>
      </w:r>
      <w:r>
        <w:rPr>
          <w:spacing w:val="31"/>
        </w:rPr>
        <w:t> </w:t>
      </w:r>
      <w:r>
        <w:rPr/>
        <w:t>in</w:t>
      </w:r>
      <w:r>
        <w:rPr>
          <w:spacing w:val="32"/>
        </w:rPr>
        <w:t> </w:t>
      </w:r>
      <w:r>
        <w:rPr/>
        <w:t>Saskatchewan,</w:t>
      </w:r>
    </w:p>
    <w:p>
      <w:pPr>
        <w:pStyle w:val="BodyText"/>
        <w:spacing w:line="260" w:lineRule="exact" w:before="10"/>
        <w:ind w:left="116"/>
        <w:jc w:val="both"/>
      </w:pPr>
      <w:r>
        <w:rPr/>
        <w:t>Canada for enhanced oil recovery with CO</w:t>
      </w:r>
      <w:r>
        <w:rPr>
          <w:position w:val="-6"/>
          <w:sz w:val="11"/>
        </w:rPr>
        <w:t>2 </w:t>
      </w:r>
      <w:r>
        <w:rPr/>
        <w:t>storage.</w:t>
      </w:r>
    </w:p>
    <w:p>
      <w:pPr>
        <w:pStyle w:val="BodyText"/>
        <w:spacing w:line="225" w:lineRule="auto"/>
        <w:ind w:left="116" w:right="1131" w:firstLine="283"/>
        <w:jc w:val="both"/>
      </w:pPr>
      <w:r>
        <w:rPr/>
        <w:t>Synfuel</w:t>
      </w:r>
      <w:r>
        <w:rPr>
          <w:spacing w:val="-24"/>
        </w:rPr>
        <w:t> </w:t>
      </w:r>
      <w:r>
        <w:rPr/>
        <w:t>manufacture</w:t>
      </w:r>
      <w:r>
        <w:rPr>
          <w:spacing w:val="-23"/>
        </w:rPr>
        <w:t> </w:t>
      </w:r>
      <w:r>
        <w:rPr/>
        <w:t>involves</w:t>
      </w:r>
      <w:r>
        <w:rPr>
          <w:spacing w:val="-22"/>
        </w:rPr>
        <w:t> </w:t>
      </w:r>
      <w:r>
        <w:rPr/>
        <w:t>O</w:t>
      </w:r>
      <w:r>
        <w:rPr>
          <w:position w:val="-6"/>
          <w:sz w:val="11"/>
        </w:rPr>
        <w:t>2</w:t>
      </w:r>
      <w:r>
        <w:rPr/>
        <w:t>-blown</w:t>
      </w:r>
      <w:r>
        <w:rPr>
          <w:spacing w:val="-23"/>
        </w:rPr>
        <w:t> </w:t>
      </w:r>
      <w:r>
        <w:rPr/>
        <w:t>gasification</w:t>
      </w:r>
      <w:r>
        <w:rPr>
          <w:spacing w:val="-22"/>
        </w:rPr>
        <w:t> </w:t>
      </w:r>
      <w:r>
        <w:rPr/>
        <w:t>to</w:t>
      </w:r>
      <w:r>
        <w:rPr>
          <w:spacing w:val="-22"/>
        </w:rPr>
        <w:t> </w:t>
      </w:r>
      <w:r>
        <w:rPr/>
        <w:t>make syngas, gas cooling, gas clean-up, water gas shift and acid gas (H</w:t>
      </w:r>
      <w:r>
        <w:rPr>
          <w:position w:val="-6"/>
          <w:sz w:val="11"/>
        </w:rPr>
        <w:t>2</w:t>
      </w:r>
      <w:r>
        <w:rPr/>
        <w:t>S/CO</w:t>
      </w:r>
      <w:r>
        <w:rPr>
          <w:position w:val="-6"/>
          <w:sz w:val="11"/>
        </w:rPr>
        <w:t>2</w:t>
      </w:r>
      <w:r>
        <w:rPr/>
        <w:t>) removal. Subsequently cleaned syngas is</w:t>
      </w:r>
      <w:r>
        <w:rPr>
          <w:spacing w:val="29"/>
        </w:rPr>
        <w:t> </w:t>
      </w:r>
      <w:r>
        <w:rPr/>
        <w:t>converted</w:t>
      </w:r>
    </w:p>
    <w:p>
      <w:pPr>
        <w:pStyle w:val="BodyText"/>
        <w:spacing w:line="192" w:lineRule="exact"/>
        <w:ind w:left="116"/>
        <w:jc w:val="both"/>
      </w:pPr>
      <w:r>
        <w:rPr/>
        <w:t>catalytically  to  fuel  in  a  synthesis  reactor  and</w:t>
      </w:r>
      <w:r>
        <w:rPr>
          <w:spacing w:val="26"/>
        </w:rPr>
        <w:t> </w:t>
      </w:r>
      <w:r>
        <w:rPr/>
        <w:t>unconverted</w:t>
      </w:r>
    </w:p>
    <w:p>
      <w:pPr>
        <w:pStyle w:val="BodyText"/>
        <w:spacing w:line="249" w:lineRule="auto"/>
        <w:ind w:left="116" w:right="1130"/>
        <w:jc w:val="both"/>
      </w:pPr>
      <w:r>
        <w:rPr/>
        <w:t>syngas is separated from the liquid fuel product. At this point either most unconverted gas is recycled to the synthesis reactor to generate additional liquid fuel and the remaining unconverted gas is used to make electricity for onsite needs, or syngas</w:t>
      </w:r>
      <w:r>
        <w:rPr>
          <w:spacing w:val="-11"/>
        </w:rPr>
        <w:t> </w:t>
      </w:r>
      <w:r>
        <w:rPr/>
        <w:t>is</w:t>
      </w:r>
      <w:r>
        <w:rPr>
          <w:spacing w:val="-11"/>
        </w:rPr>
        <w:t> </w:t>
      </w:r>
      <w:r>
        <w:rPr/>
        <w:t>passed</w:t>
      </w:r>
      <w:r>
        <w:rPr>
          <w:spacing w:val="-11"/>
        </w:rPr>
        <w:t> </w:t>
      </w:r>
      <w:r>
        <w:rPr/>
        <w:t>only</w:t>
      </w:r>
      <w:r>
        <w:rPr>
          <w:spacing w:val="-11"/>
        </w:rPr>
        <w:t> </w:t>
      </w:r>
      <w:r>
        <w:rPr/>
        <w:t>once</w:t>
      </w:r>
      <w:r>
        <w:rPr>
          <w:spacing w:val="-11"/>
        </w:rPr>
        <w:t> </w:t>
      </w:r>
      <w:r>
        <w:rPr/>
        <w:t>through</w:t>
      </w:r>
      <w:r>
        <w:rPr>
          <w:spacing w:val="-11"/>
        </w:rPr>
        <w:t> </w:t>
      </w:r>
      <w:r>
        <w:rPr/>
        <w:t>the</w:t>
      </w:r>
      <w:r>
        <w:rPr>
          <w:spacing w:val="-11"/>
        </w:rPr>
        <w:t> </w:t>
      </w:r>
      <w:r>
        <w:rPr/>
        <w:t>synthesis</w:t>
      </w:r>
      <w:r>
        <w:rPr>
          <w:spacing w:val="-12"/>
        </w:rPr>
        <w:t> </w:t>
      </w:r>
      <w:r>
        <w:rPr/>
        <w:t>reactor,</w:t>
      </w:r>
      <w:r>
        <w:rPr>
          <w:spacing w:val="-11"/>
        </w:rPr>
        <w:t> </w:t>
      </w:r>
      <w:r>
        <w:rPr/>
        <w:t>and</w:t>
      </w:r>
      <w:r>
        <w:rPr>
          <w:spacing w:val="-11"/>
        </w:rPr>
        <w:t> </w:t>
      </w:r>
      <w:r>
        <w:rPr/>
        <w:t>all unconverted syngas is used for other purposes, for example, to make</w:t>
      </w:r>
      <w:r>
        <w:rPr>
          <w:spacing w:val="-4"/>
        </w:rPr>
        <w:t> </w:t>
      </w:r>
      <w:r>
        <w:rPr/>
        <w:t>electricity</w:t>
      </w:r>
      <w:r>
        <w:rPr>
          <w:spacing w:val="-3"/>
        </w:rPr>
        <w:t> </w:t>
      </w:r>
      <w:r>
        <w:rPr/>
        <w:t>for</w:t>
      </w:r>
      <w:r>
        <w:rPr>
          <w:spacing w:val="-4"/>
        </w:rPr>
        <w:t> </w:t>
      </w:r>
      <w:r>
        <w:rPr/>
        <w:t>sale</w:t>
      </w:r>
      <w:r>
        <w:rPr>
          <w:spacing w:val="-3"/>
        </w:rPr>
        <w:t> </w:t>
      </w:r>
      <w:r>
        <w:rPr/>
        <w:t>to</w:t>
      </w:r>
      <w:r>
        <w:rPr>
          <w:spacing w:val="-4"/>
        </w:rPr>
        <w:t> </w:t>
      </w:r>
      <w:r>
        <w:rPr/>
        <w:t>the</w:t>
      </w:r>
      <w:r>
        <w:rPr>
          <w:spacing w:val="-3"/>
        </w:rPr>
        <w:t> </w:t>
      </w:r>
      <w:r>
        <w:rPr/>
        <w:t>electric</w:t>
      </w:r>
      <w:r>
        <w:rPr>
          <w:spacing w:val="-4"/>
        </w:rPr>
        <w:t> </w:t>
      </w:r>
      <w:r>
        <w:rPr/>
        <w:t>grid</w:t>
      </w:r>
      <w:r>
        <w:rPr>
          <w:spacing w:val="-3"/>
        </w:rPr>
        <w:t> </w:t>
      </w:r>
      <w:r>
        <w:rPr/>
        <w:t>as</w:t>
      </w:r>
      <w:r>
        <w:rPr>
          <w:spacing w:val="-4"/>
        </w:rPr>
        <w:t> </w:t>
      </w:r>
      <w:r>
        <w:rPr/>
        <w:t>well</w:t>
      </w:r>
      <w:r>
        <w:rPr>
          <w:spacing w:val="-3"/>
        </w:rPr>
        <w:t> </w:t>
      </w:r>
      <w:r>
        <w:rPr/>
        <w:t>as</w:t>
      </w:r>
      <w:r>
        <w:rPr>
          <w:spacing w:val="-4"/>
        </w:rPr>
        <w:t> </w:t>
      </w:r>
      <w:r>
        <w:rPr/>
        <w:t>for</w:t>
      </w:r>
      <w:r>
        <w:rPr>
          <w:spacing w:val="-3"/>
        </w:rPr>
        <w:t> </w:t>
      </w:r>
      <w:r>
        <w:rPr/>
        <w:t>onsite use. The latter </w:t>
      </w:r>
      <w:r>
        <w:rPr>
          <w:i/>
        </w:rPr>
        <w:t>once through </w:t>
      </w:r>
      <w:r>
        <w:rPr/>
        <w:t>option is often more competitive as a technology option (Williams, 2000; Gray and Tomlinson, 2001; Larson and Ren, 2003; Celik </w:t>
      </w:r>
      <w:r>
        <w:rPr>
          <w:i/>
        </w:rPr>
        <w:t>et al.</w:t>
      </w:r>
      <w:r>
        <w:rPr/>
        <w:t>,</w:t>
      </w:r>
      <w:r>
        <w:rPr>
          <w:spacing w:val="-2"/>
        </w:rPr>
        <w:t> </w:t>
      </w:r>
      <w:r>
        <w:rPr/>
        <w:t>2005).</w:t>
      </w:r>
    </w:p>
    <w:p>
      <w:pPr>
        <w:pStyle w:val="BodyText"/>
        <w:spacing w:line="240" w:lineRule="exact" w:before="1"/>
        <w:ind w:left="116" w:right="1129" w:firstLine="283"/>
        <w:jc w:val="both"/>
      </w:pPr>
      <w:r>
        <w:rPr/>
        <w:t>New slurry-phase synthesis reactors make the once through configuration especially attractive for CO-rich (e.g., </w:t>
      </w:r>
      <w:r>
        <w:rPr>
          <w:spacing w:val="-3"/>
        </w:rPr>
        <w:t>coal- </w:t>
      </w:r>
      <w:r>
        <w:rPr/>
        <w:t>derived) syngas by making high once through conversion possible. For once through systems, a water gas shift reactor  is often placed upstream of the synthesis reactor to generate the H</w:t>
      </w:r>
      <w:r>
        <w:rPr>
          <w:position w:val="-6"/>
          <w:sz w:val="11"/>
        </w:rPr>
        <w:t>2</w:t>
      </w:r>
      <w:r>
        <w:rPr/>
        <w:t>/CO ratio that maximizes synfuel conversion in the synthesis reactor. It is desirable to remove most CO</w:t>
      </w:r>
      <w:r>
        <w:rPr>
          <w:position w:val="-6"/>
          <w:sz w:val="11"/>
        </w:rPr>
        <w:t>2 </w:t>
      </w:r>
      <w:r>
        <w:rPr/>
        <w:t>from shifted syngas to maximize synthetic fuel conversion. Also, because synthesis catalysts are extremely sensitive to H</w:t>
      </w:r>
      <w:r>
        <w:rPr>
          <w:position w:val="-6"/>
          <w:sz w:val="11"/>
        </w:rPr>
        <w:t>2</w:t>
      </w:r>
      <w:r>
        <w:rPr/>
        <w:t>S and various trace contaminants, these must be removed to very </w:t>
      </w:r>
      <w:r>
        <w:rPr>
          <w:spacing w:val="-4"/>
        </w:rPr>
        <w:t>low </w:t>
      </w:r>
      <w:r>
        <w:rPr/>
        <w:t>levels ahead of the synthesis reactor. Most trace metals can   be removed at low-cost using an activated carbon </w:t>
      </w:r>
      <w:r>
        <w:rPr>
          <w:spacing w:val="-3"/>
        </w:rPr>
        <w:t>filter. </w:t>
      </w:r>
      <w:r>
        <w:rPr/>
        <w:t>CO</w:t>
      </w:r>
      <w:r>
        <w:rPr>
          <w:position w:val="-6"/>
          <w:sz w:val="11"/>
        </w:rPr>
        <w:t>2 </w:t>
      </w:r>
      <w:r>
        <w:rPr/>
        <w:t>removal</w:t>
      </w:r>
      <w:r>
        <w:rPr>
          <w:spacing w:val="-9"/>
        </w:rPr>
        <w:t> </w:t>
      </w:r>
      <w:r>
        <w:rPr/>
        <w:t>from</w:t>
      </w:r>
      <w:r>
        <w:rPr>
          <w:spacing w:val="-8"/>
        </w:rPr>
        <w:t> </w:t>
      </w:r>
      <w:r>
        <w:rPr/>
        <w:t>syngas</w:t>
      </w:r>
      <w:r>
        <w:rPr>
          <w:spacing w:val="-8"/>
        </w:rPr>
        <w:t> </w:t>
      </w:r>
      <w:r>
        <w:rPr/>
        <w:t>upstream</w:t>
      </w:r>
      <w:r>
        <w:rPr>
          <w:spacing w:val="-8"/>
        </w:rPr>
        <w:t> </w:t>
      </w:r>
      <w:r>
        <w:rPr/>
        <w:t>of</w:t>
      </w:r>
      <w:r>
        <w:rPr>
          <w:spacing w:val="-9"/>
        </w:rPr>
        <w:t> </w:t>
      </w:r>
      <w:r>
        <w:rPr/>
        <w:t>the</w:t>
      </w:r>
      <w:r>
        <w:rPr>
          <w:spacing w:val="-8"/>
        </w:rPr>
        <w:t> </w:t>
      </w:r>
      <w:r>
        <w:rPr/>
        <w:t>synthesis</w:t>
      </w:r>
      <w:r>
        <w:rPr>
          <w:spacing w:val="-8"/>
        </w:rPr>
        <w:t> </w:t>
      </w:r>
      <w:r>
        <w:rPr/>
        <w:t>reactor</w:t>
      </w:r>
      <w:r>
        <w:rPr>
          <w:spacing w:val="-8"/>
        </w:rPr>
        <w:t> </w:t>
      </w:r>
      <w:r>
        <w:rPr/>
        <w:t>is</w:t>
      </w:r>
      <w:r>
        <w:rPr>
          <w:spacing w:val="-9"/>
        </w:rPr>
        <w:t> </w:t>
      </w:r>
      <w:r>
        <w:rPr/>
        <w:t>a</w:t>
      </w:r>
      <w:r>
        <w:rPr>
          <w:spacing w:val="-8"/>
        </w:rPr>
        <w:t> </w:t>
      </w:r>
      <w:r>
        <w:rPr/>
        <w:t>low- cost, partial de-carbonization option, especially when H</w:t>
      </w:r>
      <w:r>
        <w:rPr>
          <w:position w:val="-6"/>
          <w:sz w:val="11"/>
        </w:rPr>
        <w:t>2</w:t>
      </w:r>
      <w:r>
        <w:rPr/>
        <w:t>S and CO</w:t>
      </w:r>
      <w:r>
        <w:rPr>
          <w:position w:val="-6"/>
          <w:sz w:val="11"/>
        </w:rPr>
        <w:t>2 </w:t>
      </w:r>
      <w:r>
        <w:rPr/>
        <w:t>are co-captured and co-stored as an acid gas management strategy (Larson and Ren, 2003). Further de-carbonization can be</w:t>
      </w:r>
      <w:r>
        <w:rPr>
          <w:spacing w:val="-6"/>
        </w:rPr>
        <w:t> </w:t>
      </w:r>
      <w:r>
        <w:rPr/>
        <w:t>realized</w:t>
      </w:r>
      <w:r>
        <w:rPr>
          <w:spacing w:val="-6"/>
        </w:rPr>
        <w:t> </w:t>
      </w:r>
      <w:r>
        <w:rPr/>
        <w:t>in</w:t>
      </w:r>
      <w:r>
        <w:rPr>
          <w:spacing w:val="-6"/>
        </w:rPr>
        <w:t> </w:t>
      </w:r>
      <w:r>
        <w:rPr/>
        <w:t>once</w:t>
      </w:r>
      <w:r>
        <w:rPr>
          <w:spacing w:val="-5"/>
        </w:rPr>
        <w:t> </w:t>
      </w:r>
      <w:r>
        <w:rPr/>
        <w:t>through</w:t>
      </w:r>
      <w:r>
        <w:rPr>
          <w:spacing w:val="-6"/>
        </w:rPr>
        <w:t> </w:t>
      </w:r>
      <w:r>
        <w:rPr/>
        <w:t>systems,</w:t>
      </w:r>
      <w:r>
        <w:rPr>
          <w:spacing w:val="-6"/>
        </w:rPr>
        <w:t> </w:t>
      </w:r>
      <w:r>
        <w:rPr/>
        <w:t>at</w:t>
      </w:r>
      <w:r>
        <w:rPr>
          <w:spacing w:val="-6"/>
        </w:rPr>
        <w:t> </w:t>
      </w:r>
      <w:r>
        <w:rPr/>
        <w:t>higher</w:t>
      </w:r>
      <w:r>
        <w:rPr>
          <w:spacing w:val="-5"/>
        </w:rPr>
        <w:t> </w:t>
      </w:r>
      <w:r>
        <w:rPr/>
        <w:t>incremental</w:t>
      </w:r>
      <w:r>
        <w:rPr>
          <w:spacing w:val="-6"/>
        </w:rPr>
        <w:t> </w:t>
      </w:r>
      <w:r>
        <w:rPr/>
        <w:t>cost, by adding additional shift reactors downstream of the</w:t>
      </w:r>
      <w:r>
        <w:rPr>
          <w:spacing w:val="-29"/>
        </w:rPr>
        <w:t> </w:t>
      </w:r>
      <w:r>
        <w:rPr/>
        <w:t>synthesis reactor,</w:t>
      </w:r>
      <w:r>
        <w:rPr>
          <w:spacing w:val="-15"/>
        </w:rPr>
        <w:t> </w:t>
      </w:r>
      <w:r>
        <w:rPr/>
        <w:t>recovering</w:t>
      </w:r>
      <w:r>
        <w:rPr>
          <w:spacing w:val="-15"/>
        </w:rPr>
        <w:t> </w:t>
      </w:r>
      <w:r>
        <w:rPr/>
        <w:t>the</w:t>
      </w:r>
      <w:r>
        <w:rPr>
          <w:spacing w:val="-15"/>
        </w:rPr>
        <w:t> </w:t>
      </w:r>
      <w:r>
        <w:rPr/>
        <w:t>CO</w:t>
      </w:r>
      <w:r>
        <w:rPr>
          <w:position w:val="-6"/>
          <w:sz w:val="11"/>
        </w:rPr>
        <w:t>2</w:t>
      </w:r>
      <w:r>
        <w:rPr/>
        <w:t>,</w:t>
      </w:r>
      <w:r>
        <w:rPr>
          <w:spacing w:val="-15"/>
        </w:rPr>
        <w:t> </w:t>
      </w:r>
      <w:r>
        <w:rPr/>
        <w:t>and</w:t>
      </w:r>
      <w:r>
        <w:rPr>
          <w:spacing w:val="-15"/>
        </w:rPr>
        <w:t> </w:t>
      </w:r>
      <w:r>
        <w:rPr/>
        <w:t>using</w:t>
      </w:r>
      <w:r>
        <w:rPr>
          <w:spacing w:val="-15"/>
        </w:rPr>
        <w:t> </w:t>
      </w:r>
      <w:r>
        <w:rPr/>
        <w:t>the</w:t>
      </w:r>
      <w:r>
        <w:rPr>
          <w:spacing w:val="-15"/>
        </w:rPr>
        <w:t> </w:t>
      </w:r>
      <w:r>
        <w:rPr/>
        <w:t>CO</w:t>
      </w:r>
      <w:r>
        <w:rPr>
          <w:position w:val="-6"/>
          <w:sz w:val="11"/>
        </w:rPr>
        <w:t>2</w:t>
      </w:r>
      <w:r>
        <w:rPr/>
        <w:t>-depleted,</w:t>
      </w:r>
      <w:r>
        <w:rPr>
          <w:spacing w:val="-15"/>
        </w:rPr>
        <w:t> </w:t>
      </w:r>
      <w:r>
        <w:rPr/>
        <w:t>H</w:t>
      </w:r>
      <w:r>
        <w:rPr>
          <w:position w:val="-6"/>
          <w:sz w:val="11"/>
        </w:rPr>
        <w:t>2</w:t>
      </w:r>
      <w:r>
        <w:rPr/>
        <w:t>-rich syngas to make electricity or some mix of electricity plus H</w:t>
      </w:r>
      <w:r>
        <w:rPr>
          <w:position w:val="-6"/>
          <w:sz w:val="11"/>
        </w:rPr>
        <w:t>2 </w:t>
      </w:r>
      <w:r>
        <w:rPr/>
        <w:t>in a ‘polygeneration’ configuration (see </w:t>
      </w:r>
      <w:hyperlink w:history="true" w:anchor="_bookmark19">
        <w:r>
          <w:rPr/>
          <w:t>Figure 3.16). </w:t>
        </w:r>
      </w:hyperlink>
      <w:r>
        <w:rPr/>
        <w:t>The</w:t>
      </w:r>
      <w:r>
        <w:rPr>
          <w:spacing w:val="-36"/>
        </w:rPr>
        <w:t> </w:t>
      </w:r>
      <w:r>
        <w:rPr/>
        <w:t>relative amounts of H</w:t>
      </w:r>
      <w:r>
        <w:rPr>
          <w:position w:val="-6"/>
          <w:sz w:val="11"/>
        </w:rPr>
        <w:t>2 </w:t>
      </w:r>
      <w:r>
        <w:rPr/>
        <w:t>and electricity produced would depend mainly on</w:t>
      </w:r>
      <w:r>
        <w:rPr>
          <w:spacing w:val="-6"/>
        </w:rPr>
        <w:t> </w:t>
      </w:r>
      <w:r>
        <w:rPr/>
        <w:t>relative</w:t>
      </w:r>
      <w:r>
        <w:rPr>
          <w:spacing w:val="-6"/>
        </w:rPr>
        <w:t> </w:t>
      </w:r>
      <w:r>
        <w:rPr/>
        <w:t>demands,</w:t>
      </w:r>
      <w:r>
        <w:rPr>
          <w:spacing w:val="-5"/>
        </w:rPr>
        <w:t> </w:t>
      </w:r>
      <w:r>
        <w:rPr/>
        <w:t>as</w:t>
      </w:r>
      <w:r>
        <w:rPr>
          <w:spacing w:val="-6"/>
        </w:rPr>
        <w:t> </w:t>
      </w:r>
      <w:r>
        <w:rPr/>
        <w:t>there</w:t>
      </w:r>
      <w:r>
        <w:rPr>
          <w:spacing w:val="-6"/>
        </w:rPr>
        <w:t> </w:t>
      </w:r>
      <w:r>
        <w:rPr/>
        <w:t>do</w:t>
      </w:r>
      <w:r>
        <w:rPr>
          <w:spacing w:val="-5"/>
        </w:rPr>
        <w:t> </w:t>
      </w:r>
      <w:r>
        <w:rPr/>
        <w:t>not</w:t>
      </w:r>
      <w:r>
        <w:rPr>
          <w:spacing w:val="-6"/>
        </w:rPr>
        <w:t> </w:t>
      </w:r>
      <w:r>
        <w:rPr/>
        <w:t>seem</w:t>
      </w:r>
      <w:r>
        <w:rPr>
          <w:spacing w:val="-6"/>
        </w:rPr>
        <w:t> </w:t>
      </w:r>
      <w:r>
        <w:rPr/>
        <w:t>to</w:t>
      </w:r>
      <w:r>
        <w:rPr>
          <w:spacing w:val="-5"/>
        </w:rPr>
        <w:t> </w:t>
      </w:r>
      <w:r>
        <w:rPr/>
        <w:t>be</w:t>
      </w:r>
      <w:r>
        <w:rPr>
          <w:spacing w:val="-5"/>
        </w:rPr>
        <w:t> </w:t>
      </w:r>
      <w:r>
        <w:rPr/>
        <w:t>thermodynamic or</w:t>
      </w:r>
      <w:r>
        <w:rPr>
          <w:spacing w:val="-8"/>
        </w:rPr>
        <w:t> </w:t>
      </w:r>
      <w:r>
        <w:rPr/>
        <w:t>cost</w:t>
      </w:r>
      <w:r>
        <w:rPr>
          <w:spacing w:val="-8"/>
        </w:rPr>
        <w:t> </w:t>
      </w:r>
      <w:r>
        <w:rPr/>
        <w:t>advantages</w:t>
      </w:r>
      <w:r>
        <w:rPr>
          <w:spacing w:val="-8"/>
        </w:rPr>
        <w:t> </w:t>
      </w:r>
      <w:r>
        <w:rPr/>
        <w:t>for</w:t>
      </w:r>
      <w:r>
        <w:rPr>
          <w:spacing w:val="-7"/>
        </w:rPr>
        <w:t> </w:t>
      </w:r>
      <w:r>
        <w:rPr/>
        <w:t>particular</w:t>
      </w:r>
      <w:r>
        <w:rPr>
          <w:spacing w:val="-8"/>
        </w:rPr>
        <w:t> </w:t>
      </w:r>
      <w:r>
        <w:rPr/>
        <w:t>H</w:t>
      </w:r>
      <w:r>
        <w:rPr>
          <w:position w:val="-6"/>
          <w:sz w:val="11"/>
        </w:rPr>
        <w:t>2</w:t>
      </w:r>
      <w:r>
        <w:rPr/>
        <w:t>/electricity</w:t>
      </w:r>
      <w:r>
        <w:rPr>
          <w:spacing w:val="-8"/>
        </w:rPr>
        <w:t> </w:t>
      </w:r>
      <w:r>
        <w:rPr/>
        <w:t>production</w:t>
      </w:r>
      <w:r>
        <w:rPr>
          <w:spacing w:val="-8"/>
        </w:rPr>
        <w:t> </w:t>
      </w:r>
      <w:r>
        <w:rPr/>
        <w:t>ratios (Chiesa </w:t>
      </w:r>
      <w:r>
        <w:rPr>
          <w:i/>
        </w:rPr>
        <w:t>et al.</w:t>
      </w:r>
      <w:r>
        <w:rPr/>
        <w:t>, 2005; Kreutz </w:t>
      </w:r>
      <w:r>
        <w:rPr>
          <w:i/>
        </w:rPr>
        <w:t>et al.</w:t>
      </w:r>
      <w:r>
        <w:rPr/>
        <w:t>, 2005). When syngas is de- carbonized both upstream and downstream of the synthesis reactor (see </w:t>
      </w:r>
      <w:hyperlink w:history="true" w:anchor="_bookmark19">
        <w:r>
          <w:rPr/>
          <w:t>Figure 3.16) </w:t>
        </w:r>
      </w:hyperlink>
      <w:r>
        <w:rPr/>
        <w:t>it is feasible to capture and store as CO</w:t>
      </w:r>
      <w:r>
        <w:rPr>
          <w:position w:val="-6"/>
          <w:sz w:val="11"/>
        </w:rPr>
        <w:t>2</w:t>
      </w:r>
      <w:r>
        <w:rPr>
          <w:spacing w:val="10"/>
          <w:position w:val="-6"/>
          <w:sz w:val="11"/>
        </w:rPr>
        <w:t> </w:t>
      </w:r>
      <w:r>
        <w:rPr/>
        <w:t>up</w:t>
      </w:r>
      <w:r>
        <w:rPr>
          <w:spacing w:val="15"/>
        </w:rPr>
        <w:t> </w:t>
      </w:r>
      <w:r>
        <w:rPr/>
        <w:t>to</w:t>
      </w:r>
      <w:r>
        <w:rPr>
          <w:spacing w:val="15"/>
        </w:rPr>
        <w:t> </w:t>
      </w:r>
      <w:r>
        <w:rPr/>
        <w:t>90%</w:t>
      </w:r>
      <w:r>
        <w:rPr>
          <w:spacing w:val="16"/>
        </w:rPr>
        <w:t> </w:t>
      </w:r>
      <w:r>
        <w:rPr/>
        <w:t>of</w:t>
      </w:r>
      <w:r>
        <w:rPr>
          <w:spacing w:val="15"/>
        </w:rPr>
        <w:t> </w:t>
      </w:r>
      <w:r>
        <w:rPr/>
        <w:t>the</w:t>
      </w:r>
      <w:r>
        <w:rPr>
          <w:spacing w:val="15"/>
        </w:rPr>
        <w:t> </w:t>
      </w:r>
      <w:r>
        <w:rPr/>
        <w:t>carbon</w:t>
      </w:r>
      <w:r>
        <w:rPr>
          <w:spacing w:val="15"/>
        </w:rPr>
        <w:t> </w:t>
      </w:r>
      <w:r>
        <w:rPr/>
        <w:t>in</w:t>
      </w:r>
      <w:r>
        <w:rPr>
          <w:spacing w:val="16"/>
        </w:rPr>
        <w:t> </w:t>
      </w:r>
      <w:r>
        <w:rPr/>
        <w:t>the</w:t>
      </w:r>
      <w:r>
        <w:rPr>
          <w:spacing w:val="15"/>
        </w:rPr>
        <w:t> </w:t>
      </w:r>
      <w:r>
        <w:rPr/>
        <w:t>original</w:t>
      </w:r>
      <w:r>
        <w:rPr>
          <w:spacing w:val="15"/>
        </w:rPr>
        <w:t> </w:t>
      </w:r>
      <w:r>
        <w:rPr/>
        <w:t>feedstock</w:t>
      </w:r>
      <w:r>
        <w:rPr>
          <w:spacing w:val="15"/>
        </w:rPr>
        <w:t> </w:t>
      </w:r>
      <w:r>
        <w:rPr/>
        <w:t>except</w:t>
      </w:r>
    </w:p>
    <w:p>
      <w:pPr>
        <w:spacing w:after="0" w:line="240" w:lineRule="exact"/>
        <w:jc w:val="both"/>
        <w:sectPr>
          <w:type w:val="continuous"/>
          <w:pgSz w:w="12240" w:h="15840"/>
          <w:pgMar w:top="480" w:bottom="280" w:left="620" w:right="0"/>
          <w:cols w:num="2" w:equalWidth="0">
            <w:col w:w="5202" w:space="125"/>
            <w:col w:w="6293"/>
          </w:cols>
        </w:sectPr>
      </w:pPr>
    </w:p>
    <w:p>
      <w:pPr>
        <w:pStyle w:val="BodyText"/>
        <w:spacing w:before="11"/>
        <w:rPr>
          <w:sz w:val="27"/>
        </w:rPr>
      </w:pPr>
    </w:p>
    <w:tbl>
      <w:tblPr>
        <w:tblW w:w="0" w:type="auto"/>
        <w:jc w:val="left"/>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69"/>
      </w:tblGrid>
      <w:tr>
        <w:trPr>
          <w:trHeight w:val="2620" w:hRule="atLeast"/>
        </w:trPr>
        <w:tc>
          <w:tcPr>
            <w:tcW w:w="10369" w:type="dxa"/>
          </w:tcPr>
          <w:p>
            <w:pPr>
              <w:pStyle w:val="TableParagraph"/>
              <w:spacing w:before="10" w:after="1"/>
              <w:jc w:val="left"/>
              <w:rPr>
                <w:sz w:val="14"/>
              </w:rPr>
            </w:pPr>
          </w:p>
          <w:p>
            <w:pPr>
              <w:pStyle w:val="TableParagraph"/>
              <w:ind w:left="144"/>
              <w:jc w:val="left"/>
              <w:rPr>
                <w:sz w:val="20"/>
              </w:rPr>
            </w:pPr>
            <w:r>
              <w:rPr>
                <w:sz w:val="20"/>
              </w:rPr>
              <w:drawing>
                <wp:inline distT="0" distB="0" distL="0" distR="0">
                  <wp:extent cx="6423893" cy="1450848"/>
                  <wp:effectExtent l="0" t="0" r="0" b="0"/>
                  <wp:docPr id="41" name="image167.png"/>
                  <wp:cNvGraphicFramePr>
                    <a:graphicFrameLocks noChangeAspect="1"/>
                  </wp:cNvGraphicFramePr>
                  <a:graphic>
                    <a:graphicData uri="http://schemas.openxmlformats.org/drawingml/2006/picture">
                      <pic:pic>
                        <pic:nvPicPr>
                          <pic:cNvPr id="42" name="image167.png"/>
                          <pic:cNvPicPr/>
                        </pic:nvPicPr>
                        <pic:blipFill>
                          <a:blip r:embed="rId173" cstate="print"/>
                          <a:stretch>
                            <a:fillRect/>
                          </a:stretch>
                        </pic:blipFill>
                        <pic:spPr>
                          <a:xfrm>
                            <a:off x="0" y="0"/>
                            <a:ext cx="6423893" cy="1450848"/>
                          </a:xfrm>
                          <a:prstGeom prst="rect">
                            <a:avLst/>
                          </a:prstGeom>
                        </pic:spPr>
                      </pic:pic>
                    </a:graphicData>
                  </a:graphic>
                </wp:inline>
              </w:drawing>
            </w:r>
            <w:r>
              <w:rPr>
                <w:sz w:val="20"/>
              </w:rPr>
            </w:r>
          </w:p>
        </w:tc>
      </w:tr>
    </w:tbl>
    <w:p>
      <w:pPr>
        <w:pStyle w:val="BodyText"/>
        <w:spacing w:before="1"/>
        <w:rPr>
          <w:sz w:val="6"/>
        </w:rPr>
      </w:pPr>
    </w:p>
    <w:p>
      <w:pPr>
        <w:spacing w:before="67"/>
        <w:ind w:left="518" w:right="0" w:firstLine="0"/>
        <w:jc w:val="left"/>
        <w:rPr>
          <w:sz w:val="18"/>
        </w:rPr>
      </w:pPr>
      <w:bookmarkStart w:name="_bookmark19" w:id="51"/>
      <w:bookmarkEnd w:id="51"/>
      <w:r>
        <w:rPr/>
      </w:r>
      <w:r>
        <w:rPr>
          <w:b/>
          <w:sz w:val="18"/>
        </w:rPr>
        <w:t>Figure 3.16 </w:t>
      </w:r>
      <w:r>
        <w:rPr>
          <w:sz w:val="18"/>
        </w:rPr>
        <w:t>Making liquid fuel, electricity and hydrogen from coal via gasification, with CO</w:t>
      </w:r>
      <w:r>
        <w:rPr>
          <w:position w:val="-5"/>
          <w:sz w:val="10"/>
        </w:rPr>
        <w:t>2 </w:t>
      </w:r>
      <w:r>
        <w:rPr>
          <w:sz w:val="18"/>
        </w:rPr>
        <w:t>capture and storage.</w:t>
      </w:r>
    </w:p>
    <w:p>
      <w:pPr>
        <w:pStyle w:val="BodyText"/>
        <w:spacing w:before="10"/>
        <w:rPr>
          <w:sz w:val="12"/>
        </w:rPr>
      </w:pPr>
    </w:p>
    <w:p>
      <w:pPr>
        <w:spacing w:after="0"/>
        <w:rPr>
          <w:sz w:val="12"/>
        </w:rPr>
        <w:sectPr>
          <w:pgSz w:w="12240" w:h="15840"/>
          <w:pgMar w:header="567" w:footer="0" w:top="800" w:bottom="280" w:left="620" w:right="0"/>
        </w:sectPr>
      </w:pPr>
    </w:p>
    <w:p>
      <w:pPr>
        <w:pStyle w:val="BodyText"/>
        <w:spacing w:before="64"/>
        <w:ind w:left="513"/>
        <w:jc w:val="both"/>
      </w:pPr>
      <w:r>
        <w:rPr/>
        <w:t>that contained in the synthetic fuel produced.</w:t>
      </w:r>
    </w:p>
    <w:p>
      <w:pPr>
        <w:pStyle w:val="BodyText"/>
        <w:spacing w:line="240" w:lineRule="exact" w:before="5"/>
        <w:ind w:left="513" w:right="7" w:firstLine="283"/>
        <w:jc w:val="both"/>
      </w:pPr>
      <w:r>
        <w:rPr/>
        <w:t>An example of such a system (Celik </w:t>
      </w:r>
      <w:r>
        <w:rPr>
          <w:i/>
        </w:rPr>
        <w:t>et al.</w:t>
      </w:r>
      <w:r>
        <w:rPr/>
        <w:t>, 2005) is one making 600 MW of dimethyl ether (containing 27% of coal input energy and 20% of coal input carbon) plus 365 MW </w:t>
      </w:r>
      <w:r>
        <w:rPr>
          <w:spacing w:val="-5"/>
        </w:rPr>
        <w:t>of </w:t>
      </w:r>
      <w:r>
        <w:rPr/>
        <w:t>electricity (no H</w:t>
      </w:r>
      <w:r>
        <w:rPr>
          <w:position w:val="-6"/>
          <w:sz w:val="11"/>
        </w:rPr>
        <w:t>2</w:t>
      </w:r>
      <w:r>
        <w:rPr/>
        <w:t>) from coal. For this system the CO</w:t>
      </w:r>
      <w:r>
        <w:rPr>
          <w:position w:val="-6"/>
          <w:sz w:val="11"/>
        </w:rPr>
        <w:t>2 </w:t>
      </w:r>
      <w:r>
        <w:rPr/>
        <w:t>storage rate (equivalent to 74% of C in coal) is 3.8 Mtonnes yr</w:t>
      </w:r>
      <w:r>
        <w:rPr>
          <w:position w:val="7"/>
          <w:sz w:val="11"/>
        </w:rPr>
        <w:t>-1 </w:t>
      </w:r>
      <w:r>
        <w:rPr/>
        <w:t>(39% from upstream of the synthesis reactor). The estimated fuel cycle-wide GHG emissions for dimethyl ether are 0.9 times those</w:t>
      </w:r>
      <w:r>
        <w:rPr>
          <w:spacing w:val="18"/>
        </w:rPr>
        <w:t> </w:t>
      </w:r>
      <w:r>
        <w:rPr/>
        <w:t>for</w:t>
      </w:r>
      <w:r>
        <w:rPr>
          <w:spacing w:val="18"/>
        </w:rPr>
        <w:t> </w:t>
      </w:r>
      <w:r>
        <w:rPr/>
        <w:t>crude</w:t>
      </w:r>
      <w:r>
        <w:rPr>
          <w:spacing w:val="17"/>
        </w:rPr>
        <w:t> </w:t>
      </w:r>
      <w:r>
        <w:rPr/>
        <w:t>oil-derived</w:t>
      </w:r>
      <w:r>
        <w:rPr>
          <w:spacing w:val="17"/>
        </w:rPr>
        <w:t> </w:t>
      </w:r>
      <w:r>
        <w:rPr/>
        <w:t>diesel</w:t>
      </w:r>
      <w:r>
        <w:rPr>
          <w:spacing w:val="17"/>
        </w:rPr>
        <w:t> </w:t>
      </w:r>
      <w:r>
        <w:rPr/>
        <w:t>and</w:t>
      </w:r>
      <w:r>
        <w:rPr>
          <w:spacing w:val="18"/>
        </w:rPr>
        <w:t> </w:t>
      </w:r>
      <w:r>
        <w:rPr/>
        <w:t>those</w:t>
      </w:r>
      <w:r>
        <w:rPr>
          <w:spacing w:val="18"/>
        </w:rPr>
        <w:t> </w:t>
      </w:r>
      <w:r>
        <w:rPr/>
        <w:t>for</w:t>
      </w:r>
      <w:r>
        <w:rPr>
          <w:spacing w:val="18"/>
        </w:rPr>
        <w:t> </w:t>
      </w:r>
      <w:r>
        <w:rPr/>
        <w:t>electricity</w:t>
      </w:r>
      <w:r>
        <w:rPr>
          <w:spacing w:val="17"/>
        </w:rPr>
        <w:t> </w:t>
      </w:r>
      <w:r>
        <w:rPr>
          <w:spacing w:val="-4"/>
        </w:rPr>
        <w:t>are</w:t>
      </w:r>
    </w:p>
    <w:p>
      <w:pPr>
        <w:pStyle w:val="BodyText"/>
        <w:spacing w:before="5"/>
        <w:ind w:left="513"/>
        <w:jc w:val="both"/>
      </w:pPr>
      <w:r>
        <w:rPr/>
        <w:t>0.09</w:t>
      </w:r>
      <w:r>
        <w:rPr>
          <w:spacing w:val="-6"/>
        </w:rPr>
        <w:t> </w:t>
      </w:r>
      <w:r>
        <w:rPr/>
        <w:t>times</w:t>
      </w:r>
      <w:r>
        <w:rPr>
          <w:spacing w:val="-7"/>
        </w:rPr>
        <w:t> </w:t>
      </w:r>
      <w:r>
        <w:rPr/>
        <w:t>those</w:t>
      </w:r>
      <w:r>
        <w:rPr>
          <w:spacing w:val="-5"/>
        </w:rPr>
        <w:t> </w:t>
      </w:r>
      <w:r>
        <w:rPr/>
        <w:t>for</w:t>
      </w:r>
      <w:r>
        <w:rPr>
          <w:spacing w:val="-6"/>
        </w:rPr>
        <w:t> </w:t>
      </w:r>
      <w:r>
        <w:rPr/>
        <w:t>a</w:t>
      </w:r>
      <w:r>
        <w:rPr>
          <w:spacing w:val="-5"/>
        </w:rPr>
        <w:t> </w:t>
      </w:r>
      <w:r>
        <w:rPr/>
        <w:t>43%</w:t>
      </w:r>
      <w:r>
        <w:rPr>
          <w:spacing w:val="-6"/>
        </w:rPr>
        <w:t> </w:t>
      </w:r>
      <w:r>
        <w:rPr/>
        <w:t>efficient</w:t>
      </w:r>
      <w:r>
        <w:rPr>
          <w:spacing w:val="-7"/>
        </w:rPr>
        <w:t> </w:t>
      </w:r>
      <w:r>
        <w:rPr/>
        <w:t>coal-fired</w:t>
      </w:r>
      <w:r>
        <w:rPr>
          <w:spacing w:val="-5"/>
        </w:rPr>
        <w:t> </w:t>
      </w:r>
      <w:r>
        <w:rPr/>
        <w:t>power</w:t>
      </w:r>
      <w:r>
        <w:rPr>
          <w:spacing w:val="-6"/>
        </w:rPr>
        <w:t> </w:t>
      </w:r>
      <w:r>
        <w:rPr/>
        <w:t>plant</w:t>
      </w:r>
      <w:r>
        <w:rPr>
          <w:spacing w:val="-5"/>
        </w:rPr>
        <w:t> </w:t>
      </w:r>
      <w:r>
        <w:rPr/>
        <w:t>with</w:t>
      </w:r>
    </w:p>
    <w:p>
      <w:pPr>
        <w:pStyle w:val="BodyText"/>
        <w:spacing w:before="10"/>
        <w:ind w:left="513"/>
        <w:jc w:val="both"/>
      </w:pPr>
      <w:r>
        <w:rPr/>
        <w:t>CO</w:t>
      </w:r>
      <w:r>
        <w:rPr>
          <w:position w:val="-6"/>
          <w:sz w:val="11"/>
        </w:rPr>
        <w:t>2 </w:t>
      </w:r>
      <w:r>
        <w:rPr/>
        <w:t>vented.</w:t>
      </w:r>
    </w:p>
    <w:p>
      <w:pPr>
        <w:pStyle w:val="ListParagraph"/>
        <w:numPr>
          <w:ilvl w:val="3"/>
          <w:numId w:val="21"/>
        </w:numPr>
        <w:tabs>
          <w:tab w:pos="1334" w:val="left" w:leader="none"/>
        </w:tabs>
        <w:spacing w:line="240" w:lineRule="auto" w:before="199" w:after="0"/>
        <w:ind w:left="1333" w:right="0" w:hanging="821"/>
        <w:jc w:val="both"/>
        <w:rPr>
          <w:i/>
          <w:sz w:val="20"/>
        </w:rPr>
      </w:pPr>
      <w:r>
        <w:rPr>
          <w:i/>
          <w:sz w:val="20"/>
        </w:rPr>
        <w:t>Pressure swing</w:t>
      </w:r>
      <w:r>
        <w:rPr>
          <w:i/>
          <w:spacing w:val="-2"/>
          <w:sz w:val="20"/>
        </w:rPr>
        <w:t> </w:t>
      </w:r>
      <w:r>
        <w:rPr>
          <w:i/>
          <w:sz w:val="20"/>
        </w:rPr>
        <w:t>adsorption</w:t>
      </w:r>
    </w:p>
    <w:p>
      <w:pPr>
        <w:pStyle w:val="BodyText"/>
        <w:spacing w:line="240" w:lineRule="exact" w:before="5"/>
        <w:ind w:left="513" w:right="8"/>
        <w:jc w:val="both"/>
      </w:pPr>
      <w:r>
        <w:rPr/>
        <w:t>Pressure Swing Adsorption (PSA) is the system of choice for the purification of syngas, where high purity H</w:t>
      </w:r>
      <w:r>
        <w:rPr>
          <w:position w:val="-6"/>
          <w:sz w:val="11"/>
        </w:rPr>
        <w:t>2 </w:t>
      </w:r>
      <w:r>
        <w:rPr/>
        <w:t>is required. However, it does not selectively separate CO</w:t>
      </w:r>
      <w:r>
        <w:rPr>
          <w:position w:val="-6"/>
          <w:sz w:val="11"/>
        </w:rPr>
        <w:t>2 </w:t>
      </w:r>
      <w:r>
        <w:rPr/>
        <w:t>from the other waste</w:t>
      </w:r>
      <w:r>
        <w:rPr>
          <w:spacing w:val="-23"/>
        </w:rPr>
        <w:t> </w:t>
      </w:r>
      <w:r>
        <w:rPr/>
        <w:t>gases</w:t>
      </w:r>
      <w:r>
        <w:rPr>
          <w:spacing w:val="-22"/>
        </w:rPr>
        <w:t> </w:t>
      </w:r>
      <w:r>
        <w:rPr/>
        <w:t>and</w:t>
      </w:r>
      <w:r>
        <w:rPr>
          <w:spacing w:val="-23"/>
        </w:rPr>
        <w:t> </w:t>
      </w:r>
      <w:r>
        <w:rPr/>
        <w:t>so</w:t>
      </w:r>
      <w:r>
        <w:rPr>
          <w:spacing w:val="-22"/>
        </w:rPr>
        <w:t> </w:t>
      </w:r>
      <w:r>
        <w:rPr/>
        <w:t>for</w:t>
      </w:r>
      <w:r>
        <w:rPr>
          <w:spacing w:val="-23"/>
        </w:rPr>
        <w:t> </w:t>
      </w:r>
      <w:r>
        <w:rPr/>
        <w:t>an</w:t>
      </w:r>
      <w:r>
        <w:rPr>
          <w:spacing w:val="-22"/>
        </w:rPr>
        <w:t> </w:t>
      </w:r>
      <w:r>
        <w:rPr/>
        <w:t>SMR</w:t>
      </w:r>
      <w:r>
        <w:rPr>
          <w:spacing w:val="-23"/>
        </w:rPr>
        <w:t> </w:t>
      </w:r>
      <w:r>
        <w:rPr/>
        <w:t>application</w:t>
      </w:r>
      <w:r>
        <w:rPr>
          <w:spacing w:val="-22"/>
        </w:rPr>
        <w:t> </w:t>
      </w:r>
      <w:r>
        <w:rPr/>
        <w:t>the</w:t>
      </w:r>
      <w:r>
        <w:rPr>
          <w:spacing w:val="-23"/>
        </w:rPr>
        <w:t> </w:t>
      </w:r>
      <w:r>
        <w:rPr/>
        <w:t>CO</w:t>
      </w:r>
      <w:r>
        <w:rPr>
          <w:position w:val="-6"/>
          <w:sz w:val="11"/>
        </w:rPr>
        <w:t>2</w:t>
      </w:r>
      <w:r>
        <w:rPr>
          <w:spacing w:val="1"/>
          <w:position w:val="-6"/>
          <w:sz w:val="11"/>
        </w:rPr>
        <w:t> </w:t>
      </w:r>
      <w:r>
        <w:rPr/>
        <w:t>concentration in</w:t>
      </w:r>
      <w:r>
        <w:rPr>
          <w:spacing w:val="-13"/>
        </w:rPr>
        <w:t> </w:t>
      </w:r>
      <w:r>
        <w:rPr/>
        <w:t>the</w:t>
      </w:r>
      <w:r>
        <w:rPr>
          <w:spacing w:val="-13"/>
        </w:rPr>
        <w:t> </w:t>
      </w:r>
      <w:r>
        <w:rPr/>
        <w:t>waste</w:t>
      </w:r>
      <w:r>
        <w:rPr>
          <w:spacing w:val="-13"/>
        </w:rPr>
        <w:t> </w:t>
      </w:r>
      <w:r>
        <w:rPr/>
        <w:t>gas</w:t>
      </w:r>
      <w:r>
        <w:rPr>
          <w:spacing w:val="-13"/>
        </w:rPr>
        <w:t> </w:t>
      </w:r>
      <w:r>
        <w:rPr/>
        <w:t>would</w:t>
      </w:r>
      <w:r>
        <w:rPr>
          <w:spacing w:val="-12"/>
        </w:rPr>
        <w:t> </w:t>
      </w:r>
      <w:r>
        <w:rPr/>
        <w:t>be</w:t>
      </w:r>
      <w:r>
        <w:rPr>
          <w:spacing w:val="-13"/>
        </w:rPr>
        <w:t> </w:t>
      </w:r>
      <w:r>
        <w:rPr/>
        <w:t>40-50%</w:t>
      </w:r>
      <w:r>
        <w:rPr>
          <w:spacing w:val="-13"/>
        </w:rPr>
        <w:t> </w:t>
      </w:r>
      <w:r>
        <w:rPr/>
        <w:t>and</w:t>
      </w:r>
      <w:r>
        <w:rPr>
          <w:spacing w:val="-13"/>
        </w:rPr>
        <w:t> </w:t>
      </w:r>
      <w:r>
        <w:rPr/>
        <w:t>require</w:t>
      </w:r>
      <w:r>
        <w:rPr>
          <w:spacing w:val="-12"/>
        </w:rPr>
        <w:t> </w:t>
      </w:r>
      <w:r>
        <w:rPr/>
        <w:t>further</w:t>
      </w:r>
      <w:r>
        <w:rPr>
          <w:spacing w:val="-13"/>
        </w:rPr>
        <w:t> </w:t>
      </w:r>
      <w:r>
        <w:rPr/>
        <w:t>upgrading to produce pure CO</w:t>
      </w:r>
      <w:r>
        <w:rPr>
          <w:position w:val="-6"/>
          <w:sz w:val="11"/>
        </w:rPr>
        <w:t>2 </w:t>
      </w:r>
      <w:r>
        <w:rPr/>
        <w:t>for storage. Simultaneous H</w:t>
      </w:r>
      <w:r>
        <w:rPr>
          <w:position w:val="-6"/>
          <w:sz w:val="11"/>
        </w:rPr>
        <w:t>2 </w:t>
      </w:r>
      <w:r>
        <w:rPr/>
        <w:t>and CO</w:t>
      </w:r>
      <w:r>
        <w:rPr>
          <w:position w:val="-6"/>
          <w:sz w:val="11"/>
        </w:rPr>
        <w:t>2 </w:t>
      </w:r>
      <w:r>
        <w:rPr/>
        <w:t>separation is possible by using an additional PSA section to remove the CO</w:t>
      </w:r>
      <w:r>
        <w:rPr>
          <w:position w:val="-6"/>
          <w:sz w:val="11"/>
        </w:rPr>
        <w:t>2 </w:t>
      </w:r>
      <w:r>
        <w:rPr/>
        <w:t>prior to the H</w:t>
      </w:r>
      <w:r>
        <w:rPr>
          <w:position w:val="-6"/>
          <w:sz w:val="11"/>
        </w:rPr>
        <w:t>2 </w:t>
      </w:r>
      <w:r>
        <w:rPr/>
        <w:t>separation step, such as the Air Products Gemini Process (Sircar,</w:t>
      </w:r>
      <w:r>
        <w:rPr>
          <w:spacing w:val="-6"/>
        </w:rPr>
        <w:t> </w:t>
      </w:r>
      <w:r>
        <w:rPr/>
        <w:t>1979).</w:t>
      </w:r>
    </w:p>
    <w:p>
      <w:pPr>
        <w:pStyle w:val="BodyText"/>
        <w:spacing w:line="249" w:lineRule="auto" w:before="5"/>
        <w:ind w:left="513" w:firstLine="284"/>
        <w:jc w:val="both"/>
      </w:pPr>
      <w:r>
        <w:rPr/>
        <w:t>The PSA process is built around adsorptive separations of cyclic</w:t>
      </w:r>
      <w:r>
        <w:rPr>
          <w:spacing w:val="-30"/>
        </w:rPr>
        <w:t> </w:t>
      </w:r>
      <w:r>
        <w:rPr/>
        <w:t>character.</w:t>
      </w:r>
      <w:r>
        <w:rPr>
          <w:spacing w:val="-33"/>
        </w:rPr>
        <w:t> </w:t>
      </w:r>
      <w:r>
        <w:rPr/>
        <w:t>The</w:t>
      </w:r>
      <w:r>
        <w:rPr>
          <w:spacing w:val="-29"/>
        </w:rPr>
        <w:t> </w:t>
      </w:r>
      <w:r>
        <w:rPr/>
        <w:t>cycles</w:t>
      </w:r>
      <w:r>
        <w:rPr>
          <w:spacing w:val="-30"/>
        </w:rPr>
        <w:t> </w:t>
      </w:r>
      <w:r>
        <w:rPr/>
        <w:t>consist</w:t>
      </w:r>
      <w:r>
        <w:rPr>
          <w:spacing w:val="-30"/>
        </w:rPr>
        <w:t> </w:t>
      </w:r>
      <w:r>
        <w:rPr/>
        <w:t>of</w:t>
      </w:r>
      <w:r>
        <w:rPr>
          <w:spacing w:val="-30"/>
        </w:rPr>
        <w:t> </w:t>
      </w:r>
      <w:r>
        <w:rPr/>
        <w:t>two</w:t>
      </w:r>
      <w:r>
        <w:rPr>
          <w:spacing w:val="-29"/>
        </w:rPr>
        <w:t> </w:t>
      </w:r>
      <w:r>
        <w:rPr/>
        <w:t>basic</w:t>
      </w:r>
      <w:r>
        <w:rPr>
          <w:spacing w:val="-30"/>
        </w:rPr>
        <w:t> </w:t>
      </w:r>
      <w:r>
        <w:rPr/>
        <w:t>steps:</w:t>
      </w:r>
      <w:r>
        <w:rPr>
          <w:spacing w:val="-30"/>
        </w:rPr>
        <w:t> </w:t>
      </w:r>
      <w:r>
        <w:rPr/>
        <w:t>adsorption, in which the more adsorbable species are selectively removed from the feed gas and regeneration (desorption), when these species are removed from the adsorbent so that it can be ready for</w:t>
      </w:r>
      <w:r>
        <w:rPr>
          <w:spacing w:val="-7"/>
        </w:rPr>
        <w:t> </w:t>
      </w:r>
      <w:r>
        <w:rPr/>
        <w:t>the</w:t>
      </w:r>
      <w:r>
        <w:rPr>
          <w:spacing w:val="-7"/>
        </w:rPr>
        <w:t> </w:t>
      </w:r>
      <w:r>
        <w:rPr/>
        <w:t>next</w:t>
      </w:r>
      <w:r>
        <w:rPr>
          <w:spacing w:val="-7"/>
        </w:rPr>
        <w:t> </w:t>
      </w:r>
      <w:r>
        <w:rPr/>
        <w:t>cycle.</w:t>
      </w:r>
      <w:r>
        <w:rPr>
          <w:spacing w:val="-7"/>
        </w:rPr>
        <w:t> </w:t>
      </w:r>
      <w:r>
        <w:rPr/>
        <w:t>It</w:t>
      </w:r>
      <w:r>
        <w:rPr>
          <w:spacing w:val="-7"/>
        </w:rPr>
        <w:t> </w:t>
      </w:r>
      <w:r>
        <w:rPr/>
        <w:t>is</w:t>
      </w:r>
      <w:r>
        <w:rPr>
          <w:spacing w:val="-7"/>
        </w:rPr>
        <w:t> </w:t>
      </w:r>
      <w:r>
        <w:rPr/>
        <w:t>possible</w:t>
      </w:r>
      <w:r>
        <w:rPr>
          <w:spacing w:val="-7"/>
        </w:rPr>
        <w:t> </w:t>
      </w:r>
      <w:r>
        <w:rPr/>
        <w:t>to</w:t>
      </w:r>
      <w:r>
        <w:rPr>
          <w:spacing w:val="-7"/>
        </w:rPr>
        <w:t> </w:t>
      </w:r>
      <w:r>
        <w:rPr/>
        <w:t>obtain</w:t>
      </w:r>
      <w:r>
        <w:rPr>
          <w:spacing w:val="-7"/>
        </w:rPr>
        <w:t> </w:t>
      </w:r>
      <w:r>
        <w:rPr/>
        <w:t>useful</w:t>
      </w:r>
      <w:r>
        <w:rPr>
          <w:spacing w:val="-7"/>
        </w:rPr>
        <w:t> </w:t>
      </w:r>
      <w:r>
        <w:rPr/>
        <w:t>products</w:t>
      </w:r>
      <w:r>
        <w:rPr>
          <w:spacing w:val="-7"/>
        </w:rPr>
        <w:t> </w:t>
      </w:r>
      <w:r>
        <w:rPr/>
        <w:t>during both adsorption and regeneration. The principal characteristic of PSA processes is the use of a decrease in pressure and/or</w:t>
      </w:r>
      <w:r>
        <w:rPr>
          <w:spacing w:val="-25"/>
        </w:rPr>
        <w:t> </w:t>
      </w:r>
      <w:r>
        <w:rPr/>
        <w:t>the purge</w:t>
      </w:r>
      <w:r>
        <w:rPr>
          <w:spacing w:val="-7"/>
        </w:rPr>
        <w:t> </w:t>
      </w:r>
      <w:r>
        <w:rPr/>
        <w:t>by</w:t>
      </w:r>
      <w:r>
        <w:rPr>
          <w:spacing w:val="-7"/>
        </w:rPr>
        <w:t> </w:t>
      </w:r>
      <w:r>
        <w:rPr/>
        <w:t>a</w:t>
      </w:r>
      <w:r>
        <w:rPr>
          <w:spacing w:val="-7"/>
        </w:rPr>
        <w:t> </w:t>
      </w:r>
      <w:r>
        <w:rPr/>
        <w:t>less</w:t>
      </w:r>
      <w:r>
        <w:rPr>
          <w:spacing w:val="-7"/>
        </w:rPr>
        <w:t> </w:t>
      </w:r>
      <w:r>
        <w:rPr/>
        <w:t>adsorbable</w:t>
      </w:r>
      <w:r>
        <w:rPr>
          <w:spacing w:val="-7"/>
        </w:rPr>
        <w:t> </w:t>
      </w:r>
      <w:r>
        <w:rPr/>
        <w:t>gas</w:t>
      </w:r>
      <w:r>
        <w:rPr>
          <w:spacing w:val="-6"/>
        </w:rPr>
        <w:t> </w:t>
      </w:r>
      <w:r>
        <w:rPr/>
        <w:t>to</w:t>
      </w:r>
      <w:r>
        <w:rPr>
          <w:spacing w:val="-7"/>
        </w:rPr>
        <w:t> </w:t>
      </w:r>
      <w:r>
        <w:rPr/>
        <w:t>clean</w:t>
      </w:r>
      <w:r>
        <w:rPr>
          <w:spacing w:val="-7"/>
        </w:rPr>
        <w:t> </w:t>
      </w:r>
      <w:r>
        <w:rPr/>
        <w:t>the</w:t>
      </w:r>
      <w:r>
        <w:rPr>
          <w:spacing w:val="-7"/>
        </w:rPr>
        <w:t> </w:t>
      </w:r>
      <w:r>
        <w:rPr/>
        <w:t>adsorbent</w:t>
      </w:r>
      <w:r>
        <w:rPr>
          <w:spacing w:val="-7"/>
        </w:rPr>
        <w:t> </w:t>
      </w:r>
      <w:r>
        <w:rPr/>
        <w:t>bed.</w:t>
      </w:r>
      <w:r>
        <w:rPr>
          <w:spacing w:val="-17"/>
        </w:rPr>
        <w:t> </w:t>
      </w:r>
      <w:r>
        <w:rPr/>
        <w:t>Apart from adsorption and regeneration, a single commercial PSA cycle consists of a number of additional steps, including co- and counter-current pressurization, pressure equalization and co-</w:t>
      </w:r>
      <w:r>
        <w:rPr>
          <w:spacing w:val="-7"/>
        </w:rPr>
        <w:t> </w:t>
      </w:r>
      <w:r>
        <w:rPr/>
        <w:t>and</w:t>
      </w:r>
      <w:r>
        <w:rPr>
          <w:spacing w:val="-7"/>
        </w:rPr>
        <w:t> </w:t>
      </w:r>
      <w:r>
        <w:rPr/>
        <w:t>counter-current</w:t>
      </w:r>
      <w:r>
        <w:rPr>
          <w:spacing w:val="-7"/>
        </w:rPr>
        <w:t> </w:t>
      </w:r>
      <w:r>
        <w:rPr/>
        <w:t>depressurization.</w:t>
      </w:r>
      <w:r>
        <w:rPr>
          <w:spacing w:val="-17"/>
        </w:rPr>
        <w:t> </w:t>
      </w:r>
      <w:r>
        <w:rPr/>
        <w:t>A</w:t>
      </w:r>
      <w:r>
        <w:rPr>
          <w:spacing w:val="-18"/>
        </w:rPr>
        <w:t> </w:t>
      </w:r>
      <w:r>
        <w:rPr/>
        <w:t>detailed</w:t>
      </w:r>
      <w:r>
        <w:rPr>
          <w:spacing w:val="-6"/>
        </w:rPr>
        <w:t> </w:t>
      </w:r>
      <w:r>
        <w:rPr/>
        <w:t>description of the PSA technique, along with its practical applications can be found elsewhere (Ruthven </w:t>
      </w:r>
      <w:r>
        <w:rPr>
          <w:i/>
        </w:rPr>
        <w:t>et al.</w:t>
      </w:r>
      <w:r>
        <w:rPr/>
        <w:t>,</w:t>
      </w:r>
      <w:r>
        <w:rPr>
          <w:spacing w:val="-2"/>
        </w:rPr>
        <w:t> </w:t>
      </w:r>
      <w:r>
        <w:rPr/>
        <w:t>1994).</w:t>
      </w:r>
    </w:p>
    <w:p>
      <w:pPr>
        <w:pStyle w:val="BodyText"/>
        <w:rPr>
          <w:sz w:val="22"/>
        </w:rPr>
      </w:pPr>
    </w:p>
    <w:p>
      <w:pPr>
        <w:pStyle w:val="ListParagraph"/>
        <w:numPr>
          <w:ilvl w:val="3"/>
          <w:numId w:val="21"/>
        </w:numPr>
        <w:tabs>
          <w:tab w:pos="1334" w:val="left" w:leader="none"/>
        </w:tabs>
        <w:spacing w:line="240" w:lineRule="auto" w:before="0" w:after="0"/>
        <w:ind w:left="1333" w:right="0" w:hanging="821"/>
        <w:jc w:val="both"/>
        <w:rPr>
          <w:i/>
          <w:sz w:val="20"/>
        </w:rPr>
      </w:pPr>
      <w:r>
        <w:rPr>
          <w:i/>
          <w:sz w:val="20"/>
        </w:rPr>
        <w:t>Chemical solvent</w:t>
      </w:r>
      <w:r>
        <w:rPr>
          <w:i/>
          <w:spacing w:val="-2"/>
          <w:sz w:val="20"/>
        </w:rPr>
        <w:t> </w:t>
      </w:r>
      <w:r>
        <w:rPr>
          <w:i/>
          <w:sz w:val="20"/>
        </w:rPr>
        <w:t>processes</w:t>
      </w:r>
    </w:p>
    <w:p>
      <w:pPr>
        <w:pStyle w:val="BodyText"/>
        <w:spacing w:line="240" w:lineRule="exact" w:before="5"/>
        <w:ind w:left="513" w:right="8"/>
        <w:jc w:val="both"/>
      </w:pPr>
      <w:r>
        <w:rPr/>
        <w:t>Chemical</w:t>
      </w:r>
      <w:r>
        <w:rPr>
          <w:spacing w:val="-19"/>
        </w:rPr>
        <w:t> </w:t>
      </w:r>
      <w:r>
        <w:rPr/>
        <w:t>solvents</w:t>
      </w:r>
      <w:r>
        <w:rPr>
          <w:spacing w:val="-19"/>
        </w:rPr>
        <w:t> </w:t>
      </w:r>
      <w:r>
        <w:rPr/>
        <w:t>are</w:t>
      </w:r>
      <w:r>
        <w:rPr>
          <w:spacing w:val="-18"/>
        </w:rPr>
        <w:t> </w:t>
      </w:r>
      <w:r>
        <w:rPr/>
        <w:t>used</w:t>
      </w:r>
      <w:r>
        <w:rPr>
          <w:spacing w:val="-18"/>
        </w:rPr>
        <w:t> </w:t>
      </w:r>
      <w:r>
        <w:rPr/>
        <w:t>to</w:t>
      </w:r>
      <w:r>
        <w:rPr>
          <w:spacing w:val="-18"/>
        </w:rPr>
        <w:t> </w:t>
      </w:r>
      <w:r>
        <w:rPr/>
        <w:t>remove</w:t>
      </w:r>
      <w:r>
        <w:rPr>
          <w:spacing w:val="-18"/>
        </w:rPr>
        <w:t> </w:t>
      </w:r>
      <w:r>
        <w:rPr/>
        <w:t>CO</w:t>
      </w:r>
      <w:r>
        <w:rPr>
          <w:position w:val="-6"/>
          <w:sz w:val="11"/>
        </w:rPr>
        <w:t>2</w:t>
      </w:r>
      <w:r>
        <w:rPr>
          <w:spacing w:val="5"/>
          <w:position w:val="-6"/>
          <w:sz w:val="11"/>
        </w:rPr>
        <w:t> </w:t>
      </w:r>
      <w:r>
        <w:rPr/>
        <w:t>from</w:t>
      </w:r>
      <w:r>
        <w:rPr>
          <w:spacing w:val="-18"/>
        </w:rPr>
        <w:t> </w:t>
      </w:r>
      <w:r>
        <w:rPr/>
        <w:t>syngas</w:t>
      </w:r>
      <w:r>
        <w:rPr>
          <w:spacing w:val="-19"/>
        </w:rPr>
        <w:t> </w:t>
      </w:r>
      <w:r>
        <w:rPr/>
        <w:t>at</w:t>
      </w:r>
      <w:r>
        <w:rPr>
          <w:spacing w:val="-18"/>
        </w:rPr>
        <w:t> </w:t>
      </w:r>
      <w:r>
        <w:rPr/>
        <w:t>partial pressures below about 1.5 MPa (Astarita </w:t>
      </w:r>
      <w:r>
        <w:rPr>
          <w:i/>
        </w:rPr>
        <w:t>et al.</w:t>
      </w:r>
      <w:r>
        <w:rPr/>
        <w:t>, 1983) and </w:t>
      </w:r>
      <w:r>
        <w:rPr>
          <w:spacing w:val="-4"/>
        </w:rPr>
        <w:t>are </w:t>
      </w:r>
      <w:r>
        <w:rPr/>
        <w:t>similar to those used in post-combustion capture (see Section 3.3.2.1).</w:t>
      </w:r>
      <w:r>
        <w:rPr>
          <w:spacing w:val="6"/>
        </w:rPr>
        <w:t> </w:t>
      </w:r>
      <w:r>
        <w:rPr/>
        <w:t>The</w:t>
      </w:r>
      <w:r>
        <w:rPr>
          <w:spacing w:val="10"/>
        </w:rPr>
        <w:t> </w:t>
      </w:r>
      <w:r>
        <w:rPr/>
        <w:t>solvent</w:t>
      </w:r>
      <w:r>
        <w:rPr>
          <w:spacing w:val="9"/>
        </w:rPr>
        <w:t> </w:t>
      </w:r>
      <w:r>
        <w:rPr/>
        <w:t>removes</w:t>
      </w:r>
      <w:r>
        <w:rPr>
          <w:spacing w:val="10"/>
        </w:rPr>
        <w:t> </w:t>
      </w:r>
      <w:r>
        <w:rPr/>
        <w:t>CO</w:t>
      </w:r>
      <w:r>
        <w:rPr>
          <w:position w:val="-6"/>
          <w:sz w:val="11"/>
        </w:rPr>
        <w:t>2</w:t>
      </w:r>
      <w:r>
        <w:rPr>
          <w:spacing w:val="4"/>
          <w:position w:val="-6"/>
          <w:sz w:val="11"/>
        </w:rPr>
        <w:t> </w:t>
      </w:r>
      <w:r>
        <w:rPr/>
        <w:t>from</w:t>
      </w:r>
      <w:r>
        <w:rPr>
          <w:spacing w:val="10"/>
        </w:rPr>
        <w:t> </w:t>
      </w:r>
      <w:r>
        <w:rPr/>
        <w:t>the</w:t>
      </w:r>
      <w:r>
        <w:rPr>
          <w:spacing w:val="9"/>
        </w:rPr>
        <w:t> </w:t>
      </w:r>
      <w:r>
        <w:rPr/>
        <w:t>shifted</w:t>
      </w:r>
      <w:r>
        <w:rPr>
          <w:spacing w:val="10"/>
        </w:rPr>
        <w:t> </w:t>
      </w:r>
      <w:r>
        <w:rPr/>
        <w:t>syngas</w:t>
      </w:r>
      <w:r>
        <w:rPr>
          <w:spacing w:val="9"/>
        </w:rPr>
        <w:t> </w:t>
      </w:r>
      <w:r>
        <w:rPr/>
        <w:t>by</w:t>
      </w:r>
    </w:p>
    <w:p>
      <w:pPr>
        <w:pStyle w:val="BodyText"/>
        <w:spacing w:line="240" w:lineRule="exact" w:before="59"/>
        <w:ind w:left="232" w:right="733"/>
        <w:jc w:val="both"/>
      </w:pPr>
      <w:r>
        <w:rPr/>
        <w:br w:type="column"/>
      </w:r>
      <w:r>
        <w:rPr/>
        <w:t>means</w:t>
      </w:r>
      <w:r>
        <w:rPr>
          <w:spacing w:val="-15"/>
        </w:rPr>
        <w:t> </w:t>
      </w:r>
      <w:r>
        <w:rPr/>
        <w:t>of</w:t>
      </w:r>
      <w:r>
        <w:rPr>
          <w:spacing w:val="-14"/>
        </w:rPr>
        <w:t> </w:t>
      </w:r>
      <w:r>
        <w:rPr/>
        <w:t>a</w:t>
      </w:r>
      <w:r>
        <w:rPr>
          <w:spacing w:val="-15"/>
        </w:rPr>
        <w:t> </w:t>
      </w:r>
      <w:r>
        <w:rPr/>
        <w:t>chemical</w:t>
      </w:r>
      <w:r>
        <w:rPr>
          <w:spacing w:val="-14"/>
        </w:rPr>
        <w:t> </w:t>
      </w:r>
      <w:r>
        <w:rPr/>
        <w:t>reaction,</w:t>
      </w:r>
      <w:r>
        <w:rPr>
          <w:spacing w:val="-14"/>
        </w:rPr>
        <w:t> </w:t>
      </w:r>
      <w:r>
        <w:rPr/>
        <w:t>which</w:t>
      </w:r>
      <w:r>
        <w:rPr>
          <w:spacing w:val="-15"/>
        </w:rPr>
        <w:t> </w:t>
      </w:r>
      <w:r>
        <w:rPr/>
        <w:t>can</w:t>
      </w:r>
      <w:r>
        <w:rPr>
          <w:spacing w:val="-14"/>
        </w:rPr>
        <w:t> </w:t>
      </w:r>
      <w:r>
        <w:rPr/>
        <w:t>be</w:t>
      </w:r>
      <w:r>
        <w:rPr>
          <w:spacing w:val="-15"/>
        </w:rPr>
        <w:t> </w:t>
      </w:r>
      <w:r>
        <w:rPr/>
        <w:t>reversed</w:t>
      </w:r>
      <w:r>
        <w:rPr>
          <w:spacing w:val="-14"/>
        </w:rPr>
        <w:t> </w:t>
      </w:r>
      <w:r>
        <w:rPr/>
        <w:t>by</w:t>
      </w:r>
      <w:r>
        <w:rPr>
          <w:spacing w:val="-14"/>
        </w:rPr>
        <w:t> </w:t>
      </w:r>
      <w:r>
        <w:rPr/>
        <w:t>pressure reduction</w:t>
      </w:r>
      <w:r>
        <w:rPr>
          <w:spacing w:val="-20"/>
        </w:rPr>
        <w:t> </w:t>
      </w:r>
      <w:r>
        <w:rPr/>
        <w:t>and</w:t>
      </w:r>
      <w:r>
        <w:rPr>
          <w:spacing w:val="-19"/>
        </w:rPr>
        <w:t> </w:t>
      </w:r>
      <w:r>
        <w:rPr/>
        <w:t>heating.</w:t>
      </w:r>
      <w:r>
        <w:rPr>
          <w:spacing w:val="-23"/>
        </w:rPr>
        <w:t> </w:t>
      </w:r>
      <w:r>
        <w:rPr/>
        <w:t>The</w:t>
      </w:r>
      <w:r>
        <w:rPr>
          <w:spacing w:val="-19"/>
        </w:rPr>
        <w:t> </w:t>
      </w:r>
      <w:r>
        <w:rPr/>
        <w:t>tertiary</w:t>
      </w:r>
      <w:r>
        <w:rPr>
          <w:spacing w:val="-20"/>
        </w:rPr>
        <w:t> </w:t>
      </w:r>
      <w:r>
        <w:rPr/>
        <w:t>amine</w:t>
      </w:r>
      <w:r>
        <w:rPr>
          <w:spacing w:val="-19"/>
        </w:rPr>
        <w:t> </w:t>
      </w:r>
      <w:r>
        <w:rPr/>
        <w:t>methyldiethanolamine (MDEA, see </w:t>
      </w:r>
      <w:hyperlink w:history="true" w:anchor="_bookmark5">
        <w:r>
          <w:rPr>
            <w:spacing w:val="-3"/>
          </w:rPr>
          <w:t>Table </w:t>
        </w:r>
        <w:r>
          <w:rPr/>
          <w:t>3.2)</w:t>
        </w:r>
      </w:hyperlink>
      <w:r>
        <w:rPr/>
        <w:t> is widely used in modern industrial processes, due to the high CO</w:t>
      </w:r>
      <w:r>
        <w:rPr>
          <w:position w:val="-6"/>
          <w:sz w:val="11"/>
        </w:rPr>
        <w:t>2 </w:t>
      </w:r>
      <w:r>
        <w:rPr/>
        <w:t>loading possible and the low regenerator heating load, relative to other solvents. Hot potassium carbonate (the most common commercial version </w:t>
      </w:r>
      <w:r>
        <w:rPr>
          <w:spacing w:val="-6"/>
        </w:rPr>
        <w:t>of </w:t>
      </w:r>
      <w:r>
        <w:rPr/>
        <w:t>which is known as Benfield) was used for CO</w:t>
      </w:r>
      <w:r>
        <w:rPr>
          <w:position w:val="-6"/>
          <w:sz w:val="11"/>
        </w:rPr>
        <w:t>2 </w:t>
      </w:r>
      <w:r>
        <w:rPr/>
        <w:t>removal in</w:t>
      </w:r>
      <w:r>
        <w:rPr>
          <w:spacing w:val="-26"/>
        </w:rPr>
        <w:t> </w:t>
      </w:r>
      <w:r>
        <w:rPr/>
        <w:t>most hydrogen plants until about 15 years ago.</w:t>
      </w:r>
    </w:p>
    <w:p>
      <w:pPr>
        <w:pStyle w:val="BodyText"/>
        <w:spacing w:before="3"/>
        <w:rPr>
          <w:sz w:val="21"/>
        </w:rPr>
      </w:pPr>
    </w:p>
    <w:p>
      <w:pPr>
        <w:pStyle w:val="ListParagraph"/>
        <w:numPr>
          <w:ilvl w:val="3"/>
          <w:numId w:val="21"/>
        </w:numPr>
        <w:tabs>
          <w:tab w:pos="1053" w:val="left" w:leader="none"/>
        </w:tabs>
        <w:spacing w:line="240" w:lineRule="auto" w:before="0" w:after="0"/>
        <w:ind w:left="1052" w:right="0" w:hanging="821"/>
        <w:jc w:val="both"/>
        <w:rPr>
          <w:i/>
          <w:sz w:val="20"/>
        </w:rPr>
      </w:pPr>
      <w:r>
        <w:rPr>
          <w:i/>
          <w:sz w:val="20"/>
        </w:rPr>
        <w:t>Physical solvent</w:t>
      </w:r>
      <w:r>
        <w:rPr>
          <w:i/>
          <w:spacing w:val="-15"/>
          <w:sz w:val="20"/>
        </w:rPr>
        <w:t> </w:t>
      </w:r>
      <w:r>
        <w:rPr>
          <w:i/>
          <w:sz w:val="20"/>
        </w:rPr>
        <w:t>processes</w:t>
      </w:r>
    </w:p>
    <w:p>
      <w:pPr>
        <w:pStyle w:val="BodyText"/>
        <w:spacing w:line="240" w:lineRule="exact" w:before="5"/>
        <w:ind w:left="232" w:right="734"/>
        <w:jc w:val="both"/>
      </w:pPr>
      <w:r>
        <w:rPr/>
        <w:t>Physical</w:t>
      </w:r>
      <w:r>
        <w:rPr>
          <w:spacing w:val="-15"/>
        </w:rPr>
        <w:t> </w:t>
      </w:r>
      <w:r>
        <w:rPr/>
        <w:t>solvent</w:t>
      </w:r>
      <w:r>
        <w:rPr>
          <w:spacing w:val="-15"/>
        </w:rPr>
        <w:t> </w:t>
      </w:r>
      <w:r>
        <w:rPr/>
        <w:t>(or</w:t>
      </w:r>
      <w:r>
        <w:rPr>
          <w:spacing w:val="-14"/>
        </w:rPr>
        <w:t> </w:t>
      </w:r>
      <w:r>
        <w:rPr/>
        <w:t>absorption)</w:t>
      </w:r>
      <w:r>
        <w:rPr>
          <w:spacing w:val="-13"/>
        </w:rPr>
        <w:t> </w:t>
      </w:r>
      <w:r>
        <w:rPr/>
        <w:t>processes</w:t>
      </w:r>
      <w:r>
        <w:rPr>
          <w:spacing w:val="-14"/>
        </w:rPr>
        <w:t> </w:t>
      </w:r>
      <w:r>
        <w:rPr/>
        <w:t>are</w:t>
      </w:r>
      <w:r>
        <w:rPr>
          <w:spacing w:val="-14"/>
        </w:rPr>
        <w:t> </w:t>
      </w:r>
      <w:r>
        <w:rPr/>
        <w:t>mostly</w:t>
      </w:r>
      <w:r>
        <w:rPr>
          <w:spacing w:val="-14"/>
        </w:rPr>
        <w:t> </w:t>
      </w:r>
      <w:r>
        <w:rPr/>
        <w:t>applicable to gas streams which have a high CO</w:t>
      </w:r>
      <w:r>
        <w:rPr>
          <w:position w:val="-6"/>
          <w:sz w:val="11"/>
        </w:rPr>
        <w:t>2 </w:t>
      </w:r>
      <w:r>
        <w:rPr/>
        <w:t>partial pressure and/or a high</w:t>
      </w:r>
      <w:r>
        <w:rPr>
          <w:spacing w:val="-8"/>
        </w:rPr>
        <w:t> </w:t>
      </w:r>
      <w:r>
        <w:rPr/>
        <w:t>total</w:t>
      </w:r>
      <w:r>
        <w:rPr>
          <w:spacing w:val="-9"/>
        </w:rPr>
        <w:t> </w:t>
      </w:r>
      <w:r>
        <w:rPr/>
        <w:t>pressure.</w:t>
      </w:r>
      <w:r>
        <w:rPr>
          <w:spacing w:val="-11"/>
        </w:rPr>
        <w:t> </w:t>
      </w:r>
      <w:r>
        <w:rPr/>
        <w:t>They</w:t>
      </w:r>
      <w:r>
        <w:rPr>
          <w:spacing w:val="-8"/>
        </w:rPr>
        <w:t> </w:t>
      </w:r>
      <w:r>
        <w:rPr/>
        <w:t>are</w:t>
      </w:r>
      <w:r>
        <w:rPr>
          <w:spacing w:val="-8"/>
        </w:rPr>
        <w:t> </w:t>
      </w:r>
      <w:r>
        <w:rPr/>
        <w:t>often</w:t>
      </w:r>
      <w:r>
        <w:rPr>
          <w:spacing w:val="-7"/>
        </w:rPr>
        <w:t> </w:t>
      </w:r>
      <w:r>
        <w:rPr/>
        <w:t>used</w:t>
      </w:r>
      <w:r>
        <w:rPr>
          <w:spacing w:val="-8"/>
        </w:rPr>
        <w:t> </w:t>
      </w:r>
      <w:r>
        <w:rPr/>
        <w:t>to</w:t>
      </w:r>
      <w:r>
        <w:rPr>
          <w:spacing w:val="-8"/>
        </w:rPr>
        <w:t> </w:t>
      </w:r>
      <w:r>
        <w:rPr/>
        <w:t>remove</w:t>
      </w:r>
      <w:r>
        <w:rPr>
          <w:spacing w:val="-7"/>
        </w:rPr>
        <w:t> </w:t>
      </w:r>
      <w:r>
        <w:rPr/>
        <w:t>the</w:t>
      </w:r>
      <w:r>
        <w:rPr>
          <w:spacing w:val="-8"/>
        </w:rPr>
        <w:t> </w:t>
      </w:r>
      <w:r>
        <w:rPr/>
        <w:t>CO</w:t>
      </w:r>
      <w:r>
        <w:rPr>
          <w:position w:val="-6"/>
          <w:sz w:val="11"/>
        </w:rPr>
        <w:t>2</w:t>
      </w:r>
      <w:r>
        <w:rPr>
          <w:spacing w:val="15"/>
          <w:position w:val="-6"/>
          <w:sz w:val="11"/>
        </w:rPr>
        <w:t> </w:t>
      </w:r>
      <w:r>
        <w:rPr>
          <w:spacing w:val="-4"/>
        </w:rPr>
        <w:t>from </w:t>
      </w:r>
      <w:r>
        <w:rPr/>
        <w:t>the</w:t>
      </w:r>
      <w:r>
        <w:rPr>
          <w:spacing w:val="-24"/>
        </w:rPr>
        <w:t> </w:t>
      </w:r>
      <w:r>
        <w:rPr/>
        <w:t>mixed</w:t>
      </w:r>
      <w:r>
        <w:rPr>
          <w:spacing w:val="-23"/>
        </w:rPr>
        <w:t> </w:t>
      </w:r>
      <w:r>
        <w:rPr/>
        <w:t>stream</w:t>
      </w:r>
      <w:r>
        <w:rPr>
          <w:spacing w:val="-23"/>
        </w:rPr>
        <w:t> </w:t>
      </w:r>
      <w:r>
        <w:rPr/>
        <w:t>of</w:t>
      </w:r>
      <w:r>
        <w:rPr>
          <w:spacing w:val="-24"/>
        </w:rPr>
        <w:t> </w:t>
      </w:r>
      <w:r>
        <w:rPr/>
        <w:t>CO</w:t>
      </w:r>
      <w:r>
        <w:rPr>
          <w:position w:val="-6"/>
          <w:sz w:val="11"/>
        </w:rPr>
        <w:t>2</w:t>
      </w:r>
      <w:r>
        <w:rPr>
          <w:spacing w:val="-1"/>
          <w:position w:val="-6"/>
          <w:sz w:val="11"/>
        </w:rPr>
        <w:t> </w:t>
      </w:r>
      <w:r>
        <w:rPr/>
        <w:t>and</w:t>
      </w:r>
      <w:r>
        <w:rPr>
          <w:spacing w:val="-23"/>
        </w:rPr>
        <w:t> </w:t>
      </w:r>
      <w:r>
        <w:rPr/>
        <w:t>H</w:t>
      </w:r>
      <w:r>
        <w:rPr>
          <w:position w:val="-6"/>
          <w:sz w:val="11"/>
        </w:rPr>
        <w:t>2</w:t>
      </w:r>
      <w:r>
        <w:rPr>
          <w:spacing w:val="-2"/>
          <w:position w:val="-6"/>
          <w:sz w:val="11"/>
        </w:rPr>
        <w:t> </w:t>
      </w:r>
      <w:r>
        <w:rPr/>
        <w:t>that</w:t>
      </w:r>
      <w:r>
        <w:rPr>
          <w:spacing w:val="-23"/>
        </w:rPr>
        <w:t> </w:t>
      </w:r>
      <w:r>
        <w:rPr/>
        <w:t>comes</w:t>
      </w:r>
      <w:r>
        <w:rPr>
          <w:spacing w:val="-23"/>
        </w:rPr>
        <w:t> </w:t>
      </w:r>
      <w:r>
        <w:rPr/>
        <w:t>from</w:t>
      </w:r>
      <w:r>
        <w:rPr>
          <w:spacing w:val="-24"/>
        </w:rPr>
        <w:t> </w:t>
      </w:r>
      <w:r>
        <w:rPr/>
        <w:t>the</w:t>
      </w:r>
      <w:r>
        <w:rPr>
          <w:spacing w:val="-23"/>
        </w:rPr>
        <w:t> </w:t>
      </w:r>
      <w:r>
        <w:rPr/>
        <w:t>shift</w:t>
      </w:r>
      <w:r>
        <w:rPr>
          <w:spacing w:val="-23"/>
        </w:rPr>
        <w:t> </w:t>
      </w:r>
      <w:r>
        <w:rPr/>
        <w:t>reaction in pre-combustion CO</w:t>
      </w:r>
      <w:r>
        <w:rPr>
          <w:position w:val="-6"/>
          <w:sz w:val="11"/>
        </w:rPr>
        <w:t>2 </w:t>
      </w:r>
      <w:r>
        <w:rPr/>
        <w:t>capture processes, such as product</w:t>
      </w:r>
      <w:r>
        <w:rPr>
          <w:spacing w:val="-26"/>
        </w:rPr>
        <w:t> </w:t>
      </w:r>
      <w:r>
        <w:rPr/>
        <w:t>from partial oxidation of coal and heavy hydrocarbons.</w:t>
      </w:r>
    </w:p>
    <w:p>
      <w:pPr>
        <w:pStyle w:val="BodyText"/>
        <w:spacing w:before="5"/>
        <w:ind w:left="515"/>
        <w:jc w:val="both"/>
      </w:pPr>
      <w:r>
        <w:rPr/>
        <w:t>The leading physical solvent processes are shown in </w:t>
      </w:r>
      <w:hyperlink w:history="true" w:anchor="_bookmark5">
        <w:r>
          <w:rPr/>
          <w:t>Table</w:t>
        </w:r>
      </w:hyperlink>
    </w:p>
    <w:p>
      <w:pPr>
        <w:pStyle w:val="BodyText"/>
        <w:spacing w:line="240" w:lineRule="exact" w:before="5"/>
        <w:ind w:left="232" w:right="734"/>
        <w:jc w:val="both"/>
      </w:pPr>
      <w:hyperlink w:history="true" w:anchor="_bookmark5">
        <w:r>
          <w:rPr/>
          <w:t>3.2.</w:t>
        </w:r>
      </w:hyperlink>
      <w:r>
        <w:rPr/>
        <w:t> The regeneration of solvent is carried out by release of pressure at which CO</w:t>
      </w:r>
      <w:r>
        <w:rPr>
          <w:position w:val="-6"/>
          <w:sz w:val="11"/>
        </w:rPr>
        <w:t>2 </w:t>
      </w:r>
      <w:r>
        <w:rPr/>
        <w:t>evolves from the solvent, in one or</w:t>
      </w:r>
      <w:r>
        <w:rPr>
          <w:spacing w:val="-30"/>
        </w:rPr>
        <w:t> </w:t>
      </w:r>
      <w:r>
        <w:rPr/>
        <w:t>more stages.</w:t>
      </w:r>
      <w:r>
        <w:rPr>
          <w:spacing w:val="-9"/>
        </w:rPr>
        <w:t> </w:t>
      </w:r>
      <w:r>
        <w:rPr/>
        <w:t>If</w:t>
      </w:r>
      <w:r>
        <w:rPr>
          <w:spacing w:val="-8"/>
        </w:rPr>
        <w:t> </w:t>
      </w:r>
      <w:r>
        <w:rPr/>
        <w:t>a</w:t>
      </w:r>
      <w:r>
        <w:rPr>
          <w:spacing w:val="-8"/>
        </w:rPr>
        <w:t> </w:t>
      </w:r>
      <w:r>
        <w:rPr/>
        <w:t>deeper</w:t>
      </w:r>
      <w:r>
        <w:rPr>
          <w:spacing w:val="-9"/>
        </w:rPr>
        <w:t> </w:t>
      </w:r>
      <w:r>
        <w:rPr/>
        <w:t>regeneration</w:t>
      </w:r>
      <w:r>
        <w:rPr>
          <w:spacing w:val="-8"/>
        </w:rPr>
        <w:t> </w:t>
      </w:r>
      <w:r>
        <w:rPr/>
        <w:t>is</w:t>
      </w:r>
      <w:r>
        <w:rPr>
          <w:spacing w:val="-8"/>
        </w:rPr>
        <w:t> </w:t>
      </w:r>
      <w:r>
        <w:rPr/>
        <w:t>required</w:t>
      </w:r>
      <w:r>
        <w:rPr>
          <w:spacing w:val="-8"/>
        </w:rPr>
        <w:t> </w:t>
      </w:r>
      <w:r>
        <w:rPr/>
        <w:t>the</w:t>
      </w:r>
      <w:r>
        <w:rPr>
          <w:spacing w:val="-9"/>
        </w:rPr>
        <w:t> </w:t>
      </w:r>
      <w:r>
        <w:rPr/>
        <w:t>solvent</w:t>
      </w:r>
      <w:r>
        <w:rPr>
          <w:spacing w:val="-8"/>
        </w:rPr>
        <w:t> </w:t>
      </w:r>
      <w:r>
        <w:rPr/>
        <w:t>would</w:t>
      </w:r>
      <w:r>
        <w:rPr>
          <w:spacing w:val="-9"/>
        </w:rPr>
        <w:t> </w:t>
      </w:r>
      <w:r>
        <w:rPr/>
        <w:t>be stripped by heating. The process has low energy consumption, as</w:t>
      </w:r>
      <w:r>
        <w:rPr>
          <w:spacing w:val="-9"/>
        </w:rPr>
        <w:t> </w:t>
      </w:r>
      <w:r>
        <w:rPr/>
        <w:t>only</w:t>
      </w:r>
      <w:r>
        <w:rPr>
          <w:spacing w:val="-8"/>
        </w:rPr>
        <w:t> </w:t>
      </w:r>
      <w:r>
        <w:rPr/>
        <w:t>the</w:t>
      </w:r>
      <w:r>
        <w:rPr>
          <w:spacing w:val="-8"/>
        </w:rPr>
        <w:t> </w:t>
      </w:r>
      <w:r>
        <w:rPr/>
        <w:t>energy</w:t>
      </w:r>
      <w:r>
        <w:rPr>
          <w:spacing w:val="-8"/>
        </w:rPr>
        <w:t> </w:t>
      </w:r>
      <w:r>
        <w:rPr/>
        <w:t>for</w:t>
      </w:r>
      <w:r>
        <w:rPr>
          <w:spacing w:val="-8"/>
        </w:rPr>
        <w:t> </w:t>
      </w:r>
      <w:r>
        <w:rPr/>
        <w:t>pressurizing</w:t>
      </w:r>
      <w:r>
        <w:rPr>
          <w:spacing w:val="-8"/>
        </w:rPr>
        <w:t> </w:t>
      </w:r>
      <w:r>
        <w:rPr/>
        <w:t>the</w:t>
      </w:r>
      <w:r>
        <w:rPr>
          <w:spacing w:val="-8"/>
        </w:rPr>
        <w:t> </w:t>
      </w:r>
      <w:r>
        <w:rPr/>
        <w:t>solvent</w:t>
      </w:r>
      <w:r>
        <w:rPr>
          <w:spacing w:val="-8"/>
        </w:rPr>
        <w:t> </w:t>
      </w:r>
      <w:r>
        <w:rPr/>
        <w:t>(liquid</w:t>
      </w:r>
      <w:r>
        <w:rPr>
          <w:spacing w:val="-8"/>
        </w:rPr>
        <w:t> </w:t>
      </w:r>
      <w:r>
        <w:rPr/>
        <w:t>pumping) is required.</w:t>
      </w:r>
    </w:p>
    <w:p>
      <w:pPr>
        <w:pStyle w:val="BodyText"/>
        <w:spacing w:line="240" w:lineRule="exact"/>
        <w:ind w:left="232" w:right="734" w:firstLine="284"/>
        <w:jc w:val="both"/>
      </w:pPr>
      <w:r>
        <w:rPr/>
        <w:t>The use of high sulphur fossil fuels in a pre-combustion capture</w:t>
      </w:r>
      <w:r>
        <w:rPr>
          <w:spacing w:val="-18"/>
        </w:rPr>
        <w:t> </w:t>
      </w:r>
      <w:r>
        <w:rPr/>
        <w:t>process</w:t>
      </w:r>
      <w:r>
        <w:rPr>
          <w:spacing w:val="-18"/>
        </w:rPr>
        <w:t> </w:t>
      </w:r>
      <w:r>
        <w:rPr/>
        <w:t>results</w:t>
      </w:r>
      <w:r>
        <w:rPr>
          <w:spacing w:val="-18"/>
        </w:rPr>
        <w:t> </w:t>
      </w:r>
      <w:r>
        <w:rPr/>
        <w:t>in</w:t>
      </w:r>
      <w:r>
        <w:rPr>
          <w:spacing w:val="-18"/>
        </w:rPr>
        <w:t> </w:t>
      </w:r>
      <w:r>
        <w:rPr/>
        <w:t>syngas</w:t>
      </w:r>
      <w:r>
        <w:rPr>
          <w:spacing w:val="-18"/>
        </w:rPr>
        <w:t> </w:t>
      </w:r>
      <w:r>
        <w:rPr/>
        <w:t>with</w:t>
      </w:r>
      <w:r>
        <w:rPr>
          <w:spacing w:val="-18"/>
        </w:rPr>
        <w:t> </w:t>
      </w:r>
      <w:r>
        <w:rPr/>
        <w:t>H</w:t>
      </w:r>
      <w:r>
        <w:rPr>
          <w:position w:val="-6"/>
          <w:sz w:val="11"/>
        </w:rPr>
        <w:t>2</w:t>
      </w:r>
      <w:r>
        <w:rPr/>
        <w:t>S.</w:t>
      </w:r>
      <w:r>
        <w:rPr>
          <w:spacing w:val="-29"/>
        </w:rPr>
        <w:t> </w:t>
      </w:r>
      <w:r>
        <w:rPr/>
        <w:t>Acid</w:t>
      </w:r>
      <w:r>
        <w:rPr>
          <w:spacing w:val="-18"/>
        </w:rPr>
        <w:t> </w:t>
      </w:r>
      <w:r>
        <w:rPr/>
        <w:t>gas</w:t>
      </w:r>
      <w:r>
        <w:rPr>
          <w:spacing w:val="-18"/>
        </w:rPr>
        <w:t> </w:t>
      </w:r>
      <w:r>
        <w:rPr/>
        <w:t>components must be removed. If transport and storage of mixed CO</w:t>
      </w:r>
      <w:r>
        <w:rPr>
          <w:position w:val="-6"/>
          <w:sz w:val="11"/>
        </w:rPr>
        <w:t>2 </w:t>
      </w:r>
      <w:r>
        <w:rPr/>
        <w:t>and H</w:t>
      </w:r>
      <w:r>
        <w:rPr>
          <w:position w:val="-6"/>
          <w:sz w:val="11"/>
        </w:rPr>
        <w:t>2</w:t>
      </w:r>
      <w:r>
        <w:rPr/>
        <w:t>S is possible then both components can be removed</w:t>
      </w:r>
      <w:r>
        <w:rPr>
          <w:spacing w:val="-26"/>
        </w:rPr>
        <w:t> </w:t>
      </w:r>
      <w:r>
        <w:rPr>
          <w:spacing w:val="-4"/>
        </w:rPr>
        <w:t>together. </w:t>
      </w:r>
      <w:r>
        <w:rPr/>
        <w:t>Sulphinol was developed to achieve significantly higher solubilities of acidic components compared to amine solvents, without added problems of excessive corrosion, foaming, or solution degradation. It consists of a mixture of sulpholane (tetrahydrothiophene 1,1-dioxide), an alkanolamine and water in various proportions depending on the </w:t>
      </w:r>
      <w:r>
        <w:rPr>
          <w:spacing w:val="-3"/>
        </w:rPr>
        <w:t>duty. </w:t>
      </w:r>
      <w:r>
        <w:rPr/>
        <w:t>If pure CO</w:t>
      </w:r>
      <w:r>
        <w:rPr>
          <w:position w:val="-6"/>
          <w:sz w:val="11"/>
        </w:rPr>
        <w:t>2 </w:t>
      </w:r>
      <w:r>
        <w:rPr/>
        <w:t>is required, then a selective process is required using physical solvents</w:t>
      </w:r>
      <w:r>
        <w:rPr>
          <w:spacing w:val="-4"/>
        </w:rPr>
        <w:t> </w:t>
      </w:r>
      <w:r>
        <w:rPr/>
        <w:t>-</w:t>
      </w:r>
      <w:r>
        <w:rPr>
          <w:spacing w:val="-4"/>
        </w:rPr>
        <w:t> </w:t>
      </w:r>
      <w:r>
        <w:rPr/>
        <w:t>often</w:t>
      </w:r>
      <w:r>
        <w:rPr>
          <w:spacing w:val="-4"/>
        </w:rPr>
        <w:t> </w:t>
      </w:r>
      <w:r>
        <w:rPr/>
        <w:t>Rectisol</w:t>
      </w:r>
      <w:r>
        <w:rPr>
          <w:spacing w:val="-4"/>
        </w:rPr>
        <w:t> </w:t>
      </w:r>
      <w:r>
        <w:rPr/>
        <w:t>or</w:t>
      </w:r>
      <w:r>
        <w:rPr>
          <w:spacing w:val="-4"/>
        </w:rPr>
        <w:t> </w:t>
      </w:r>
      <w:r>
        <w:rPr/>
        <w:t>Selexol.</w:t>
      </w:r>
      <w:r>
        <w:rPr>
          <w:spacing w:val="-8"/>
        </w:rPr>
        <w:t> </w:t>
      </w:r>
      <w:r>
        <w:rPr/>
        <w:t>The</w:t>
      </w:r>
      <w:r>
        <w:rPr>
          <w:spacing w:val="-4"/>
        </w:rPr>
        <w:t> </w:t>
      </w:r>
      <w:r>
        <w:rPr/>
        <w:t>H</w:t>
      </w:r>
      <w:r>
        <w:rPr>
          <w:position w:val="-6"/>
          <w:sz w:val="11"/>
        </w:rPr>
        <w:t>2</w:t>
      </w:r>
      <w:r>
        <w:rPr/>
        <w:t>S</w:t>
      </w:r>
      <w:r>
        <w:rPr>
          <w:spacing w:val="-3"/>
        </w:rPr>
        <w:t> </w:t>
      </w:r>
      <w:r>
        <w:rPr/>
        <w:t>must</w:t>
      </w:r>
      <w:r>
        <w:rPr>
          <w:spacing w:val="-4"/>
        </w:rPr>
        <w:t> </w:t>
      </w:r>
      <w:r>
        <w:rPr/>
        <w:t>be</w:t>
      </w:r>
      <w:r>
        <w:rPr>
          <w:spacing w:val="-4"/>
        </w:rPr>
        <w:t> </w:t>
      </w:r>
      <w:r>
        <w:rPr/>
        <w:t>separated at</w:t>
      </w:r>
      <w:r>
        <w:rPr>
          <w:spacing w:val="-15"/>
        </w:rPr>
        <w:t> </w:t>
      </w:r>
      <w:r>
        <w:rPr/>
        <w:t>sufficiently</w:t>
      </w:r>
      <w:r>
        <w:rPr>
          <w:spacing w:val="-14"/>
        </w:rPr>
        <w:t> </w:t>
      </w:r>
      <w:r>
        <w:rPr/>
        <w:t>high</w:t>
      </w:r>
      <w:r>
        <w:rPr>
          <w:spacing w:val="-14"/>
        </w:rPr>
        <w:t> </w:t>
      </w:r>
      <w:r>
        <w:rPr/>
        <w:t>concentration</w:t>
      </w:r>
      <w:r>
        <w:rPr>
          <w:spacing w:val="-15"/>
        </w:rPr>
        <w:t> </w:t>
      </w:r>
      <w:r>
        <w:rPr/>
        <w:t>(generally</w:t>
      </w:r>
      <w:r>
        <w:rPr>
          <w:spacing w:val="-14"/>
        </w:rPr>
        <w:t> </w:t>
      </w:r>
      <w:r>
        <w:rPr/>
        <w:t>&gt;50%)</w:t>
      </w:r>
      <w:r>
        <w:rPr>
          <w:spacing w:val="-15"/>
        </w:rPr>
        <w:t> </w:t>
      </w:r>
      <w:r>
        <w:rPr/>
        <w:t>to</w:t>
      </w:r>
      <w:r>
        <w:rPr>
          <w:spacing w:val="-15"/>
        </w:rPr>
        <w:t> </w:t>
      </w:r>
      <w:r>
        <w:rPr/>
        <w:t>be</w:t>
      </w:r>
      <w:r>
        <w:rPr>
          <w:spacing w:val="-14"/>
        </w:rPr>
        <w:t> </w:t>
      </w:r>
      <w:r>
        <w:rPr/>
        <w:t>treated in a sulphur recovery</w:t>
      </w:r>
      <w:r>
        <w:rPr>
          <w:spacing w:val="-2"/>
        </w:rPr>
        <w:t> </w:t>
      </w:r>
      <w:r>
        <w:rPr/>
        <w:t>plant.</w:t>
      </w:r>
    </w:p>
    <w:p>
      <w:pPr>
        <w:pStyle w:val="BodyText"/>
        <w:spacing w:before="4"/>
        <w:rPr>
          <w:sz w:val="21"/>
        </w:rPr>
      </w:pPr>
    </w:p>
    <w:p>
      <w:pPr>
        <w:pStyle w:val="ListParagraph"/>
        <w:numPr>
          <w:ilvl w:val="3"/>
          <w:numId w:val="21"/>
        </w:numPr>
        <w:tabs>
          <w:tab w:pos="1084" w:val="left" w:leader="none"/>
        </w:tabs>
        <w:spacing w:line="240" w:lineRule="auto" w:before="0" w:after="0"/>
        <w:ind w:left="1083" w:right="0" w:hanging="852"/>
        <w:jc w:val="both"/>
        <w:rPr>
          <w:i/>
          <w:sz w:val="20"/>
        </w:rPr>
      </w:pPr>
      <w:r>
        <w:rPr>
          <w:i/>
          <w:sz w:val="20"/>
        </w:rPr>
        <w:t>Effect on other pollutants</w:t>
      </w:r>
    </w:p>
    <w:p>
      <w:pPr>
        <w:pStyle w:val="BodyText"/>
        <w:spacing w:line="240" w:lineRule="exact" w:before="5"/>
        <w:ind w:left="232" w:right="734"/>
        <w:jc w:val="both"/>
      </w:pPr>
      <w:r>
        <w:rPr/>
        <w:t>Pre-combustion capture includes reforming, partial oxidation or gasification. In order to maintain the operability of </w:t>
      </w:r>
      <w:r>
        <w:rPr>
          <w:spacing w:val="-5"/>
        </w:rPr>
        <w:t>the </w:t>
      </w:r>
      <w:r>
        <w:rPr/>
        <w:t>catalyst of reformers, sulphur (H</w:t>
      </w:r>
      <w:r>
        <w:rPr>
          <w:position w:val="-6"/>
          <w:sz w:val="11"/>
        </w:rPr>
        <w:t>2</w:t>
      </w:r>
      <w:r>
        <w:rPr/>
        <w:t>S) has to be removed prior  to reforming. In gasification, sulphur can be captured from</w:t>
      </w:r>
      <w:r>
        <w:rPr>
          <w:spacing w:val="38"/>
        </w:rPr>
        <w:t> </w:t>
      </w:r>
      <w:r>
        <w:rPr/>
        <w:t>the</w:t>
      </w:r>
    </w:p>
    <w:p>
      <w:pPr>
        <w:spacing w:after="0" w:line="240" w:lineRule="exact"/>
        <w:jc w:val="both"/>
        <w:sectPr>
          <w:type w:val="continuous"/>
          <w:pgSz w:w="12240" w:h="15840"/>
          <w:pgMar w:top="480" w:bottom="280" w:left="620" w:right="0"/>
          <w:cols w:num="2" w:equalWidth="0">
            <w:col w:w="5568" w:space="40"/>
            <w:col w:w="6012"/>
          </w:cols>
        </w:sectPr>
      </w:pPr>
    </w:p>
    <w:p>
      <w:pPr>
        <w:pStyle w:val="BodyText"/>
      </w:pPr>
    </w:p>
    <w:p>
      <w:pPr>
        <w:pStyle w:val="BodyText"/>
        <w:spacing w:before="9"/>
        <w:rPr>
          <w:sz w:val="16"/>
        </w:rPr>
      </w:pPr>
    </w:p>
    <w:p>
      <w:pPr>
        <w:spacing w:after="0"/>
        <w:rPr>
          <w:sz w:val="16"/>
        </w:rPr>
        <w:sectPr>
          <w:pgSz w:w="12240" w:h="15840"/>
          <w:pgMar w:header="567" w:footer="0" w:top="760" w:bottom="280" w:left="620" w:right="0"/>
        </w:sectPr>
      </w:pPr>
    </w:p>
    <w:p>
      <w:pPr>
        <w:pStyle w:val="BodyText"/>
        <w:spacing w:line="240" w:lineRule="exact" w:before="58"/>
        <w:ind w:left="117" w:right="39"/>
        <w:jc w:val="both"/>
      </w:pPr>
      <w:bookmarkStart w:name="3.5.3 Emerging technologies" w:id="52"/>
      <w:bookmarkEnd w:id="52"/>
      <w:r>
        <w:rPr/>
      </w:r>
      <w:r>
        <w:rPr/>
        <w:t>syngas, and in the case when liquid or solid fuels are gasified, particulates, NH</w:t>
      </w:r>
      <w:r>
        <w:rPr>
          <w:position w:val="-6"/>
          <w:sz w:val="11"/>
        </w:rPr>
        <w:t>3</w:t>
      </w:r>
      <w:r>
        <w:rPr/>
        <w:t>, COS and HCN are also present in the</w:t>
      </w:r>
      <w:r>
        <w:rPr>
          <w:spacing w:val="-36"/>
        </w:rPr>
        <w:t> </w:t>
      </w:r>
      <w:r>
        <w:rPr/>
        <w:t>system that need to be removed. In general, all of these pollutants </w:t>
      </w:r>
      <w:r>
        <w:rPr>
          <w:spacing w:val="-4"/>
        </w:rPr>
        <w:t>can </w:t>
      </w:r>
      <w:r>
        <w:rPr/>
        <w:t>be removed from a high-pressure fuel gas prior to combustion, where combustion products are diluted with nitrogen and excess oxygen. In the combustion of hydrogen or a hydrogen- containing fuel gas, NO</w:t>
      </w:r>
      <w:r>
        <w:rPr>
          <w:position w:val="-6"/>
          <w:sz w:val="11"/>
        </w:rPr>
        <w:t>x </w:t>
      </w:r>
      <w:r>
        <w:rPr/>
        <w:t>may be formed. Depending upon combustion</w:t>
      </w:r>
      <w:r>
        <w:rPr>
          <w:spacing w:val="-11"/>
        </w:rPr>
        <w:t> </w:t>
      </w:r>
      <w:r>
        <w:rPr/>
        <w:t>technology</w:t>
      </w:r>
      <w:r>
        <w:rPr>
          <w:spacing w:val="-11"/>
        </w:rPr>
        <w:t> </w:t>
      </w:r>
      <w:r>
        <w:rPr/>
        <w:t>and</w:t>
      </w:r>
      <w:r>
        <w:rPr>
          <w:spacing w:val="-9"/>
        </w:rPr>
        <w:t> </w:t>
      </w:r>
      <w:r>
        <w:rPr/>
        <w:t>hydrogen</w:t>
      </w:r>
      <w:r>
        <w:rPr>
          <w:spacing w:val="-10"/>
        </w:rPr>
        <w:t> </w:t>
      </w:r>
      <w:r>
        <w:rPr/>
        <w:t>fraction,</w:t>
      </w:r>
      <w:r>
        <w:rPr>
          <w:spacing w:val="-10"/>
        </w:rPr>
        <w:t> </w:t>
      </w:r>
      <w:r>
        <w:rPr/>
        <w:t>the</w:t>
      </w:r>
      <w:r>
        <w:rPr>
          <w:spacing w:val="-11"/>
        </w:rPr>
        <w:t> </w:t>
      </w:r>
      <w:r>
        <w:rPr/>
        <w:t>rate</w:t>
      </w:r>
      <w:r>
        <w:rPr>
          <w:spacing w:val="-11"/>
        </w:rPr>
        <w:t> </w:t>
      </w:r>
      <w:r>
        <w:rPr/>
        <w:t>at</w:t>
      </w:r>
      <w:r>
        <w:rPr>
          <w:spacing w:val="-10"/>
        </w:rPr>
        <w:t> </w:t>
      </w:r>
      <w:r>
        <w:rPr/>
        <w:t>which NO</w:t>
      </w:r>
      <w:r>
        <w:rPr>
          <w:position w:val="-6"/>
          <w:sz w:val="11"/>
        </w:rPr>
        <w:t>x </w:t>
      </w:r>
      <w:r>
        <w:rPr/>
        <w:t>is formed may </w:t>
      </w:r>
      <w:r>
        <w:rPr>
          <w:spacing w:val="-3"/>
        </w:rPr>
        <w:t>vary. </w:t>
      </w:r>
      <w:r>
        <w:rPr/>
        <w:t>If the volumetric fraction of</w:t>
      </w:r>
      <w:r>
        <w:rPr>
          <w:spacing w:val="-26"/>
        </w:rPr>
        <w:t> </w:t>
      </w:r>
      <w:r>
        <w:rPr/>
        <w:t>hydrogen is below approximately 50-60%, NO</w:t>
      </w:r>
      <w:r>
        <w:rPr>
          <w:position w:val="-6"/>
          <w:sz w:val="11"/>
        </w:rPr>
        <w:t>x </w:t>
      </w:r>
      <w:r>
        <w:rPr/>
        <w:t>formation is at the same level</w:t>
      </w:r>
      <w:r>
        <w:rPr>
          <w:spacing w:val="-12"/>
        </w:rPr>
        <w:t> </w:t>
      </w:r>
      <w:r>
        <w:rPr/>
        <w:t>as</w:t>
      </w:r>
      <w:r>
        <w:rPr>
          <w:spacing w:val="-11"/>
        </w:rPr>
        <w:t> </w:t>
      </w:r>
      <w:r>
        <w:rPr/>
        <w:t>for</w:t>
      </w:r>
      <w:r>
        <w:rPr>
          <w:spacing w:val="-11"/>
        </w:rPr>
        <w:t> </w:t>
      </w:r>
      <w:r>
        <w:rPr/>
        <w:t>natural</w:t>
      </w:r>
      <w:r>
        <w:rPr>
          <w:spacing w:val="-12"/>
        </w:rPr>
        <w:t> </w:t>
      </w:r>
      <w:r>
        <w:rPr/>
        <w:t>gas</w:t>
      </w:r>
      <w:r>
        <w:rPr>
          <w:spacing w:val="-11"/>
        </w:rPr>
        <w:t> </w:t>
      </w:r>
      <w:r>
        <w:rPr/>
        <w:t>dry</w:t>
      </w:r>
      <w:r>
        <w:rPr>
          <w:spacing w:val="-11"/>
        </w:rPr>
        <w:t> </w:t>
      </w:r>
      <w:r>
        <w:rPr/>
        <w:t>low-NO</w:t>
      </w:r>
      <w:r>
        <w:rPr>
          <w:position w:val="-6"/>
          <w:sz w:val="11"/>
        </w:rPr>
        <w:t>x</w:t>
      </w:r>
      <w:r>
        <w:rPr>
          <w:spacing w:val="10"/>
          <w:position w:val="-6"/>
          <w:sz w:val="11"/>
        </w:rPr>
        <w:t> </w:t>
      </w:r>
      <w:r>
        <w:rPr/>
        <w:t>systems</w:t>
      </w:r>
      <w:r>
        <w:rPr>
          <w:spacing w:val="-11"/>
        </w:rPr>
        <w:t> </w:t>
      </w:r>
      <w:r>
        <w:rPr>
          <w:spacing w:val="-3"/>
        </w:rPr>
        <w:t>(Todd</w:t>
      </w:r>
      <w:r>
        <w:rPr>
          <w:spacing w:val="-11"/>
        </w:rPr>
        <w:t> </w:t>
      </w:r>
      <w:r>
        <w:rPr/>
        <w:t>and</w:t>
      </w:r>
      <w:r>
        <w:rPr>
          <w:spacing w:val="-11"/>
        </w:rPr>
        <w:t> </w:t>
      </w:r>
      <w:r>
        <w:rPr/>
        <w:t>Battista, 2001).</w:t>
      </w:r>
    </w:p>
    <w:p>
      <w:pPr>
        <w:pStyle w:val="BodyText"/>
        <w:spacing w:line="240" w:lineRule="exact"/>
        <w:ind w:left="117" w:right="38" w:firstLine="283"/>
        <w:jc w:val="both"/>
      </w:pPr>
      <w:r>
        <w:rPr/>
        <w:t>In general, with the exception of H</w:t>
      </w:r>
      <w:r>
        <w:rPr>
          <w:position w:val="-6"/>
          <w:sz w:val="11"/>
        </w:rPr>
        <w:t>2</w:t>
      </w:r>
      <w:r>
        <w:rPr/>
        <w:t>S that could be co- removed</w:t>
      </w:r>
      <w:r>
        <w:rPr>
          <w:spacing w:val="-32"/>
        </w:rPr>
        <w:t> </w:t>
      </w:r>
      <w:r>
        <w:rPr/>
        <w:t>with</w:t>
      </w:r>
      <w:r>
        <w:rPr>
          <w:spacing w:val="-31"/>
        </w:rPr>
        <w:t> </w:t>
      </w:r>
      <w:r>
        <w:rPr/>
        <w:t>CO</w:t>
      </w:r>
      <w:r>
        <w:rPr>
          <w:position w:val="-6"/>
          <w:sz w:val="11"/>
        </w:rPr>
        <w:t>2</w:t>
      </w:r>
      <w:r>
        <w:rPr/>
        <w:t>,</w:t>
      </w:r>
      <w:r>
        <w:rPr>
          <w:spacing w:val="-31"/>
        </w:rPr>
        <w:t> </w:t>
      </w:r>
      <w:r>
        <w:rPr/>
        <w:t>other</w:t>
      </w:r>
      <w:r>
        <w:rPr>
          <w:spacing w:val="-32"/>
        </w:rPr>
        <w:t> </w:t>
      </w:r>
      <w:r>
        <w:rPr/>
        <w:t>pollutants</w:t>
      </w:r>
      <w:r>
        <w:rPr>
          <w:spacing w:val="-31"/>
        </w:rPr>
        <w:t> </w:t>
      </w:r>
      <w:r>
        <w:rPr/>
        <w:t>identified</w:t>
      </w:r>
      <w:r>
        <w:rPr>
          <w:spacing w:val="-32"/>
        </w:rPr>
        <w:t> </w:t>
      </w:r>
      <w:r>
        <w:rPr/>
        <w:t>above</w:t>
      </w:r>
      <w:r>
        <w:rPr>
          <w:spacing w:val="-31"/>
        </w:rPr>
        <w:t> </w:t>
      </w:r>
      <w:r>
        <w:rPr/>
        <w:t>are</w:t>
      </w:r>
      <w:r>
        <w:rPr>
          <w:spacing w:val="-31"/>
        </w:rPr>
        <w:t> </w:t>
      </w:r>
      <w:r>
        <w:rPr/>
        <w:t>separated in additional pretreatment operations, particularly in systems that gasify liquid or solid fuels. High temperature pretreatment operations for these multi-pollutants that avoid cooling of </w:t>
      </w:r>
      <w:r>
        <w:rPr>
          <w:spacing w:val="-4"/>
        </w:rPr>
        <w:t>the </w:t>
      </w:r>
      <w:r>
        <w:rPr/>
        <w:t>syngas have the advantage of improving the cycle efficiency</w:t>
      </w:r>
      <w:r>
        <w:rPr>
          <w:spacing w:val="-25"/>
        </w:rPr>
        <w:t> </w:t>
      </w:r>
      <w:r>
        <w:rPr/>
        <w:t>of the overall gasification process, but these separation processes have not been commercially demonstrated.</w:t>
      </w:r>
    </w:p>
    <w:p>
      <w:pPr>
        <w:pStyle w:val="BodyText"/>
        <w:spacing w:line="249" w:lineRule="auto" w:before="5"/>
        <w:ind w:left="117" w:right="38" w:firstLine="284"/>
        <w:jc w:val="both"/>
      </w:pPr>
      <w:r>
        <w:rPr/>
        <w:t>Although it is not yet regulated as a ‘criteria pollutant’, mercury (Hg), is currently the focus of considerable concern</w:t>
      </w:r>
      <w:r>
        <w:rPr>
          <w:spacing w:val="-18"/>
        </w:rPr>
        <w:t> </w:t>
      </w:r>
      <w:r>
        <w:rPr/>
        <w:t>as a pollutant from coal power systems. For gasification systems Hg can be recovered from syngas at ambient temperatures at very low-cost, compared to Hg recovery from flue gases (Klett </w:t>
      </w:r>
      <w:r>
        <w:rPr>
          <w:i/>
        </w:rPr>
        <w:t>et al.</w:t>
      </w:r>
      <w:r>
        <w:rPr/>
        <w:t>,</w:t>
      </w:r>
      <w:r>
        <w:rPr>
          <w:spacing w:val="-1"/>
        </w:rPr>
        <w:t> </w:t>
      </w:r>
      <w:r>
        <w:rPr/>
        <w:t>2002).</w:t>
      </w:r>
    </w:p>
    <w:p>
      <w:pPr>
        <w:pStyle w:val="BodyText"/>
        <w:spacing w:before="3"/>
        <w:rPr>
          <w:sz w:val="21"/>
        </w:rPr>
      </w:pPr>
    </w:p>
    <w:p>
      <w:pPr>
        <w:pStyle w:val="Heading2"/>
        <w:numPr>
          <w:ilvl w:val="2"/>
          <w:numId w:val="22"/>
        </w:numPr>
        <w:tabs>
          <w:tab w:pos="937" w:val="left" w:leader="none"/>
        </w:tabs>
        <w:spacing w:line="240" w:lineRule="auto" w:before="1" w:after="0"/>
        <w:ind w:left="936" w:right="0" w:hanging="821"/>
        <w:jc w:val="both"/>
        <w:rPr>
          <w:i/>
        </w:rPr>
      </w:pPr>
      <w:r>
        <w:rPr>
          <w:i/>
        </w:rPr>
        <w:t>Emerging technologies</w:t>
      </w:r>
    </w:p>
    <w:p>
      <w:pPr>
        <w:pStyle w:val="BodyText"/>
        <w:spacing w:before="8"/>
        <w:rPr>
          <w:b/>
          <w:i/>
          <w:sz w:val="21"/>
        </w:rPr>
      </w:pPr>
    </w:p>
    <w:p>
      <w:pPr>
        <w:pStyle w:val="BodyText"/>
        <w:spacing w:line="249" w:lineRule="auto"/>
        <w:ind w:left="117" w:right="39"/>
        <w:jc w:val="both"/>
      </w:pPr>
      <w:r>
        <w:rPr/>
        <w:t>Emerging options in both natural gas reforming and coal gasification incorporate novel combined reaction/separation systems such as sorption-enhanced reforming and sorption- enhanced water gas shift, membrane reforming and membrane water gas shift. Finally there is a range of technologies that make use of the carbonation of CaO for CO</w:t>
      </w:r>
      <w:r>
        <w:rPr>
          <w:position w:val="-6"/>
          <w:sz w:val="11"/>
        </w:rPr>
        <w:t>2 </w:t>
      </w:r>
      <w:r>
        <w:rPr/>
        <w:t>capture.</w:t>
      </w:r>
    </w:p>
    <w:p>
      <w:pPr>
        <w:pStyle w:val="ListParagraph"/>
        <w:numPr>
          <w:ilvl w:val="3"/>
          <w:numId w:val="22"/>
        </w:numPr>
        <w:tabs>
          <w:tab w:pos="968" w:val="left" w:leader="none"/>
        </w:tabs>
        <w:spacing w:line="240" w:lineRule="auto" w:before="194" w:after="0"/>
        <w:ind w:left="967" w:right="0" w:hanging="852"/>
        <w:jc w:val="both"/>
        <w:rPr>
          <w:i/>
          <w:sz w:val="20"/>
        </w:rPr>
      </w:pPr>
      <w:r>
        <w:rPr>
          <w:i/>
          <w:sz w:val="20"/>
        </w:rPr>
        <w:t>Sorption enhanced</w:t>
      </w:r>
      <w:r>
        <w:rPr>
          <w:i/>
          <w:spacing w:val="-1"/>
          <w:sz w:val="20"/>
        </w:rPr>
        <w:t> </w:t>
      </w:r>
      <w:r>
        <w:rPr>
          <w:i/>
          <w:sz w:val="20"/>
        </w:rPr>
        <w:t>reaction</w:t>
      </w:r>
    </w:p>
    <w:p>
      <w:pPr>
        <w:pStyle w:val="BodyText"/>
        <w:spacing w:line="240" w:lineRule="exact" w:before="5"/>
        <w:ind w:left="117" w:right="39"/>
        <w:jc w:val="both"/>
      </w:pPr>
      <w:r>
        <w:rPr/>
        <w:t>A concept called Sorption Enhanced Reaction (SER) uses a packed bed containing a mixture of a catalyst and a selective adsorbent to remove CO</w:t>
      </w:r>
      <w:r>
        <w:rPr>
          <w:position w:val="-6"/>
          <w:sz w:val="11"/>
        </w:rPr>
        <w:t>2 </w:t>
      </w:r>
      <w:r>
        <w:rPr/>
        <w:t>from a high temperature reaction zone, thus driving the reaction to completion. (Hufton </w:t>
      </w:r>
      <w:r>
        <w:rPr>
          <w:i/>
        </w:rPr>
        <w:t>et al.</w:t>
      </w:r>
      <w:r>
        <w:rPr/>
        <w:t>, 1999). The adsorbent is periodically regenerated by using a pressure swing, or temperature swing adsorption system with steam regeneration (Hufton </w:t>
      </w:r>
      <w:r>
        <w:rPr>
          <w:i/>
        </w:rPr>
        <w:t>et al.</w:t>
      </w:r>
      <w:r>
        <w:rPr/>
        <w:t>, 2005).</w:t>
      </w:r>
    </w:p>
    <w:p>
      <w:pPr>
        <w:pStyle w:val="BodyText"/>
        <w:spacing w:line="240" w:lineRule="exact"/>
        <w:ind w:left="117" w:right="39" w:firstLine="284"/>
        <w:jc w:val="both"/>
      </w:pPr>
      <w:r>
        <w:rPr/>
        <w:t>High temperature CO</w:t>
      </w:r>
      <w:r>
        <w:rPr>
          <w:position w:val="-6"/>
          <w:sz w:val="11"/>
        </w:rPr>
        <w:t>2 </w:t>
      </w:r>
      <w:r>
        <w:rPr/>
        <w:t>adsorbents such as hydrotalcites (Hufton</w:t>
      </w:r>
      <w:r>
        <w:rPr>
          <w:spacing w:val="-6"/>
        </w:rPr>
        <w:t> </w:t>
      </w:r>
      <w:r>
        <w:rPr>
          <w:i/>
        </w:rPr>
        <w:t>et</w:t>
      </w:r>
      <w:r>
        <w:rPr>
          <w:i/>
          <w:spacing w:val="-6"/>
        </w:rPr>
        <w:t> </w:t>
      </w:r>
      <w:r>
        <w:rPr>
          <w:i/>
        </w:rPr>
        <w:t>al.</w:t>
      </w:r>
      <w:r>
        <w:rPr/>
        <w:t>,</w:t>
      </w:r>
      <w:r>
        <w:rPr>
          <w:spacing w:val="-5"/>
        </w:rPr>
        <w:t> </w:t>
      </w:r>
      <w:r>
        <w:rPr/>
        <w:t>1999)</w:t>
      </w:r>
      <w:r>
        <w:rPr>
          <w:spacing w:val="-6"/>
        </w:rPr>
        <w:t> </w:t>
      </w:r>
      <w:r>
        <w:rPr/>
        <w:t>or</w:t>
      </w:r>
      <w:r>
        <w:rPr>
          <w:spacing w:val="-5"/>
        </w:rPr>
        <w:t> </w:t>
      </w:r>
      <w:r>
        <w:rPr/>
        <w:t>lithium</w:t>
      </w:r>
      <w:r>
        <w:rPr>
          <w:spacing w:val="-6"/>
        </w:rPr>
        <w:t> </w:t>
      </w:r>
      <w:r>
        <w:rPr/>
        <w:t>silicate</w:t>
      </w:r>
      <w:r>
        <w:rPr>
          <w:spacing w:val="-7"/>
        </w:rPr>
        <w:t> </w:t>
      </w:r>
      <w:r>
        <w:rPr/>
        <w:t>(Nakagawa</w:t>
      </w:r>
      <w:r>
        <w:rPr>
          <w:spacing w:val="-5"/>
        </w:rPr>
        <w:t> </w:t>
      </w:r>
      <w:r>
        <w:rPr/>
        <w:t>and</w:t>
      </w:r>
      <w:r>
        <w:rPr>
          <w:spacing w:val="-6"/>
        </w:rPr>
        <w:t> </w:t>
      </w:r>
      <w:r>
        <w:rPr/>
        <w:t>Ohashi, 1998) can be mixed with a catalyst to promote either the steam methane reforming reaction (Reaction 1) or water gas shift reaction (Reaction 3) producing pure hydrogen and pure</w:t>
      </w:r>
      <w:r>
        <w:rPr>
          <w:spacing w:val="-29"/>
        </w:rPr>
        <w:t> </w:t>
      </w:r>
      <w:r>
        <w:rPr/>
        <w:t>CO</w:t>
      </w:r>
      <w:r>
        <w:rPr>
          <w:position w:val="-6"/>
          <w:sz w:val="11"/>
        </w:rPr>
        <w:t>2 </w:t>
      </w:r>
      <w:r>
        <w:rPr>
          <w:spacing w:val="-8"/>
        </w:rPr>
        <w:t>in </w:t>
      </w:r>
      <w:r>
        <w:rPr/>
        <w:t>a single process unit. The continuous removal of the CO</w:t>
      </w:r>
      <w:r>
        <w:rPr>
          <w:position w:val="-6"/>
          <w:sz w:val="11"/>
        </w:rPr>
        <w:t>2 </w:t>
      </w:r>
      <w:r>
        <w:rPr/>
        <w:t>from the</w:t>
      </w:r>
      <w:r>
        <w:rPr>
          <w:spacing w:val="-8"/>
        </w:rPr>
        <w:t> </w:t>
      </w:r>
      <w:r>
        <w:rPr/>
        <w:t>reaction</w:t>
      </w:r>
      <w:r>
        <w:rPr>
          <w:spacing w:val="-9"/>
        </w:rPr>
        <w:t> </w:t>
      </w:r>
      <w:r>
        <w:rPr/>
        <w:t>products</w:t>
      </w:r>
      <w:r>
        <w:rPr>
          <w:spacing w:val="-7"/>
        </w:rPr>
        <w:t> </w:t>
      </w:r>
      <w:r>
        <w:rPr/>
        <w:t>by</w:t>
      </w:r>
      <w:r>
        <w:rPr>
          <w:spacing w:val="-8"/>
        </w:rPr>
        <w:t> </w:t>
      </w:r>
      <w:r>
        <w:rPr/>
        <w:t>adsorption</w:t>
      </w:r>
      <w:r>
        <w:rPr>
          <w:spacing w:val="-8"/>
        </w:rPr>
        <w:t> </w:t>
      </w:r>
      <w:r>
        <w:rPr/>
        <w:t>shifts</w:t>
      </w:r>
      <w:r>
        <w:rPr>
          <w:spacing w:val="-8"/>
        </w:rPr>
        <w:t> </w:t>
      </w:r>
      <w:r>
        <w:rPr/>
        <w:t>each</w:t>
      </w:r>
      <w:r>
        <w:rPr>
          <w:spacing w:val="-8"/>
        </w:rPr>
        <w:t> </w:t>
      </w:r>
      <w:r>
        <w:rPr/>
        <w:t>reaction</w:t>
      </w:r>
      <w:r>
        <w:rPr>
          <w:spacing w:val="-8"/>
        </w:rPr>
        <w:t> </w:t>
      </w:r>
      <w:r>
        <w:rPr/>
        <w:t>towards completion.</w:t>
      </w:r>
    </w:p>
    <w:p>
      <w:pPr>
        <w:pStyle w:val="BodyText"/>
        <w:spacing w:line="249" w:lineRule="auto" w:before="5"/>
        <w:ind w:left="117" w:right="39" w:firstLine="284"/>
        <w:jc w:val="both"/>
      </w:pPr>
      <w:r>
        <w:rPr/>
        <w:t>The SER can be used to produce hydrogen at 400-600</w:t>
      </w:r>
      <w:r>
        <w:rPr>
          <w:position w:val="7"/>
          <w:sz w:val="11"/>
        </w:rPr>
        <w:t>o</w:t>
      </w:r>
      <w:r>
        <w:rPr/>
        <w:t>C  to fuel a gas turbine combined cycle power generation system. A design study based on a General Electric </w:t>
      </w:r>
      <w:r>
        <w:rPr>
          <w:spacing w:val="-5"/>
        </w:rPr>
        <w:t>9FA </w:t>
      </w:r>
      <w:r>
        <w:rPr/>
        <w:t>gas turbine with</w:t>
      </w:r>
      <w:r>
        <w:rPr>
          <w:spacing w:val="27"/>
        </w:rPr>
        <w:t> </w:t>
      </w:r>
      <w:r>
        <w:rPr/>
        <w:t>hot</w:t>
      </w:r>
      <w:r>
        <w:rPr>
          <w:spacing w:val="28"/>
        </w:rPr>
        <w:t> </w:t>
      </w:r>
      <w:r>
        <w:rPr/>
        <w:t>hydrogen,</w:t>
      </w:r>
      <w:r>
        <w:rPr>
          <w:spacing w:val="27"/>
        </w:rPr>
        <w:t> </w:t>
      </w:r>
      <w:r>
        <w:rPr/>
        <w:t>produced</w:t>
      </w:r>
      <w:r>
        <w:rPr>
          <w:spacing w:val="28"/>
        </w:rPr>
        <w:t> </w:t>
      </w:r>
      <w:r>
        <w:rPr/>
        <w:t>from</w:t>
      </w:r>
      <w:r>
        <w:rPr>
          <w:spacing w:val="27"/>
        </w:rPr>
        <w:t> </w:t>
      </w:r>
      <w:r>
        <w:rPr/>
        <w:t>an</w:t>
      </w:r>
      <w:r>
        <w:rPr>
          <w:spacing w:val="28"/>
        </w:rPr>
        <w:t> </w:t>
      </w:r>
      <w:r>
        <w:rPr/>
        <w:t>air</w:t>
      </w:r>
      <w:r>
        <w:rPr>
          <w:spacing w:val="27"/>
        </w:rPr>
        <w:t> </w:t>
      </w:r>
      <w:r>
        <w:rPr/>
        <w:t>blown</w:t>
      </w:r>
      <w:r>
        <w:rPr>
          <w:spacing w:val="17"/>
        </w:rPr>
        <w:t> </w:t>
      </w:r>
      <w:r>
        <w:rPr>
          <w:spacing w:val="-8"/>
        </w:rPr>
        <w:t>ATR</w:t>
      </w:r>
      <w:r>
        <w:rPr>
          <w:spacing w:val="27"/>
        </w:rPr>
        <w:t> </w:t>
      </w:r>
      <w:r>
        <w:rPr/>
        <w:t>with</w:t>
      </w:r>
      <w:r>
        <w:rPr>
          <w:spacing w:val="28"/>
        </w:rPr>
        <w:t> </w:t>
      </w:r>
      <w:r>
        <w:rPr/>
        <w:t>a</w:t>
      </w:r>
    </w:p>
    <w:p>
      <w:pPr>
        <w:pStyle w:val="BodyText"/>
        <w:spacing w:line="240" w:lineRule="exact" w:before="58"/>
        <w:ind w:left="116" w:right="1131"/>
        <w:jc w:val="both"/>
      </w:pPr>
      <w:r>
        <w:rPr/>
        <w:br w:type="column"/>
      </w:r>
      <w:r>
        <w:rPr/>
        <w:t>sorption</w:t>
      </w:r>
      <w:r>
        <w:rPr>
          <w:spacing w:val="-8"/>
        </w:rPr>
        <w:t> </w:t>
      </w:r>
      <w:r>
        <w:rPr/>
        <w:t>enhanced</w:t>
      </w:r>
      <w:r>
        <w:rPr>
          <w:spacing w:val="-7"/>
        </w:rPr>
        <w:t> </w:t>
      </w:r>
      <w:r>
        <w:rPr/>
        <w:t>water</w:t>
      </w:r>
      <w:r>
        <w:rPr>
          <w:spacing w:val="-8"/>
        </w:rPr>
        <w:t> </w:t>
      </w:r>
      <w:r>
        <w:rPr/>
        <w:t>gas</w:t>
      </w:r>
      <w:r>
        <w:rPr>
          <w:spacing w:val="-6"/>
        </w:rPr>
        <w:t> </w:t>
      </w:r>
      <w:r>
        <w:rPr/>
        <w:t>shift</w:t>
      </w:r>
      <w:r>
        <w:rPr>
          <w:spacing w:val="-7"/>
        </w:rPr>
        <w:t> </w:t>
      </w:r>
      <w:r>
        <w:rPr/>
        <w:t>reactor,</w:t>
      </w:r>
      <w:r>
        <w:rPr>
          <w:spacing w:val="-7"/>
        </w:rPr>
        <w:t> </w:t>
      </w:r>
      <w:r>
        <w:rPr/>
        <w:t>gave</w:t>
      </w:r>
      <w:r>
        <w:rPr>
          <w:spacing w:val="-6"/>
        </w:rPr>
        <w:t> </w:t>
      </w:r>
      <w:r>
        <w:rPr/>
        <w:t>a</w:t>
      </w:r>
      <w:r>
        <w:rPr>
          <w:spacing w:val="-7"/>
        </w:rPr>
        <w:t> </w:t>
      </w:r>
      <w:r>
        <w:rPr/>
        <w:t>theoretical</w:t>
      </w:r>
      <w:r>
        <w:rPr>
          <w:spacing w:val="-7"/>
        </w:rPr>
        <w:t> </w:t>
      </w:r>
      <w:r>
        <w:rPr/>
        <w:t>net efficiency of 48.3% with 90% CO</w:t>
      </w:r>
      <w:r>
        <w:rPr>
          <w:position w:val="-6"/>
          <w:sz w:val="11"/>
        </w:rPr>
        <w:t>2 </w:t>
      </w:r>
      <w:r>
        <w:rPr/>
        <w:t>capture at 99% purity and 150 bar pressure (Hufton </w:t>
      </w:r>
      <w:r>
        <w:rPr>
          <w:i/>
        </w:rPr>
        <w:t>et al.</w:t>
      </w:r>
      <w:r>
        <w:rPr/>
        <w:t>, 2005). The process is currently at the pilot plant</w:t>
      </w:r>
      <w:r>
        <w:rPr>
          <w:spacing w:val="-1"/>
        </w:rPr>
        <w:t> </w:t>
      </w:r>
      <w:r>
        <w:rPr/>
        <w:t>stage.</w:t>
      </w:r>
    </w:p>
    <w:p>
      <w:pPr>
        <w:pStyle w:val="BodyText"/>
        <w:spacing w:before="3"/>
        <w:rPr>
          <w:sz w:val="21"/>
        </w:rPr>
      </w:pPr>
    </w:p>
    <w:p>
      <w:pPr>
        <w:pStyle w:val="ListParagraph"/>
        <w:numPr>
          <w:ilvl w:val="3"/>
          <w:numId w:val="22"/>
        </w:numPr>
        <w:tabs>
          <w:tab w:pos="937" w:val="left" w:leader="none"/>
        </w:tabs>
        <w:spacing w:line="249" w:lineRule="auto" w:before="1" w:after="0"/>
        <w:ind w:left="936" w:right="1382" w:hanging="820"/>
        <w:jc w:val="both"/>
        <w:rPr>
          <w:i/>
          <w:sz w:val="20"/>
        </w:rPr>
      </w:pPr>
      <w:r>
        <w:rPr>
          <w:i/>
          <w:sz w:val="20"/>
        </w:rPr>
        <w:t>Membrane reactors for hydrogen production</w:t>
      </w:r>
      <w:r>
        <w:rPr>
          <w:i/>
          <w:spacing w:val="-21"/>
          <w:sz w:val="20"/>
        </w:rPr>
        <w:t> </w:t>
      </w:r>
      <w:r>
        <w:rPr>
          <w:i/>
          <w:spacing w:val="-4"/>
          <w:sz w:val="20"/>
        </w:rPr>
        <w:t>with </w:t>
      </w:r>
      <w:r>
        <w:rPr>
          <w:i/>
          <w:sz w:val="20"/>
        </w:rPr>
        <w:t>CO</w:t>
      </w:r>
      <w:r>
        <w:rPr>
          <w:i/>
          <w:position w:val="-6"/>
          <w:sz w:val="11"/>
        </w:rPr>
        <w:t>2</w:t>
      </w:r>
      <w:r>
        <w:rPr>
          <w:i/>
          <w:spacing w:val="22"/>
          <w:position w:val="-6"/>
          <w:sz w:val="11"/>
        </w:rPr>
        <w:t> </w:t>
      </w:r>
      <w:r>
        <w:rPr>
          <w:i/>
          <w:sz w:val="20"/>
        </w:rPr>
        <w:t>capture</w:t>
      </w:r>
    </w:p>
    <w:p>
      <w:pPr>
        <w:pStyle w:val="BodyText"/>
        <w:spacing w:line="181" w:lineRule="exact"/>
        <w:ind w:left="116"/>
        <w:jc w:val="both"/>
      </w:pPr>
      <w:r>
        <w:rPr/>
        <w:t>Inorganic membranes with operating temperatures up to 1000°C</w:t>
      </w:r>
    </w:p>
    <w:p>
      <w:pPr>
        <w:pStyle w:val="BodyText"/>
        <w:spacing w:line="249" w:lineRule="auto" w:before="10"/>
        <w:ind w:left="116" w:right="1130"/>
        <w:jc w:val="both"/>
      </w:pPr>
      <w:r>
        <w:rPr/>
        <w:t>offer the possibility of  combining  reaction  and  separation  of the hydrogen in a single stage at high temperature and pressure to overcome the equilibrium limitations experienced in conventional reactor configurations for the production </w:t>
      </w:r>
      <w:r>
        <w:rPr>
          <w:spacing w:val="-7"/>
        </w:rPr>
        <w:t>of </w:t>
      </w:r>
      <w:r>
        <w:rPr/>
        <w:t>hydrogen. The combination of separation and reaction in membrane steam reforming and/or membrane water gas shift offers higher conversion of the reforming and/or shift</w:t>
      </w:r>
      <w:r>
        <w:rPr>
          <w:spacing w:val="-17"/>
        </w:rPr>
        <w:t> </w:t>
      </w:r>
      <w:r>
        <w:rPr/>
        <w:t>reactions due</w:t>
      </w:r>
      <w:r>
        <w:rPr>
          <w:spacing w:val="-15"/>
        </w:rPr>
        <w:t> </w:t>
      </w:r>
      <w:r>
        <w:rPr/>
        <w:t>to</w:t>
      </w:r>
      <w:r>
        <w:rPr>
          <w:spacing w:val="-15"/>
        </w:rPr>
        <w:t> </w:t>
      </w:r>
      <w:r>
        <w:rPr/>
        <w:t>the</w:t>
      </w:r>
      <w:r>
        <w:rPr>
          <w:spacing w:val="-15"/>
        </w:rPr>
        <w:t> </w:t>
      </w:r>
      <w:r>
        <w:rPr/>
        <w:t>removal</w:t>
      </w:r>
      <w:r>
        <w:rPr>
          <w:spacing w:val="-15"/>
        </w:rPr>
        <w:t> </w:t>
      </w:r>
      <w:r>
        <w:rPr/>
        <w:t>of</w:t>
      </w:r>
      <w:r>
        <w:rPr>
          <w:spacing w:val="-15"/>
        </w:rPr>
        <w:t> </w:t>
      </w:r>
      <w:r>
        <w:rPr/>
        <w:t>hydrogen</w:t>
      </w:r>
      <w:r>
        <w:rPr>
          <w:spacing w:val="-15"/>
        </w:rPr>
        <w:t> </w:t>
      </w:r>
      <w:r>
        <w:rPr/>
        <w:t>from</w:t>
      </w:r>
      <w:r>
        <w:rPr>
          <w:spacing w:val="-15"/>
        </w:rPr>
        <w:t> </w:t>
      </w:r>
      <w:r>
        <w:rPr/>
        <w:t>these</w:t>
      </w:r>
      <w:r>
        <w:rPr>
          <w:spacing w:val="-15"/>
        </w:rPr>
        <w:t> </w:t>
      </w:r>
      <w:r>
        <w:rPr/>
        <w:t>equilibrium</w:t>
      </w:r>
      <w:r>
        <w:rPr>
          <w:spacing w:val="-15"/>
        </w:rPr>
        <w:t> </w:t>
      </w:r>
      <w:r>
        <w:rPr/>
        <w:t>reactions as shown in Reactions (1) and (3) respectively. The reforming reaction is endothermic and can, with this technique, be forced to completion at lower temperature than normal (typically </w:t>
      </w:r>
      <w:r>
        <w:rPr>
          <w:spacing w:val="-3"/>
        </w:rPr>
        <w:t>500- </w:t>
      </w:r>
      <w:r>
        <w:rPr/>
        <w:t>600°C). The shift reaction being exothermic can be forced to completion at higher temperature (500-600°C).</w:t>
      </w:r>
    </w:p>
    <w:p>
      <w:pPr>
        <w:pStyle w:val="BodyText"/>
        <w:spacing w:line="240" w:lineRule="exact" w:before="5"/>
        <w:ind w:left="116" w:right="1130" w:firstLine="283"/>
        <w:jc w:val="both"/>
      </w:pPr>
      <w:r>
        <w:rPr/>
        <w:t>Another reason to incorporate H</w:t>
      </w:r>
      <w:r>
        <w:rPr>
          <w:position w:val="-6"/>
          <w:sz w:val="11"/>
        </w:rPr>
        <w:t>2 </w:t>
      </w:r>
      <w:r>
        <w:rPr/>
        <w:t>separation membranes in the hydrogen production system is that CO</w:t>
      </w:r>
      <w:r>
        <w:rPr>
          <w:position w:val="-6"/>
          <w:sz w:val="11"/>
        </w:rPr>
        <w:t>2 </w:t>
      </w:r>
      <w:r>
        <w:rPr/>
        <w:t>is also produced without</w:t>
      </w:r>
      <w:r>
        <w:rPr>
          <w:spacing w:val="-26"/>
        </w:rPr>
        <w:t> </w:t>
      </w:r>
      <w:r>
        <w:rPr/>
        <w:t>the</w:t>
      </w:r>
      <w:r>
        <w:rPr>
          <w:spacing w:val="-26"/>
        </w:rPr>
        <w:t> </w:t>
      </w:r>
      <w:r>
        <w:rPr/>
        <w:t>need</w:t>
      </w:r>
      <w:r>
        <w:rPr>
          <w:spacing w:val="-26"/>
        </w:rPr>
        <w:t> </w:t>
      </w:r>
      <w:r>
        <w:rPr/>
        <w:t>for</w:t>
      </w:r>
      <w:r>
        <w:rPr>
          <w:spacing w:val="-26"/>
        </w:rPr>
        <w:t> </w:t>
      </w:r>
      <w:r>
        <w:rPr/>
        <w:t>additional</w:t>
      </w:r>
      <w:r>
        <w:rPr>
          <w:spacing w:val="-25"/>
        </w:rPr>
        <w:t> </w:t>
      </w:r>
      <w:r>
        <w:rPr/>
        <w:t>separation</w:t>
      </w:r>
      <w:r>
        <w:rPr>
          <w:spacing w:val="-26"/>
        </w:rPr>
        <w:t> </w:t>
      </w:r>
      <w:r>
        <w:rPr/>
        <w:t>equipment.</w:t>
      </w:r>
      <w:r>
        <w:rPr>
          <w:spacing w:val="-26"/>
        </w:rPr>
        <w:t> </w:t>
      </w:r>
      <w:r>
        <w:rPr/>
        <w:t>Membrane reactors</w:t>
      </w:r>
      <w:r>
        <w:rPr>
          <w:spacing w:val="-20"/>
        </w:rPr>
        <w:t> </w:t>
      </w:r>
      <w:r>
        <w:rPr/>
        <w:t>allow</w:t>
      </w:r>
      <w:r>
        <w:rPr>
          <w:spacing w:val="-19"/>
        </w:rPr>
        <w:t> </w:t>
      </w:r>
      <w:r>
        <w:rPr/>
        <w:t>one-step</w:t>
      </w:r>
      <w:r>
        <w:rPr>
          <w:spacing w:val="-19"/>
        </w:rPr>
        <w:t> </w:t>
      </w:r>
      <w:r>
        <w:rPr/>
        <w:t>reforming,</w:t>
      </w:r>
      <w:r>
        <w:rPr>
          <w:spacing w:val="-19"/>
        </w:rPr>
        <w:t> </w:t>
      </w:r>
      <w:r>
        <w:rPr/>
        <w:t>or</w:t>
      </w:r>
      <w:r>
        <w:rPr>
          <w:spacing w:val="-19"/>
        </w:rPr>
        <w:t> </w:t>
      </w:r>
      <w:r>
        <w:rPr/>
        <w:t>a</w:t>
      </w:r>
      <w:r>
        <w:rPr>
          <w:spacing w:val="-19"/>
        </w:rPr>
        <w:t> </w:t>
      </w:r>
      <w:r>
        <w:rPr/>
        <w:t>single</w:t>
      </w:r>
      <w:r>
        <w:rPr>
          <w:spacing w:val="-20"/>
        </w:rPr>
        <w:t> </w:t>
      </w:r>
      <w:r>
        <w:rPr/>
        <w:t>intermediate</w:t>
      </w:r>
      <w:r>
        <w:rPr>
          <w:spacing w:val="-19"/>
        </w:rPr>
        <w:t> </w:t>
      </w:r>
      <w:r>
        <w:rPr/>
        <w:t>water gas shift reaction, with hydrogen separation (the permeate) leaving behind a retentate gas which is predominantly CO</w:t>
      </w:r>
      <w:r>
        <w:rPr>
          <w:position w:val="-6"/>
          <w:sz w:val="11"/>
        </w:rPr>
        <w:t>2 </w:t>
      </w:r>
      <w:r>
        <w:rPr/>
        <w:t>and a</w:t>
      </w:r>
      <w:r>
        <w:rPr>
          <w:spacing w:val="-12"/>
        </w:rPr>
        <w:t> </w:t>
      </w:r>
      <w:r>
        <w:rPr/>
        <w:t>small</w:t>
      </w:r>
      <w:r>
        <w:rPr>
          <w:spacing w:val="-13"/>
        </w:rPr>
        <w:t> </w:t>
      </w:r>
      <w:r>
        <w:rPr/>
        <w:t>amount</w:t>
      </w:r>
      <w:r>
        <w:rPr>
          <w:spacing w:val="-12"/>
        </w:rPr>
        <w:t> </w:t>
      </w:r>
      <w:r>
        <w:rPr/>
        <w:t>of</w:t>
      </w:r>
      <w:r>
        <w:rPr>
          <w:spacing w:val="-12"/>
        </w:rPr>
        <w:t> </w:t>
      </w:r>
      <w:r>
        <w:rPr/>
        <w:t>non-recovered</w:t>
      </w:r>
      <w:r>
        <w:rPr>
          <w:spacing w:val="-13"/>
        </w:rPr>
        <w:t> </w:t>
      </w:r>
      <w:r>
        <w:rPr/>
        <w:t>hydrogen</w:t>
      </w:r>
      <w:r>
        <w:rPr>
          <w:spacing w:val="-11"/>
        </w:rPr>
        <w:t> </w:t>
      </w:r>
      <w:r>
        <w:rPr/>
        <w:t>and</w:t>
      </w:r>
      <w:r>
        <w:rPr>
          <w:spacing w:val="-12"/>
        </w:rPr>
        <w:t> </w:t>
      </w:r>
      <w:r>
        <w:rPr/>
        <w:t>steam.</w:t>
      </w:r>
      <w:r>
        <w:rPr>
          <w:spacing w:val="-16"/>
        </w:rPr>
        <w:t> </w:t>
      </w:r>
      <w:r>
        <w:rPr/>
        <w:t>This</w:t>
      </w:r>
      <w:r>
        <w:rPr>
          <w:spacing w:val="-11"/>
        </w:rPr>
        <w:t> </w:t>
      </w:r>
      <w:r>
        <w:rPr/>
        <w:t>CO</w:t>
      </w:r>
      <w:r>
        <w:rPr>
          <w:position w:val="-6"/>
          <w:sz w:val="11"/>
        </w:rPr>
        <w:t>2 </w:t>
      </w:r>
      <w:r>
        <w:rPr/>
        <w:t>remains</w:t>
      </w:r>
      <w:r>
        <w:rPr>
          <w:spacing w:val="-20"/>
        </w:rPr>
        <w:t> </w:t>
      </w:r>
      <w:r>
        <w:rPr/>
        <w:t>at</w:t>
      </w:r>
      <w:r>
        <w:rPr>
          <w:spacing w:val="-19"/>
        </w:rPr>
        <w:t> </w:t>
      </w:r>
      <w:r>
        <w:rPr/>
        <w:t>the</w:t>
      </w:r>
      <w:r>
        <w:rPr>
          <w:spacing w:val="-20"/>
        </w:rPr>
        <w:t> </w:t>
      </w:r>
      <w:r>
        <w:rPr/>
        <w:t>relatively</w:t>
      </w:r>
      <w:r>
        <w:rPr>
          <w:spacing w:val="-20"/>
        </w:rPr>
        <w:t> </w:t>
      </w:r>
      <w:r>
        <w:rPr/>
        <w:t>high</w:t>
      </w:r>
      <w:r>
        <w:rPr>
          <w:spacing w:val="-20"/>
        </w:rPr>
        <w:t> </w:t>
      </w:r>
      <w:r>
        <w:rPr/>
        <w:t>pressure</w:t>
      </w:r>
      <w:r>
        <w:rPr>
          <w:spacing w:val="-19"/>
        </w:rPr>
        <w:t> </w:t>
      </w:r>
      <w:r>
        <w:rPr/>
        <w:t>of</w:t>
      </w:r>
      <w:r>
        <w:rPr>
          <w:spacing w:val="-20"/>
        </w:rPr>
        <w:t> </w:t>
      </w:r>
      <w:r>
        <w:rPr/>
        <w:t>the</w:t>
      </w:r>
      <w:r>
        <w:rPr>
          <w:spacing w:val="-19"/>
        </w:rPr>
        <w:t> </w:t>
      </w:r>
      <w:r>
        <w:rPr/>
        <w:t>reacting</w:t>
      </w:r>
      <w:r>
        <w:rPr>
          <w:spacing w:val="-20"/>
        </w:rPr>
        <w:t> </w:t>
      </w:r>
      <w:r>
        <w:rPr/>
        <w:t>system</w:t>
      </w:r>
      <w:r>
        <w:rPr>
          <w:spacing w:val="-20"/>
        </w:rPr>
        <w:t> </w:t>
      </w:r>
      <w:r>
        <w:rPr/>
        <w:t>(see </w:t>
      </w:r>
      <w:hyperlink w:history="true" w:anchor="_bookmark20">
        <w:r>
          <w:rPr/>
          <w:t>Figure </w:t>
        </w:r>
      </w:hyperlink>
      <w:r>
        <w:rPr/>
        <w:t>3.17). Condensation of the steam leaves a concentrated CO</w:t>
      </w:r>
      <w:r>
        <w:rPr>
          <w:position w:val="-6"/>
          <w:sz w:val="11"/>
        </w:rPr>
        <w:t>2 </w:t>
      </w:r>
      <w:r>
        <w:rPr/>
        <w:t>stream at high pressure, reducing the compression energy for</w:t>
      </w:r>
      <w:r>
        <w:rPr>
          <w:spacing w:val="-20"/>
        </w:rPr>
        <w:t> </w:t>
      </w:r>
      <w:r>
        <w:rPr/>
        <w:t>transport</w:t>
      </w:r>
      <w:r>
        <w:rPr>
          <w:spacing w:val="-20"/>
        </w:rPr>
        <w:t> </w:t>
      </w:r>
      <w:r>
        <w:rPr/>
        <w:t>and</w:t>
      </w:r>
      <w:r>
        <w:rPr>
          <w:spacing w:val="-20"/>
        </w:rPr>
        <w:t> </w:t>
      </w:r>
      <w:r>
        <w:rPr/>
        <w:t>storage.</w:t>
      </w:r>
      <w:r>
        <w:rPr>
          <w:spacing w:val="-19"/>
        </w:rPr>
        <w:t> </w:t>
      </w:r>
      <w:r>
        <w:rPr/>
        <w:t>Membrane</w:t>
      </w:r>
      <w:r>
        <w:rPr>
          <w:spacing w:val="-19"/>
        </w:rPr>
        <w:t> </w:t>
      </w:r>
      <w:r>
        <w:rPr/>
        <w:t>reforming</w:t>
      </w:r>
      <w:r>
        <w:rPr>
          <w:spacing w:val="-20"/>
        </w:rPr>
        <w:t> </w:t>
      </w:r>
      <w:r>
        <w:rPr/>
        <w:t>will</w:t>
      </w:r>
      <w:r>
        <w:rPr>
          <w:spacing w:val="-19"/>
        </w:rPr>
        <w:t> </w:t>
      </w:r>
      <w:r>
        <w:rPr/>
        <w:t>benefit</w:t>
      </w:r>
      <w:r>
        <w:rPr>
          <w:spacing w:val="-19"/>
        </w:rPr>
        <w:t> </w:t>
      </w:r>
      <w:r>
        <w:rPr/>
        <w:t>from high-pressure operation due to the increased H</w:t>
      </w:r>
      <w:r>
        <w:rPr>
          <w:position w:val="-6"/>
          <w:sz w:val="11"/>
        </w:rPr>
        <w:t>2 </w:t>
      </w:r>
      <w:r>
        <w:rPr/>
        <w:t>partial pressure differential across the membrane which is the driving force for hydrogen permeation. Therefore membrane reactors are </w:t>
      </w:r>
      <w:r>
        <w:rPr>
          <w:spacing w:val="-3"/>
        </w:rPr>
        <w:t>also </w:t>
      </w:r>
      <w:r>
        <w:rPr/>
        <w:t>seen as a good option for pre-combustion</w:t>
      </w:r>
      <w:r>
        <w:rPr>
          <w:spacing w:val="33"/>
        </w:rPr>
        <w:t> </w:t>
      </w:r>
      <w:r>
        <w:rPr/>
        <w:t>de-carbonization where a low-pressure hydrogen stream for fuel gas and a high- pressure</w:t>
      </w:r>
      <w:r>
        <w:rPr>
          <w:spacing w:val="-7"/>
        </w:rPr>
        <w:t> </w:t>
      </w:r>
      <w:r>
        <w:rPr/>
        <w:t>CO</w:t>
      </w:r>
      <w:r>
        <w:rPr>
          <w:position w:val="-6"/>
          <w:sz w:val="11"/>
        </w:rPr>
        <w:t>2</w:t>
      </w:r>
      <w:r>
        <w:rPr/>
        <w:t>-rich</w:t>
      </w:r>
      <w:r>
        <w:rPr>
          <w:spacing w:val="-7"/>
        </w:rPr>
        <w:t> </w:t>
      </w:r>
      <w:r>
        <w:rPr/>
        <w:t>stream</w:t>
      </w:r>
      <w:r>
        <w:rPr>
          <w:spacing w:val="-7"/>
        </w:rPr>
        <w:t> </w:t>
      </w:r>
      <w:r>
        <w:rPr/>
        <w:t>for</w:t>
      </w:r>
      <w:r>
        <w:rPr>
          <w:spacing w:val="-7"/>
        </w:rPr>
        <w:t> </w:t>
      </w:r>
      <w:r>
        <w:rPr/>
        <w:t>transport</w:t>
      </w:r>
      <w:r>
        <w:rPr>
          <w:spacing w:val="-7"/>
        </w:rPr>
        <w:t> </w:t>
      </w:r>
      <w:r>
        <w:rPr/>
        <w:t>and</w:t>
      </w:r>
      <w:r>
        <w:rPr>
          <w:spacing w:val="-7"/>
        </w:rPr>
        <w:t> </w:t>
      </w:r>
      <w:r>
        <w:rPr/>
        <w:t>storage</w:t>
      </w:r>
      <w:r>
        <w:rPr>
          <w:spacing w:val="-7"/>
        </w:rPr>
        <w:t> </w:t>
      </w:r>
      <w:r>
        <w:rPr/>
        <w:t>are</w:t>
      </w:r>
      <w:r>
        <w:rPr>
          <w:spacing w:val="-7"/>
        </w:rPr>
        <w:t> </w:t>
      </w:r>
      <w:r>
        <w:rPr/>
        <w:t>required. The use of the membrane reformer reactor in a gas turbine combined cycle means that the hydrogen needs to be produced at such pressure that the significant power consumption for  the hydrogen compression is avoided. This could be done </w:t>
      </w:r>
      <w:r>
        <w:rPr>
          <w:spacing w:val="-6"/>
        </w:rPr>
        <w:t>by </w:t>
      </w:r>
      <w:r>
        <w:rPr/>
        <w:t>increasing the operating pressure of the membrane reactor </w:t>
      </w:r>
      <w:r>
        <w:rPr>
          <w:spacing w:val="-7"/>
        </w:rPr>
        <w:t>or </w:t>
      </w:r>
      <w:r>
        <w:rPr/>
        <w:t>by using a sweep gas, for instance steam, at the permeate side of the membrane (Jordal </w:t>
      </w:r>
      <w:r>
        <w:rPr>
          <w:i/>
        </w:rPr>
        <w:t>et al.</w:t>
      </w:r>
      <w:r>
        <w:rPr/>
        <w:t>,</w:t>
      </w:r>
      <w:r>
        <w:rPr>
          <w:spacing w:val="-2"/>
        </w:rPr>
        <w:t> </w:t>
      </w:r>
      <w:r>
        <w:rPr/>
        <w:t>2003).</w:t>
      </w:r>
    </w:p>
    <w:p>
      <w:pPr>
        <w:pStyle w:val="BodyText"/>
        <w:spacing w:line="240" w:lineRule="exact"/>
        <w:ind w:left="116" w:right="1130" w:firstLine="284"/>
        <w:jc w:val="both"/>
      </w:pPr>
      <w:r>
        <w:rPr/>
        <w:t>For these membrane reactor concepts, a hydrogen selective membrane capable of operating in a high-temperature, high- pressure environment is needed. In the literature a number </w:t>
      </w:r>
      <w:r>
        <w:rPr>
          <w:spacing w:val="-6"/>
        </w:rPr>
        <w:t>of </w:t>
      </w:r>
      <w:r>
        <w:rPr/>
        <w:t>membrane</w:t>
      </w:r>
      <w:r>
        <w:rPr>
          <w:spacing w:val="-8"/>
        </w:rPr>
        <w:t> </w:t>
      </w:r>
      <w:r>
        <w:rPr/>
        <w:t>types</w:t>
      </w:r>
      <w:r>
        <w:rPr>
          <w:spacing w:val="-7"/>
        </w:rPr>
        <w:t> </w:t>
      </w:r>
      <w:r>
        <w:rPr/>
        <w:t>have</w:t>
      </w:r>
      <w:r>
        <w:rPr>
          <w:spacing w:val="-7"/>
        </w:rPr>
        <w:t> </w:t>
      </w:r>
      <w:r>
        <w:rPr/>
        <w:t>been</w:t>
      </w:r>
      <w:r>
        <w:rPr>
          <w:spacing w:val="-8"/>
        </w:rPr>
        <w:t> </w:t>
      </w:r>
      <w:r>
        <w:rPr/>
        <w:t>reported</w:t>
      </w:r>
      <w:r>
        <w:rPr>
          <w:spacing w:val="-7"/>
        </w:rPr>
        <w:t> </w:t>
      </w:r>
      <w:r>
        <w:rPr/>
        <w:t>that</w:t>
      </w:r>
      <w:r>
        <w:rPr>
          <w:spacing w:val="-7"/>
        </w:rPr>
        <w:t> </w:t>
      </w:r>
      <w:r>
        <w:rPr/>
        <w:t>have</w:t>
      </w:r>
      <w:r>
        <w:rPr>
          <w:spacing w:val="-8"/>
        </w:rPr>
        <w:t> </w:t>
      </w:r>
      <w:r>
        <w:rPr/>
        <w:t>these</w:t>
      </w:r>
      <w:r>
        <w:rPr>
          <w:spacing w:val="-7"/>
        </w:rPr>
        <w:t> </w:t>
      </w:r>
      <w:r>
        <w:rPr/>
        <w:t>capabilities and these are listed in </w:t>
      </w:r>
      <w:hyperlink w:history="true" w:anchor="_bookmark21">
        <w:r>
          <w:rPr>
            <w:spacing w:val="-3"/>
          </w:rPr>
          <w:t>Table </w:t>
        </w:r>
        <w:r>
          <w:rPr/>
          <w:t>3.3.</w:t>
        </w:r>
      </w:hyperlink>
      <w:r>
        <w:rPr/>
        <w:t> Microporous inorganic membranes based upon surface diffusion separation exhibit rather low separation factors (e.g., H</w:t>
      </w:r>
      <w:r>
        <w:rPr>
          <w:position w:val="-6"/>
          <w:sz w:val="11"/>
        </w:rPr>
        <w:t>2</w:t>
      </w:r>
      <w:r>
        <w:rPr/>
        <w:t>/CO</w:t>
      </w:r>
      <w:r>
        <w:rPr>
          <w:position w:val="-6"/>
          <w:sz w:val="11"/>
        </w:rPr>
        <w:t>2 </w:t>
      </w:r>
      <w:r>
        <w:rPr/>
        <w:t>separation factor of 15).</w:t>
      </w:r>
      <w:r>
        <w:rPr>
          <w:spacing w:val="-16"/>
        </w:rPr>
        <w:t> </w:t>
      </w:r>
      <w:r>
        <w:rPr/>
        <w:t>However,</w:t>
      </w:r>
      <w:r>
        <w:rPr>
          <w:spacing w:val="-16"/>
        </w:rPr>
        <w:t> </w:t>
      </w:r>
      <w:r>
        <w:rPr/>
        <w:t>the</w:t>
      </w:r>
      <w:r>
        <w:rPr>
          <w:spacing w:val="-16"/>
        </w:rPr>
        <w:t> </w:t>
      </w:r>
      <w:r>
        <w:rPr/>
        <w:t>separation</w:t>
      </w:r>
      <w:r>
        <w:rPr>
          <w:spacing w:val="-17"/>
        </w:rPr>
        <w:t> </w:t>
      </w:r>
      <w:r>
        <w:rPr/>
        <w:t>ability</w:t>
      </w:r>
      <w:r>
        <w:rPr>
          <w:spacing w:val="-15"/>
        </w:rPr>
        <w:t> </w:t>
      </w:r>
      <w:r>
        <w:rPr/>
        <w:t>of</w:t>
      </w:r>
      <w:r>
        <w:rPr>
          <w:spacing w:val="-16"/>
        </w:rPr>
        <w:t> </w:t>
      </w:r>
      <w:r>
        <w:rPr/>
        <w:t>the</w:t>
      </w:r>
      <w:r>
        <w:rPr>
          <w:spacing w:val="-16"/>
        </w:rPr>
        <w:t> </w:t>
      </w:r>
      <w:r>
        <w:rPr/>
        <w:t>current</w:t>
      </w:r>
      <w:r>
        <w:rPr>
          <w:spacing w:val="-16"/>
        </w:rPr>
        <w:t> </w:t>
      </w:r>
      <w:r>
        <w:rPr/>
        <w:t>commercially available gamma-alumina and silica microporous membranes (which have better separation factors, up to 40) depends upon the</w:t>
      </w:r>
      <w:r>
        <w:rPr>
          <w:spacing w:val="36"/>
        </w:rPr>
        <w:t> </w:t>
      </w:r>
      <w:r>
        <w:rPr/>
        <w:t>stability</w:t>
      </w:r>
      <w:r>
        <w:rPr>
          <w:spacing w:val="35"/>
        </w:rPr>
        <w:t> </w:t>
      </w:r>
      <w:r>
        <w:rPr/>
        <w:t>of</w:t>
      </w:r>
      <w:r>
        <w:rPr>
          <w:spacing w:val="36"/>
        </w:rPr>
        <w:t> </w:t>
      </w:r>
      <w:r>
        <w:rPr/>
        <w:t>the</w:t>
      </w:r>
      <w:r>
        <w:rPr>
          <w:spacing w:val="37"/>
        </w:rPr>
        <w:t> </w:t>
      </w:r>
      <w:r>
        <w:rPr/>
        <w:t>membrane</w:t>
      </w:r>
      <w:r>
        <w:rPr>
          <w:spacing w:val="36"/>
        </w:rPr>
        <w:t> </w:t>
      </w:r>
      <w:r>
        <w:rPr/>
        <w:t>pore</w:t>
      </w:r>
      <w:r>
        <w:rPr>
          <w:spacing w:val="36"/>
        </w:rPr>
        <w:t> </w:t>
      </w:r>
      <w:r>
        <w:rPr/>
        <w:t>size,</w:t>
      </w:r>
      <w:r>
        <w:rPr>
          <w:spacing w:val="36"/>
        </w:rPr>
        <w:t> </w:t>
      </w:r>
      <w:r>
        <w:rPr/>
        <w:t>which</w:t>
      </w:r>
      <w:r>
        <w:rPr>
          <w:spacing w:val="37"/>
        </w:rPr>
        <w:t> </w:t>
      </w:r>
      <w:r>
        <w:rPr/>
        <w:t>is</w:t>
      </w:r>
      <w:r>
        <w:rPr>
          <w:spacing w:val="36"/>
        </w:rPr>
        <w:t> </w:t>
      </w:r>
      <w:r>
        <w:rPr/>
        <w:t>adversely</w:t>
      </w:r>
    </w:p>
    <w:p>
      <w:pPr>
        <w:spacing w:after="0" w:line="240" w:lineRule="exact"/>
        <w:jc w:val="both"/>
        <w:sectPr>
          <w:type w:val="continuous"/>
          <w:pgSz w:w="12240" w:h="15840"/>
          <w:pgMar w:top="480" w:bottom="280" w:left="620" w:right="0"/>
          <w:cols w:num="2" w:equalWidth="0">
            <w:col w:w="5202" w:space="124"/>
            <w:col w:w="6294"/>
          </w:cols>
        </w:sectPr>
      </w:pPr>
    </w:p>
    <w:p>
      <w:pPr>
        <w:pStyle w:val="BodyText"/>
      </w:pPr>
    </w:p>
    <w:p>
      <w:pPr>
        <w:pStyle w:val="BodyText"/>
        <w:spacing w:before="11"/>
        <w:rPr>
          <w:sz w:val="14"/>
        </w:rPr>
      </w:pPr>
    </w:p>
    <w:tbl>
      <w:tblPr>
        <w:tblW w:w="0" w:type="auto"/>
        <w:jc w:val="left"/>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69"/>
      </w:tblGrid>
      <w:tr>
        <w:trPr>
          <w:trHeight w:val="2845" w:hRule="atLeast"/>
        </w:trPr>
        <w:tc>
          <w:tcPr>
            <w:tcW w:w="10369" w:type="dxa"/>
          </w:tcPr>
          <w:p>
            <w:pPr>
              <w:pStyle w:val="TableParagraph"/>
              <w:spacing w:before="8"/>
              <w:jc w:val="left"/>
              <w:rPr>
                <w:sz w:val="23"/>
              </w:rPr>
            </w:pPr>
          </w:p>
          <w:p>
            <w:pPr>
              <w:pStyle w:val="TableParagraph"/>
              <w:ind w:left="254"/>
              <w:jc w:val="left"/>
              <w:rPr>
                <w:sz w:val="20"/>
              </w:rPr>
            </w:pPr>
            <w:r>
              <w:rPr>
                <w:sz w:val="20"/>
              </w:rPr>
              <w:drawing>
                <wp:inline distT="0" distB="0" distL="0" distR="0">
                  <wp:extent cx="6265090" cy="1499616"/>
                  <wp:effectExtent l="0" t="0" r="0" b="0"/>
                  <wp:docPr id="43" name="image168.png"/>
                  <wp:cNvGraphicFramePr>
                    <a:graphicFrameLocks noChangeAspect="1"/>
                  </wp:cNvGraphicFramePr>
                  <a:graphic>
                    <a:graphicData uri="http://schemas.openxmlformats.org/drawingml/2006/picture">
                      <pic:pic>
                        <pic:nvPicPr>
                          <pic:cNvPr id="44" name="image168.png"/>
                          <pic:cNvPicPr/>
                        </pic:nvPicPr>
                        <pic:blipFill>
                          <a:blip r:embed="rId174" cstate="print"/>
                          <a:stretch>
                            <a:fillRect/>
                          </a:stretch>
                        </pic:blipFill>
                        <pic:spPr>
                          <a:xfrm>
                            <a:off x="0" y="0"/>
                            <a:ext cx="6265090" cy="1499616"/>
                          </a:xfrm>
                          <a:prstGeom prst="rect">
                            <a:avLst/>
                          </a:prstGeom>
                        </pic:spPr>
                      </pic:pic>
                    </a:graphicData>
                  </a:graphic>
                </wp:inline>
              </w:drawing>
            </w:r>
            <w:r>
              <w:rPr>
                <w:sz w:val="20"/>
              </w:rPr>
            </w:r>
          </w:p>
        </w:tc>
      </w:tr>
    </w:tbl>
    <w:p>
      <w:pPr>
        <w:spacing w:before="72"/>
        <w:ind w:left="518" w:right="0" w:firstLine="0"/>
        <w:jc w:val="left"/>
        <w:rPr>
          <w:sz w:val="18"/>
        </w:rPr>
      </w:pPr>
      <w:bookmarkStart w:name="_bookmark20" w:id="53"/>
      <w:bookmarkEnd w:id="53"/>
      <w:r>
        <w:rPr/>
      </w:r>
      <w:bookmarkStart w:name="_bookmark21" w:id="54"/>
      <w:bookmarkEnd w:id="54"/>
      <w:r>
        <w:rPr/>
      </w:r>
      <w:r>
        <w:rPr>
          <w:b/>
          <w:sz w:val="18"/>
        </w:rPr>
        <w:t>Figure 3.17 </w:t>
      </w:r>
      <w:r>
        <w:rPr>
          <w:sz w:val="18"/>
        </w:rPr>
        <w:t>Operating principle of a membrane reactor.</w:t>
      </w:r>
    </w:p>
    <w:p>
      <w:pPr>
        <w:pStyle w:val="BodyText"/>
        <w:spacing w:before="9"/>
        <w:rPr>
          <w:sz w:val="24"/>
        </w:rPr>
      </w:pPr>
    </w:p>
    <w:p>
      <w:pPr>
        <w:spacing w:before="0" w:after="19"/>
        <w:ind w:left="513" w:right="0" w:firstLine="0"/>
        <w:jc w:val="left"/>
        <w:rPr>
          <w:sz w:val="18"/>
        </w:rPr>
      </w:pPr>
      <w:r>
        <w:rPr>
          <w:b/>
          <w:spacing w:val="-17"/>
          <w:w w:val="201"/>
          <w:sz w:val="18"/>
        </w:rPr>
        <w:t>t</w:t>
      </w:r>
      <w:r>
        <w:rPr>
          <w:b/>
          <w:w w:val="100"/>
          <w:sz w:val="18"/>
        </w:rPr>
        <w:t>able</w:t>
      </w:r>
      <w:r>
        <w:rPr>
          <w:b/>
          <w:spacing w:val="4"/>
          <w:sz w:val="18"/>
        </w:rPr>
        <w:t> </w:t>
      </w:r>
      <w:r>
        <w:rPr>
          <w:b/>
          <w:w w:val="100"/>
          <w:sz w:val="18"/>
        </w:rPr>
        <w:t>3.3</w:t>
      </w:r>
      <w:r>
        <w:rPr>
          <w:b/>
          <w:spacing w:val="4"/>
          <w:sz w:val="18"/>
        </w:rPr>
        <w:t> </w:t>
      </w:r>
      <w:r>
        <w:rPr>
          <w:spacing w:val="-1"/>
          <w:w w:val="100"/>
          <w:sz w:val="18"/>
        </w:rPr>
        <w:t>Membran</w:t>
      </w:r>
      <w:r>
        <w:rPr>
          <w:w w:val="100"/>
          <w:sz w:val="18"/>
        </w:rPr>
        <w:t>e</w:t>
      </w:r>
      <w:r>
        <w:rPr>
          <w:spacing w:val="4"/>
          <w:sz w:val="18"/>
        </w:rPr>
        <w:t> </w:t>
      </w:r>
      <w:r>
        <w:rPr>
          <w:w w:val="100"/>
          <w:sz w:val="18"/>
        </w:rPr>
        <w:t>materials,</w:t>
      </w:r>
      <w:r>
        <w:rPr>
          <w:spacing w:val="4"/>
          <w:sz w:val="18"/>
        </w:rPr>
        <w:t> </w:t>
      </w:r>
      <w:r>
        <w:rPr>
          <w:w w:val="100"/>
          <w:sz w:val="18"/>
        </w:rPr>
        <w:t>operating</w:t>
      </w:r>
      <w:r>
        <w:rPr>
          <w:spacing w:val="4"/>
          <w:sz w:val="18"/>
        </w:rPr>
        <w:t> </w:t>
      </w:r>
      <w:r>
        <w:rPr>
          <w:w w:val="100"/>
          <w:sz w:val="18"/>
        </w:rPr>
        <w:t>conditions</w:t>
      </w:r>
      <w:r>
        <w:rPr>
          <w:spacing w:val="4"/>
          <w:sz w:val="18"/>
        </w:rPr>
        <w:t> </w:t>
      </w:r>
      <w:r>
        <w:rPr>
          <w:w w:val="100"/>
          <w:sz w:val="18"/>
        </w:rPr>
        <w:t>and</w:t>
      </w:r>
      <w:r>
        <w:rPr>
          <w:spacing w:val="4"/>
          <w:sz w:val="18"/>
        </w:rPr>
        <w:t> </w:t>
      </w:r>
      <w:r>
        <w:rPr>
          <w:w w:val="100"/>
          <w:sz w:val="18"/>
        </w:rPr>
        <w:t>characteristics</w:t>
      </w:r>
      <w:r>
        <w:rPr>
          <w:spacing w:val="4"/>
          <w:sz w:val="18"/>
        </w:rPr>
        <w:t> </w:t>
      </w:r>
      <w:r>
        <w:rPr>
          <w:w w:val="100"/>
          <w:sz w:val="18"/>
        </w:rPr>
        <w:t>for</w:t>
      </w:r>
      <w:r>
        <w:rPr>
          <w:spacing w:val="4"/>
          <w:sz w:val="18"/>
        </w:rPr>
        <w:t> </w:t>
      </w:r>
      <w:r>
        <w:rPr>
          <w:spacing w:val="-1"/>
          <w:w w:val="100"/>
          <w:sz w:val="18"/>
        </w:rPr>
        <w:t>H</w:t>
      </w:r>
      <w:r>
        <w:rPr>
          <w:w w:val="105"/>
          <w:position w:val="-5"/>
          <w:sz w:val="10"/>
        </w:rPr>
        <w:t>2</w:t>
      </w:r>
      <w:r>
        <w:rPr>
          <w:position w:val="-5"/>
          <w:sz w:val="10"/>
        </w:rPr>
        <w:t> </w:t>
      </w:r>
      <w:r>
        <w:rPr>
          <w:spacing w:val="-1"/>
          <w:position w:val="-5"/>
          <w:sz w:val="10"/>
        </w:rPr>
        <w:t> </w:t>
      </w:r>
      <w:r>
        <w:rPr>
          <w:spacing w:val="-1"/>
          <w:w w:val="100"/>
          <w:sz w:val="18"/>
        </w:rPr>
        <w:t>separation.</w:t>
      </w:r>
    </w:p>
    <w:tbl>
      <w:tblPr>
        <w:tblW w:w="0" w:type="auto"/>
        <w:jc w:val="left"/>
        <w:tblInd w:w="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29"/>
        <w:gridCol w:w="1558"/>
        <w:gridCol w:w="1560"/>
        <w:gridCol w:w="1726"/>
        <w:gridCol w:w="1500"/>
        <w:gridCol w:w="1683"/>
      </w:tblGrid>
      <w:tr>
        <w:trPr>
          <w:trHeight w:val="505" w:hRule="atLeast"/>
        </w:trPr>
        <w:tc>
          <w:tcPr>
            <w:tcW w:w="3887" w:type="dxa"/>
            <w:gridSpan w:val="2"/>
            <w:tcBorders>
              <w:top w:val="single" w:sz="4" w:space="0" w:color="000000"/>
              <w:left w:val="single" w:sz="4" w:space="0" w:color="000000"/>
              <w:bottom w:val="single" w:sz="4" w:space="0" w:color="000000"/>
            </w:tcBorders>
            <w:shd w:val="clear" w:color="auto" w:fill="E0EEE0"/>
          </w:tcPr>
          <w:p>
            <w:pPr>
              <w:pStyle w:val="TableParagraph"/>
              <w:spacing w:line="254" w:lineRule="auto" w:before="42"/>
              <w:ind w:left="2746" w:hanging="169"/>
              <w:jc w:val="left"/>
              <w:rPr>
                <w:b/>
                <w:sz w:val="18"/>
              </w:rPr>
            </w:pPr>
            <w:r>
              <w:rPr>
                <w:b/>
                <w:sz w:val="18"/>
              </w:rPr>
              <w:t>microporous Ceramic</w:t>
            </w:r>
          </w:p>
        </w:tc>
        <w:tc>
          <w:tcPr>
            <w:tcW w:w="1560" w:type="dxa"/>
            <w:tcBorders>
              <w:top w:val="single" w:sz="4" w:space="0" w:color="000000"/>
              <w:bottom w:val="single" w:sz="4" w:space="0" w:color="000000"/>
            </w:tcBorders>
            <w:shd w:val="clear" w:color="auto" w:fill="E0EEE0"/>
          </w:tcPr>
          <w:p>
            <w:pPr>
              <w:pStyle w:val="TableParagraph"/>
              <w:spacing w:line="254" w:lineRule="auto" w:before="42"/>
              <w:ind w:left="479" w:hanging="169"/>
              <w:jc w:val="left"/>
              <w:rPr>
                <w:b/>
                <w:sz w:val="18"/>
              </w:rPr>
            </w:pPr>
            <w:r>
              <w:rPr>
                <w:b/>
                <w:sz w:val="18"/>
              </w:rPr>
              <w:t>microporous Ceramic</w:t>
            </w:r>
          </w:p>
        </w:tc>
        <w:tc>
          <w:tcPr>
            <w:tcW w:w="1726" w:type="dxa"/>
            <w:tcBorders>
              <w:top w:val="single" w:sz="4" w:space="0" w:color="000000"/>
              <w:bottom w:val="single" w:sz="4" w:space="0" w:color="000000"/>
            </w:tcBorders>
            <w:shd w:val="clear" w:color="auto" w:fill="E0EEE0"/>
          </w:tcPr>
          <w:p>
            <w:pPr>
              <w:pStyle w:val="TableParagraph"/>
              <w:spacing w:line="254" w:lineRule="auto" w:before="42"/>
              <w:ind w:left="570" w:hanging="204"/>
              <w:jc w:val="left"/>
              <w:rPr>
                <w:b/>
                <w:sz w:val="18"/>
              </w:rPr>
            </w:pPr>
            <w:r>
              <w:rPr>
                <w:b/>
                <w:sz w:val="18"/>
              </w:rPr>
              <w:t>microporous Carbon</w:t>
            </w:r>
          </w:p>
        </w:tc>
        <w:tc>
          <w:tcPr>
            <w:tcW w:w="1500" w:type="dxa"/>
            <w:tcBorders>
              <w:top w:val="single" w:sz="4" w:space="0" w:color="000000"/>
              <w:bottom w:val="single" w:sz="4" w:space="0" w:color="000000"/>
            </w:tcBorders>
            <w:shd w:val="clear" w:color="auto" w:fill="E0EEE0"/>
          </w:tcPr>
          <w:p>
            <w:pPr>
              <w:pStyle w:val="TableParagraph"/>
              <w:spacing w:before="42"/>
              <w:ind w:left="133" w:right="121"/>
              <w:rPr>
                <w:b/>
                <w:sz w:val="18"/>
              </w:rPr>
            </w:pPr>
            <w:r>
              <w:rPr>
                <w:b/>
                <w:sz w:val="18"/>
              </w:rPr>
              <w:t>Zeolites</w:t>
            </w:r>
          </w:p>
        </w:tc>
        <w:tc>
          <w:tcPr>
            <w:tcW w:w="1683" w:type="dxa"/>
            <w:tcBorders>
              <w:top w:val="single" w:sz="4" w:space="0" w:color="000000"/>
              <w:bottom w:val="single" w:sz="4" w:space="0" w:color="000000"/>
              <w:right w:val="single" w:sz="4" w:space="0" w:color="000000"/>
            </w:tcBorders>
            <w:shd w:val="clear" w:color="auto" w:fill="E0EEE0"/>
          </w:tcPr>
          <w:p>
            <w:pPr>
              <w:pStyle w:val="TableParagraph"/>
              <w:spacing w:before="42"/>
              <w:ind w:left="631" w:right="554"/>
              <w:rPr>
                <w:b/>
                <w:sz w:val="18"/>
              </w:rPr>
            </w:pPr>
            <w:r>
              <w:rPr>
                <w:b/>
                <w:w w:val="105"/>
                <w:sz w:val="18"/>
              </w:rPr>
              <w:t>metal</w:t>
            </w:r>
          </w:p>
        </w:tc>
      </w:tr>
      <w:tr>
        <w:trPr>
          <w:trHeight w:val="312" w:hRule="atLeast"/>
        </w:trPr>
        <w:tc>
          <w:tcPr>
            <w:tcW w:w="2329" w:type="dxa"/>
            <w:tcBorders>
              <w:top w:val="single" w:sz="4" w:space="0" w:color="000000"/>
            </w:tcBorders>
            <w:shd w:val="clear" w:color="auto" w:fill="F9FCF9"/>
          </w:tcPr>
          <w:p>
            <w:pPr>
              <w:pStyle w:val="TableParagraph"/>
              <w:spacing w:before="42"/>
              <w:ind w:left="83"/>
              <w:jc w:val="left"/>
              <w:rPr>
                <w:sz w:val="18"/>
              </w:rPr>
            </w:pPr>
            <w:r>
              <w:rPr>
                <w:sz w:val="18"/>
              </w:rPr>
              <w:t>Membrane material</w:t>
            </w:r>
          </w:p>
        </w:tc>
        <w:tc>
          <w:tcPr>
            <w:tcW w:w="1558" w:type="dxa"/>
            <w:tcBorders>
              <w:top w:val="single" w:sz="4" w:space="0" w:color="000000"/>
            </w:tcBorders>
            <w:shd w:val="clear" w:color="auto" w:fill="F9FCF9"/>
          </w:tcPr>
          <w:p>
            <w:pPr>
              <w:pStyle w:val="TableParagraph"/>
              <w:spacing w:before="42"/>
              <w:ind w:left="125" w:right="172"/>
              <w:rPr>
                <w:sz w:val="18"/>
              </w:rPr>
            </w:pPr>
            <w:r>
              <w:rPr>
                <w:sz w:val="18"/>
              </w:rPr>
              <w:t>Alumina</w:t>
            </w:r>
          </w:p>
        </w:tc>
        <w:tc>
          <w:tcPr>
            <w:tcW w:w="1560" w:type="dxa"/>
            <w:tcBorders>
              <w:top w:val="single" w:sz="4" w:space="0" w:color="000000"/>
            </w:tcBorders>
            <w:shd w:val="clear" w:color="auto" w:fill="F9FCF9"/>
          </w:tcPr>
          <w:p>
            <w:pPr>
              <w:pStyle w:val="TableParagraph"/>
              <w:spacing w:before="42"/>
              <w:ind w:left="181" w:right="118"/>
              <w:rPr>
                <w:sz w:val="18"/>
              </w:rPr>
            </w:pPr>
            <w:r>
              <w:rPr>
                <w:sz w:val="18"/>
              </w:rPr>
              <w:t>Silica</w:t>
            </w:r>
          </w:p>
        </w:tc>
        <w:tc>
          <w:tcPr>
            <w:tcW w:w="1726" w:type="dxa"/>
            <w:tcBorders>
              <w:top w:val="single" w:sz="4" w:space="0" w:color="000000"/>
            </w:tcBorders>
            <w:shd w:val="clear" w:color="auto" w:fill="F9FCF9"/>
          </w:tcPr>
          <w:p>
            <w:pPr>
              <w:pStyle w:val="TableParagraph"/>
              <w:spacing w:before="42"/>
              <w:ind w:left="126" w:right="119"/>
              <w:rPr>
                <w:sz w:val="18"/>
              </w:rPr>
            </w:pPr>
            <w:r>
              <w:rPr>
                <w:sz w:val="18"/>
              </w:rPr>
              <w:t>Carbon</w:t>
            </w:r>
          </w:p>
        </w:tc>
        <w:tc>
          <w:tcPr>
            <w:tcW w:w="1500" w:type="dxa"/>
            <w:tcBorders>
              <w:top w:val="single" w:sz="4" w:space="0" w:color="000000"/>
            </w:tcBorders>
            <w:shd w:val="clear" w:color="auto" w:fill="F9FCF9"/>
          </w:tcPr>
          <w:p>
            <w:pPr>
              <w:pStyle w:val="TableParagraph"/>
              <w:spacing w:before="42"/>
              <w:ind w:left="133" w:right="121"/>
              <w:rPr>
                <w:sz w:val="18"/>
              </w:rPr>
            </w:pPr>
            <w:r>
              <w:rPr>
                <w:sz w:val="18"/>
              </w:rPr>
              <w:t>Silica (Alumina)</w:t>
            </w:r>
          </w:p>
        </w:tc>
        <w:tc>
          <w:tcPr>
            <w:tcW w:w="1683" w:type="dxa"/>
            <w:tcBorders>
              <w:top w:val="single" w:sz="4" w:space="0" w:color="000000"/>
            </w:tcBorders>
            <w:shd w:val="clear" w:color="auto" w:fill="F9FCF9"/>
          </w:tcPr>
          <w:p>
            <w:pPr>
              <w:pStyle w:val="TableParagraph"/>
              <w:spacing w:before="42"/>
              <w:ind w:left="132" w:right="60"/>
              <w:rPr>
                <w:sz w:val="18"/>
              </w:rPr>
            </w:pPr>
            <w:r>
              <w:rPr>
                <w:sz w:val="18"/>
              </w:rPr>
              <w:t>Pd/Ag</w:t>
            </w:r>
          </w:p>
        </w:tc>
      </w:tr>
      <w:tr>
        <w:trPr>
          <w:trHeight w:val="295" w:hRule="atLeast"/>
        </w:trPr>
        <w:tc>
          <w:tcPr>
            <w:tcW w:w="2329" w:type="dxa"/>
            <w:shd w:val="clear" w:color="auto" w:fill="F9FCF9"/>
          </w:tcPr>
          <w:p>
            <w:pPr>
              <w:pStyle w:val="TableParagraph"/>
              <w:spacing w:before="24"/>
              <w:ind w:left="83"/>
              <w:jc w:val="left"/>
              <w:rPr>
                <w:sz w:val="18"/>
              </w:rPr>
            </w:pPr>
            <w:r>
              <w:rPr>
                <w:sz w:val="18"/>
              </w:rPr>
              <w:t>Temperature range (°C)</w:t>
            </w:r>
          </w:p>
        </w:tc>
        <w:tc>
          <w:tcPr>
            <w:tcW w:w="1558" w:type="dxa"/>
            <w:shd w:val="clear" w:color="auto" w:fill="F9FCF9"/>
          </w:tcPr>
          <w:p>
            <w:pPr>
              <w:pStyle w:val="TableParagraph"/>
              <w:spacing w:before="24"/>
              <w:ind w:left="125" w:right="172"/>
              <w:rPr>
                <w:sz w:val="18"/>
              </w:rPr>
            </w:pPr>
            <w:r>
              <w:rPr>
                <w:sz w:val="18"/>
              </w:rPr>
              <w:t>&lt;500</w:t>
            </w:r>
          </w:p>
        </w:tc>
        <w:tc>
          <w:tcPr>
            <w:tcW w:w="1560" w:type="dxa"/>
            <w:shd w:val="clear" w:color="auto" w:fill="F9FCF9"/>
          </w:tcPr>
          <w:p>
            <w:pPr>
              <w:pStyle w:val="TableParagraph"/>
              <w:spacing w:before="24"/>
              <w:ind w:left="181" w:right="118"/>
              <w:rPr>
                <w:sz w:val="18"/>
              </w:rPr>
            </w:pPr>
            <w:r>
              <w:rPr>
                <w:sz w:val="18"/>
              </w:rPr>
              <w:t>&lt;400</w:t>
            </w:r>
          </w:p>
        </w:tc>
        <w:tc>
          <w:tcPr>
            <w:tcW w:w="1726" w:type="dxa"/>
            <w:shd w:val="clear" w:color="auto" w:fill="F9FCF9"/>
          </w:tcPr>
          <w:p>
            <w:pPr>
              <w:pStyle w:val="TableParagraph"/>
              <w:spacing w:before="24"/>
              <w:ind w:left="126" w:right="119"/>
              <w:rPr>
                <w:sz w:val="18"/>
              </w:rPr>
            </w:pPr>
            <w:r>
              <w:rPr>
                <w:sz w:val="18"/>
              </w:rPr>
              <w:t>&lt;400</w:t>
            </w:r>
          </w:p>
        </w:tc>
        <w:tc>
          <w:tcPr>
            <w:tcW w:w="1500" w:type="dxa"/>
            <w:shd w:val="clear" w:color="auto" w:fill="F9FCF9"/>
          </w:tcPr>
          <w:p>
            <w:pPr>
              <w:pStyle w:val="TableParagraph"/>
              <w:spacing w:before="24"/>
              <w:ind w:left="133" w:right="121"/>
              <w:rPr>
                <w:sz w:val="18"/>
              </w:rPr>
            </w:pPr>
            <w:r>
              <w:rPr>
                <w:sz w:val="18"/>
              </w:rPr>
              <w:t>&lt;500 - 700</w:t>
            </w:r>
          </w:p>
        </w:tc>
        <w:tc>
          <w:tcPr>
            <w:tcW w:w="1683" w:type="dxa"/>
            <w:shd w:val="clear" w:color="auto" w:fill="F9FCF9"/>
          </w:tcPr>
          <w:p>
            <w:pPr>
              <w:pStyle w:val="TableParagraph"/>
              <w:spacing w:before="24"/>
              <w:ind w:left="132" w:right="60"/>
              <w:rPr>
                <w:sz w:val="18"/>
              </w:rPr>
            </w:pPr>
            <w:r>
              <w:rPr>
                <w:sz w:val="18"/>
              </w:rPr>
              <w:t>&lt;600</w:t>
            </w:r>
          </w:p>
        </w:tc>
      </w:tr>
      <w:tr>
        <w:trPr>
          <w:trHeight w:val="295" w:hRule="atLeast"/>
        </w:trPr>
        <w:tc>
          <w:tcPr>
            <w:tcW w:w="2329" w:type="dxa"/>
            <w:shd w:val="clear" w:color="auto" w:fill="F9FCF9"/>
          </w:tcPr>
          <w:p>
            <w:pPr>
              <w:pStyle w:val="TableParagraph"/>
              <w:spacing w:before="24"/>
              <w:ind w:left="83"/>
              <w:jc w:val="left"/>
              <w:rPr>
                <w:sz w:val="18"/>
              </w:rPr>
            </w:pPr>
            <w:r>
              <w:rPr>
                <w:sz w:val="18"/>
              </w:rPr>
              <w:t>Pressure range (bar)</w:t>
            </w:r>
          </w:p>
        </w:tc>
        <w:tc>
          <w:tcPr>
            <w:tcW w:w="1558" w:type="dxa"/>
            <w:shd w:val="clear" w:color="auto" w:fill="F9FCF9"/>
          </w:tcPr>
          <w:p>
            <w:pPr>
              <w:pStyle w:val="TableParagraph"/>
              <w:spacing w:before="24"/>
              <w:ind w:left="125" w:right="172"/>
              <w:rPr>
                <w:sz w:val="18"/>
              </w:rPr>
            </w:pPr>
            <w:r>
              <w:rPr>
                <w:sz w:val="18"/>
              </w:rPr>
              <w:t>&gt;100</w:t>
            </w:r>
          </w:p>
        </w:tc>
        <w:tc>
          <w:tcPr>
            <w:tcW w:w="1560" w:type="dxa"/>
            <w:shd w:val="clear" w:color="auto" w:fill="F9FCF9"/>
          </w:tcPr>
          <w:p>
            <w:pPr>
              <w:pStyle w:val="TableParagraph"/>
              <w:spacing w:before="24"/>
              <w:ind w:left="181" w:right="118"/>
              <w:rPr>
                <w:sz w:val="18"/>
              </w:rPr>
            </w:pPr>
            <w:r>
              <w:rPr>
                <w:sz w:val="18"/>
              </w:rPr>
              <w:t>&gt;100</w:t>
            </w:r>
          </w:p>
        </w:tc>
        <w:tc>
          <w:tcPr>
            <w:tcW w:w="1726" w:type="dxa"/>
            <w:shd w:val="clear" w:color="auto" w:fill="F9FCF9"/>
          </w:tcPr>
          <w:p>
            <w:pPr>
              <w:pStyle w:val="TableParagraph"/>
              <w:spacing w:before="24"/>
              <w:ind w:left="126" w:right="119"/>
              <w:rPr>
                <w:sz w:val="18"/>
              </w:rPr>
            </w:pPr>
            <w:r>
              <w:rPr>
                <w:sz w:val="18"/>
              </w:rPr>
              <w:t>10</w:t>
            </w:r>
          </w:p>
        </w:tc>
        <w:tc>
          <w:tcPr>
            <w:tcW w:w="1500" w:type="dxa"/>
            <w:shd w:val="clear" w:color="auto" w:fill="F9FCF9"/>
          </w:tcPr>
          <w:p>
            <w:pPr>
              <w:pStyle w:val="TableParagraph"/>
              <w:spacing w:before="24"/>
              <w:ind w:left="133" w:right="121"/>
              <w:rPr>
                <w:sz w:val="18"/>
              </w:rPr>
            </w:pPr>
            <w:r>
              <w:rPr>
                <w:sz w:val="18"/>
              </w:rPr>
              <w:t>&gt;100</w:t>
            </w:r>
          </w:p>
        </w:tc>
        <w:tc>
          <w:tcPr>
            <w:tcW w:w="1683" w:type="dxa"/>
            <w:shd w:val="clear" w:color="auto" w:fill="F9FCF9"/>
          </w:tcPr>
          <w:p>
            <w:pPr>
              <w:pStyle w:val="TableParagraph"/>
              <w:spacing w:before="24"/>
              <w:ind w:left="132" w:right="60"/>
              <w:rPr>
                <w:sz w:val="18"/>
              </w:rPr>
            </w:pPr>
            <w:r>
              <w:rPr>
                <w:sz w:val="18"/>
              </w:rPr>
              <w:t>&gt;100</w:t>
            </w:r>
          </w:p>
        </w:tc>
      </w:tr>
      <w:tr>
        <w:trPr>
          <w:trHeight w:val="295" w:hRule="atLeast"/>
        </w:trPr>
        <w:tc>
          <w:tcPr>
            <w:tcW w:w="2329" w:type="dxa"/>
            <w:shd w:val="clear" w:color="auto" w:fill="F9FCF9"/>
          </w:tcPr>
          <w:p>
            <w:pPr>
              <w:pStyle w:val="TableParagraph"/>
              <w:spacing w:before="24"/>
              <w:ind w:left="83"/>
              <w:jc w:val="left"/>
              <w:rPr>
                <w:sz w:val="18"/>
              </w:rPr>
            </w:pPr>
            <w:r>
              <w:rPr>
                <w:sz w:val="18"/>
              </w:rPr>
              <w:t>Pore size distribution (nm)</w:t>
            </w:r>
          </w:p>
        </w:tc>
        <w:tc>
          <w:tcPr>
            <w:tcW w:w="1558" w:type="dxa"/>
            <w:shd w:val="clear" w:color="auto" w:fill="F9FCF9"/>
          </w:tcPr>
          <w:p>
            <w:pPr>
              <w:pStyle w:val="TableParagraph"/>
              <w:spacing w:before="24"/>
              <w:ind w:left="125" w:right="172"/>
              <w:rPr>
                <w:sz w:val="18"/>
              </w:rPr>
            </w:pPr>
            <w:r>
              <w:rPr>
                <w:sz w:val="18"/>
              </w:rPr>
              <w:t>0.7-2</w:t>
            </w:r>
          </w:p>
        </w:tc>
        <w:tc>
          <w:tcPr>
            <w:tcW w:w="1560" w:type="dxa"/>
            <w:shd w:val="clear" w:color="auto" w:fill="F9FCF9"/>
          </w:tcPr>
          <w:p>
            <w:pPr>
              <w:pStyle w:val="TableParagraph"/>
              <w:spacing w:before="24"/>
              <w:ind w:left="181" w:right="118"/>
              <w:rPr>
                <w:sz w:val="18"/>
              </w:rPr>
            </w:pPr>
            <w:r>
              <w:rPr>
                <w:sz w:val="18"/>
              </w:rPr>
              <w:t>0.7-2</w:t>
            </w:r>
          </w:p>
        </w:tc>
        <w:tc>
          <w:tcPr>
            <w:tcW w:w="1726" w:type="dxa"/>
            <w:shd w:val="clear" w:color="auto" w:fill="F9FCF9"/>
          </w:tcPr>
          <w:p>
            <w:pPr>
              <w:pStyle w:val="TableParagraph"/>
              <w:spacing w:before="24"/>
              <w:ind w:left="126" w:right="119"/>
              <w:rPr>
                <w:sz w:val="18"/>
              </w:rPr>
            </w:pPr>
            <w:r>
              <w:rPr>
                <w:sz w:val="18"/>
              </w:rPr>
              <w:t>0.7-2</w:t>
            </w:r>
          </w:p>
        </w:tc>
        <w:tc>
          <w:tcPr>
            <w:tcW w:w="1500" w:type="dxa"/>
            <w:shd w:val="clear" w:color="auto" w:fill="F9FCF9"/>
          </w:tcPr>
          <w:p>
            <w:pPr>
              <w:pStyle w:val="TableParagraph"/>
              <w:spacing w:before="24"/>
              <w:ind w:left="133" w:right="121"/>
              <w:rPr>
                <w:sz w:val="18"/>
              </w:rPr>
            </w:pPr>
            <w:r>
              <w:rPr>
                <w:sz w:val="18"/>
              </w:rPr>
              <w:t>0.3-0.7</w:t>
            </w:r>
          </w:p>
        </w:tc>
        <w:tc>
          <w:tcPr>
            <w:tcW w:w="1683" w:type="dxa"/>
            <w:shd w:val="clear" w:color="auto" w:fill="F9FCF9"/>
          </w:tcPr>
          <w:p>
            <w:pPr>
              <w:pStyle w:val="TableParagraph"/>
              <w:spacing w:before="24"/>
              <w:ind w:left="132" w:right="60"/>
              <w:rPr>
                <w:sz w:val="18"/>
              </w:rPr>
            </w:pPr>
            <w:r>
              <w:rPr>
                <w:sz w:val="18"/>
              </w:rPr>
              <w:t>no pores</w:t>
            </w:r>
          </w:p>
        </w:tc>
      </w:tr>
      <w:tr>
        <w:trPr>
          <w:trHeight w:val="295" w:hRule="atLeast"/>
        </w:trPr>
        <w:tc>
          <w:tcPr>
            <w:tcW w:w="2329" w:type="dxa"/>
            <w:shd w:val="clear" w:color="auto" w:fill="F9FCF9"/>
          </w:tcPr>
          <w:p>
            <w:pPr>
              <w:pStyle w:val="TableParagraph"/>
              <w:spacing w:before="24"/>
              <w:ind w:left="83"/>
              <w:jc w:val="left"/>
              <w:rPr>
                <w:sz w:val="18"/>
              </w:rPr>
            </w:pPr>
            <w:r>
              <w:rPr>
                <w:sz w:val="18"/>
              </w:rPr>
              <w:t>Separation factors (H</w:t>
            </w:r>
            <w:r>
              <w:rPr>
                <w:position w:val="-5"/>
                <w:sz w:val="10"/>
              </w:rPr>
              <w:t>2</w:t>
            </w:r>
            <w:r>
              <w:rPr>
                <w:sz w:val="18"/>
              </w:rPr>
              <w:t>/CO</w:t>
            </w:r>
            <w:r>
              <w:rPr>
                <w:position w:val="-5"/>
                <w:sz w:val="10"/>
              </w:rPr>
              <w:t>2</w:t>
            </w:r>
            <w:r>
              <w:rPr>
                <w:sz w:val="18"/>
              </w:rPr>
              <w:t>)</w:t>
            </w:r>
          </w:p>
        </w:tc>
        <w:tc>
          <w:tcPr>
            <w:tcW w:w="1558" w:type="dxa"/>
            <w:shd w:val="clear" w:color="auto" w:fill="F9FCF9"/>
          </w:tcPr>
          <w:p>
            <w:pPr>
              <w:pStyle w:val="TableParagraph"/>
              <w:spacing w:before="24"/>
              <w:ind w:left="125" w:right="172"/>
              <w:rPr>
                <w:sz w:val="18"/>
              </w:rPr>
            </w:pPr>
            <w:r>
              <w:rPr>
                <w:sz w:val="18"/>
              </w:rPr>
              <w:t>15</w:t>
            </w:r>
          </w:p>
        </w:tc>
        <w:tc>
          <w:tcPr>
            <w:tcW w:w="1560" w:type="dxa"/>
            <w:shd w:val="clear" w:color="auto" w:fill="F9FCF9"/>
          </w:tcPr>
          <w:p>
            <w:pPr>
              <w:pStyle w:val="TableParagraph"/>
              <w:spacing w:before="24"/>
              <w:ind w:left="181" w:right="118"/>
              <w:rPr>
                <w:sz w:val="18"/>
              </w:rPr>
            </w:pPr>
            <w:r>
              <w:rPr>
                <w:sz w:val="18"/>
              </w:rPr>
              <w:t>15</w:t>
            </w:r>
          </w:p>
        </w:tc>
        <w:tc>
          <w:tcPr>
            <w:tcW w:w="1726" w:type="dxa"/>
            <w:shd w:val="clear" w:color="auto" w:fill="F9FCF9"/>
          </w:tcPr>
          <w:p>
            <w:pPr>
              <w:pStyle w:val="TableParagraph"/>
              <w:spacing w:before="24"/>
              <w:ind w:left="126" w:right="119"/>
              <w:rPr>
                <w:sz w:val="18"/>
              </w:rPr>
            </w:pPr>
            <w:r>
              <w:rPr>
                <w:sz w:val="18"/>
              </w:rPr>
              <w:t>15-25</w:t>
            </w:r>
          </w:p>
        </w:tc>
        <w:tc>
          <w:tcPr>
            <w:tcW w:w="1500" w:type="dxa"/>
            <w:shd w:val="clear" w:color="auto" w:fill="F9FCF9"/>
          </w:tcPr>
          <w:p>
            <w:pPr>
              <w:pStyle w:val="TableParagraph"/>
              <w:spacing w:before="24"/>
              <w:ind w:left="133" w:right="121"/>
              <w:rPr>
                <w:sz w:val="18"/>
              </w:rPr>
            </w:pPr>
            <w:r>
              <w:rPr>
                <w:sz w:val="18"/>
              </w:rPr>
              <w:t>50</w:t>
            </w:r>
          </w:p>
        </w:tc>
        <w:tc>
          <w:tcPr>
            <w:tcW w:w="1683" w:type="dxa"/>
            <w:shd w:val="clear" w:color="auto" w:fill="F9FCF9"/>
          </w:tcPr>
          <w:p>
            <w:pPr>
              <w:pStyle w:val="TableParagraph"/>
              <w:spacing w:before="24"/>
              <w:ind w:left="132" w:right="60"/>
              <w:rPr>
                <w:sz w:val="18"/>
              </w:rPr>
            </w:pPr>
            <w:r>
              <w:rPr>
                <w:sz w:val="18"/>
              </w:rPr>
              <w:t>100</w:t>
            </w:r>
          </w:p>
        </w:tc>
      </w:tr>
      <w:tr>
        <w:trPr>
          <w:trHeight w:val="295" w:hRule="atLeast"/>
        </w:trPr>
        <w:tc>
          <w:tcPr>
            <w:tcW w:w="2329" w:type="dxa"/>
            <w:shd w:val="clear" w:color="auto" w:fill="F9FCF9"/>
          </w:tcPr>
          <w:p>
            <w:pPr>
              <w:pStyle w:val="TableParagraph"/>
              <w:spacing w:before="24"/>
              <w:ind w:left="83"/>
              <w:jc w:val="left"/>
              <w:rPr>
                <w:sz w:val="18"/>
              </w:rPr>
            </w:pPr>
            <w:r>
              <w:rPr>
                <w:sz w:val="18"/>
              </w:rPr>
              <w:t>Permeability (mol m</w:t>
            </w:r>
            <w:r>
              <w:rPr>
                <w:position w:val="6"/>
                <w:sz w:val="10"/>
              </w:rPr>
              <w:t>-2</w:t>
            </w:r>
            <w:r>
              <w:rPr>
                <w:sz w:val="18"/>
              </w:rPr>
              <w:t>s</w:t>
            </w:r>
            <w:r>
              <w:rPr>
                <w:position w:val="6"/>
                <w:sz w:val="10"/>
              </w:rPr>
              <w:t>-1</w:t>
            </w:r>
            <w:r>
              <w:rPr>
                <w:sz w:val="18"/>
              </w:rPr>
              <w:t>Pa</w:t>
            </w:r>
            <w:r>
              <w:rPr>
                <w:position w:val="6"/>
                <w:sz w:val="10"/>
              </w:rPr>
              <w:t>-1</w:t>
            </w:r>
            <w:r>
              <w:rPr>
                <w:sz w:val="18"/>
              </w:rPr>
              <w:t>)</w:t>
            </w:r>
          </w:p>
        </w:tc>
        <w:tc>
          <w:tcPr>
            <w:tcW w:w="1558" w:type="dxa"/>
            <w:shd w:val="clear" w:color="auto" w:fill="F9FCF9"/>
          </w:tcPr>
          <w:p>
            <w:pPr>
              <w:pStyle w:val="TableParagraph"/>
              <w:spacing w:before="25"/>
              <w:ind w:left="125" w:right="172"/>
              <w:rPr>
                <w:sz w:val="10"/>
              </w:rPr>
            </w:pPr>
            <w:r>
              <w:rPr>
                <w:w w:val="105"/>
                <w:position w:val="-5"/>
                <w:sz w:val="18"/>
              </w:rPr>
              <w:t>10</w:t>
            </w:r>
            <w:r>
              <w:rPr>
                <w:w w:val="105"/>
                <w:sz w:val="10"/>
              </w:rPr>
              <w:t>-6</w:t>
            </w:r>
          </w:p>
        </w:tc>
        <w:tc>
          <w:tcPr>
            <w:tcW w:w="1560" w:type="dxa"/>
            <w:shd w:val="clear" w:color="auto" w:fill="F9FCF9"/>
          </w:tcPr>
          <w:p>
            <w:pPr>
              <w:pStyle w:val="TableParagraph"/>
              <w:spacing w:before="25"/>
              <w:ind w:left="181" w:right="118"/>
              <w:rPr>
                <w:sz w:val="10"/>
              </w:rPr>
            </w:pPr>
            <w:r>
              <w:rPr>
                <w:w w:val="105"/>
                <w:position w:val="-5"/>
                <w:sz w:val="18"/>
              </w:rPr>
              <w:t>10</w:t>
            </w:r>
            <w:r>
              <w:rPr>
                <w:w w:val="105"/>
                <w:sz w:val="10"/>
              </w:rPr>
              <w:t>-6</w:t>
            </w:r>
          </w:p>
        </w:tc>
        <w:tc>
          <w:tcPr>
            <w:tcW w:w="1726" w:type="dxa"/>
            <w:shd w:val="clear" w:color="auto" w:fill="F9FCF9"/>
          </w:tcPr>
          <w:p>
            <w:pPr>
              <w:pStyle w:val="TableParagraph"/>
              <w:spacing w:before="25"/>
              <w:ind w:left="126" w:right="119"/>
              <w:rPr>
                <w:sz w:val="10"/>
              </w:rPr>
            </w:pPr>
            <w:r>
              <w:rPr>
                <w:w w:val="105"/>
                <w:position w:val="-5"/>
                <w:sz w:val="18"/>
              </w:rPr>
              <w:t>10</w:t>
            </w:r>
            <w:r>
              <w:rPr>
                <w:w w:val="105"/>
                <w:sz w:val="10"/>
              </w:rPr>
              <w:t>-7</w:t>
            </w:r>
          </w:p>
        </w:tc>
        <w:tc>
          <w:tcPr>
            <w:tcW w:w="1500" w:type="dxa"/>
            <w:shd w:val="clear" w:color="auto" w:fill="F9FCF9"/>
          </w:tcPr>
          <w:p>
            <w:pPr>
              <w:pStyle w:val="TableParagraph"/>
              <w:spacing w:before="25"/>
              <w:ind w:left="133" w:right="121"/>
              <w:rPr>
                <w:sz w:val="10"/>
              </w:rPr>
            </w:pPr>
            <w:r>
              <w:rPr>
                <w:w w:val="105"/>
                <w:position w:val="-5"/>
                <w:sz w:val="18"/>
              </w:rPr>
              <w:t>10</w:t>
            </w:r>
            <w:r>
              <w:rPr>
                <w:w w:val="105"/>
                <w:sz w:val="10"/>
              </w:rPr>
              <w:t>-6</w:t>
            </w:r>
          </w:p>
        </w:tc>
        <w:tc>
          <w:tcPr>
            <w:tcW w:w="1683" w:type="dxa"/>
            <w:shd w:val="clear" w:color="auto" w:fill="F9FCF9"/>
          </w:tcPr>
          <w:p>
            <w:pPr>
              <w:pStyle w:val="TableParagraph"/>
              <w:spacing w:before="24"/>
              <w:ind w:left="132" w:right="60"/>
              <w:rPr>
                <w:sz w:val="10"/>
              </w:rPr>
            </w:pPr>
            <w:r>
              <w:rPr>
                <w:w w:val="105"/>
                <w:sz w:val="18"/>
              </w:rPr>
              <w:t>10</w:t>
            </w:r>
            <w:r>
              <w:rPr>
                <w:w w:val="105"/>
                <w:position w:val="6"/>
                <w:sz w:val="10"/>
              </w:rPr>
              <w:t>-7</w:t>
            </w:r>
            <w:r>
              <w:rPr>
                <w:w w:val="105"/>
                <w:sz w:val="18"/>
              </w:rPr>
              <w:t>-10</w:t>
            </w:r>
            <w:r>
              <w:rPr>
                <w:w w:val="105"/>
                <w:position w:val="6"/>
                <w:sz w:val="10"/>
              </w:rPr>
              <w:t>-6</w:t>
            </w:r>
          </w:p>
        </w:tc>
      </w:tr>
      <w:tr>
        <w:trPr>
          <w:trHeight w:val="295" w:hRule="atLeast"/>
        </w:trPr>
        <w:tc>
          <w:tcPr>
            <w:tcW w:w="2329" w:type="dxa"/>
            <w:shd w:val="clear" w:color="auto" w:fill="F9FCF9"/>
          </w:tcPr>
          <w:p>
            <w:pPr>
              <w:pStyle w:val="TableParagraph"/>
              <w:spacing w:before="24"/>
              <w:ind w:left="83"/>
              <w:jc w:val="left"/>
              <w:rPr>
                <w:sz w:val="18"/>
              </w:rPr>
            </w:pPr>
            <w:r>
              <w:rPr>
                <w:sz w:val="18"/>
              </w:rPr>
              <w:t>Experim. temp. (°C)</w:t>
            </w:r>
          </w:p>
        </w:tc>
        <w:tc>
          <w:tcPr>
            <w:tcW w:w="1558" w:type="dxa"/>
            <w:shd w:val="clear" w:color="auto" w:fill="F9FCF9"/>
          </w:tcPr>
          <w:p>
            <w:pPr>
              <w:pStyle w:val="TableParagraph"/>
              <w:spacing w:before="24"/>
              <w:ind w:left="125" w:right="172"/>
              <w:rPr>
                <w:sz w:val="18"/>
              </w:rPr>
            </w:pPr>
            <w:r>
              <w:rPr>
                <w:sz w:val="18"/>
              </w:rPr>
              <w:t>200</w:t>
            </w:r>
          </w:p>
        </w:tc>
        <w:tc>
          <w:tcPr>
            <w:tcW w:w="1560" w:type="dxa"/>
            <w:shd w:val="clear" w:color="auto" w:fill="F9FCF9"/>
          </w:tcPr>
          <w:p>
            <w:pPr>
              <w:pStyle w:val="TableParagraph"/>
              <w:spacing w:before="24"/>
              <w:ind w:left="181" w:right="118"/>
              <w:rPr>
                <w:sz w:val="18"/>
              </w:rPr>
            </w:pPr>
            <w:r>
              <w:rPr>
                <w:sz w:val="18"/>
              </w:rPr>
              <w:t>200</w:t>
            </w:r>
          </w:p>
        </w:tc>
        <w:tc>
          <w:tcPr>
            <w:tcW w:w="1726" w:type="dxa"/>
            <w:shd w:val="clear" w:color="auto" w:fill="F9FCF9"/>
          </w:tcPr>
          <w:p>
            <w:pPr>
              <w:pStyle w:val="TableParagraph"/>
              <w:spacing w:before="24"/>
              <w:ind w:left="126" w:right="119"/>
              <w:rPr>
                <w:sz w:val="18"/>
              </w:rPr>
            </w:pPr>
            <w:r>
              <w:rPr>
                <w:sz w:val="18"/>
              </w:rPr>
              <w:t>300-400</w:t>
            </w:r>
          </w:p>
        </w:tc>
        <w:tc>
          <w:tcPr>
            <w:tcW w:w="1500" w:type="dxa"/>
            <w:shd w:val="clear" w:color="auto" w:fill="F9FCF9"/>
          </w:tcPr>
          <w:p>
            <w:pPr>
              <w:pStyle w:val="TableParagraph"/>
              <w:spacing w:before="24"/>
              <w:ind w:left="133" w:right="121"/>
              <w:rPr>
                <w:sz w:val="18"/>
              </w:rPr>
            </w:pPr>
            <w:r>
              <w:rPr>
                <w:sz w:val="18"/>
              </w:rPr>
              <w:t>300-400</w:t>
            </w:r>
          </w:p>
        </w:tc>
        <w:tc>
          <w:tcPr>
            <w:tcW w:w="1683" w:type="dxa"/>
            <w:shd w:val="clear" w:color="auto" w:fill="F9FCF9"/>
          </w:tcPr>
          <w:p>
            <w:pPr>
              <w:pStyle w:val="TableParagraph"/>
              <w:spacing w:before="24"/>
              <w:ind w:left="132" w:right="60"/>
              <w:rPr>
                <w:sz w:val="18"/>
              </w:rPr>
            </w:pPr>
            <w:r>
              <w:rPr>
                <w:sz w:val="18"/>
              </w:rPr>
              <w:t>300-400</w:t>
            </w:r>
          </w:p>
        </w:tc>
      </w:tr>
      <w:tr>
        <w:trPr>
          <w:trHeight w:val="295" w:hRule="atLeast"/>
        </w:trPr>
        <w:tc>
          <w:tcPr>
            <w:tcW w:w="2329" w:type="dxa"/>
            <w:shd w:val="clear" w:color="auto" w:fill="F9FCF9"/>
          </w:tcPr>
          <w:p>
            <w:pPr>
              <w:pStyle w:val="TableParagraph"/>
              <w:spacing w:before="24"/>
              <w:ind w:left="83"/>
              <w:jc w:val="left"/>
              <w:rPr>
                <w:sz w:val="18"/>
              </w:rPr>
            </w:pPr>
            <w:r>
              <w:rPr>
                <w:sz w:val="18"/>
              </w:rPr>
              <w:t>Pre-clean-up requirements</w:t>
            </w:r>
          </w:p>
        </w:tc>
        <w:tc>
          <w:tcPr>
            <w:tcW w:w="1558" w:type="dxa"/>
            <w:shd w:val="clear" w:color="auto" w:fill="F9FCF9"/>
          </w:tcPr>
          <w:p>
            <w:pPr>
              <w:pStyle w:val="TableParagraph"/>
              <w:jc w:val="left"/>
              <w:rPr>
                <w:sz w:val="18"/>
              </w:rPr>
            </w:pPr>
          </w:p>
        </w:tc>
        <w:tc>
          <w:tcPr>
            <w:tcW w:w="1560" w:type="dxa"/>
            <w:shd w:val="clear" w:color="auto" w:fill="F9FCF9"/>
          </w:tcPr>
          <w:p>
            <w:pPr>
              <w:pStyle w:val="TableParagraph"/>
              <w:jc w:val="left"/>
              <w:rPr>
                <w:sz w:val="18"/>
              </w:rPr>
            </w:pPr>
          </w:p>
        </w:tc>
        <w:tc>
          <w:tcPr>
            <w:tcW w:w="1726" w:type="dxa"/>
            <w:shd w:val="clear" w:color="auto" w:fill="F9FCF9"/>
          </w:tcPr>
          <w:p>
            <w:pPr>
              <w:pStyle w:val="TableParagraph"/>
              <w:jc w:val="left"/>
              <w:rPr>
                <w:sz w:val="18"/>
              </w:rPr>
            </w:pPr>
          </w:p>
        </w:tc>
        <w:tc>
          <w:tcPr>
            <w:tcW w:w="1500" w:type="dxa"/>
            <w:shd w:val="clear" w:color="auto" w:fill="F9FCF9"/>
          </w:tcPr>
          <w:p>
            <w:pPr>
              <w:pStyle w:val="TableParagraph"/>
              <w:spacing w:before="24"/>
              <w:ind w:left="12"/>
              <w:rPr>
                <w:sz w:val="18"/>
              </w:rPr>
            </w:pPr>
            <w:r>
              <w:rPr>
                <w:w w:val="100"/>
                <w:sz w:val="18"/>
              </w:rPr>
              <w:t>S</w:t>
            </w:r>
          </w:p>
        </w:tc>
        <w:tc>
          <w:tcPr>
            <w:tcW w:w="1683" w:type="dxa"/>
            <w:shd w:val="clear" w:color="auto" w:fill="F9FCF9"/>
          </w:tcPr>
          <w:p>
            <w:pPr>
              <w:pStyle w:val="TableParagraph"/>
              <w:spacing w:before="24"/>
              <w:ind w:left="132" w:right="60"/>
              <w:rPr>
                <w:sz w:val="18"/>
              </w:rPr>
            </w:pPr>
            <w:r>
              <w:rPr>
                <w:sz w:val="18"/>
              </w:rPr>
              <w:t>S, HCl, HF (?)</w:t>
            </w:r>
          </w:p>
        </w:tc>
      </w:tr>
      <w:tr>
        <w:trPr>
          <w:trHeight w:val="295" w:hRule="atLeast"/>
        </w:trPr>
        <w:tc>
          <w:tcPr>
            <w:tcW w:w="2329" w:type="dxa"/>
            <w:shd w:val="clear" w:color="auto" w:fill="F9FCF9"/>
          </w:tcPr>
          <w:p>
            <w:pPr>
              <w:pStyle w:val="TableParagraph"/>
              <w:spacing w:before="24"/>
              <w:ind w:left="83"/>
              <w:jc w:val="left"/>
              <w:rPr>
                <w:sz w:val="18"/>
              </w:rPr>
            </w:pPr>
            <w:r>
              <w:rPr>
                <w:sz w:val="18"/>
              </w:rPr>
              <w:t>Chemical resistance problem</w:t>
            </w:r>
          </w:p>
        </w:tc>
        <w:tc>
          <w:tcPr>
            <w:tcW w:w="1558" w:type="dxa"/>
            <w:shd w:val="clear" w:color="auto" w:fill="F9FCF9"/>
          </w:tcPr>
          <w:p>
            <w:pPr>
              <w:pStyle w:val="TableParagraph"/>
              <w:jc w:val="left"/>
              <w:rPr>
                <w:sz w:val="18"/>
              </w:rPr>
            </w:pPr>
          </w:p>
        </w:tc>
        <w:tc>
          <w:tcPr>
            <w:tcW w:w="1560" w:type="dxa"/>
            <w:shd w:val="clear" w:color="auto" w:fill="F9FCF9"/>
          </w:tcPr>
          <w:p>
            <w:pPr>
              <w:pStyle w:val="TableParagraph"/>
              <w:spacing w:before="24"/>
              <w:ind w:left="181" w:right="118"/>
              <w:rPr>
                <w:sz w:val="18"/>
              </w:rPr>
            </w:pPr>
            <w:r>
              <w:rPr>
                <w:sz w:val="18"/>
              </w:rPr>
              <w:t>H</w:t>
            </w:r>
            <w:r>
              <w:rPr>
                <w:position w:val="-5"/>
                <w:sz w:val="10"/>
              </w:rPr>
              <w:t>2</w:t>
            </w:r>
            <w:r>
              <w:rPr>
                <w:sz w:val="18"/>
              </w:rPr>
              <w:t>O</w:t>
            </w:r>
          </w:p>
        </w:tc>
        <w:tc>
          <w:tcPr>
            <w:tcW w:w="1726" w:type="dxa"/>
            <w:shd w:val="clear" w:color="auto" w:fill="F9FCF9"/>
          </w:tcPr>
          <w:p>
            <w:pPr>
              <w:pStyle w:val="TableParagraph"/>
              <w:spacing w:before="24"/>
              <w:ind w:left="126" w:right="119"/>
              <w:rPr>
                <w:sz w:val="10"/>
              </w:rPr>
            </w:pPr>
            <w:r>
              <w:rPr>
                <w:w w:val="105"/>
                <w:sz w:val="18"/>
              </w:rPr>
              <w:t>O</w:t>
            </w:r>
            <w:r>
              <w:rPr>
                <w:w w:val="105"/>
                <w:position w:val="-5"/>
                <w:sz w:val="10"/>
              </w:rPr>
              <w:t>2</w:t>
            </w:r>
          </w:p>
        </w:tc>
        <w:tc>
          <w:tcPr>
            <w:tcW w:w="1500" w:type="dxa"/>
            <w:shd w:val="clear" w:color="auto" w:fill="F9FCF9"/>
          </w:tcPr>
          <w:p>
            <w:pPr>
              <w:pStyle w:val="TableParagraph"/>
              <w:spacing w:before="24"/>
              <w:ind w:left="12"/>
              <w:rPr>
                <w:sz w:val="18"/>
              </w:rPr>
            </w:pPr>
            <w:r>
              <w:rPr>
                <w:w w:val="100"/>
                <w:sz w:val="18"/>
              </w:rPr>
              <w:t>S</w:t>
            </w:r>
          </w:p>
        </w:tc>
        <w:tc>
          <w:tcPr>
            <w:tcW w:w="1683" w:type="dxa"/>
            <w:shd w:val="clear" w:color="auto" w:fill="F9FCF9"/>
          </w:tcPr>
          <w:p>
            <w:pPr>
              <w:pStyle w:val="TableParagraph"/>
              <w:spacing w:before="24"/>
              <w:ind w:left="132" w:right="60"/>
              <w:rPr>
                <w:sz w:val="18"/>
              </w:rPr>
            </w:pPr>
            <w:r>
              <w:rPr>
                <w:sz w:val="18"/>
              </w:rPr>
              <w:t>S, HCl, HF</w:t>
            </w:r>
          </w:p>
        </w:tc>
      </w:tr>
      <w:tr>
        <w:trPr>
          <w:trHeight w:val="295" w:hRule="atLeast"/>
        </w:trPr>
        <w:tc>
          <w:tcPr>
            <w:tcW w:w="2329" w:type="dxa"/>
            <w:shd w:val="clear" w:color="auto" w:fill="F9FCF9"/>
          </w:tcPr>
          <w:p>
            <w:pPr>
              <w:pStyle w:val="TableParagraph"/>
              <w:spacing w:before="24"/>
              <w:ind w:left="83"/>
              <w:jc w:val="left"/>
              <w:rPr>
                <w:sz w:val="18"/>
              </w:rPr>
            </w:pPr>
            <w:r>
              <w:rPr>
                <w:sz w:val="18"/>
              </w:rPr>
              <w:t>Geometry</w:t>
            </w:r>
          </w:p>
        </w:tc>
        <w:tc>
          <w:tcPr>
            <w:tcW w:w="1558" w:type="dxa"/>
            <w:shd w:val="clear" w:color="auto" w:fill="F9FCF9"/>
          </w:tcPr>
          <w:p>
            <w:pPr>
              <w:pStyle w:val="TableParagraph"/>
              <w:spacing w:before="24"/>
              <w:ind w:left="125" w:right="172"/>
              <w:rPr>
                <w:sz w:val="18"/>
              </w:rPr>
            </w:pPr>
            <w:r>
              <w:rPr>
                <w:sz w:val="18"/>
              </w:rPr>
              <w:t>Top layer tube</w:t>
            </w:r>
          </w:p>
        </w:tc>
        <w:tc>
          <w:tcPr>
            <w:tcW w:w="1560" w:type="dxa"/>
            <w:shd w:val="clear" w:color="auto" w:fill="F9FCF9"/>
          </w:tcPr>
          <w:p>
            <w:pPr>
              <w:pStyle w:val="TableParagraph"/>
              <w:spacing w:before="24"/>
              <w:ind w:left="181" w:right="118"/>
              <w:rPr>
                <w:sz w:val="18"/>
              </w:rPr>
            </w:pPr>
            <w:r>
              <w:rPr>
                <w:sz w:val="18"/>
              </w:rPr>
              <w:t>Top layer tube</w:t>
            </w:r>
          </w:p>
        </w:tc>
        <w:tc>
          <w:tcPr>
            <w:tcW w:w="1726" w:type="dxa"/>
            <w:shd w:val="clear" w:color="auto" w:fill="F9FCF9"/>
          </w:tcPr>
          <w:p>
            <w:pPr>
              <w:pStyle w:val="TableParagraph"/>
              <w:spacing w:before="24"/>
              <w:ind w:left="127" w:right="119"/>
              <w:rPr>
                <w:sz w:val="18"/>
              </w:rPr>
            </w:pPr>
            <w:r>
              <w:rPr>
                <w:sz w:val="18"/>
              </w:rPr>
              <w:t>Top layer tube/fibre</w:t>
            </w:r>
          </w:p>
        </w:tc>
        <w:tc>
          <w:tcPr>
            <w:tcW w:w="1500" w:type="dxa"/>
            <w:shd w:val="clear" w:color="auto" w:fill="F9FCF9"/>
          </w:tcPr>
          <w:p>
            <w:pPr>
              <w:pStyle w:val="TableParagraph"/>
              <w:spacing w:before="24"/>
              <w:ind w:left="133" w:right="121"/>
              <w:rPr>
                <w:sz w:val="18"/>
              </w:rPr>
            </w:pPr>
            <w:r>
              <w:rPr>
                <w:sz w:val="18"/>
              </w:rPr>
              <w:t>Top layer tube</w:t>
            </w:r>
          </w:p>
        </w:tc>
        <w:tc>
          <w:tcPr>
            <w:tcW w:w="1683" w:type="dxa"/>
            <w:shd w:val="clear" w:color="auto" w:fill="F9FCF9"/>
          </w:tcPr>
          <w:p>
            <w:pPr>
              <w:pStyle w:val="TableParagraph"/>
              <w:spacing w:before="24"/>
              <w:ind w:left="133" w:right="60"/>
              <w:rPr>
                <w:sz w:val="18"/>
              </w:rPr>
            </w:pPr>
            <w:r>
              <w:rPr>
                <w:sz w:val="18"/>
              </w:rPr>
              <w:t>Top layer tube/plate</w:t>
            </w:r>
          </w:p>
        </w:tc>
      </w:tr>
      <w:tr>
        <w:trPr>
          <w:trHeight w:val="257" w:hRule="atLeast"/>
        </w:trPr>
        <w:tc>
          <w:tcPr>
            <w:tcW w:w="2329" w:type="dxa"/>
            <w:shd w:val="clear" w:color="auto" w:fill="F9FCF9"/>
          </w:tcPr>
          <w:p>
            <w:pPr>
              <w:pStyle w:val="TableParagraph"/>
              <w:spacing w:before="24"/>
              <w:ind w:left="83"/>
              <w:jc w:val="left"/>
              <w:rPr>
                <w:sz w:val="18"/>
              </w:rPr>
            </w:pPr>
            <w:r>
              <w:rPr>
                <w:sz w:val="18"/>
              </w:rPr>
              <w:t>Configuration</w:t>
            </w:r>
          </w:p>
        </w:tc>
        <w:tc>
          <w:tcPr>
            <w:tcW w:w="1558" w:type="dxa"/>
            <w:shd w:val="clear" w:color="auto" w:fill="F9FCF9"/>
          </w:tcPr>
          <w:p>
            <w:pPr>
              <w:pStyle w:val="TableParagraph"/>
              <w:spacing w:before="24"/>
              <w:ind w:left="125" w:right="172"/>
              <w:rPr>
                <w:sz w:val="18"/>
              </w:rPr>
            </w:pPr>
            <w:r>
              <w:rPr>
                <w:sz w:val="18"/>
              </w:rPr>
              <w:t>Cascade/recycle/</w:t>
            </w:r>
          </w:p>
        </w:tc>
        <w:tc>
          <w:tcPr>
            <w:tcW w:w="1560" w:type="dxa"/>
            <w:shd w:val="clear" w:color="auto" w:fill="F9FCF9"/>
          </w:tcPr>
          <w:p>
            <w:pPr>
              <w:pStyle w:val="TableParagraph"/>
              <w:spacing w:before="24"/>
              <w:ind w:left="181" w:right="118"/>
              <w:rPr>
                <w:sz w:val="18"/>
              </w:rPr>
            </w:pPr>
            <w:r>
              <w:rPr>
                <w:sz w:val="18"/>
              </w:rPr>
              <w:t>Cascade/recycle/</w:t>
            </w:r>
          </w:p>
        </w:tc>
        <w:tc>
          <w:tcPr>
            <w:tcW w:w="1726" w:type="dxa"/>
            <w:shd w:val="clear" w:color="auto" w:fill="F9FCF9"/>
          </w:tcPr>
          <w:p>
            <w:pPr>
              <w:pStyle w:val="TableParagraph"/>
              <w:spacing w:before="24"/>
              <w:ind w:left="126" w:right="119"/>
              <w:rPr>
                <w:sz w:val="18"/>
              </w:rPr>
            </w:pPr>
            <w:r>
              <w:rPr>
                <w:sz w:val="18"/>
              </w:rPr>
              <w:t>Cascade/recycle/</w:t>
            </w:r>
          </w:p>
        </w:tc>
        <w:tc>
          <w:tcPr>
            <w:tcW w:w="1500" w:type="dxa"/>
            <w:shd w:val="clear" w:color="auto" w:fill="F9FCF9"/>
          </w:tcPr>
          <w:p>
            <w:pPr>
              <w:pStyle w:val="TableParagraph"/>
              <w:spacing w:before="24"/>
              <w:ind w:left="133" w:right="121"/>
              <w:rPr>
                <w:sz w:val="18"/>
              </w:rPr>
            </w:pPr>
            <w:r>
              <w:rPr>
                <w:sz w:val="18"/>
              </w:rPr>
              <w:t>Once through</w:t>
            </w:r>
          </w:p>
        </w:tc>
        <w:tc>
          <w:tcPr>
            <w:tcW w:w="1683" w:type="dxa"/>
            <w:shd w:val="clear" w:color="auto" w:fill="F9FCF9"/>
          </w:tcPr>
          <w:p>
            <w:pPr>
              <w:pStyle w:val="TableParagraph"/>
              <w:spacing w:before="24"/>
              <w:ind w:left="132" w:right="60"/>
              <w:rPr>
                <w:sz w:val="18"/>
              </w:rPr>
            </w:pPr>
            <w:r>
              <w:rPr>
                <w:sz w:val="18"/>
              </w:rPr>
              <w:t>Once through</w:t>
            </w:r>
          </w:p>
        </w:tc>
      </w:tr>
      <w:tr>
        <w:trPr>
          <w:trHeight w:val="257" w:hRule="atLeast"/>
        </w:trPr>
        <w:tc>
          <w:tcPr>
            <w:tcW w:w="2329" w:type="dxa"/>
            <w:shd w:val="clear" w:color="auto" w:fill="F9FCF9"/>
          </w:tcPr>
          <w:p>
            <w:pPr>
              <w:pStyle w:val="TableParagraph"/>
              <w:jc w:val="left"/>
              <w:rPr>
                <w:sz w:val="18"/>
              </w:rPr>
            </w:pPr>
          </w:p>
        </w:tc>
        <w:tc>
          <w:tcPr>
            <w:tcW w:w="1558" w:type="dxa"/>
            <w:shd w:val="clear" w:color="auto" w:fill="F9FCF9"/>
          </w:tcPr>
          <w:p>
            <w:pPr>
              <w:pStyle w:val="TableParagraph"/>
              <w:spacing w:line="194" w:lineRule="exact"/>
              <w:ind w:left="125" w:right="172"/>
              <w:rPr>
                <w:sz w:val="18"/>
              </w:rPr>
            </w:pPr>
            <w:r>
              <w:rPr>
                <w:sz w:val="18"/>
              </w:rPr>
              <w:t>once through</w:t>
            </w:r>
          </w:p>
        </w:tc>
        <w:tc>
          <w:tcPr>
            <w:tcW w:w="1560" w:type="dxa"/>
            <w:shd w:val="clear" w:color="auto" w:fill="F9FCF9"/>
          </w:tcPr>
          <w:p>
            <w:pPr>
              <w:pStyle w:val="TableParagraph"/>
              <w:spacing w:line="194" w:lineRule="exact"/>
              <w:ind w:left="181" w:right="118"/>
              <w:rPr>
                <w:sz w:val="18"/>
              </w:rPr>
            </w:pPr>
            <w:r>
              <w:rPr>
                <w:sz w:val="18"/>
              </w:rPr>
              <w:t>once through</w:t>
            </w:r>
          </w:p>
        </w:tc>
        <w:tc>
          <w:tcPr>
            <w:tcW w:w="1726" w:type="dxa"/>
            <w:shd w:val="clear" w:color="auto" w:fill="F9FCF9"/>
          </w:tcPr>
          <w:p>
            <w:pPr>
              <w:pStyle w:val="TableParagraph"/>
              <w:spacing w:line="194" w:lineRule="exact"/>
              <w:ind w:left="127" w:right="119"/>
              <w:rPr>
                <w:sz w:val="18"/>
              </w:rPr>
            </w:pPr>
            <w:r>
              <w:rPr>
                <w:sz w:val="18"/>
              </w:rPr>
              <w:t>once through</w:t>
            </w:r>
          </w:p>
        </w:tc>
        <w:tc>
          <w:tcPr>
            <w:tcW w:w="1500" w:type="dxa"/>
            <w:shd w:val="clear" w:color="auto" w:fill="F9FCF9"/>
          </w:tcPr>
          <w:p>
            <w:pPr>
              <w:pStyle w:val="TableParagraph"/>
              <w:jc w:val="left"/>
              <w:rPr>
                <w:sz w:val="18"/>
              </w:rPr>
            </w:pPr>
          </w:p>
        </w:tc>
        <w:tc>
          <w:tcPr>
            <w:tcW w:w="1683" w:type="dxa"/>
            <w:shd w:val="clear" w:color="auto" w:fill="F9FCF9"/>
          </w:tcPr>
          <w:p>
            <w:pPr>
              <w:pStyle w:val="TableParagraph"/>
              <w:jc w:val="left"/>
              <w:rPr>
                <w:sz w:val="18"/>
              </w:rPr>
            </w:pPr>
          </w:p>
        </w:tc>
      </w:tr>
      <w:tr>
        <w:trPr>
          <w:trHeight w:val="295" w:hRule="atLeast"/>
        </w:trPr>
        <w:tc>
          <w:tcPr>
            <w:tcW w:w="2329" w:type="dxa"/>
            <w:shd w:val="clear" w:color="auto" w:fill="F9FCF9"/>
          </w:tcPr>
          <w:p>
            <w:pPr>
              <w:pStyle w:val="TableParagraph"/>
              <w:spacing w:before="24"/>
              <w:ind w:left="83"/>
              <w:jc w:val="left"/>
              <w:rPr>
                <w:sz w:val="18"/>
              </w:rPr>
            </w:pPr>
            <w:r>
              <w:rPr>
                <w:sz w:val="18"/>
              </w:rPr>
              <w:t>Lifetime</w:t>
            </w:r>
          </w:p>
        </w:tc>
        <w:tc>
          <w:tcPr>
            <w:tcW w:w="1558" w:type="dxa"/>
            <w:shd w:val="clear" w:color="auto" w:fill="F9FCF9"/>
          </w:tcPr>
          <w:p>
            <w:pPr>
              <w:pStyle w:val="TableParagraph"/>
              <w:spacing w:before="24"/>
              <w:ind w:right="47"/>
              <w:rPr>
                <w:sz w:val="18"/>
              </w:rPr>
            </w:pPr>
            <w:r>
              <w:rPr>
                <w:w w:val="100"/>
                <w:sz w:val="18"/>
              </w:rPr>
              <w:t>+</w:t>
            </w:r>
          </w:p>
        </w:tc>
        <w:tc>
          <w:tcPr>
            <w:tcW w:w="1560" w:type="dxa"/>
            <w:shd w:val="clear" w:color="auto" w:fill="F9FCF9"/>
          </w:tcPr>
          <w:p>
            <w:pPr>
              <w:pStyle w:val="TableParagraph"/>
              <w:spacing w:before="24"/>
              <w:ind w:left="63"/>
              <w:rPr>
                <w:sz w:val="18"/>
              </w:rPr>
            </w:pPr>
            <w:r>
              <w:rPr>
                <w:w w:val="100"/>
                <w:sz w:val="18"/>
              </w:rPr>
              <w:t>-</w:t>
            </w:r>
          </w:p>
        </w:tc>
        <w:tc>
          <w:tcPr>
            <w:tcW w:w="1726" w:type="dxa"/>
            <w:shd w:val="clear" w:color="auto" w:fill="F9FCF9"/>
          </w:tcPr>
          <w:p>
            <w:pPr>
              <w:pStyle w:val="TableParagraph"/>
              <w:spacing w:before="24"/>
              <w:ind w:left="7"/>
              <w:rPr>
                <w:sz w:val="18"/>
              </w:rPr>
            </w:pPr>
            <w:r>
              <w:rPr>
                <w:w w:val="100"/>
                <w:sz w:val="18"/>
              </w:rPr>
              <w:t>+</w:t>
            </w:r>
          </w:p>
        </w:tc>
        <w:tc>
          <w:tcPr>
            <w:tcW w:w="1500" w:type="dxa"/>
            <w:shd w:val="clear" w:color="auto" w:fill="F9FCF9"/>
          </w:tcPr>
          <w:p>
            <w:pPr>
              <w:pStyle w:val="TableParagraph"/>
              <w:spacing w:before="24"/>
              <w:ind w:left="12"/>
              <w:rPr>
                <w:sz w:val="18"/>
              </w:rPr>
            </w:pPr>
            <w:r>
              <w:rPr>
                <w:w w:val="100"/>
                <w:sz w:val="18"/>
              </w:rPr>
              <w:t>+</w:t>
            </w:r>
          </w:p>
        </w:tc>
        <w:tc>
          <w:tcPr>
            <w:tcW w:w="1683" w:type="dxa"/>
            <w:shd w:val="clear" w:color="auto" w:fill="F9FCF9"/>
          </w:tcPr>
          <w:p>
            <w:pPr>
              <w:pStyle w:val="TableParagraph"/>
              <w:spacing w:before="24"/>
              <w:ind w:left="72"/>
              <w:rPr>
                <w:sz w:val="18"/>
              </w:rPr>
            </w:pPr>
            <w:r>
              <w:rPr>
                <w:w w:val="100"/>
                <w:sz w:val="18"/>
              </w:rPr>
              <w:t>0</w:t>
            </w:r>
          </w:p>
        </w:tc>
      </w:tr>
      <w:tr>
        <w:trPr>
          <w:trHeight w:val="295" w:hRule="atLeast"/>
        </w:trPr>
        <w:tc>
          <w:tcPr>
            <w:tcW w:w="2329" w:type="dxa"/>
            <w:shd w:val="clear" w:color="auto" w:fill="F9FCF9"/>
          </w:tcPr>
          <w:p>
            <w:pPr>
              <w:pStyle w:val="TableParagraph"/>
              <w:spacing w:before="24"/>
              <w:ind w:left="83"/>
              <w:jc w:val="left"/>
              <w:rPr>
                <w:sz w:val="18"/>
              </w:rPr>
            </w:pPr>
            <w:r>
              <w:rPr>
                <w:sz w:val="18"/>
              </w:rPr>
              <w:t>Costs (US$ m</w:t>
            </w:r>
            <w:r>
              <w:rPr>
                <w:position w:val="6"/>
                <w:sz w:val="10"/>
              </w:rPr>
              <w:t>-2</w:t>
            </w:r>
            <w:r>
              <w:rPr>
                <w:sz w:val="18"/>
              </w:rPr>
              <w:t>)</w:t>
            </w:r>
          </w:p>
        </w:tc>
        <w:tc>
          <w:tcPr>
            <w:tcW w:w="1558" w:type="dxa"/>
            <w:shd w:val="clear" w:color="auto" w:fill="F9FCF9"/>
          </w:tcPr>
          <w:p>
            <w:pPr>
              <w:pStyle w:val="TableParagraph"/>
              <w:spacing w:before="24"/>
              <w:ind w:left="125" w:right="172"/>
              <w:rPr>
                <w:sz w:val="18"/>
              </w:rPr>
            </w:pPr>
            <w:r>
              <w:rPr>
                <w:sz w:val="18"/>
              </w:rPr>
              <w:t>4250</w:t>
            </w:r>
          </w:p>
        </w:tc>
        <w:tc>
          <w:tcPr>
            <w:tcW w:w="1560" w:type="dxa"/>
            <w:shd w:val="clear" w:color="auto" w:fill="F9FCF9"/>
          </w:tcPr>
          <w:p>
            <w:pPr>
              <w:pStyle w:val="TableParagraph"/>
              <w:spacing w:before="24"/>
              <w:ind w:left="181" w:right="118"/>
              <w:rPr>
                <w:sz w:val="18"/>
              </w:rPr>
            </w:pPr>
            <w:r>
              <w:rPr>
                <w:sz w:val="18"/>
              </w:rPr>
              <w:t>4250</w:t>
            </w:r>
          </w:p>
        </w:tc>
        <w:tc>
          <w:tcPr>
            <w:tcW w:w="1726" w:type="dxa"/>
            <w:shd w:val="clear" w:color="auto" w:fill="F9FCF9"/>
          </w:tcPr>
          <w:p>
            <w:pPr>
              <w:pStyle w:val="TableParagraph"/>
              <w:spacing w:before="24"/>
              <w:ind w:left="126" w:right="119"/>
              <w:rPr>
                <w:sz w:val="18"/>
              </w:rPr>
            </w:pPr>
            <w:r>
              <w:rPr>
                <w:sz w:val="18"/>
              </w:rPr>
              <w:t>3000?</w:t>
            </w:r>
          </w:p>
        </w:tc>
        <w:tc>
          <w:tcPr>
            <w:tcW w:w="1500" w:type="dxa"/>
            <w:shd w:val="clear" w:color="auto" w:fill="F9FCF9"/>
          </w:tcPr>
          <w:p>
            <w:pPr>
              <w:pStyle w:val="TableParagraph"/>
              <w:spacing w:before="24"/>
              <w:ind w:left="133" w:right="121"/>
              <w:rPr>
                <w:sz w:val="18"/>
              </w:rPr>
            </w:pPr>
            <w:r>
              <w:rPr>
                <w:sz w:val="18"/>
              </w:rPr>
              <w:t>4000-4250</w:t>
            </w:r>
          </w:p>
        </w:tc>
        <w:tc>
          <w:tcPr>
            <w:tcW w:w="1683" w:type="dxa"/>
            <w:shd w:val="clear" w:color="auto" w:fill="F9FCF9"/>
          </w:tcPr>
          <w:p>
            <w:pPr>
              <w:pStyle w:val="TableParagraph"/>
              <w:spacing w:before="24"/>
              <w:ind w:left="132" w:right="60"/>
              <w:rPr>
                <w:sz w:val="18"/>
              </w:rPr>
            </w:pPr>
            <w:r>
              <w:rPr>
                <w:sz w:val="18"/>
              </w:rPr>
              <w:t>4000-4250</w:t>
            </w:r>
          </w:p>
        </w:tc>
      </w:tr>
      <w:tr>
        <w:trPr>
          <w:trHeight w:val="267" w:hRule="atLeast"/>
        </w:trPr>
        <w:tc>
          <w:tcPr>
            <w:tcW w:w="2329" w:type="dxa"/>
            <w:tcBorders>
              <w:bottom w:val="single" w:sz="4" w:space="0" w:color="000000"/>
            </w:tcBorders>
            <w:shd w:val="clear" w:color="auto" w:fill="F9FCF9"/>
          </w:tcPr>
          <w:p>
            <w:pPr>
              <w:pStyle w:val="TableParagraph"/>
              <w:spacing w:before="24"/>
              <w:ind w:left="83"/>
              <w:jc w:val="left"/>
              <w:rPr>
                <w:sz w:val="18"/>
              </w:rPr>
            </w:pPr>
            <w:r>
              <w:rPr>
                <w:sz w:val="18"/>
              </w:rPr>
              <w:t>Scalability</w:t>
            </w:r>
          </w:p>
        </w:tc>
        <w:tc>
          <w:tcPr>
            <w:tcW w:w="1558" w:type="dxa"/>
            <w:tcBorders>
              <w:bottom w:val="single" w:sz="4" w:space="0" w:color="000000"/>
            </w:tcBorders>
            <w:shd w:val="clear" w:color="auto" w:fill="F9FCF9"/>
          </w:tcPr>
          <w:p>
            <w:pPr>
              <w:pStyle w:val="TableParagraph"/>
              <w:spacing w:before="24"/>
              <w:ind w:right="47"/>
              <w:rPr>
                <w:sz w:val="18"/>
              </w:rPr>
            </w:pPr>
            <w:r>
              <w:rPr>
                <w:w w:val="100"/>
                <w:sz w:val="18"/>
              </w:rPr>
              <w:t>0</w:t>
            </w:r>
          </w:p>
        </w:tc>
        <w:tc>
          <w:tcPr>
            <w:tcW w:w="1560" w:type="dxa"/>
            <w:tcBorders>
              <w:bottom w:val="single" w:sz="4" w:space="0" w:color="000000"/>
            </w:tcBorders>
            <w:shd w:val="clear" w:color="auto" w:fill="F9FCF9"/>
          </w:tcPr>
          <w:p>
            <w:pPr>
              <w:pStyle w:val="TableParagraph"/>
              <w:spacing w:before="24"/>
              <w:ind w:left="63"/>
              <w:rPr>
                <w:sz w:val="18"/>
              </w:rPr>
            </w:pPr>
            <w:r>
              <w:rPr>
                <w:w w:val="100"/>
                <w:sz w:val="18"/>
              </w:rPr>
              <w:t>0</w:t>
            </w:r>
          </w:p>
        </w:tc>
        <w:tc>
          <w:tcPr>
            <w:tcW w:w="1726" w:type="dxa"/>
            <w:tcBorders>
              <w:bottom w:val="single" w:sz="4" w:space="0" w:color="000000"/>
            </w:tcBorders>
            <w:shd w:val="clear" w:color="auto" w:fill="F9FCF9"/>
          </w:tcPr>
          <w:p>
            <w:pPr>
              <w:pStyle w:val="TableParagraph"/>
              <w:spacing w:before="24"/>
              <w:ind w:left="7"/>
              <w:rPr>
                <w:sz w:val="18"/>
              </w:rPr>
            </w:pPr>
            <w:r>
              <w:rPr>
                <w:w w:val="100"/>
                <w:sz w:val="18"/>
              </w:rPr>
              <w:t>0</w:t>
            </w:r>
          </w:p>
        </w:tc>
        <w:tc>
          <w:tcPr>
            <w:tcW w:w="1500" w:type="dxa"/>
            <w:tcBorders>
              <w:bottom w:val="single" w:sz="4" w:space="0" w:color="000000"/>
            </w:tcBorders>
            <w:shd w:val="clear" w:color="auto" w:fill="F9FCF9"/>
          </w:tcPr>
          <w:p>
            <w:pPr>
              <w:pStyle w:val="TableParagraph"/>
              <w:spacing w:before="24"/>
              <w:ind w:left="12"/>
              <w:rPr>
                <w:sz w:val="18"/>
              </w:rPr>
            </w:pPr>
            <w:r>
              <w:rPr>
                <w:w w:val="100"/>
                <w:sz w:val="18"/>
              </w:rPr>
              <w:t>-</w:t>
            </w:r>
          </w:p>
        </w:tc>
        <w:tc>
          <w:tcPr>
            <w:tcW w:w="1683" w:type="dxa"/>
            <w:tcBorders>
              <w:bottom w:val="single" w:sz="4" w:space="0" w:color="000000"/>
            </w:tcBorders>
            <w:shd w:val="clear" w:color="auto" w:fill="F9FCF9"/>
          </w:tcPr>
          <w:p>
            <w:pPr>
              <w:pStyle w:val="TableParagraph"/>
              <w:spacing w:before="24"/>
              <w:ind w:left="72"/>
              <w:rPr>
                <w:sz w:val="18"/>
              </w:rPr>
            </w:pPr>
            <w:r>
              <w:rPr>
                <w:w w:val="100"/>
                <w:sz w:val="18"/>
              </w:rPr>
              <w:t>0</w:t>
            </w:r>
          </w:p>
        </w:tc>
      </w:tr>
    </w:tbl>
    <w:p>
      <w:pPr>
        <w:pStyle w:val="BodyText"/>
      </w:pPr>
    </w:p>
    <w:p>
      <w:pPr>
        <w:pStyle w:val="BodyText"/>
        <w:spacing w:before="7"/>
        <w:rPr>
          <w:sz w:val="25"/>
        </w:rPr>
      </w:pPr>
    </w:p>
    <w:p>
      <w:pPr>
        <w:spacing w:after="0"/>
        <w:rPr>
          <w:sz w:val="25"/>
        </w:rPr>
        <w:sectPr>
          <w:pgSz w:w="12240" w:h="15840"/>
          <w:pgMar w:header="567" w:footer="0" w:top="800" w:bottom="280" w:left="620" w:right="0"/>
        </w:sectPr>
      </w:pPr>
    </w:p>
    <w:p>
      <w:pPr>
        <w:pStyle w:val="BodyText"/>
        <w:spacing w:line="249" w:lineRule="auto" w:before="63"/>
        <w:ind w:left="513"/>
        <w:jc w:val="both"/>
      </w:pPr>
      <w:r>
        <w:rPr/>
        <w:t>affected</w:t>
      </w:r>
      <w:r>
        <w:rPr>
          <w:spacing w:val="-11"/>
        </w:rPr>
        <w:t> </w:t>
      </w:r>
      <w:r>
        <w:rPr/>
        <w:t>by</w:t>
      </w:r>
      <w:r>
        <w:rPr>
          <w:spacing w:val="-10"/>
        </w:rPr>
        <w:t> </w:t>
      </w:r>
      <w:r>
        <w:rPr/>
        <w:t>the</w:t>
      </w:r>
      <w:r>
        <w:rPr>
          <w:spacing w:val="-10"/>
        </w:rPr>
        <w:t> </w:t>
      </w:r>
      <w:r>
        <w:rPr/>
        <w:t>presence</w:t>
      </w:r>
      <w:r>
        <w:rPr>
          <w:spacing w:val="-11"/>
        </w:rPr>
        <w:t> </w:t>
      </w:r>
      <w:r>
        <w:rPr/>
        <w:t>of</w:t>
      </w:r>
      <w:r>
        <w:rPr>
          <w:spacing w:val="-10"/>
        </w:rPr>
        <w:t> </w:t>
      </w:r>
      <w:r>
        <w:rPr/>
        <w:t>steam</w:t>
      </w:r>
      <w:r>
        <w:rPr>
          <w:spacing w:val="-10"/>
        </w:rPr>
        <w:t> </w:t>
      </w:r>
      <w:r>
        <w:rPr/>
        <w:t>in</w:t>
      </w:r>
      <w:r>
        <w:rPr>
          <w:spacing w:val="-11"/>
        </w:rPr>
        <w:t> </w:t>
      </w:r>
      <w:r>
        <w:rPr/>
        <w:t>the</w:t>
      </w:r>
      <w:r>
        <w:rPr>
          <w:spacing w:val="-10"/>
        </w:rPr>
        <w:t> </w:t>
      </w:r>
      <w:r>
        <w:rPr/>
        <w:t>feed</w:t>
      </w:r>
      <w:r>
        <w:rPr>
          <w:spacing w:val="-10"/>
        </w:rPr>
        <w:t> </w:t>
      </w:r>
      <w:r>
        <w:rPr/>
        <w:t>streams.</w:t>
      </w:r>
      <w:r>
        <w:rPr>
          <w:spacing w:val="-14"/>
        </w:rPr>
        <w:t> </w:t>
      </w:r>
      <w:r>
        <w:rPr/>
        <w:t>The</w:t>
      </w:r>
      <w:r>
        <w:rPr>
          <w:spacing w:val="-11"/>
        </w:rPr>
        <w:t> </w:t>
      </w:r>
      <w:r>
        <w:rPr/>
        <w:t>dense ceramic membranes based on inorganic perovskite oxides </w:t>
      </w:r>
      <w:r>
        <w:rPr>
          <w:spacing w:val="-4"/>
        </w:rPr>
        <w:t>(also </w:t>
      </w:r>
      <w:r>
        <w:rPr/>
        <w:t>called proton conducting) need high temperatures, higher </w:t>
      </w:r>
      <w:r>
        <w:rPr>
          <w:spacing w:val="-4"/>
        </w:rPr>
        <w:t>than </w:t>
      </w:r>
      <w:r>
        <w:rPr/>
        <w:t>800</w:t>
      </w:r>
      <w:r>
        <w:rPr>
          <w:position w:val="7"/>
          <w:sz w:val="11"/>
        </w:rPr>
        <w:t>o</w:t>
      </w:r>
      <w:r>
        <w:rPr/>
        <w:t>C, to achieve practical hydrogen flux rates. Palladium- based</w:t>
      </w:r>
      <w:r>
        <w:rPr>
          <w:spacing w:val="-9"/>
        </w:rPr>
        <w:t> </w:t>
      </w:r>
      <w:r>
        <w:rPr/>
        <w:t>dense</w:t>
      </w:r>
      <w:r>
        <w:rPr>
          <w:spacing w:val="-9"/>
        </w:rPr>
        <w:t> </w:t>
      </w:r>
      <w:r>
        <w:rPr/>
        <w:t>membranes</w:t>
      </w:r>
      <w:r>
        <w:rPr>
          <w:spacing w:val="-9"/>
        </w:rPr>
        <w:t> </w:t>
      </w:r>
      <w:r>
        <w:rPr/>
        <w:t>are</w:t>
      </w:r>
      <w:r>
        <w:rPr>
          <w:spacing w:val="-8"/>
        </w:rPr>
        <w:t> </w:t>
      </w:r>
      <w:r>
        <w:rPr/>
        <w:t>also</w:t>
      </w:r>
      <w:r>
        <w:rPr>
          <w:spacing w:val="-9"/>
        </w:rPr>
        <w:t> </w:t>
      </w:r>
      <w:r>
        <w:rPr/>
        <w:t>known</w:t>
      </w:r>
      <w:r>
        <w:rPr>
          <w:spacing w:val="-9"/>
        </w:rPr>
        <w:t> </w:t>
      </w:r>
      <w:r>
        <w:rPr/>
        <w:t>for</w:t>
      </w:r>
      <w:r>
        <w:rPr>
          <w:spacing w:val="-8"/>
        </w:rPr>
        <w:t> </w:t>
      </w:r>
      <w:r>
        <w:rPr/>
        <w:t>their</w:t>
      </w:r>
      <w:r>
        <w:rPr>
          <w:spacing w:val="-9"/>
        </w:rPr>
        <w:t> </w:t>
      </w:r>
      <w:r>
        <w:rPr/>
        <w:t>high</w:t>
      </w:r>
      <w:r>
        <w:rPr>
          <w:spacing w:val="-9"/>
        </w:rPr>
        <w:t> </w:t>
      </w:r>
      <w:r>
        <w:rPr/>
        <w:t>hydrogen selectivity</w:t>
      </w:r>
      <w:r>
        <w:rPr>
          <w:spacing w:val="-7"/>
        </w:rPr>
        <w:t> </w:t>
      </w:r>
      <w:r>
        <w:rPr/>
        <w:t>and</w:t>
      </w:r>
      <w:r>
        <w:rPr>
          <w:spacing w:val="-6"/>
        </w:rPr>
        <w:t> </w:t>
      </w:r>
      <w:r>
        <w:rPr/>
        <w:t>permeability</w:t>
      </w:r>
      <w:r>
        <w:rPr>
          <w:spacing w:val="-6"/>
        </w:rPr>
        <w:t> </w:t>
      </w:r>
      <w:r>
        <w:rPr/>
        <w:t>over</w:t>
      </w:r>
      <w:r>
        <w:rPr>
          <w:spacing w:val="-6"/>
        </w:rPr>
        <w:t> </w:t>
      </w:r>
      <w:r>
        <w:rPr/>
        <w:t>other</w:t>
      </w:r>
      <w:r>
        <w:rPr>
          <w:spacing w:val="-6"/>
        </w:rPr>
        <w:t> </w:t>
      </w:r>
      <w:r>
        <w:rPr/>
        <w:t>gases</w:t>
      </w:r>
      <w:r>
        <w:rPr>
          <w:spacing w:val="-7"/>
        </w:rPr>
        <w:t> </w:t>
      </w:r>
      <w:r>
        <w:rPr/>
        <w:t>in</w:t>
      </w:r>
      <w:r>
        <w:rPr>
          <w:spacing w:val="-6"/>
        </w:rPr>
        <w:t> </w:t>
      </w:r>
      <w:r>
        <w:rPr/>
        <w:t>the</w:t>
      </w:r>
      <w:r>
        <w:rPr>
          <w:spacing w:val="-6"/>
        </w:rPr>
        <w:t> </w:t>
      </w:r>
      <w:r>
        <w:rPr/>
        <w:t>temperature range 300°C-600</w:t>
      </w:r>
      <w:r>
        <w:rPr>
          <w:position w:val="7"/>
          <w:sz w:val="11"/>
        </w:rPr>
        <w:t>o</w:t>
      </w:r>
      <w:r>
        <w:rPr/>
        <w:t>C that is appropriate for these two reactions. Palladium alloy tubes have been available for several decades, but for CCS applications they are too expensive due to </w:t>
      </w:r>
      <w:r>
        <w:rPr>
          <w:spacing w:val="-4"/>
        </w:rPr>
        <w:t>the </w:t>
      </w:r>
      <w:r>
        <w:rPr/>
        <w:t>membrane thickness needed for structural stability and consequently</w:t>
      </w:r>
      <w:r>
        <w:rPr>
          <w:spacing w:val="-12"/>
        </w:rPr>
        <w:t> </w:t>
      </w:r>
      <w:r>
        <w:rPr/>
        <w:t>low</w:t>
      </w:r>
      <w:r>
        <w:rPr>
          <w:spacing w:val="-12"/>
        </w:rPr>
        <w:t> </w:t>
      </w:r>
      <w:r>
        <w:rPr/>
        <w:t>hydrogen</w:t>
      </w:r>
      <w:r>
        <w:rPr>
          <w:spacing w:val="-12"/>
        </w:rPr>
        <w:t> </w:t>
      </w:r>
      <w:r>
        <w:rPr/>
        <w:t>flux</w:t>
      </w:r>
      <w:r>
        <w:rPr>
          <w:spacing w:val="-12"/>
        </w:rPr>
        <w:t> </w:t>
      </w:r>
      <w:r>
        <w:rPr/>
        <w:t>rates.</w:t>
      </w:r>
      <w:r>
        <w:rPr>
          <w:spacing w:val="-12"/>
        </w:rPr>
        <w:t> </w:t>
      </w:r>
      <w:r>
        <w:rPr/>
        <w:t>In</w:t>
      </w:r>
      <w:r>
        <w:rPr>
          <w:spacing w:val="-13"/>
        </w:rPr>
        <w:t> </w:t>
      </w:r>
      <w:r>
        <w:rPr/>
        <w:t>order</w:t>
      </w:r>
      <w:r>
        <w:rPr>
          <w:spacing w:val="-12"/>
        </w:rPr>
        <w:t> </w:t>
      </w:r>
      <w:r>
        <w:rPr/>
        <w:t>to</w:t>
      </w:r>
      <w:r>
        <w:rPr>
          <w:spacing w:val="-12"/>
        </w:rPr>
        <w:t> </w:t>
      </w:r>
      <w:r>
        <w:rPr/>
        <w:t>be</w:t>
      </w:r>
      <w:r>
        <w:rPr>
          <w:spacing w:val="-12"/>
        </w:rPr>
        <w:t> </w:t>
      </w:r>
      <w:r>
        <w:rPr/>
        <w:t>suitable</w:t>
      </w:r>
      <w:r>
        <w:rPr>
          <w:spacing w:val="-12"/>
        </w:rPr>
        <w:t> </w:t>
      </w:r>
      <w:r>
        <w:rPr/>
        <w:t>for the target application, a hydrogen separation membrane must have adequate selectivity and flux rate and must be stable in the</w:t>
      </w:r>
      <w:r>
        <w:rPr>
          <w:spacing w:val="-10"/>
        </w:rPr>
        <w:t> </w:t>
      </w:r>
      <w:r>
        <w:rPr/>
        <w:t>reducing</w:t>
      </w:r>
      <w:r>
        <w:rPr>
          <w:spacing w:val="-10"/>
        </w:rPr>
        <w:t> </w:t>
      </w:r>
      <w:r>
        <w:rPr/>
        <w:t>coal</w:t>
      </w:r>
      <w:r>
        <w:rPr>
          <w:spacing w:val="-9"/>
        </w:rPr>
        <w:t> </w:t>
      </w:r>
      <w:r>
        <w:rPr/>
        <w:t>gas</w:t>
      </w:r>
      <w:r>
        <w:rPr>
          <w:spacing w:val="-10"/>
        </w:rPr>
        <w:t> </w:t>
      </w:r>
      <w:r>
        <w:rPr/>
        <w:t>or</w:t>
      </w:r>
      <w:r>
        <w:rPr>
          <w:spacing w:val="-9"/>
        </w:rPr>
        <w:t> </w:t>
      </w:r>
      <w:r>
        <w:rPr/>
        <w:t>fuel-reforming</w:t>
      </w:r>
      <w:r>
        <w:rPr>
          <w:spacing w:val="-10"/>
        </w:rPr>
        <w:t> </w:t>
      </w:r>
      <w:r>
        <w:rPr/>
        <w:t>environment</w:t>
      </w:r>
      <w:r>
        <w:rPr>
          <w:spacing w:val="-9"/>
        </w:rPr>
        <w:t> </w:t>
      </w:r>
      <w:r>
        <w:rPr/>
        <w:t>containing steam and hydrogen</w:t>
      </w:r>
      <w:r>
        <w:rPr>
          <w:spacing w:val="-2"/>
        </w:rPr>
        <w:t> </w:t>
      </w:r>
      <w:r>
        <w:rPr/>
        <w:t>sulphide.</w:t>
      </w:r>
    </w:p>
    <w:p>
      <w:pPr>
        <w:pStyle w:val="BodyText"/>
        <w:spacing w:line="225" w:lineRule="auto" w:before="24"/>
        <w:ind w:left="513" w:firstLine="284"/>
        <w:jc w:val="both"/>
      </w:pPr>
      <w:r>
        <w:rPr/>
        <w:t>A number of membrane reactor developments have been reported for hydrogen production with CO</w:t>
      </w:r>
      <w:r>
        <w:rPr>
          <w:position w:val="-6"/>
          <w:sz w:val="11"/>
        </w:rPr>
        <w:t>2 </w:t>
      </w:r>
      <w:r>
        <w:rPr/>
        <w:t>capture. Several groups have evaluated methane steam reforming membrane</w:t>
      </w:r>
    </w:p>
    <w:p>
      <w:pPr>
        <w:pStyle w:val="BodyText"/>
        <w:spacing w:line="240" w:lineRule="exact" w:before="58"/>
        <w:ind w:left="241" w:right="733"/>
        <w:jc w:val="both"/>
      </w:pPr>
      <w:r>
        <w:rPr/>
        <w:br w:type="column"/>
      </w:r>
      <w:r>
        <w:rPr/>
        <w:t>reactors</w:t>
      </w:r>
      <w:r>
        <w:rPr>
          <w:spacing w:val="-10"/>
        </w:rPr>
        <w:t> </w:t>
      </w:r>
      <w:r>
        <w:rPr/>
        <w:t>based</w:t>
      </w:r>
      <w:r>
        <w:rPr>
          <w:spacing w:val="-9"/>
        </w:rPr>
        <w:t> </w:t>
      </w:r>
      <w:r>
        <w:rPr/>
        <w:t>on</w:t>
      </w:r>
      <w:r>
        <w:rPr>
          <w:spacing w:val="-9"/>
        </w:rPr>
        <w:t> </w:t>
      </w:r>
      <w:r>
        <w:rPr/>
        <w:t>palladium</w:t>
      </w:r>
      <w:r>
        <w:rPr>
          <w:spacing w:val="-9"/>
        </w:rPr>
        <w:t> </w:t>
      </w:r>
      <w:r>
        <w:rPr/>
        <w:t>alloy</w:t>
      </w:r>
      <w:r>
        <w:rPr>
          <w:spacing w:val="-9"/>
        </w:rPr>
        <w:t> </w:t>
      </w:r>
      <w:r>
        <w:rPr/>
        <w:t>membranes</w:t>
      </w:r>
      <w:r>
        <w:rPr>
          <w:spacing w:val="-9"/>
        </w:rPr>
        <w:t> </w:t>
      </w:r>
      <w:r>
        <w:rPr/>
        <w:t>(Middleton</w:t>
      </w:r>
      <w:r>
        <w:rPr>
          <w:spacing w:val="-9"/>
        </w:rPr>
        <w:t> </w:t>
      </w:r>
      <w:r>
        <w:rPr>
          <w:i/>
        </w:rPr>
        <w:t>et</w:t>
      </w:r>
      <w:r>
        <w:rPr>
          <w:i/>
          <w:spacing w:val="-9"/>
        </w:rPr>
        <w:t> </w:t>
      </w:r>
      <w:r>
        <w:rPr>
          <w:i/>
        </w:rPr>
        <w:t>al.</w:t>
      </w:r>
      <w:r>
        <w:rPr/>
        <w:t>, 2002, Damle and Dorchak, 2001). These evaluations showed that membrane reactors could achieve 90% CO</w:t>
      </w:r>
      <w:r>
        <w:rPr>
          <w:position w:val="-6"/>
          <w:sz w:val="11"/>
        </w:rPr>
        <w:t>2 </w:t>
      </w:r>
      <w:r>
        <w:rPr/>
        <w:t>recovery </w:t>
      </w:r>
      <w:r>
        <w:rPr>
          <w:spacing w:val="-4"/>
        </w:rPr>
        <w:t>and </w:t>
      </w:r>
      <w:r>
        <w:rPr/>
        <w:t>that at this moment the projected cost is nearly identical to that for a conventional system. However, a cost-reduction can be achieved by either reducing the material cost of the membrane or by increasing the permeability. Similar evaluations of membrane reactors for the shift conversion and separation of CO</w:t>
      </w:r>
      <w:r>
        <w:rPr>
          <w:position w:val="-6"/>
          <w:sz w:val="11"/>
        </w:rPr>
        <w:t>2 </w:t>
      </w:r>
      <w:r>
        <w:rPr/>
        <w:t>from syngas produced from heavy feeds by gasification have</w:t>
      </w:r>
      <w:r>
        <w:rPr>
          <w:spacing w:val="-5"/>
        </w:rPr>
        <w:t> </w:t>
      </w:r>
      <w:r>
        <w:rPr/>
        <w:t>been</w:t>
      </w:r>
      <w:r>
        <w:rPr>
          <w:spacing w:val="-5"/>
        </w:rPr>
        <w:t> </w:t>
      </w:r>
      <w:r>
        <w:rPr/>
        <w:t>reported</w:t>
      </w:r>
      <w:r>
        <w:rPr>
          <w:spacing w:val="-5"/>
        </w:rPr>
        <w:t> </w:t>
      </w:r>
      <w:r>
        <w:rPr/>
        <w:t>(Bracht</w:t>
      </w:r>
      <w:r>
        <w:rPr>
          <w:spacing w:val="-4"/>
        </w:rPr>
        <w:t> </w:t>
      </w:r>
      <w:r>
        <w:rPr>
          <w:i/>
        </w:rPr>
        <w:t>et</w:t>
      </w:r>
      <w:r>
        <w:rPr>
          <w:i/>
          <w:spacing w:val="-5"/>
        </w:rPr>
        <w:t> </w:t>
      </w:r>
      <w:r>
        <w:rPr>
          <w:i/>
        </w:rPr>
        <w:t>al.</w:t>
      </w:r>
      <w:r>
        <w:rPr/>
        <w:t>,</w:t>
      </w:r>
      <w:r>
        <w:rPr>
          <w:spacing w:val="-5"/>
        </w:rPr>
        <w:t> </w:t>
      </w:r>
      <w:r>
        <w:rPr/>
        <w:t>1997;</w:t>
      </w:r>
      <w:r>
        <w:rPr>
          <w:spacing w:val="-5"/>
        </w:rPr>
        <w:t> </w:t>
      </w:r>
      <w:r>
        <w:rPr/>
        <w:t>Middleton</w:t>
      </w:r>
      <w:r>
        <w:rPr>
          <w:spacing w:val="-5"/>
        </w:rPr>
        <w:t> </w:t>
      </w:r>
      <w:r>
        <w:rPr/>
        <w:t>2002;</w:t>
      </w:r>
      <w:r>
        <w:rPr>
          <w:spacing w:val="-5"/>
        </w:rPr>
        <w:t> </w:t>
      </w:r>
      <w:r>
        <w:rPr/>
        <w:t>Lowe </w:t>
      </w:r>
      <w:r>
        <w:rPr>
          <w:i/>
        </w:rPr>
        <w:t>et al.</w:t>
      </w:r>
      <w:r>
        <w:rPr/>
        <w:t>, 2003). For these gasifier systems the membrane reactors could reduce the costs for capturing CO</w:t>
      </w:r>
      <w:r>
        <w:rPr>
          <w:position w:val="-6"/>
          <w:sz w:val="11"/>
        </w:rPr>
        <w:t>2 </w:t>
      </w:r>
      <w:r>
        <w:rPr/>
        <w:t>and the cost reduction would be more significant if they could be made sulphur tolerant.</w:t>
      </w:r>
    </w:p>
    <w:p>
      <w:pPr>
        <w:pStyle w:val="BodyText"/>
        <w:spacing w:before="4"/>
        <w:rPr>
          <w:sz w:val="21"/>
        </w:rPr>
      </w:pPr>
    </w:p>
    <w:p>
      <w:pPr>
        <w:pStyle w:val="ListParagraph"/>
        <w:numPr>
          <w:ilvl w:val="3"/>
          <w:numId w:val="22"/>
        </w:numPr>
        <w:tabs>
          <w:tab w:pos="1092" w:val="left" w:leader="none"/>
          <w:tab w:pos="1093" w:val="left" w:leader="none"/>
        </w:tabs>
        <w:spacing w:line="240" w:lineRule="auto" w:before="0" w:after="0"/>
        <w:ind w:left="1093" w:right="0" w:hanging="851"/>
        <w:jc w:val="left"/>
        <w:rPr>
          <w:i/>
          <w:sz w:val="20"/>
        </w:rPr>
      </w:pPr>
      <w:r>
        <w:rPr>
          <w:i/>
          <w:sz w:val="20"/>
        </w:rPr>
        <w:t>Microchannel</w:t>
      </w:r>
      <w:r>
        <w:rPr>
          <w:i/>
          <w:spacing w:val="-1"/>
          <w:sz w:val="20"/>
        </w:rPr>
        <w:t> </w:t>
      </w:r>
      <w:r>
        <w:rPr>
          <w:i/>
          <w:sz w:val="20"/>
        </w:rPr>
        <w:t>reformer</w:t>
      </w:r>
    </w:p>
    <w:p>
      <w:pPr>
        <w:pStyle w:val="BodyText"/>
        <w:spacing w:line="249" w:lineRule="auto" w:before="10"/>
        <w:ind w:left="242" w:right="734"/>
        <w:jc w:val="both"/>
      </w:pPr>
      <w:r>
        <w:rPr/>
        <w:t>Microreactor</w:t>
      </w:r>
      <w:r>
        <w:rPr>
          <w:spacing w:val="-8"/>
        </w:rPr>
        <w:t> </w:t>
      </w:r>
      <w:r>
        <w:rPr/>
        <w:t>technology</w:t>
      </w:r>
      <w:r>
        <w:rPr>
          <w:spacing w:val="-7"/>
        </w:rPr>
        <w:t> </w:t>
      </w:r>
      <w:r>
        <w:rPr/>
        <w:t>can</w:t>
      </w:r>
      <w:r>
        <w:rPr>
          <w:spacing w:val="-6"/>
        </w:rPr>
        <w:t> </w:t>
      </w:r>
      <w:r>
        <w:rPr/>
        <w:t>be</w:t>
      </w:r>
      <w:r>
        <w:rPr>
          <w:spacing w:val="-7"/>
        </w:rPr>
        <w:t> </w:t>
      </w:r>
      <w:r>
        <w:rPr/>
        <w:t>used</w:t>
      </w:r>
      <w:r>
        <w:rPr>
          <w:spacing w:val="-6"/>
        </w:rPr>
        <w:t> </w:t>
      </w:r>
      <w:r>
        <w:rPr/>
        <w:t>to</w:t>
      </w:r>
      <w:r>
        <w:rPr>
          <w:spacing w:val="-7"/>
        </w:rPr>
        <w:t> </w:t>
      </w:r>
      <w:r>
        <w:rPr/>
        <w:t>produce</w:t>
      </w:r>
      <w:r>
        <w:rPr>
          <w:spacing w:val="-6"/>
        </w:rPr>
        <w:t> </w:t>
      </w:r>
      <w:r>
        <w:rPr/>
        <w:t>a</w:t>
      </w:r>
      <w:r>
        <w:rPr>
          <w:spacing w:val="-6"/>
        </w:rPr>
        <w:t> </w:t>
      </w:r>
      <w:r>
        <w:rPr/>
        <w:t>SMR,</w:t>
      </w:r>
      <w:r>
        <w:rPr>
          <w:spacing w:val="-8"/>
        </w:rPr>
        <w:t> </w:t>
      </w:r>
      <w:r>
        <w:rPr/>
        <w:t>or</w:t>
      </w:r>
      <w:r>
        <w:rPr>
          <w:spacing w:val="-6"/>
        </w:rPr>
        <w:t> </w:t>
      </w:r>
      <w:r>
        <w:rPr/>
        <w:t>low temperature air-based POX system using a multichannel</w:t>
      </w:r>
      <w:r>
        <w:rPr>
          <w:spacing w:val="17"/>
        </w:rPr>
        <w:t> </w:t>
      </w:r>
      <w:r>
        <w:rPr/>
        <w:t>plate-</w:t>
      </w:r>
    </w:p>
    <w:p>
      <w:pPr>
        <w:spacing w:after="0" w:line="249" w:lineRule="auto"/>
        <w:jc w:val="both"/>
        <w:sectPr>
          <w:type w:val="continuous"/>
          <w:pgSz w:w="12240" w:h="15840"/>
          <w:pgMar w:top="480" w:bottom="280" w:left="620" w:right="0"/>
          <w:cols w:num="2" w:equalWidth="0">
            <w:col w:w="5559" w:space="40"/>
            <w:col w:w="6021"/>
          </w:cols>
        </w:sectPr>
      </w:pPr>
    </w:p>
    <w:p>
      <w:pPr>
        <w:pStyle w:val="BodyText"/>
      </w:pPr>
    </w:p>
    <w:p>
      <w:pPr>
        <w:pStyle w:val="BodyText"/>
        <w:spacing w:before="9"/>
        <w:rPr>
          <w:sz w:val="16"/>
        </w:rPr>
      </w:pPr>
    </w:p>
    <w:p>
      <w:pPr>
        <w:spacing w:after="0"/>
        <w:rPr>
          <w:sz w:val="16"/>
        </w:rPr>
        <w:sectPr>
          <w:pgSz w:w="12240" w:h="15840"/>
          <w:pgMar w:header="567" w:footer="0" w:top="760" w:bottom="280" w:left="620" w:right="0"/>
        </w:sectPr>
      </w:pPr>
    </w:p>
    <w:p>
      <w:pPr>
        <w:pStyle w:val="BodyText"/>
        <w:spacing w:before="63"/>
        <w:ind w:left="117"/>
        <w:jc w:val="both"/>
      </w:pPr>
      <w:bookmarkStart w:name="3.5.4 Enabling technologies" w:id="55"/>
      <w:bookmarkEnd w:id="55"/>
      <w:r>
        <w:rPr/>
      </w:r>
      <w:r>
        <w:rPr/>
        <w:t>fin heat exchanger, fabricated in stainless steel or high nickel</w:t>
      </w:r>
    </w:p>
    <w:p>
      <w:pPr>
        <w:pStyle w:val="BodyText"/>
        <w:spacing w:before="10"/>
        <w:ind w:left="117"/>
        <w:jc w:val="both"/>
      </w:pPr>
      <w:r>
        <w:rPr/>
        <w:t>alloy by vacuum brazing or diffusion bonding.</w:t>
      </w:r>
    </w:p>
    <w:p>
      <w:pPr>
        <w:pStyle w:val="BodyText"/>
        <w:spacing w:line="249" w:lineRule="auto" w:before="10"/>
        <w:ind w:left="117" w:right="38" w:firstLine="284"/>
        <w:jc w:val="both"/>
      </w:pPr>
      <w:r>
        <w:rPr/>
        <w:t>An SMR reactor consists of alternate passages having fins, which are coated with catalyst or porous catalyst insets. Heat is produced by catalytic combustion of fuel gas premixed</w:t>
      </w:r>
      <w:r>
        <w:rPr>
          <w:spacing w:val="41"/>
        </w:rPr>
        <w:t> </w:t>
      </w:r>
      <w:r>
        <w:rPr/>
        <w:t>with</w:t>
      </w:r>
    </w:p>
    <w:p>
      <w:pPr>
        <w:pStyle w:val="BodyText"/>
        <w:spacing w:line="225" w:lineRule="auto" w:before="74"/>
        <w:ind w:left="117" w:right="1131" w:hanging="1"/>
        <w:jc w:val="both"/>
      </w:pPr>
      <w:r>
        <w:rPr/>
        <w:br w:type="column"/>
      </w:r>
      <w:r>
        <w:rPr/>
        <w:t>to further integrate the gasification of the fuel (if solid), the shift reaction, and in-situ CO</w:t>
      </w:r>
      <w:r>
        <w:rPr>
          <w:position w:val="-6"/>
          <w:sz w:val="11"/>
        </w:rPr>
        <w:t>2 </w:t>
      </w:r>
      <w:r>
        <w:rPr/>
        <w:t>removal with CaO. The overall reaction aimed in the system is:</w:t>
      </w:r>
    </w:p>
    <w:p>
      <w:pPr>
        <w:pStyle w:val="BodyText"/>
        <w:spacing w:before="8"/>
        <w:rPr>
          <w:sz w:val="21"/>
        </w:rPr>
      </w:pPr>
    </w:p>
    <w:p>
      <w:pPr>
        <w:pStyle w:val="BodyText"/>
        <w:spacing w:line="225" w:lineRule="exact" w:before="1"/>
        <w:ind w:left="457"/>
      </w:pPr>
      <w:r>
        <w:rPr/>
        <w:t>Carbonation of calcium oxide:</w:t>
      </w:r>
    </w:p>
    <w:p>
      <w:pPr>
        <w:spacing w:after="0" w:line="225" w:lineRule="exact"/>
        <w:sectPr>
          <w:type w:val="continuous"/>
          <w:pgSz w:w="12240" w:h="15840"/>
          <w:pgMar w:top="480" w:bottom="280" w:left="620" w:right="0"/>
          <w:cols w:num="2" w:equalWidth="0">
            <w:col w:w="5201" w:space="125"/>
            <w:col w:w="6294"/>
          </w:cols>
        </w:sectPr>
      </w:pPr>
    </w:p>
    <w:p>
      <w:pPr>
        <w:pStyle w:val="BodyText"/>
        <w:spacing w:line="166" w:lineRule="exact" w:before="3"/>
        <w:ind w:left="117"/>
      </w:pPr>
      <w:r>
        <w:rPr/>
        <w:t>air and transferred by conduction to the adjacent passage fed</w:t>
      </w:r>
    </w:p>
    <w:p>
      <w:pPr>
        <w:pStyle w:val="BodyText"/>
        <w:spacing w:line="169" w:lineRule="exact"/>
        <w:ind w:left="117"/>
      </w:pPr>
      <w:r>
        <w:rPr/>
        <w:br w:type="column"/>
      </w:r>
      <w:r>
        <w:rPr/>
        <w:t>CaO + C + 2 H O </w:t>
      </w:r>
      <w:r>
        <w:rPr>
          <w:rFonts w:ascii="Symbol" w:hAnsi="Symbol"/>
        </w:rPr>
        <w:t></w:t>
      </w:r>
      <w:r>
        <w:rPr/>
        <w:t> CaCO</w:t>
      </w:r>
    </w:p>
    <w:p>
      <w:pPr>
        <w:pStyle w:val="BodyText"/>
        <w:spacing w:line="166" w:lineRule="exact" w:before="3"/>
        <w:ind w:left="67"/>
      </w:pPr>
      <w:r>
        <w:rPr/>
        <w:br w:type="column"/>
      </w:r>
      <w:r>
        <w:rPr/>
        <w:t>+ 2H</w:t>
      </w:r>
    </w:p>
    <w:p>
      <w:pPr>
        <w:spacing w:line="166" w:lineRule="exact" w:before="3"/>
        <w:ind w:left="117" w:right="0" w:firstLine="0"/>
        <w:jc w:val="left"/>
        <w:rPr>
          <w:sz w:val="20"/>
        </w:rPr>
      </w:pPr>
      <w:r>
        <w:rPr/>
        <w:br w:type="column"/>
      </w:r>
      <w:r>
        <w:rPr>
          <w:sz w:val="20"/>
        </w:rPr>
        <w:t>(5)</w:t>
      </w:r>
    </w:p>
    <w:p>
      <w:pPr>
        <w:spacing w:after="0" w:line="166" w:lineRule="exact"/>
        <w:jc w:val="left"/>
        <w:rPr>
          <w:sz w:val="20"/>
        </w:rPr>
        <w:sectPr>
          <w:type w:val="continuous"/>
          <w:pgSz w:w="12240" w:h="15840"/>
          <w:pgMar w:top="480" w:bottom="280" w:left="620" w:right="0"/>
          <w:cols w:num="4" w:equalWidth="0">
            <w:col w:w="5202" w:space="464"/>
            <w:col w:w="2387" w:space="40"/>
            <w:col w:w="516" w:space="1417"/>
            <w:col w:w="1594"/>
          </w:cols>
        </w:sectPr>
      </w:pPr>
    </w:p>
    <w:p>
      <w:pPr>
        <w:pStyle w:val="BodyText"/>
        <w:spacing w:line="240" w:lineRule="exact" w:before="69"/>
        <w:ind w:left="116" w:right="38"/>
        <w:jc w:val="both"/>
      </w:pPr>
      <w:r>
        <w:rPr/>
        <w:t>with the steam/hydrocarbon mixture, where the reforming reaction takes place (Babovic </w:t>
      </w:r>
      <w:r>
        <w:rPr>
          <w:i/>
        </w:rPr>
        <w:t>et al.</w:t>
      </w:r>
      <w:r>
        <w:rPr/>
        <w:t>, 2001). Very compact high efficiency systems can be produced. Although these units are being currently developed by a number of groups for small- scale H</w:t>
      </w:r>
      <w:r>
        <w:rPr>
          <w:position w:val="-6"/>
          <w:sz w:val="11"/>
        </w:rPr>
        <w:t>2 </w:t>
      </w:r>
      <w:r>
        <w:rPr/>
        <w:t>production for fuel cell applications, they also show promise in larger H</w:t>
      </w:r>
      <w:r>
        <w:rPr>
          <w:position w:val="-6"/>
          <w:sz w:val="11"/>
        </w:rPr>
        <w:t>2 </w:t>
      </w:r>
      <w:r>
        <w:rPr/>
        <w:t>plants.</w:t>
      </w:r>
    </w:p>
    <w:p>
      <w:pPr>
        <w:pStyle w:val="BodyText"/>
        <w:spacing w:before="3"/>
        <w:rPr>
          <w:sz w:val="21"/>
        </w:rPr>
      </w:pPr>
    </w:p>
    <w:p>
      <w:pPr>
        <w:pStyle w:val="ListParagraph"/>
        <w:numPr>
          <w:ilvl w:val="3"/>
          <w:numId w:val="22"/>
        </w:numPr>
        <w:tabs>
          <w:tab w:pos="967" w:val="left" w:leader="none"/>
          <w:tab w:pos="968" w:val="left" w:leader="none"/>
        </w:tabs>
        <w:spacing w:line="240" w:lineRule="auto" w:before="0" w:after="0"/>
        <w:ind w:left="967" w:right="0" w:hanging="852"/>
        <w:jc w:val="left"/>
        <w:rPr>
          <w:i/>
          <w:sz w:val="20"/>
        </w:rPr>
      </w:pPr>
      <w:r>
        <w:rPr>
          <w:i/>
          <w:sz w:val="20"/>
        </w:rPr>
        <w:t>Conversion to hydrogen and</w:t>
      </w:r>
      <w:r>
        <w:rPr>
          <w:i/>
          <w:spacing w:val="-2"/>
          <w:sz w:val="20"/>
        </w:rPr>
        <w:t> </w:t>
      </w:r>
      <w:r>
        <w:rPr>
          <w:i/>
          <w:sz w:val="20"/>
        </w:rPr>
        <w:t>carbon</w:t>
      </w:r>
    </w:p>
    <w:p>
      <w:pPr>
        <w:pStyle w:val="BodyText"/>
        <w:spacing w:line="249" w:lineRule="auto" w:before="10"/>
        <w:ind w:left="117" w:right="38"/>
        <w:jc w:val="both"/>
      </w:pPr>
      <w:r>
        <w:rPr/>
        <w:t>Thermal</w:t>
      </w:r>
      <w:r>
        <w:rPr>
          <w:spacing w:val="-5"/>
        </w:rPr>
        <w:t> </w:t>
      </w:r>
      <w:r>
        <w:rPr/>
        <w:t>cracking</w:t>
      </w:r>
      <w:r>
        <w:rPr>
          <w:spacing w:val="-5"/>
        </w:rPr>
        <w:t> </w:t>
      </w:r>
      <w:r>
        <w:rPr/>
        <w:t>or</w:t>
      </w:r>
      <w:r>
        <w:rPr>
          <w:spacing w:val="-3"/>
        </w:rPr>
        <w:t> </w:t>
      </w:r>
      <w:r>
        <w:rPr/>
        <w:t>pyrolysis</w:t>
      </w:r>
      <w:r>
        <w:rPr>
          <w:spacing w:val="-4"/>
        </w:rPr>
        <w:t> </w:t>
      </w:r>
      <w:r>
        <w:rPr/>
        <w:t>of</w:t>
      </w:r>
      <w:r>
        <w:rPr>
          <w:spacing w:val="-3"/>
        </w:rPr>
        <w:t> </w:t>
      </w:r>
      <w:r>
        <w:rPr/>
        <w:t>methane</w:t>
      </w:r>
      <w:r>
        <w:rPr>
          <w:spacing w:val="-5"/>
        </w:rPr>
        <w:t> </w:t>
      </w:r>
      <w:r>
        <w:rPr/>
        <w:t>is</w:t>
      </w:r>
      <w:r>
        <w:rPr>
          <w:spacing w:val="-3"/>
        </w:rPr>
        <w:t> </w:t>
      </w:r>
      <w:r>
        <w:rPr/>
        <w:t>the</w:t>
      </w:r>
      <w:r>
        <w:rPr>
          <w:spacing w:val="-5"/>
        </w:rPr>
        <w:t> </w:t>
      </w:r>
      <w:r>
        <w:rPr/>
        <w:t>reaction</w:t>
      </w:r>
      <w:r>
        <w:rPr>
          <w:spacing w:val="-4"/>
        </w:rPr>
        <w:t> </w:t>
      </w:r>
      <w:r>
        <w:rPr/>
        <w:t>where methane reacts to carbon and hydrogen through:</w:t>
      </w:r>
    </w:p>
    <w:p>
      <w:pPr>
        <w:pStyle w:val="BodyText"/>
        <w:rPr>
          <w:sz w:val="21"/>
        </w:rPr>
      </w:pPr>
    </w:p>
    <w:p>
      <w:pPr>
        <w:pStyle w:val="BodyText"/>
        <w:spacing w:line="225" w:lineRule="exact" w:before="1"/>
        <w:ind w:left="457"/>
      </w:pPr>
      <w:r>
        <w:rPr/>
        <w:pict>
          <v:shape style="position:absolute;margin-left:117.551102pt;margin-top:20.335938pt;width:2.9pt;height:5.8pt;mso-position-horizontal-relative:page;mso-position-vertical-relative:paragraph;z-index:251710464"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t>Methane pyrolysis:</w:t>
      </w:r>
    </w:p>
    <w:p>
      <w:pPr>
        <w:tabs>
          <w:tab w:pos="2726" w:val="left" w:leader="none"/>
          <w:tab w:pos="3242" w:val="left" w:leader="none"/>
        </w:tabs>
        <w:spacing w:line="111" w:lineRule="exact" w:before="0"/>
        <w:ind w:left="1677" w:right="0" w:firstLine="0"/>
        <w:jc w:val="left"/>
        <w:rPr>
          <w:sz w:val="11"/>
        </w:rPr>
      </w:pPr>
      <w:r>
        <w:rPr/>
        <w:br w:type="column"/>
      </w:r>
      <w:r>
        <w:rPr>
          <w:w w:val="105"/>
          <w:sz w:val="11"/>
        </w:rPr>
        <w:t>2</w:t>
        <w:tab/>
        <w:t>3</w:t>
        <w:tab/>
        <w:t>2</w:t>
      </w:r>
    </w:p>
    <w:p>
      <w:pPr>
        <w:pStyle w:val="BodyText"/>
        <w:spacing w:before="2"/>
        <w:rPr>
          <w:sz w:val="17"/>
        </w:rPr>
      </w:pPr>
    </w:p>
    <w:p>
      <w:pPr>
        <w:pStyle w:val="BodyText"/>
        <w:spacing w:line="240" w:lineRule="exact"/>
        <w:ind w:left="116" w:right="1131"/>
        <w:jc w:val="both"/>
      </w:pPr>
      <w:r>
        <w:rPr/>
        <w:t>The regeneration of the sorbent produces pure CO</w:t>
      </w:r>
      <w:r>
        <w:rPr>
          <w:position w:val="-6"/>
          <w:sz w:val="11"/>
        </w:rPr>
        <w:t>2 </w:t>
      </w:r>
      <w:r>
        <w:rPr/>
        <w:t>when carried out in a separate reactor by calcining CaCO</w:t>
      </w:r>
      <w:r>
        <w:rPr>
          <w:position w:val="-6"/>
          <w:sz w:val="11"/>
        </w:rPr>
        <w:t>3</w:t>
      </w:r>
      <w:r>
        <w:rPr/>
        <w:t>. A range of systems can be developed under this general reaction scheme depending on the technology adopted for gasification, carbonation-calcination, hydrogen utilization route and storage option for CO</w:t>
      </w:r>
      <w:r>
        <w:rPr>
          <w:position w:val="-6"/>
          <w:sz w:val="11"/>
        </w:rPr>
        <w:t>2</w:t>
      </w:r>
      <w:r>
        <w:rPr/>
        <w:t>. The first of these concepts was proposed at the Los Alamos National Laboratory (USA) and is currently under development as the Zero Emission Coal Alliance (ZECA) process.</w:t>
      </w:r>
      <w:r>
        <w:rPr>
          <w:spacing w:val="-17"/>
        </w:rPr>
        <w:t> </w:t>
      </w:r>
      <w:r>
        <w:rPr/>
        <w:t>The</w:t>
      </w:r>
      <w:r>
        <w:rPr>
          <w:spacing w:val="-13"/>
        </w:rPr>
        <w:t> </w:t>
      </w:r>
      <w:r>
        <w:rPr/>
        <w:t>full</w:t>
      </w:r>
      <w:r>
        <w:rPr>
          <w:spacing w:val="-14"/>
        </w:rPr>
        <w:t> </w:t>
      </w:r>
      <w:r>
        <w:rPr/>
        <w:t>system</w:t>
      </w:r>
      <w:r>
        <w:rPr>
          <w:spacing w:val="-13"/>
        </w:rPr>
        <w:t> </w:t>
      </w:r>
      <w:r>
        <w:rPr/>
        <w:t>includes</w:t>
      </w:r>
      <w:r>
        <w:rPr>
          <w:spacing w:val="-14"/>
        </w:rPr>
        <w:t> </w:t>
      </w:r>
      <w:r>
        <w:rPr/>
        <w:t>(Lackner</w:t>
      </w:r>
      <w:r>
        <w:rPr>
          <w:spacing w:val="-13"/>
        </w:rPr>
        <w:t> </w:t>
      </w:r>
      <w:r>
        <w:rPr>
          <w:i/>
        </w:rPr>
        <w:t>et</w:t>
      </w:r>
      <w:r>
        <w:rPr>
          <w:i/>
          <w:spacing w:val="-14"/>
        </w:rPr>
        <w:t> </w:t>
      </w:r>
      <w:r>
        <w:rPr>
          <w:i/>
        </w:rPr>
        <w:t>al.</w:t>
      </w:r>
      <w:r>
        <w:rPr/>
        <w:t>,</w:t>
      </w:r>
      <w:r>
        <w:rPr>
          <w:spacing w:val="-13"/>
        </w:rPr>
        <w:t> </w:t>
      </w:r>
      <w:r>
        <w:rPr/>
        <w:t>2001)</w:t>
      </w:r>
      <w:r>
        <w:rPr>
          <w:spacing w:val="-14"/>
        </w:rPr>
        <w:t> </w:t>
      </w:r>
      <w:r>
        <w:rPr/>
        <w:t>a</w:t>
      </w:r>
      <w:r>
        <w:rPr>
          <w:spacing w:val="-13"/>
        </w:rPr>
        <w:t> </w:t>
      </w:r>
      <w:r>
        <w:rPr/>
        <w:t>hydro- gasification reactor, solid oxide fuel cell and a technology for mineral</w:t>
      </w:r>
      <w:r>
        <w:rPr>
          <w:spacing w:val="13"/>
        </w:rPr>
        <w:t> </w:t>
      </w:r>
      <w:r>
        <w:rPr/>
        <w:t>carbonation.</w:t>
      </w:r>
      <w:r>
        <w:rPr>
          <w:spacing w:val="14"/>
        </w:rPr>
        <w:t> </w:t>
      </w:r>
      <w:r>
        <w:rPr/>
        <w:t>However,</w:t>
      </w:r>
      <w:r>
        <w:rPr>
          <w:spacing w:val="14"/>
        </w:rPr>
        <w:t> </w:t>
      </w:r>
      <w:r>
        <w:rPr/>
        <w:t>the</w:t>
      </w:r>
      <w:r>
        <w:rPr>
          <w:spacing w:val="14"/>
        </w:rPr>
        <w:t> </w:t>
      </w:r>
      <w:r>
        <w:rPr/>
        <w:t>fuel</w:t>
      </w:r>
      <w:r>
        <w:rPr>
          <w:spacing w:val="14"/>
        </w:rPr>
        <w:t> </w:t>
      </w:r>
      <w:r>
        <w:rPr/>
        <w:t>cell</w:t>
      </w:r>
      <w:r>
        <w:rPr>
          <w:spacing w:val="13"/>
        </w:rPr>
        <w:t> </w:t>
      </w:r>
      <w:r>
        <w:rPr/>
        <w:t>will</w:t>
      </w:r>
      <w:r>
        <w:rPr>
          <w:spacing w:val="14"/>
        </w:rPr>
        <w:t> </w:t>
      </w:r>
      <w:r>
        <w:rPr/>
        <w:t>require</w:t>
      </w:r>
      <w:r>
        <w:rPr>
          <w:spacing w:val="14"/>
        </w:rPr>
        <w:t> </w:t>
      </w:r>
      <w:r>
        <w:rPr/>
        <w:t>more</w:t>
      </w:r>
    </w:p>
    <w:p>
      <w:pPr>
        <w:spacing w:after="0" w:line="240" w:lineRule="exact"/>
        <w:jc w:val="both"/>
        <w:sectPr>
          <w:type w:val="continuous"/>
          <w:pgSz w:w="12240" w:h="15840"/>
          <w:pgMar w:top="480" w:bottom="280" w:left="620" w:right="0"/>
          <w:cols w:num="2" w:equalWidth="0">
            <w:col w:w="5201" w:space="125"/>
            <w:col w:w="6294"/>
          </w:cols>
        </w:sectPr>
      </w:pPr>
    </w:p>
    <w:p>
      <w:pPr>
        <w:spacing w:before="6"/>
        <w:ind w:left="457" w:right="0" w:firstLine="0"/>
        <w:jc w:val="left"/>
        <w:rPr>
          <w:sz w:val="11"/>
        </w:rPr>
      </w:pPr>
      <w:r>
        <w:rPr>
          <w:sz w:val="20"/>
        </w:rPr>
        <w:t>CH</w:t>
      </w:r>
      <w:r>
        <w:rPr>
          <w:position w:val="-6"/>
          <w:sz w:val="11"/>
        </w:rPr>
        <w:t>4</w:t>
      </w:r>
    </w:p>
    <w:p>
      <w:pPr>
        <w:pStyle w:val="BodyText"/>
        <w:spacing w:line="237" w:lineRule="exact"/>
        <w:ind w:left="9"/>
      </w:pPr>
      <w:r>
        <w:rPr/>
        <w:br w:type="column"/>
      </w:r>
      <w:r>
        <w:rPr>
          <w:rFonts w:ascii="Symbol" w:hAnsi="Symbol"/>
        </w:rPr>
        <w:t></w:t>
      </w:r>
      <w:r>
        <w:rPr/>
        <w:t> C + 2 H</w:t>
      </w:r>
    </w:p>
    <w:p>
      <w:pPr>
        <w:spacing w:before="6"/>
        <w:ind w:left="457" w:right="0" w:firstLine="0"/>
        <w:jc w:val="left"/>
        <w:rPr>
          <w:sz w:val="20"/>
        </w:rPr>
      </w:pPr>
      <w:r>
        <w:rPr/>
        <w:br w:type="column"/>
      </w:r>
      <w:r>
        <w:rPr>
          <w:sz w:val="20"/>
        </w:rPr>
        <w:t>(4)</w:t>
      </w:r>
    </w:p>
    <w:p>
      <w:pPr>
        <w:pStyle w:val="BodyText"/>
        <w:spacing w:line="249" w:lineRule="auto" w:before="6"/>
        <w:ind w:left="354" w:right="187"/>
      </w:pPr>
      <w:r>
        <w:rPr/>
        <w:br w:type="column"/>
      </w:r>
      <w:r>
        <w:rPr/>
        <w:t>development and mineral carbonation is only at the laboratory investigation stage (see Section 7.2 for a discussion of mineral</w:t>
      </w:r>
    </w:p>
    <w:p>
      <w:pPr>
        <w:spacing w:after="0" w:line="249" w:lineRule="auto"/>
        <w:sectPr>
          <w:type w:val="continuous"/>
          <w:pgSz w:w="12240" w:h="15840"/>
          <w:pgMar w:top="480" w:bottom="280" w:left="620" w:right="0"/>
          <w:cols w:num="4" w:equalWidth="0">
            <w:col w:w="793" w:space="40"/>
            <w:col w:w="939" w:space="2587"/>
            <w:col w:w="691" w:space="39"/>
            <w:col w:w="6531"/>
          </w:cols>
        </w:sectPr>
      </w:pPr>
    </w:p>
    <w:p>
      <w:pPr>
        <w:pStyle w:val="BodyText"/>
        <w:spacing w:line="249" w:lineRule="auto" w:before="1"/>
        <w:ind w:left="117" w:right="38"/>
        <w:jc w:val="both"/>
      </w:pPr>
      <w:r>
        <w:rPr/>
        <w:t>The</w:t>
      </w:r>
      <w:r>
        <w:rPr>
          <w:spacing w:val="-11"/>
        </w:rPr>
        <w:t> </w:t>
      </w:r>
      <w:r>
        <w:rPr/>
        <w:t>main</w:t>
      </w:r>
      <w:r>
        <w:rPr>
          <w:spacing w:val="-11"/>
        </w:rPr>
        <w:t> </w:t>
      </w:r>
      <w:r>
        <w:rPr/>
        <w:t>advantage</w:t>
      </w:r>
      <w:r>
        <w:rPr>
          <w:spacing w:val="-11"/>
        </w:rPr>
        <w:t> </w:t>
      </w:r>
      <w:r>
        <w:rPr/>
        <w:t>of</w:t>
      </w:r>
      <w:r>
        <w:rPr>
          <w:spacing w:val="-10"/>
        </w:rPr>
        <w:t> </w:t>
      </w:r>
      <w:r>
        <w:rPr/>
        <w:t>the</w:t>
      </w:r>
      <w:r>
        <w:rPr>
          <w:spacing w:val="-11"/>
        </w:rPr>
        <w:t> </w:t>
      </w:r>
      <w:r>
        <w:rPr/>
        <w:t>process</w:t>
      </w:r>
      <w:r>
        <w:rPr>
          <w:spacing w:val="-11"/>
        </w:rPr>
        <w:t> </w:t>
      </w:r>
      <w:r>
        <w:rPr/>
        <w:t>is</w:t>
      </w:r>
      <w:r>
        <w:rPr>
          <w:spacing w:val="-11"/>
        </w:rPr>
        <w:t> </w:t>
      </w:r>
      <w:r>
        <w:rPr/>
        <w:t>that</w:t>
      </w:r>
      <w:r>
        <w:rPr>
          <w:spacing w:val="-10"/>
        </w:rPr>
        <w:t> </w:t>
      </w:r>
      <w:r>
        <w:rPr/>
        <w:t>it</w:t>
      </w:r>
      <w:r>
        <w:rPr>
          <w:spacing w:val="-11"/>
        </w:rPr>
        <w:t> </w:t>
      </w:r>
      <w:r>
        <w:rPr/>
        <w:t>can</w:t>
      </w:r>
      <w:r>
        <w:rPr>
          <w:spacing w:val="-11"/>
        </w:rPr>
        <w:t> </w:t>
      </w:r>
      <w:r>
        <w:rPr/>
        <w:t>potentially</w:t>
      </w:r>
      <w:r>
        <w:rPr>
          <w:spacing w:val="-10"/>
        </w:rPr>
        <w:t> </w:t>
      </w:r>
      <w:r>
        <w:rPr>
          <w:spacing w:val="-3"/>
        </w:rPr>
        <w:t>yield </w:t>
      </w:r>
      <w:r>
        <w:rPr/>
        <w:t>a clean gas (free of carbon oxides) that could be used directly for power production, but a disadvantage is that the chemical energy from the oxidation of carbon to CO</w:t>
      </w:r>
      <w:r>
        <w:rPr>
          <w:position w:val="-6"/>
          <w:sz w:val="11"/>
        </w:rPr>
        <w:t>2 </w:t>
      </w:r>
      <w:r>
        <w:rPr/>
        <w:t>is not released.</w:t>
      </w:r>
      <w:r>
        <w:rPr>
          <w:spacing w:val="-26"/>
        </w:rPr>
        <w:t> </w:t>
      </w:r>
      <w:r>
        <w:rPr>
          <w:spacing w:val="-4"/>
        </w:rPr>
        <w:t>The</w:t>
      </w:r>
    </w:p>
    <w:p>
      <w:pPr>
        <w:pStyle w:val="BodyText"/>
        <w:spacing w:line="183" w:lineRule="exact"/>
        <w:ind w:left="117"/>
        <w:jc w:val="both"/>
      </w:pPr>
      <w:r>
        <w:rPr/>
        <w:t>cracking</w:t>
      </w:r>
      <w:r>
        <w:rPr>
          <w:spacing w:val="-21"/>
        </w:rPr>
        <w:t> </w:t>
      </w:r>
      <w:r>
        <w:rPr/>
        <w:t>reaction</w:t>
      </w:r>
      <w:r>
        <w:rPr>
          <w:spacing w:val="-21"/>
        </w:rPr>
        <w:t> </w:t>
      </w:r>
      <w:r>
        <w:rPr/>
        <w:t>is</w:t>
      </w:r>
      <w:r>
        <w:rPr>
          <w:spacing w:val="-21"/>
        </w:rPr>
        <w:t> </w:t>
      </w:r>
      <w:r>
        <w:rPr/>
        <w:t>endothermic</w:t>
      </w:r>
      <w:r>
        <w:rPr>
          <w:spacing w:val="-20"/>
        </w:rPr>
        <w:t> </w:t>
      </w:r>
      <w:r>
        <w:rPr/>
        <w:t>and</w:t>
      </w:r>
      <w:r>
        <w:rPr>
          <w:spacing w:val="-21"/>
        </w:rPr>
        <w:t> </w:t>
      </w:r>
      <w:r>
        <w:rPr/>
        <w:t>so</w:t>
      </w:r>
      <w:r>
        <w:rPr>
          <w:spacing w:val="-21"/>
        </w:rPr>
        <w:t> </w:t>
      </w:r>
      <w:r>
        <w:rPr/>
        <w:t>heat</w:t>
      </w:r>
      <w:r>
        <w:rPr>
          <w:spacing w:val="-21"/>
        </w:rPr>
        <w:t> </w:t>
      </w:r>
      <w:r>
        <w:rPr/>
        <w:t>has</w:t>
      </w:r>
      <w:r>
        <w:rPr>
          <w:spacing w:val="-20"/>
        </w:rPr>
        <w:t> </w:t>
      </w:r>
      <w:r>
        <w:rPr/>
        <w:t>to</w:t>
      </w:r>
      <w:r>
        <w:rPr>
          <w:spacing w:val="-21"/>
        </w:rPr>
        <w:t> </w:t>
      </w:r>
      <w:r>
        <w:rPr/>
        <w:t>be</w:t>
      </w:r>
      <w:r>
        <w:rPr>
          <w:spacing w:val="-21"/>
        </w:rPr>
        <w:t> </w:t>
      </w:r>
      <w:r>
        <w:rPr/>
        <w:t>supplied</w:t>
      </w:r>
      <w:r>
        <w:rPr>
          <w:spacing w:val="-20"/>
        </w:rPr>
        <w:t> </w:t>
      </w:r>
      <w:r>
        <w:rPr/>
        <w:t>to</w:t>
      </w:r>
    </w:p>
    <w:p>
      <w:pPr>
        <w:pStyle w:val="BodyText"/>
        <w:spacing w:line="249" w:lineRule="auto" w:before="10"/>
        <w:ind w:left="117" w:right="38"/>
        <w:jc w:val="both"/>
      </w:pPr>
      <w:r>
        <w:rPr/>
        <w:t>the reaction. If the natural gas is converted </w:t>
      </w:r>
      <w:r>
        <w:rPr>
          <w:spacing w:val="-3"/>
        </w:rPr>
        <w:t>fully, </w:t>
      </w:r>
      <w:r>
        <w:rPr/>
        <w:t>the</w:t>
      </w:r>
      <w:r>
        <w:rPr>
          <w:spacing w:val="-28"/>
        </w:rPr>
        <w:t> </w:t>
      </w:r>
      <w:r>
        <w:rPr/>
        <w:t>theoretical yield of hydrogen corresponds to 60% of the heating value </w:t>
      </w:r>
      <w:r>
        <w:rPr>
          <w:spacing w:val="-7"/>
        </w:rPr>
        <w:t>of </w:t>
      </w:r>
      <w:r>
        <w:rPr/>
        <w:t>the natural gas. The amount of carbon, which can be obtained, corresponds to 49% of the heating value, with the extra 9% </w:t>
      </w:r>
      <w:r>
        <w:rPr>
          <w:spacing w:val="-6"/>
        </w:rPr>
        <w:t>of </w:t>
      </w:r>
      <w:r>
        <w:rPr/>
        <w:t>the energy in this calculation being provided as endothermic heat</w:t>
      </w:r>
      <w:r>
        <w:rPr>
          <w:spacing w:val="-11"/>
        </w:rPr>
        <w:t> </w:t>
      </w:r>
      <w:r>
        <w:rPr/>
        <w:t>shown</w:t>
      </w:r>
      <w:r>
        <w:rPr>
          <w:spacing w:val="-10"/>
        </w:rPr>
        <w:t> </w:t>
      </w:r>
      <w:r>
        <w:rPr/>
        <w:t>by</w:t>
      </w:r>
      <w:r>
        <w:rPr>
          <w:spacing w:val="-11"/>
        </w:rPr>
        <w:t> </w:t>
      </w:r>
      <w:r>
        <w:rPr/>
        <w:t>reaction</w:t>
      </w:r>
      <w:r>
        <w:rPr>
          <w:spacing w:val="-10"/>
        </w:rPr>
        <w:t> </w:t>
      </w:r>
      <w:r>
        <w:rPr/>
        <w:t>(4)</w:t>
      </w:r>
      <w:r>
        <w:rPr>
          <w:spacing w:val="-11"/>
        </w:rPr>
        <w:t> </w:t>
      </w:r>
      <w:r>
        <w:rPr/>
        <w:t>above.</w:t>
      </w:r>
      <w:r>
        <w:rPr>
          <w:spacing w:val="-13"/>
        </w:rPr>
        <w:t> </w:t>
      </w:r>
      <w:r>
        <w:rPr/>
        <w:t>Therefore</w:t>
      </w:r>
      <w:r>
        <w:rPr>
          <w:spacing w:val="-10"/>
        </w:rPr>
        <w:t> </w:t>
      </w:r>
      <w:r>
        <w:rPr/>
        <w:t>full</w:t>
      </w:r>
      <w:r>
        <w:rPr>
          <w:spacing w:val="-11"/>
        </w:rPr>
        <w:t> </w:t>
      </w:r>
      <w:r>
        <w:rPr/>
        <w:t>conversion</w:t>
      </w:r>
      <w:r>
        <w:rPr>
          <w:spacing w:val="-10"/>
        </w:rPr>
        <w:t> </w:t>
      </w:r>
      <w:r>
        <w:rPr/>
        <w:t>can be achieved only if heat is supplied from an external source.  If full conversion of methane is not achieved, the remaining methane will be combusted to produce heat. There are many different methods under development for reactors based on</w:t>
      </w:r>
      <w:r>
        <w:rPr>
          <w:spacing w:val="-27"/>
        </w:rPr>
        <w:t> </w:t>
      </w:r>
      <w:r>
        <w:rPr>
          <w:spacing w:val="-3"/>
        </w:rPr>
        <w:t>this </w:t>
      </w:r>
      <w:r>
        <w:rPr/>
        <w:t>principle,</w:t>
      </w:r>
      <w:r>
        <w:rPr>
          <w:spacing w:val="-10"/>
        </w:rPr>
        <w:t> </w:t>
      </w:r>
      <w:r>
        <w:rPr/>
        <w:t>including</w:t>
      </w:r>
      <w:r>
        <w:rPr>
          <w:spacing w:val="-10"/>
        </w:rPr>
        <w:t> </w:t>
      </w:r>
      <w:r>
        <w:rPr/>
        <w:t>thermal</w:t>
      </w:r>
      <w:r>
        <w:rPr>
          <w:spacing w:val="-10"/>
        </w:rPr>
        <w:t> </w:t>
      </w:r>
      <w:r>
        <w:rPr/>
        <w:t>catalytic,</w:t>
      </w:r>
      <w:r>
        <w:rPr>
          <w:spacing w:val="-10"/>
        </w:rPr>
        <w:t> </w:t>
      </w:r>
      <w:r>
        <w:rPr/>
        <w:t>thermal</w:t>
      </w:r>
      <w:r>
        <w:rPr>
          <w:spacing w:val="-10"/>
        </w:rPr>
        <w:t> </w:t>
      </w:r>
      <w:r>
        <w:rPr/>
        <w:t>non-catalytic</w:t>
      </w:r>
      <w:r>
        <w:rPr>
          <w:spacing w:val="-10"/>
        </w:rPr>
        <w:t> </w:t>
      </w:r>
      <w:r>
        <w:rPr>
          <w:spacing w:val="-4"/>
        </w:rPr>
        <w:t>and </w:t>
      </w:r>
      <w:r>
        <w:rPr/>
        <w:t>plasma cracking.</w:t>
      </w:r>
    </w:p>
    <w:p>
      <w:pPr>
        <w:pStyle w:val="BodyText"/>
        <w:spacing w:line="240" w:lineRule="exact" w:before="5"/>
        <w:ind w:left="117" w:right="38" w:firstLine="284"/>
        <w:jc w:val="both"/>
      </w:pPr>
      <w:r>
        <w:rPr/>
        <w:t>In the plasma cracking process natural gas or </w:t>
      </w:r>
      <w:r>
        <w:rPr>
          <w:spacing w:val="-3"/>
        </w:rPr>
        <w:t>other  </w:t>
      </w:r>
      <w:r>
        <w:rPr/>
        <w:t>hydrocarbons are supplied to a plasma reactor where the hydrocarbons are cracked under pyrolysis conditions (i.e., </w:t>
      </w:r>
      <w:r>
        <w:rPr>
          <w:spacing w:val="-7"/>
        </w:rPr>
        <w:t>in </w:t>
      </w:r>
      <w:r>
        <w:rPr/>
        <w:t>absence of oxides, e.g., steam, which can supply oxygen to form</w:t>
      </w:r>
      <w:r>
        <w:rPr>
          <w:spacing w:val="-4"/>
        </w:rPr>
        <w:t> </w:t>
      </w:r>
      <w:r>
        <w:rPr/>
        <w:t>CO</w:t>
      </w:r>
      <w:r>
        <w:rPr>
          <w:spacing w:val="-3"/>
        </w:rPr>
        <w:t> </w:t>
      </w:r>
      <w:r>
        <w:rPr/>
        <w:t>or</w:t>
      </w:r>
      <w:r>
        <w:rPr>
          <w:spacing w:val="-3"/>
        </w:rPr>
        <w:t> </w:t>
      </w:r>
      <w:r>
        <w:rPr/>
        <w:t>CO</w:t>
      </w:r>
      <w:r>
        <w:rPr>
          <w:position w:val="-6"/>
          <w:sz w:val="11"/>
        </w:rPr>
        <w:t>2</w:t>
      </w:r>
      <w:r>
        <w:rPr/>
        <w:t>).</w:t>
      </w:r>
      <w:r>
        <w:rPr>
          <w:spacing w:val="-7"/>
        </w:rPr>
        <w:t> </w:t>
      </w:r>
      <w:r>
        <w:rPr/>
        <w:t>The</w:t>
      </w:r>
      <w:r>
        <w:rPr>
          <w:spacing w:val="-3"/>
        </w:rPr>
        <w:t> </w:t>
      </w:r>
      <w:r>
        <w:rPr/>
        <w:t>plasma</w:t>
      </w:r>
      <w:r>
        <w:rPr>
          <w:spacing w:val="-3"/>
        </w:rPr>
        <w:t> </w:t>
      </w:r>
      <w:r>
        <w:rPr/>
        <w:t>arc,</w:t>
      </w:r>
      <w:r>
        <w:rPr>
          <w:spacing w:val="-3"/>
        </w:rPr>
        <w:t> </w:t>
      </w:r>
      <w:r>
        <w:rPr/>
        <w:t>for</w:t>
      </w:r>
      <w:r>
        <w:rPr>
          <w:spacing w:val="-3"/>
        </w:rPr>
        <w:t> </w:t>
      </w:r>
      <w:r>
        <w:rPr/>
        <w:t>which</w:t>
      </w:r>
      <w:r>
        <w:rPr>
          <w:spacing w:val="-4"/>
        </w:rPr>
        <w:t> </w:t>
      </w:r>
      <w:r>
        <w:rPr/>
        <w:t>electricity</w:t>
      </w:r>
      <w:r>
        <w:rPr>
          <w:spacing w:val="-4"/>
        </w:rPr>
        <w:t> </w:t>
      </w:r>
      <w:r>
        <w:rPr/>
        <w:t>is</w:t>
      </w:r>
      <w:r>
        <w:rPr>
          <w:spacing w:val="-3"/>
        </w:rPr>
        <w:t> </w:t>
      </w:r>
      <w:r>
        <w:rPr/>
        <w:t>used, supplies the heat for the cracking reaction. Advantages of the process are its flexibility with respect to the fuel and the high quality carbon black which can be produced. </w:t>
      </w:r>
      <w:r>
        <w:rPr>
          <w:spacing w:val="-5"/>
        </w:rPr>
        <w:t>Two </w:t>
      </w:r>
      <w:r>
        <w:rPr/>
        <w:t>small-scale plasma</w:t>
      </w:r>
      <w:r>
        <w:rPr>
          <w:spacing w:val="-19"/>
        </w:rPr>
        <w:t> </w:t>
      </w:r>
      <w:r>
        <w:rPr/>
        <w:t>cracking</w:t>
      </w:r>
      <w:r>
        <w:rPr>
          <w:spacing w:val="-19"/>
        </w:rPr>
        <w:t> </w:t>
      </w:r>
      <w:r>
        <w:rPr/>
        <w:t>processes</w:t>
      </w:r>
      <w:r>
        <w:rPr>
          <w:spacing w:val="-18"/>
        </w:rPr>
        <w:t> </w:t>
      </w:r>
      <w:r>
        <w:rPr/>
        <w:t>for</w:t>
      </w:r>
      <w:r>
        <w:rPr>
          <w:spacing w:val="-19"/>
        </w:rPr>
        <w:t> </w:t>
      </w:r>
      <w:r>
        <w:rPr/>
        <w:t>hydrogen/syngas</w:t>
      </w:r>
      <w:r>
        <w:rPr>
          <w:spacing w:val="-19"/>
        </w:rPr>
        <w:t> </w:t>
      </w:r>
      <w:r>
        <w:rPr/>
        <w:t>production</w:t>
      </w:r>
      <w:r>
        <w:rPr>
          <w:spacing w:val="-18"/>
        </w:rPr>
        <w:t> </w:t>
      </w:r>
      <w:r>
        <w:rPr>
          <w:spacing w:val="-4"/>
        </w:rPr>
        <w:t>have </w:t>
      </w:r>
      <w:r>
        <w:rPr/>
        <w:t>been</w:t>
      </w:r>
      <w:r>
        <w:rPr>
          <w:spacing w:val="-6"/>
        </w:rPr>
        <w:t> </w:t>
      </w:r>
      <w:r>
        <w:rPr/>
        <w:t>in</w:t>
      </w:r>
      <w:r>
        <w:rPr>
          <w:spacing w:val="-6"/>
        </w:rPr>
        <w:t> </w:t>
      </w:r>
      <w:r>
        <w:rPr/>
        <w:t>development.</w:t>
      </w:r>
      <w:r>
        <w:rPr>
          <w:spacing w:val="-9"/>
        </w:rPr>
        <w:t> </w:t>
      </w:r>
      <w:r>
        <w:rPr/>
        <w:t>The</w:t>
      </w:r>
      <w:r>
        <w:rPr>
          <w:spacing w:val="-6"/>
        </w:rPr>
        <w:t> </w:t>
      </w:r>
      <w:r>
        <w:rPr/>
        <w:t>Glid</w:t>
      </w:r>
      <w:r>
        <w:rPr>
          <w:spacing w:val="-16"/>
        </w:rPr>
        <w:t> </w:t>
      </w:r>
      <w:r>
        <w:rPr/>
        <w:t>Arc</w:t>
      </w:r>
      <w:r>
        <w:rPr>
          <w:spacing w:val="-6"/>
        </w:rPr>
        <w:t> </w:t>
      </w:r>
      <w:r>
        <w:rPr/>
        <w:t>process</w:t>
      </w:r>
      <w:r>
        <w:rPr>
          <w:spacing w:val="-5"/>
        </w:rPr>
        <w:t> </w:t>
      </w:r>
      <w:r>
        <w:rPr/>
        <w:t>has</w:t>
      </w:r>
      <w:r>
        <w:rPr>
          <w:spacing w:val="-6"/>
        </w:rPr>
        <w:t> </w:t>
      </w:r>
      <w:r>
        <w:rPr/>
        <w:t>been</w:t>
      </w:r>
      <w:r>
        <w:rPr>
          <w:spacing w:val="-5"/>
        </w:rPr>
        <w:t> </w:t>
      </w:r>
      <w:r>
        <w:rPr/>
        <w:t>developed by the Canadian Synergy Technologies Corporation. The second process is the Kvaerner CB&amp;H process. Kvaerner has reported results for a pilot plant producing 1000 Nm³</w:t>
      </w:r>
      <w:r>
        <w:rPr>
          <w:spacing w:val="-18"/>
        </w:rPr>
        <w:t> </w:t>
      </w:r>
      <w:r>
        <w:rPr/>
        <w:t>hydrogen per hour and 270 kg or 500 kg carbon black using natural </w:t>
      </w:r>
      <w:r>
        <w:rPr>
          <w:spacing w:val="-6"/>
        </w:rPr>
        <w:t>gas </w:t>
      </w:r>
      <w:r>
        <w:rPr/>
        <w:t>and aromatic oil respectively (IEA GHG,</w:t>
      </w:r>
      <w:r>
        <w:rPr>
          <w:spacing w:val="-14"/>
        </w:rPr>
        <w:t> </w:t>
      </w:r>
      <w:r>
        <w:rPr/>
        <w:t>2001).</w:t>
      </w:r>
    </w:p>
    <w:p>
      <w:pPr>
        <w:pStyle w:val="BodyText"/>
        <w:spacing w:before="4"/>
        <w:rPr>
          <w:sz w:val="21"/>
        </w:rPr>
      </w:pPr>
    </w:p>
    <w:p>
      <w:pPr>
        <w:pStyle w:val="ListParagraph"/>
        <w:numPr>
          <w:ilvl w:val="3"/>
          <w:numId w:val="22"/>
        </w:numPr>
        <w:tabs>
          <w:tab w:pos="936" w:val="left" w:leader="none"/>
          <w:tab w:pos="937" w:val="left" w:leader="none"/>
        </w:tabs>
        <w:spacing w:line="240" w:lineRule="auto" w:before="0" w:after="0"/>
        <w:ind w:left="937" w:right="0" w:hanging="820"/>
        <w:jc w:val="left"/>
        <w:rPr>
          <w:i/>
          <w:sz w:val="20"/>
        </w:rPr>
      </w:pPr>
      <w:r>
        <w:rPr>
          <w:i/>
          <w:sz w:val="20"/>
        </w:rPr>
        <w:t>Technologies based on calcium</w:t>
      </w:r>
      <w:r>
        <w:rPr>
          <w:i/>
          <w:spacing w:val="-3"/>
          <w:sz w:val="20"/>
        </w:rPr>
        <w:t> </w:t>
      </w:r>
      <w:r>
        <w:rPr>
          <w:i/>
          <w:sz w:val="20"/>
        </w:rPr>
        <w:t>oxide</w:t>
      </w:r>
    </w:p>
    <w:p>
      <w:pPr>
        <w:pStyle w:val="BodyText"/>
        <w:spacing w:line="249" w:lineRule="auto" w:before="10"/>
        <w:ind w:left="117" w:right="38"/>
        <w:jc w:val="both"/>
      </w:pPr>
      <w:r>
        <w:rPr/>
        <w:t>There</w:t>
      </w:r>
      <w:r>
        <w:rPr>
          <w:spacing w:val="-11"/>
        </w:rPr>
        <w:t> </w:t>
      </w:r>
      <w:r>
        <w:rPr/>
        <w:t>is</w:t>
      </w:r>
      <w:r>
        <w:rPr>
          <w:spacing w:val="-11"/>
        </w:rPr>
        <w:t> </w:t>
      </w:r>
      <w:r>
        <w:rPr/>
        <w:t>a</w:t>
      </w:r>
      <w:r>
        <w:rPr>
          <w:spacing w:val="-10"/>
        </w:rPr>
        <w:t> </w:t>
      </w:r>
      <w:r>
        <w:rPr/>
        <w:t>range</w:t>
      </w:r>
      <w:r>
        <w:rPr>
          <w:spacing w:val="-11"/>
        </w:rPr>
        <w:t> </w:t>
      </w:r>
      <w:r>
        <w:rPr/>
        <w:t>of</w:t>
      </w:r>
      <w:r>
        <w:rPr>
          <w:spacing w:val="-10"/>
        </w:rPr>
        <w:t> </w:t>
      </w:r>
      <w:r>
        <w:rPr/>
        <w:t>pre-combustion</w:t>
      </w:r>
      <w:r>
        <w:rPr>
          <w:spacing w:val="-11"/>
        </w:rPr>
        <w:t> </w:t>
      </w:r>
      <w:r>
        <w:rPr/>
        <w:t>systems</w:t>
      </w:r>
      <w:r>
        <w:rPr>
          <w:spacing w:val="-10"/>
        </w:rPr>
        <w:t> </w:t>
      </w:r>
      <w:r>
        <w:rPr/>
        <w:t>that</w:t>
      </w:r>
      <w:r>
        <w:rPr>
          <w:spacing w:val="-11"/>
        </w:rPr>
        <w:t> </w:t>
      </w:r>
      <w:r>
        <w:rPr/>
        <w:t>make</w:t>
      </w:r>
      <w:r>
        <w:rPr>
          <w:spacing w:val="-10"/>
        </w:rPr>
        <w:t> </w:t>
      </w:r>
      <w:r>
        <w:rPr/>
        <w:t>use</w:t>
      </w:r>
      <w:r>
        <w:rPr>
          <w:spacing w:val="-11"/>
        </w:rPr>
        <w:t> </w:t>
      </w:r>
      <w:r>
        <w:rPr/>
        <w:t>of</w:t>
      </w:r>
      <w:r>
        <w:rPr>
          <w:spacing w:val="-10"/>
        </w:rPr>
        <w:t> </w:t>
      </w:r>
      <w:r>
        <w:rPr/>
        <w:t>the carbonation</w:t>
      </w:r>
      <w:r>
        <w:rPr>
          <w:spacing w:val="-11"/>
        </w:rPr>
        <w:t> </w:t>
      </w:r>
      <w:r>
        <w:rPr/>
        <w:t>reaction</w:t>
      </w:r>
      <w:r>
        <w:rPr>
          <w:spacing w:val="-11"/>
        </w:rPr>
        <w:t> </w:t>
      </w:r>
      <w:r>
        <w:rPr/>
        <w:t>of</w:t>
      </w:r>
      <w:r>
        <w:rPr>
          <w:spacing w:val="-10"/>
        </w:rPr>
        <w:t> </w:t>
      </w:r>
      <w:r>
        <w:rPr/>
        <w:t>CaO</w:t>
      </w:r>
      <w:r>
        <w:rPr>
          <w:spacing w:val="-11"/>
        </w:rPr>
        <w:t> </w:t>
      </w:r>
      <w:r>
        <w:rPr/>
        <w:t>at</w:t>
      </w:r>
      <w:r>
        <w:rPr>
          <w:spacing w:val="-11"/>
        </w:rPr>
        <w:t> </w:t>
      </w:r>
      <w:r>
        <w:rPr/>
        <w:t>high</w:t>
      </w:r>
      <w:r>
        <w:rPr>
          <w:spacing w:val="-10"/>
        </w:rPr>
        <w:t> </w:t>
      </w:r>
      <w:r>
        <w:rPr/>
        <w:t>pressures</w:t>
      </w:r>
      <w:r>
        <w:rPr>
          <w:spacing w:val="-11"/>
        </w:rPr>
        <w:t> </w:t>
      </w:r>
      <w:r>
        <w:rPr/>
        <w:t>and</w:t>
      </w:r>
      <w:r>
        <w:rPr>
          <w:spacing w:val="-11"/>
        </w:rPr>
        <w:t> </w:t>
      </w:r>
      <w:r>
        <w:rPr>
          <w:spacing w:val="-2"/>
        </w:rPr>
        <w:t>temperatures,</w:t>
      </w:r>
    </w:p>
    <w:p>
      <w:pPr>
        <w:pStyle w:val="BodyText"/>
        <w:spacing w:before="1"/>
        <w:ind w:left="117"/>
      </w:pPr>
      <w:r>
        <w:rPr/>
        <w:br w:type="column"/>
      </w:r>
      <w:r>
        <w:rPr/>
        <w:t>carbonation).</w:t>
      </w:r>
    </w:p>
    <w:p>
      <w:pPr>
        <w:pStyle w:val="BodyText"/>
        <w:spacing w:line="240" w:lineRule="exact" w:before="5"/>
        <w:ind w:left="117" w:right="1130" w:firstLine="283"/>
        <w:jc w:val="both"/>
      </w:pPr>
      <w:r>
        <w:rPr/>
        <w:t>The HyPrRing process (Lin </w:t>
      </w:r>
      <w:r>
        <w:rPr>
          <w:i/>
        </w:rPr>
        <w:t>et al.</w:t>
      </w:r>
      <w:r>
        <w:rPr/>
        <w:t>, 2002) is being</w:t>
      </w:r>
      <w:r>
        <w:rPr>
          <w:spacing w:val="-35"/>
        </w:rPr>
        <w:t> </w:t>
      </w:r>
      <w:r>
        <w:rPr/>
        <w:t>developed by the Center for Coal Utilization of Japan. It integrates gasification,</w:t>
      </w:r>
      <w:r>
        <w:rPr>
          <w:spacing w:val="-19"/>
        </w:rPr>
        <w:t> </w:t>
      </w:r>
      <w:r>
        <w:rPr/>
        <w:t>reforming</w:t>
      </w:r>
      <w:r>
        <w:rPr>
          <w:spacing w:val="-19"/>
        </w:rPr>
        <w:t> </w:t>
      </w:r>
      <w:r>
        <w:rPr/>
        <w:t>and</w:t>
      </w:r>
      <w:r>
        <w:rPr>
          <w:spacing w:val="-18"/>
        </w:rPr>
        <w:t> </w:t>
      </w:r>
      <w:r>
        <w:rPr>
          <w:i/>
        </w:rPr>
        <w:t>in</w:t>
      </w:r>
      <w:r>
        <w:rPr>
          <w:i/>
          <w:spacing w:val="-19"/>
        </w:rPr>
        <w:t> </w:t>
      </w:r>
      <w:r>
        <w:rPr>
          <w:i/>
        </w:rPr>
        <w:t>situ</w:t>
      </w:r>
      <w:r>
        <w:rPr>
          <w:i/>
          <w:spacing w:val="-18"/>
        </w:rPr>
        <w:t> </w:t>
      </w:r>
      <w:r>
        <w:rPr/>
        <w:t>CO</w:t>
      </w:r>
      <w:r>
        <w:rPr>
          <w:position w:val="-6"/>
          <w:sz w:val="11"/>
        </w:rPr>
        <w:t>2</w:t>
      </w:r>
      <w:r>
        <w:rPr>
          <w:spacing w:val="4"/>
          <w:position w:val="-6"/>
          <w:sz w:val="11"/>
        </w:rPr>
        <w:t> </w:t>
      </w:r>
      <w:r>
        <w:rPr/>
        <w:t>capture</w:t>
      </w:r>
      <w:r>
        <w:rPr>
          <w:spacing w:val="-18"/>
        </w:rPr>
        <w:t> </w:t>
      </w:r>
      <w:r>
        <w:rPr/>
        <w:t>in</w:t>
      </w:r>
      <w:r>
        <w:rPr>
          <w:spacing w:val="-19"/>
        </w:rPr>
        <w:t> </w:t>
      </w:r>
      <w:r>
        <w:rPr/>
        <w:t>a</w:t>
      </w:r>
      <w:r>
        <w:rPr>
          <w:spacing w:val="-18"/>
        </w:rPr>
        <w:t> </w:t>
      </w:r>
      <w:r>
        <w:rPr/>
        <w:t>single</w:t>
      </w:r>
      <w:r>
        <w:rPr>
          <w:spacing w:val="-19"/>
        </w:rPr>
        <w:t> </w:t>
      </w:r>
      <w:r>
        <w:rPr/>
        <w:t>reactor at pressures above 12 MPa and temperature above 650ºC. Projects in Norway using natural gas and in Germany using brown coal (Bandi </w:t>
      </w:r>
      <w:r>
        <w:rPr>
          <w:i/>
        </w:rPr>
        <w:t>et al.</w:t>
      </w:r>
      <w:r>
        <w:rPr/>
        <w:t>, 2002) are also underway developing pre-combustion</w:t>
      </w:r>
      <w:r>
        <w:rPr>
          <w:spacing w:val="-20"/>
        </w:rPr>
        <w:t> </w:t>
      </w:r>
      <w:r>
        <w:rPr/>
        <w:t>systems</w:t>
      </w:r>
      <w:r>
        <w:rPr>
          <w:spacing w:val="-19"/>
        </w:rPr>
        <w:t> </w:t>
      </w:r>
      <w:r>
        <w:rPr/>
        <w:t>using</w:t>
      </w:r>
      <w:r>
        <w:rPr>
          <w:spacing w:val="-19"/>
        </w:rPr>
        <w:t> </w:t>
      </w:r>
      <w:r>
        <w:rPr/>
        <w:t>capture</w:t>
      </w:r>
      <w:r>
        <w:rPr>
          <w:spacing w:val="-19"/>
        </w:rPr>
        <w:t> </w:t>
      </w:r>
      <w:r>
        <w:rPr/>
        <w:t>of</w:t>
      </w:r>
      <w:r>
        <w:rPr>
          <w:spacing w:val="-20"/>
        </w:rPr>
        <w:t> </w:t>
      </w:r>
      <w:r>
        <w:rPr/>
        <w:t>CO</w:t>
      </w:r>
      <w:r>
        <w:rPr>
          <w:position w:val="-6"/>
          <w:sz w:val="11"/>
        </w:rPr>
        <w:t>2</w:t>
      </w:r>
      <w:r>
        <w:rPr>
          <w:spacing w:val="4"/>
          <w:position w:val="-6"/>
          <w:sz w:val="11"/>
        </w:rPr>
        <w:t> </w:t>
      </w:r>
      <w:r>
        <w:rPr/>
        <w:t>with</w:t>
      </w:r>
      <w:r>
        <w:rPr>
          <w:spacing w:val="-19"/>
        </w:rPr>
        <w:t> </w:t>
      </w:r>
      <w:r>
        <w:rPr/>
        <w:t>CaO.</w:t>
      </w:r>
      <w:r>
        <w:rPr>
          <w:spacing w:val="-19"/>
        </w:rPr>
        <w:t> </w:t>
      </w:r>
      <w:r>
        <w:rPr>
          <w:spacing w:val="-3"/>
        </w:rPr>
        <w:t>Finally, </w:t>
      </w:r>
      <w:r>
        <w:rPr/>
        <w:t>General</w:t>
      </w:r>
      <w:r>
        <w:rPr>
          <w:spacing w:val="-15"/>
        </w:rPr>
        <w:t> </w:t>
      </w:r>
      <w:r>
        <w:rPr/>
        <w:t>Electric</w:t>
      </w:r>
      <w:r>
        <w:rPr>
          <w:spacing w:val="-15"/>
        </w:rPr>
        <w:t> </w:t>
      </w:r>
      <w:r>
        <w:rPr/>
        <w:t>(Rizeq</w:t>
      </w:r>
      <w:r>
        <w:rPr>
          <w:spacing w:val="-14"/>
        </w:rPr>
        <w:t> </w:t>
      </w:r>
      <w:r>
        <w:rPr>
          <w:i/>
        </w:rPr>
        <w:t>et</w:t>
      </w:r>
      <w:r>
        <w:rPr>
          <w:i/>
          <w:spacing w:val="-13"/>
        </w:rPr>
        <w:t> </w:t>
      </w:r>
      <w:r>
        <w:rPr>
          <w:i/>
        </w:rPr>
        <w:t>al.</w:t>
      </w:r>
      <w:r>
        <w:rPr/>
        <w:t>,</w:t>
      </w:r>
      <w:r>
        <w:rPr>
          <w:spacing w:val="-14"/>
        </w:rPr>
        <w:t> </w:t>
      </w:r>
      <w:r>
        <w:rPr/>
        <w:t>2002)</w:t>
      </w:r>
      <w:r>
        <w:rPr>
          <w:spacing w:val="-14"/>
        </w:rPr>
        <w:t> </w:t>
      </w:r>
      <w:r>
        <w:rPr/>
        <w:t>is</w:t>
      </w:r>
      <w:r>
        <w:rPr>
          <w:spacing w:val="-14"/>
        </w:rPr>
        <w:t> </w:t>
      </w:r>
      <w:r>
        <w:rPr/>
        <w:t>developing</w:t>
      </w:r>
      <w:r>
        <w:rPr>
          <w:spacing w:val="-13"/>
        </w:rPr>
        <w:t> </w:t>
      </w:r>
      <w:r>
        <w:rPr/>
        <w:t>an</w:t>
      </w:r>
      <w:r>
        <w:rPr>
          <w:spacing w:val="-14"/>
        </w:rPr>
        <w:t> </w:t>
      </w:r>
      <w:r>
        <w:rPr/>
        <w:t>innovative system involving the capture of CO</w:t>
      </w:r>
      <w:r>
        <w:rPr>
          <w:position w:val="-6"/>
          <w:sz w:val="11"/>
        </w:rPr>
        <w:t>2 </w:t>
      </w:r>
      <w:r>
        <w:rPr/>
        <w:t>in the gasification reactor by</w:t>
      </w:r>
      <w:r>
        <w:rPr>
          <w:spacing w:val="-9"/>
        </w:rPr>
        <w:t> </w:t>
      </w:r>
      <w:r>
        <w:rPr/>
        <w:t>a</w:t>
      </w:r>
      <w:r>
        <w:rPr>
          <w:spacing w:val="-9"/>
        </w:rPr>
        <w:t> </w:t>
      </w:r>
      <w:r>
        <w:rPr/>
        <w:t>high</w:t>
      </w:r>
      <w:r>
        <w:rPr>
          <w:spacing w:val="-8"/>
        </w:rPr>
        <w:t> </w:t>
      </w:r>
      <w:r>
        <w:rPr/>
        <w:t>temperature</w:t>
      </w:r>
      <w:r>
        <w:rPr>
          <w:spacing w:val="-9"/>
        </w:rPr>
        <w:t> </w:t>
      </w:r>
      <w:r>
        <w:rPr/>
        <w:t>sorbent</w:t>
      </w:r>
      <w:r>
        <w:rPr>
          <w:spacing w:val="-9"/>
        </w:rPr>
        <w:t> </w:t>
      </w:r>
      <w:r>
        <w:rPr/>
        <w:t>and</w:t>
      </w:r>
      <w:r>
        <w:rPr>
          <w:spacing w:val="-8"/>
        </w:rPr>
        <w:t> </w:t>
      </w:r>
      <w:r>
        <w:rPr/>
        <w:t>with</w:t>
      </w:r>
      <w:r>
        <w:rPr>
          <w:spacing w:val="-9"/>
        </w:rPr>
        <w:t> </w:t>
      </w:r>
      <w:r>
        <w:rPr/>
        <w:t>calcination</w:t>
      </w:r>
      <w:r>
        <w:rPr>
          <w:spacing w:val="-8"/>
        </w:rPr>
        <w:t> </w:t>
      </w:r>
      <w:r>
        <w:rPr/>
        <w:t>in</w:t>
      </w:r>
      <w:r>
        <w:rPr>
          <w:spacing w:val="-9"/>
        </w:rPr>
        <w:t> </w:t>
      </w:r>
      <w:r>
        <w:rPr/>
        <w:t>a</w:t>
      </w:r>
      <w:r>
        <w:rPr>
          <w:spacing w:val="-9"/>
        </w:rPr>
        <w:t> </w:t>
      </w:r>
      <w:r>
        <w:rPr/>
        <w:t>separate reactor by burning part of the fuel with an oxygen</w:t>
      </w:r>
      <w:r>
        <w:rPr>
          <w:spacing w:val="-9"/>
        </w:rPr>
        <w:t> </w:t>
      </w:r>
      <w:r>
        <w:rPr/>
        <w:t>carrier.</w:t>
      </w:r>
    </w:p>
    <w:p>
      <w:pPr>
        <w:pStyle w:val="BodyText"/>
        <w:spacing w:line="240" w:lineRule="exact"/>
        <w:ind w:left="117" w:right="1130" w:firstLine="283"/>
        <w:jc w:val="both"/>
      </w:pPr>
      <w:r>
        <w:rPr/>
        <w:t>All these systems are at an early stage of development. Detailed process simulations show that the efficiencies are potentially high because most of the energy employed </w:t>
      </w:r>
      <w:r>
        <w:rPr>
          <w:spacing w:val="-4"/>
        </w:rPr>
        <w:t>for </w:t>
      </w:r>
      <w:r>
        <w:rPr/>
        <w:t>sorbent</w:t>
      </w:r>
      <w:r>
        <w:rPr>
          <w:spacing w:val="-24"/>
        </w:rPr>
        <w:t> </w:t>
      </w:r>
      <w:r>
        <w:rPr/>
        <w:t>regeneration</w:t>
      </w:r>
      <w:r>
        <w:rPr>
          <w:spacing w:val="-24"/>
        </w:rPr>
        <w:t> </w:t>
      </w:r>
      <w:r>
        <w:rPr/>
        <w:t>is</w:t>
      </w:r>
      <w:r>
        <w:rPr>
          <w:spacing w:val="-23"/>
        </w:rPr>
        <w:t> </w:t>
      </w:r>
      <w:r>
        <w:rPr/>
        <w:t>effectively</w:t>
      </w:r>
      <w:r>
        <w:rPr>
          <w:spacing w:val="-24"/>
        </w:rPr>
        <w:t> </w:t>
      </w:r>
      <w:r>
        <w:rPr/>
        <w:t>transferred</w:t>
      </w:r>
      <w:r>
        <w:rPr>
          <w:spacing w:val="-23"/>
        </w:rPr>
        <w:t> </w:t>
      </w:r>
      <w:r>
        <w:rPr/>
        <w:t>to</w:t>
      </w:r>
      <w:r>
        <w:rPr>
          <w:spacing w:val="-23"/>
        </w:rPr>
        <w:t> </w:t>
      </w:r>
      <w:r>
        <w:rPr/>
        <w:t>the</w:t>
      </w:r>
      <w:r>
        <w:rPr>
          <w:spacing w:val="-23"/>
        </w:rPr>
        <w:t> </w:t>
      </w:r>
      <w:r>
        <w:rPr/>
        <w:t>H</w:t>
      </w:r>
      <w:r>
        <w:rPr>
          <w:position w:val="-6"/>
          <w:sz w:val="11"/>
        </w:rPr>
        <w:t>2</w:t>
      </w:r>
      <w:r>
        <w:rPr>
          <w:spacing w:val="-1"/>
          <w:position w:val="-6"/>
          <w:sz w:val="11"/>
        </w:rPr>
        <w:t> </w:t>
      </w:r>
      <w:r>
        <w:rPr/>
        <w:t>generated in reaction (5). The systems are aimed at very large-scale generation</w:t>
      </w:r>
      <w:r>
        <w:rPr>
          <w:spacing w:val="-9"/>
        </w:rPr>
        <w:t> </w:t>
      </w:r>
      <w:r>
        <w:rPr/>
        <w:t>of</w:t>
      </w:r>
      <w:r>
        <w:rPr>
          <w:spacing w:val="-8"/>
        </w:rPr>
        <w:t> </w:t>
      </w:r>
      <w:r>
        <w:rPr/>
        <w:t>electricity</w:t>
      </w:r>
      <w:r>
        <w:rPr>
          <w:spacing w:val="-9"/>
        </w:rPr>
        <w:t> </w:t>
      </w:r>
      <w:r>
        <w:rPr/>
        <w:t>and/or</w:t>
      </w:r>
      <w:r>
        <w:rPr>
          <w:spacing w:val="-8"/>
        </w:rPr>
        <w:t> </w:t>
      </w:r>
      <w:r>
        <w:rPr/>
        <w:t>H</w:t>
      </w:r>
      <w:r>
        <w:rPr>
          <w:position w:val="-6"/>
          <w:sz w:val="11"/>
        </w:rPr>
        <w:t>2</w:t>
      </w:r>
      <w:r>
        <w:rPr>
          <w:spacing w:val="14"/>
          <w:position w:val="-6"/>
          <w:sz w:val="11"/>
        </w:rPr>
        <w:t> </w:t>
      </w:r>
      <w:r>
        <w:rPr/>
        <w:t>and</w:t>
      </w:r>
      <w:r>
        <w:rPr>
          <w:spacing w:val="-8"/>
        </w:rPr>
        <w:t> </w:t>
      </w:r>
      <w:r>
        <w:rPr/>
        <w:t>cement</w:t>
      </w:r>
      <w:r>
        <w:rPr>
          <w:spacing w:val="-9"/>
        </w:rPr>
        <w:t> </w:t>
      </w:r>
      <w:r>
        <w:rPr/>
        <w:t>production</w:t>
      </w:r>
      <w:r>
        <w:rPr>
          <w:spacing w:val="-8"/>
        </w:rPr>
        <w:t> </w:t>
      </w:r>
      <w:r>
        <w:rPr>
          <w:spacing w:val="-3"/>
        </w:rPr>
        <w:t>(from </w:t>
      </w:r>
      <w:r>
        <w:rPr/>
        <w:t>the deactivated sorbent, CaO). However, many uncertainties remain concerning the performance of the  individual  </w:t>
      </w:r>
      <w:r>
        <w:rPr>
          <w:spacing w:val="-3"/>
        </w:rPr>
        <w:t>units </w:t>
      </w:r>
      <w:r>
        <w:rPr/>
        <w:t>and their practical integration. The main challenge may be </w:t>
      </w:r>
      <w:r>
        <w:rPr>
          <w:spacing w:val="-5"/>
        </w:rPr>
        <w:t>the </w:t>
      </w:r>
      <w:r>
        <w:rPr/>
        <w:t>regeneration</w:t>
      </w:r>
      <w:r>
        <w:rPr>
          <w:spacing w:val="-6"/>
        </w:rPr>
        <w:t> </w:t>
      </w:r>
      <w:r>
        <w:rPr/>
        <w:t>of</w:t>
      </w:r>
      <w:r>
        <w:rPr>
          <w:spacing w:val="-4"/>
        </w:rPr>
        <w:t> </w:t>
      </w:r>
      <w:r>
        <w:rPr/>
        <w:t>the</w:t>
      </w:r>
      <w:r>
        <w:rPr>
          <w:spacing w:val="-5"/>
        </w:rPr>
        <w:t> </w:t>
      </w:r>
      <w:r>
        <w:rPr/>
        <w:t>sorbent</w:t>
      </w:r>
      <w:r>
        <w:rPr>
          <w:spacing w:val="-5"/>
        </w:rPr>
        <w:t> </w:t>
      </w:r>
      <w:r>
        <w:rPr/>
        <w:t>at</w:t>
      </w:r>
      <w:r>
        <w:rPr>
          <w:spacing w:val="-4"/>
        </w:rPr>
        <w:t> </w:t>
      </w:r>
      <w:r>
        <w:rPr/>
        <w:t>very</w:t>
      </w:r>
      <w:r>
        <w:rPr>
          <w:spacing w:val="-5"/>
        </w:rPr>
        <w:t> </w:t>
      </w:r>
      <w:r>
        <w:rPr/>
        <w:t>high</w:t>
      </w:r>
      <w:r>
        <w:rPr>
          <w:spacing w:val="-4"/>
        </w:rPr>
        <w:t> </w:t>
      </w:r>
      <w:r>
        <w:rPr/>
        <w:t>temperatures</w:t>
      </w:r>
      <w:r>
        <w:rPr>
          <w:spacing w:val="-5"/>
        </w:rPr>
        <w:t> </w:t>
      </w:r>
      <w:r>
        <w:rPr/>
        <w:t>(&gt;900</w:t>
      </w:r>
      <w:r>
        <w:rPr>
          <w:position w:val="7"/>
          <w:sz w:val="11"/>
        </w:rPr>
        <w:t>0</w:t>
      </w:r>
      <w:r>
        <w:rPr/>
        <w:t>C), to produce a pure stream of CO</w:t>
      </w:r>
      <w:r>
        <w:rPr>
          <w:position w:val="-6"/>
          <w:sz w:val="11"/>
        </w:rPr>
        <w:t>2</w:t>
      </w:r>
      <w:r>
        <w:rPr/>
        <w:t>. Another is the operating conditions to achieve sufficient conversion towards hydrogen, without the use of a catalyst for the shift</w:t>
      </w:r>
      <w:r>
        <w:rPr>
          <w:spacing w:val="-5"/>
        </w:rPr>
        <w:t> </w:t>
      </w:r>
      <w:r>
        <w:rPr/>
        <w:t>reaction.</w:t>
      </w:r>
    </w:p>
    <w:p>
      <w:pPr>
        <w:pStyle w:val="BodyText"/>
        <w:spacing w:before="4"/>
        <w:rPr>
          <w:sz w:val="21"/>
        </w:rPr>
      </w:pPr>
    </w:p>
    <w:p>
      <w:pPr>
        <w:pStyle w:val="Heading2"/>
        <w:numPr>
          <w:ilvl w:val="2"/>
          <w:numId w:val="22"/>
        </w:numPr>
        <w:tabs>
          <w:tab w:pos="936" w:val="left" w:leader="none"/>
          <w:tab w:pos="938" w:val="left" w:leader="none"/>
        </w:tabs>
        <w:spacing w:line="240" w:lineRule="auto" w:before="0" w:after="0"/>
        <w:ind w:left="937" w:right="0" w:hanging="821"/>
        <w:jc w:val="left"/>
        <w:rPr>
          <w:i/>
        </w:rPr>
      </w:pPr>
      <w:r>
        <w:rPr>
          <w:i/>
        </w:rPr>
        <w:t>Enabling technologies</w:t>
      </w:r>
    </w:p>
    <w:p>
      <w:pPr>
        <w:pStyle w:val="BodyText"/>
        <w:spacing w:before="8"/>
        <w:rPr>
          <w:b/>
          <w:i/>
          <w:sz w:val="21"/>
        </w:rPr>
      </w:pPr>
    </w:p>
    <w:p>
      <w:pPr>
        <w:pStyle w:val="BodyText"/>
        <w:spacing w:line="249" w:lineRule="auto"/>
        <w:ind w:left="117" w:right="1129"/>
        <w:jc w:val="both"/>
      </w:pPr>
      <w:r>
        <w:rPr/>
        <w:t>The performance and cost of a pre-combustion capture system is linked to the availability of the enabling technologies that complete</w:t>
      </w:r>
      <w:r>
        <w:rPr>
          <w:spacing w:val="-10"/>
        </w:rPr>
        <w:t> </w:t>
      </w:r>
      <w:r>
        <w:rPr/>
        <w:t>the</w:t>
      </w:r>
      <w:r>
        <w:rPr>
          <w:spacing w:val="-9"/>
        </w:rPr>
        <w:t> </w:t>
      </w:r>
      <w:r>
        <w:rPr/>
        <w:t>system.</w:t>
      </w:r>
      <w:r>
        <w:rPr>
          <w:spacing w:val="-10"/>
        </w:rPr>
        <w:t> </w:t>
      </w:r>
      <w:r>
        <w:rPr/>
        <w:t>In</w:t>
      </w:r>
      <w:r>
        <w:rPr>
          <w:spacing w:val="-9"/>
        </w:rPr>
        <w:t> </w:t>
      </w:r>
      <w:r>
        <w:rPr/>
        <w:t>this</w:t>
      </w:r>
      <w:r>
        <w:rPr>
          <w:spacing w:val="-9"/>
        </w:rPr>
        <w:t> </w:t>
      </w:r>
      <w:r>
        <w:rPr/>
        <w:t>section</w:t>
      </w:r>
      <w:r>
        <w:rPr>
          <w:spacing w:val="-10"/>
        </w:rPr>
        <w:t> </w:t>
      </w:r>
      <w:r>
        <w:rPr/>
        <w:t>we</w:t>
      </w:r>
      <w:r>
        <w:rPr>
          <w:spacing w:val="-9"/>
        </w:rPr>
        <w:t> </w:t>
      </w:r>
      <w:r>
        <w:rPr/>
        <w:t>consider</w:t>
      </w:r>
      <w:r>
        <w:rPr>
          <w:spacing w:val="-9"/>
        </w:rPr>
        <w:t> </w:t>
      </w:r>
      <w:r>
        <w:rPr/>
        <w:t>the</w:t>
      </w:r>
      <w:r>
        <w:rPr>
          <w:spacing w:val="-10"/>
        </w:rPr>
        <w:t> </w:t>
      </w:r>
      <w:r>
        <w:rPr/>
        <w:t>availability of industrial systems, to produce heat from the de-carbonized fuel and gas turbines and fuel cells to produce</w:t>
      </w:r>
      <w:r>
        <w:rPr>
          <w:spacing w:val="-5"/>
        </w:rPr>
        <w:t> </w:t>
      </w:r>
      <w:r>
        <w:rPr/>
        <w:t>power.</w:t>
      </w:r>
    </w:p>
    <w:p>
      <w:pPr>
        <w:spacing w:after="0" w:line="249" w:lineRule="auto"/>
        <w:jc w:val="both"/>
        <w:sectPr>
          <w:type w:val="continuous"/>
          <w:pgSz w:w="12240" w:h="15840"/>
          <w:pgMar w:top="480" w:bottom="280" w:left="620" w:right="0"/>
          <w:cols w:num="2" w:equalWidth="0">
            <w:col w:w="5202" w:space="124"/>
            <w:col w:w="6294"/>
          </w:cols>
        </w:sectPr>
      </w:pPr>
    </w:p>
    <w:p>
      <w:pPr>
        <w:pStyle w:val="BodyText"/>
      </w:pPr>
    </w:p>
    <w:p>
      <w:pPr>
        <w:spacing w:after="0"/>
        <w:sectPr>
          <w:pgSz w:w="12240" w:h="15840"/>
          <w:pgMar w:header="567" w:footer="0" w:top="800" w:bottom="280" w:left="620" w:right="0"/>
        </w:sectPr>
      </w:pPr>
    </w:p>
    <w:p>
      <w:pPr>
        <w:pStyle w:val="BodyText"/>
        <w:spacing w:before="4"/>
        <w:rPr>
          <w:sz w:val="18"/>
        </w:rPr>
      </w:pPr>
    </w:p>
    <w:p>
      <w:pPr>
        <w:pStyle w:val="ListParagraph"/>
        <w:numPr>
          <w:ilvl w:val="3"/>
          <w:numId w:val="22"/>
        </w:numPr>
        <w:tabs>
          <w:tab w:pos="1334" w:val="left" w:leader="none"/>
        </w:tabs>
        <w:spacing w:line="240" w:lineRule="auto" w:before="0" w:after="0"/>
        <w:ind w:left="1333" w:right="0" w:hanging="821"/>
        <w:jc w:val="both"/>
        <w:rPr>
          <w:i/>
          <w:sz w:val="20"/>
        </w:rPr>
      </w:pPr>
      <w:r>
        <w:rPr>
          <w:i/>
          <w:sz w:val="20"/>
        </w:rPr>
        <w:t>Use of de-carbonized fuel in industrial</w:t>
      </w:r>
      <w:r>
        <w:rPr>
          <w:i/>
          <w:spacing w:val="-5"/>
          <w:sz w:val="20"/>
        </w:rPr>
        <w:t> </w:t>
      </w:r>
      <w:r>
        <w:rPr>
          <w:i/>
          <w:sz w:val="20"/>
        </w:rPr>
        <w:t>systems</w:t>
      </w:r>
    </w:p>
    <w:p>
      <w:pPr>
        <w:pStyle w:val="BodyText"/>
        <w:spacing w:line="249" w:lineRule="auto" w:before="10"/>
        <w:ind w:left="513"/>
        <w:jc w:val="both"/>
      </w:pPr>
      <w:r>
        <w:rPr/>
        <w:t>The use of hydrogen as a fuel for conventional fired heaters and</w:t>
      </w:r>
      <w:r>
        <w:rPr>
          <w:spacing w:val="-6"/>
        </w:rPr>
        <w:t> </w:t>
      </w:r>
      <w:r>
        <w:rPr/>
        <w:t>boilers</w:t>
      </w:r>
      <w:r>
        <w:rPr>
          <w:spacing w:val="-5"/>
        </w:rPr>
        <w:t> </w:t>
      </w:r>
      <w:r>
        <w:rPr/>
        <w:t>is</w:t>
      </w:r>
      <w:r>
        <w:rPr>
          <w:spacing w:val="-5"/>
        </w:rPr>
        <w:t> </w:t>
      </w:r>
      <w:r>
        <w:rPr/>
        <w:t>considered</w:t>
      </w:r>
      <w:r>
        <w:rPr>
          <w:spacing w:val="-5"/>
        </w:rPr>
        <w:t> </w:t>
      </w:r>
      <w:r>
        <w:rPr/>
        <w:t>to</w:t>
      </w:r>
      <w:r>
        <w:rPr>
          <w:spacing w:val="-5"/>
        </w:rPr>
        <w:t> </w:t>
      </w:r>
      <w:r>
        <w:rPr/>
        <w:t>be</w:t>
      </w:r>
      <w:r>
        <w:rPr>
          <w:spacing w:val="-5"/>
        </w:rPr>
        <w:t> </w:t>
      </w:r>
      <w:r>
        <w:rPr/>
        <w:t>proven</w:t>
      </w:r>
      <w:r>
        <w:rPr>
          <w:spacing w:val="-5"/>
        </w:rPr>
        <w:t> </w:t>
      </w:r>
      <w:r>
        <w:rPr/>
        <w:t>and</w:t>
      </w:r>
      <w:r>
        <w:rPr>
          <w:spacing w:val="-5"/>
        </w:rPr>
        <w:t> </w:t>
      </w:r>
      <w:r>
        <w:rPr/>
        <w:t>indeed</w:t>
      </w:r>
      <w:r>
        <w:rPr>
          <w:spacing w:val="-5"/>
        </w:rPr>
        <w:t> </w:t>
      </w:r>
      <w:r>
        <w:rPr/>
        <w:t>it</w:t>
      </w:r>
      <w:r>
        <w:rPr>
          <w:spacing w:val="-5"/>
        </w:rPr>
        <w:t> </w:t>
      </w:r>
      <w:r>
        <w:rPr/>
        <w:t>is</w:t>
      </w:r>
      <w:r>
        <w:rPr>
          <w:spacing w:val="-6"/>
        </w:rPr>
        <w:t> </w:t>
      </w:r>
      <w:r>
        <w:rPr/>
        <w:t>practiced at certain industrial sites. There is a very large stock of capital equipment of this type and so the use of hydrogen as a fuel might be considered a valuable technology option in a carbon- constrained</w:t>
      </w:r>
      <w:r>
        <w:rPr>
          <w:spacing w:val="-10"/>
        </w:rPr>
        <w:t> </w:t>
      </w:r>
      <w:r>
        <w:rPr/>
        <w:t>world.</w:t>
      </w:r>
      <w:r>
        <w:rPr>
          <w:spacing w:val="-20"/>
        </w:rPr>
        <w:t> </w:t>
      </w:r>
      <w:r>
        <w:rPr/>
        <w:t>A</w:t>
      </w:r>
      <w:r>
        <w:rPr>
          <w:spacing w:val="-20"/>
        </w:rPr>
        <w:t> </w:t>
      </w:r>
      <w:r>
        <w:rPr/>
        <w:t>study</w:t>
      </w:r>
      <w:r>
        <w:rPr>
          <w:spacing w:val="-9"/>
        </w:rPr>
        <w:t> </w:t>
      </w:r>
      <w:r>
        <w:rPr/>
        <w:t>(IEA</w:t>
      </w:r>
      <w:r>
        <w:rPr>
          <w:spacing w:val="-20"/>
        </w:rPr>
        <w:t> </w:t>
      </w:r>
      <w:r>
        <w:rPr/>
        <w:t>GHG,</w:t>
      </w:r>
      <w:r>
        <w:rPr>
          <w:spacing w:val="-9"/>
        </w:rPr>
        <w:t> </w:t>
      </w:r>
      <w:r>
        <w:rPr/>
        <w:t>2000c)</w:t>
      </w:r>
      <w:r>
        <w:rPr>
          <w:spacing w:val="-9"/>
        </w:rPr>
        <w:t> </w:t>
      </w:r>
      <w:r>
        <w:rPr/>
        <w:t>has</w:t>
      </w:r>
      <w:r>
        <w:rPr>
          <w:spacing w:val="-9"/>
        </w:rPr>
        <w:t> </w:t>
      </w:r>
      <w:r>
        <w:rPr/>
        <w:t>looked</w:t>
      </w:r>
      <w:r>
        <w:rPr>
          <w:spacing w:val="-10"/>
        </w:rPr>
        <w:t> </w:t>
      </w:r>
      <w:r>
        <w:rPr/>
        <w:t>at</w:t>
      </w:r>
      <w:r>
        <w:rPr>
          <w:spacing w:val="-9"/>
        </w:rPr>
        <w:t> </w:t>
      </w:r>
      <w:r>
        <w:rPr/>
        <w:t>the cost of converting an existing refinery to use hydrogen</w:t>
      </w:r>
      <w:r>
        <w:rPr>
          <w:spacing w:val="-7"/>
        </w:rPr>
        <w:t> </w:t>
      </w:r>
      <w:r>
        <w:rPr/>
        <w:t>fuel.</w:t>
      </w:r>
    </w:p>
    <w:p>
      <w:pPr>
        <w:pStyle w:val="BodyText"/>
        <w:spacing w:before="4"/>
        <w:rPr>
          <w:sz w:val="21"/>
        </w:rPr>
      </w:pPr>
    </w:p>
    <w:p>
      <w:pPr>
        <w:pStyle w:val="ListParagraph"/>
        <w:numPr>
          <w:ilvl w:val="3"/>
          <w:numId w:val="22"/>
        </w:numPr>
        <w:tabs>
          <w:tab w:pos="1333" w:val="left" w:leader="none"/>
          <w:tab w:pos="1334" w:val="left" w:leader="none"/>
        </w:tabs>
        <w:spacing w:line="249" w:lineRule="auto" w:before="0" w:after="0"/>
        <w:ind w:left="513" w:right="0" w:firstLine="0"/>
        <w:jc w:val="left"/>
        <w:rPr>
          <w:sz w:val="20"/>
        </w:rPr>
      </w:pPr>
      <w:r>
        <w:rPr>
          <w:i/>
          <w:sz w:val="20"/>
        </w:rPr>
        <w:t>Use of de-carbonized fuel in gas turbine systems </w:t>
      </w:r>
      <w:r>
        <w:rPr>
          <w:sz w:val="20"/>
        </w:rPr>
        <w:t>There is extensive commercial experience with hydrogen-rich fuel gas firing in gas turbines. For example, General Electric reports over 450,000 hours of operating  experience  with  high hydrogen (52-95% by volume) content fuel gas in </w:t>
      </w:r>
      <w:r>
        <w:rPr>
          <w:spacing w:val="-5"/>
          <w:sz w:val="20"/>
        </w:rPr>
        <w:t>gas </w:t>
      </w:r>
      <w:r>
        <w:rPr>
          <w:sz w:val="20"/>
        </w:rPr>
        <w:t>turbines</w:t>
      </w:r>
      <w:r>
        <w:rPr>
          <w:spacing w:val="-6"/>
          <w:sz w:val="20"/>
        </w:rPr>
        <w:t> </w:t>
      </w:r>
      <w:r>
        <w:rPr>
          <w:sz w:val="20"/>
        </w:rPr>
        <w:t>(Shilling</w:t>
      </w:r>
      <w:r>
        <w:rPr>
          <w:spacing w:val="-6"/>
          <w:sz w:val="20"/>
        </w:rPr>
        <w:t> </w:t>
      </w:r>
      <w:r>
        <w:rPr>
          <w:sz w:val="20"/>
        </w:rPr>
        <w:t>and</w:t>
      </w:r>
      <w:r>
        <w:rPr>
          <w:spacing w:val="-6"/>
          <w:sz w:val="20"/>
        </w:rPr>
        <w:t> </w:t>
      </w:r>
      <w:r>
        <w:rPr>
          <w:sz w:val="20"/>
        </w:rPr>
        <w:t>Jones,</w:t>
      </w:r>
      <w:r>
        <w:rPr>
          <w:spacing w:val="-6"/>
          <w:sz w:val="20"/>
        </w:rPr>
        <w:t> </w:t>
      </w:r>
      <w:r>
        <w:rPr>
          <w:sz w:val="20"/>
        </w:rPr>
        <w:t>2003).</w:t>
      </w:r>
      <w:r>
        <w:rPr>
          <w:spacing w:val="-6"/>
          <w:sz w:val="20"/>
        </w:rPr>
        <w:t> </w:t>
      </w:r>
      <w:r>
        <w:rPr>
          <w:sz w:val="20"/>
        </w:rPr>
        <w:t>Unfortunately,</w:t>
      </w:r>
      <w:r>
        <w:rPr>
          <w:spacing w:val="-5"/>
          <w:sz w:val="20"/>
        </w:rPr>
        <w:t> </w:t>
      </w:r>
      <w:r>
        <w:rPr>
          <w:sz w:val="20"/>
        </w:rPr>
        <w:t>most</w:t>
      </w:r>
      <w:r>
        <w:rPr>
          <w:spacing w:val="-6"/>
          <w:sz w:val="20"/>
        </w:rPr>
        <w:t> </w:t>
      </w:r>
      <w:r>
        <w:rPr>
          <w:sz w:val="20"/>
        </w:rPr>
        <w:t>of</w:t>
      </w:r>
      <w:r>
        <w:rPr>
          <w:spacing w:val="-6"/>
          <w:sz w:val="20"/>
        </w:rPr>
        <w:t> </w:t>
      </w:r>
      <w:r>
        <w:rPr>
          <w:sz w:val="20"/>
        </w:rPr>
        <w:t>that experience</w:t>
      </w:r>
      <w:r>
        <w:rPr>
          <w:spacing w:val="-8"/>
          <w:sz w:val="20"/>
        </w:rPr>
        <w:t> </w:t>
      </w:r>
      <w:r>
        <w:rPr>
          <w:sz w:val="20"/>
        </w:rPr>
        <w:t>is</w:t>
      </w:r>
      <w:r>
        <w:rPr>
          <w:spacing w:val="-7"/>
          <w:sz w:val="20"/>
        </w:rPr>
        <w:t> </w:t>
      </w:r>
      <w:r>
        <w:rPr>
          <w:sz w:val="20"/>
        </w:rPr>
        <w:t>for</w:t>
      </w:r>
      <w:r>
        <w:rPr>
          <w:spacing w:val="-8"/>
          <w:sz w:val="20"/>
        </w:rPr>
        <w:t> </w:t>
      </w:r>
      <w:r>
        <w:rPr>
          <w:sz w:val="20"/>
        </w:rPr>
        <w:t>‘refinery</w:t>
      </w:r>
      <w:r>
        <w:rPr>
          <w:spacing w:val="-7"/>
          <w:sz w:val="20"/>
        </w:rPr>
        <w:t> </w:t>
      </w:r>
      <w:r>
        <w:rPr>
          <w:sz w:val="20"/>
        </w:rPr>
        <w:t>gas’</w:t>
      </w:r>
      <w:r>
        <w:rPr>
          <w:spacing w:val="-21"/>
          <w:sz w:val="20"/>
        </w:rPr>
        <w:t> </w:t>
      </w:r>
      <w:r>
        <w:rPr>
          <w:sz w:val="20"/>
        </w:rPr>
        <w:t>where</w:t>
      </w:r>
      <w:r>
        <w:rPr>
          <w:spacing w:val="-8"/>
          <w:sz w:val="20"/>
        </w:rPr>
        <w:t> </w:t>
      </w:r>
      <w:r>
        <w:rPr>
          <w:sz w:val="20"/>
        </w:rPr>
        <w:t>methane</w:t>
      </w:r>
      <w:r>
        <w:rPr>
          <w:spacing w:val="-7"/>
          <w:sz w:val="20"/>
        </w:rPr>
        <w:t> </w:t>
      </w:r>
      <w:r>
        <w:rPr>
          <w:sz w:val="20"/>
        </w:rPr>
        <w:t>is</w:t>
      </w:r>
      <w:r>
        <w:rPr>
          <w:spacing w:val="-8"/>
          <w:sz w:val="20"/>
        </w:rPr>
        <w:t> </w:t>
      </w:r>
      <w:r>
        <w:rPr>
          <w:sz w:val="20"/>
        </w:rPr>
        <w:t>the</w:t>
      </w:r>
      <w:r>
        <w:rPr>
          <w:spacing w:val="-7"/>
          <w:sz w:val="20"/>
        </w:rPr>
        <w:t> </w:t>
      </w:r>
      <w:r>
        <w:rPr>
          <w:sz w:val="20"/>
        </w:rPr>
        <w:t>other</w:t>
      </w:r>
      <w:r>
        <w:rPr>
          <w:spacing w:val="-8"/>
          <w:sz w:val="20"/>
        </w:rPr>
        <w:t> </w:t>
      </w:r>
      <w:r>
        <w:rPr>
          <w:sz w:val="20"/>
        </w:rPr>
        <w:t>main component of the fuel gas and is utilized in older lower firing temperature gas turbines, not the state-of-the-art over 1300°C gas turbines normally considered for large de-carbonization power plants.</w:t>
      </w:r>
    </w:p>
    <w:p>
      <w:pPr>
        <w:pStyle w:val="BodyText"/>
        <w:spacing w:line="240" w:lineRule="exact" w:before="4"/>
        <w:ind w:left="513" w:firstLine="284"/>
        <w:jc w:val="both"/>
      </w:pPr>
      <w:r>
        <w:rPr/>
        <w:t>Norsk Hydro and General Electric collaborated to perform full-scale combustion system testing for modern gas turbines firing hydrogen-rich gas with combustion exit temperatures of above 1400°C </w:t>
      </w:r>
      <w:r>
        <w:rPr>
          <w:spacing w:val="-3"/>
        </w:rPr>
        <w:t>(Todd </w:t>
      </w:r>
      <w:r>
        <w:rPr/>
        <w:t>and Battista, 2001). The results showed good combustion conditions with low NO</w:t>
      </w:r>
      <w:r>
        <w:rPr>
          <w:position w:val="-6"/>
          <w:sz w:val="11"/>
        </w:rPr>
        <w:t>x </w:t>
      </w:r>
      <w:r>
        <w:rPr/>
        <w:t>emission and acceptable</w:t>
      </w:r>
      <w:r>
        <w:rPr>
          <w:spacing w:val="-9"/>
        </w:rPr>
        <w:t> </w:t>
      </w:r>
      <w:r>
        <w:rPr/>
        <w:t>hot</w:t>
      </w:r>
      <w:r>
        <w:rPr>
          <w:spacing w:val="-7"/>
        </w:rPr>
        <w:t> </w:t>
      </w:r>
      <w:r>
        <w:rPr/>
        <w:t>metal</w:t>
      </w:r>
      <w:r>
        <w:rPr>
          <w:spacing w:val="-7"/>
        </w:rPr>
        <w:t> </w:t>
      </w:r>
      <w:r>
        <w:rPr/>
        <w:t>temperatures</w:t>
      </w:r>
      <w:r>
        <w:rPr>
          <w:spacing w:val="-8"/>
        </w:rPr>
        <w:t> </w:t>
      </w:r>
      <w:r>
        <w:rPr/>
        <w:t>for</w:t>
      </w:r>
      <w:r>
        <w:rPr>
          <w:spacing w:val="-8"/>
        </w:rPr>
        <w:t> </w:t>
      </w:r>
      <w:r>
        <w:rPr/>
        <w:t>mixtures</w:t>
      </w:r>
      <w:r>
        <w:rPr>
          <w:spacing w:val="-7"/>
        </w:rPr>
        <w:t> </w:t>
      </w:r>
      <w:r>
        <w:rPr/>
        <w:t>with</w:t>
      </w:r>
      <w:r>
        <w:rPr>
          <w:spacing w:val="-8"/>
        </w:rPr>
        <w:t> </w:t>
      </w:r>
      <w:r>
        <w:rPr/>
        <w:t>54-77%</w:t>
      </w:r>
      <w:r>
        <w:rPr>
          <w:spacing w:val="-7"/>
        </w:rPr>
        <w:t> </w:t>
      </w:r>
      <w:r>
        <w:rPr>
          <w:spacing w:val="-6"/>
        </w:rPr>
        <w:t>by </w:t>
      </w:r>
      <w:r>
        <w:rPr/>
        <w:t>volume</w:t>
      </w:r>
      <w:r>
        <w:rPr>
          <w:spacing w:val="-18"/>
        </w:rPr>
        <w:t> </w:t>
      </w:r>
      <w:r>
        <w:rPr/>
        <w:t>hydrogen</w:t>
      </w:r>
      <w:r>
        <w:rPr>
          <w:spacing w:val="-17"/>
        </w:rPr>
        <w:t> </w:t>
      </w:r>
      <w:r>
        <w:rPr/>
        <w:t>with</w:t>
      </w:r>
      <w:r>
        <w:rPr>
          <w:spacing w:val="-17"/>
        </w:rPr>
        <w:t> </w:t>
      </w:r>
      <w:r>
        <w:rPr/>
        <w:t>most</w:t>
      </w:r>
      <w:r>
        <w:rPr>
          <w:spacing w:val="-18"/>
        </w:rPr>
        <w:t> </w:t>
      </w:r>
      <w:r>
        <w:rPr/>
        <w:t>of</w:t>
      </w:r>
      <w:r>
        <w:rPr>
          <w:spacing w:val="-17"/>
        </w:rPr>
        <w:t> </w:t>
      </w:r>
      <w:r>
        <w:rPr/>
        <w:t>the</w:t>
      </w:r>
      <w:r>
        <w:rPr>
          <w:spacing w:val="-17"/>
        </w:rPr>
        <w:t> </w:t>
      </w:r>
      <w:r>
        <w:rPr/>
        <w:t>additional</w:t>
      </w:r>
      <w:r>
        <w:rPr>
          <w:spacing w:val="-18"/>
        </w:rPr>
        <w:t> </w:t>
      </w:r>
      <w:r>
        <w:rPr/>
        <w:t>gas</w:t>
      </w:r>
      <w:r>
        <w:rPr>
          <w:spacing w:val="-17"/>
        </w:rPr>
        <w:t> </w:t>
      </w:r>
      <w:r>
        <w:rPr/>
        <w:t>being</w:t>
      </w:r>
      <w:r>
        <w:rPr>
          <w:spacing w:val="-17"/>
        </w:rPr>
        <w:t> </w:t>
      </w:r>
      <w:r>
        <w:rPr/>
        <w:t>nitrogen. Dilution of the hydrogen with nitrogen or steam reduces the NO</w:t>
      </w:r>
      <w:r>
        <w:rPr>
          <w:position w:val="-6"/>
          <w:sz w:val="11"/>
        </w:rPr>
        <w:t>x</w:t>
      </w:r>
      <w:r>
        <w:rPr>
          <w:spacing w:val="22"/>
          <w:position w:val="-6"/>
          <w:sz w:val="11"/>
        </w:rPr>
        <w:t> </w:t>
      </w:r>
      <w:r>
        <w:rPr/>
        <w:t>emission.</w:t>
      </w:r>
    </w:p>
    <w:p>
      <w:pPr>
        <w:pStyle w:val="BodyText"/>
        <w:spacing w:line="240" w:lineRule="exact"/>
        <w:ind w:left="513" w:firstLine="284"/>
        <w:jc w:val="both"/>
      </w:pPr>
      <w:r>
        <w:rPr/>
        <w:t>For pre-combustion capture of CO</w:t>
      </w:r>
      <w:r>
        <w:rPr>
          <w:position w:val="-6"/>
          <w:sz w:val="11"/>
        </w:rPr>
        <w:t>2 </w:t>
      </w:r>
      <w:r>
        <w:rPr/>
        <w:t>from natural gas, air-blown gasification or autothermal reforming is </w:t>
      </w:r>
      <w:r>
        <w:rPr>
          <w:spacing w:val="-3"/>
        </w:rPr>
        <w:t>usually </w:t>
      </w:r>
      <w:r>
        <w:rPr/>
        <w:t>preferred (IEA GHG, 2000b; Wilkinson and Clarke, </w:t>
      </w:r>
      <w:r>
        <w:rPr>
          <w:spacing w:val="-3"/>
        </w:rPr>
        <w:t>2002). </w:t>
      </w:r>
      <w:r>
        <w:rPr/>
        <w:t>Nitrogen dilution of the hydrogen required for firing in</w:t>
      </w:r>
      <w:r>
        <w:rPr>
          <w:spacing w:val="-32"/>
        </w:rPr>
        <w:t> </w:t>
      </w:r>
      <w:r>
        <w:rPr/>
        <w:t>modern gas turbines comes from the gasification </w:t>
      </w:r>
      <w:r>
        <w:rPr>
          <w:spacing w:val="-3"/>
        </w:rPr>
        <w:t>air. </w:t>
      </w:r>
      <w:r>
        <w:rPr/>
        <w:t>High-pressure air is usually extracted from the gas turbine to feed the </w:t>
      </w:r>
      <w:r>
        <w:rPr>
          <w:spacing w:val="-3"/>
        </w:rPr>
        <w:t>air-blown </w:t>
      </w:r>
      <w:r>
        <w:rPr/>
        <w:t>gasifier, or autothermal reformer to reduce costs and avoid </w:t>
      </w:r>
      <w:r>
        <w:rPr>
          <w:spacing w:val="-13"/>
        </w:rPr>
        <w:t>a </w:t>
      </w:r>
      <w:r>
        <w:rPr/>
        <w:t>separate air compressor. The balance between the amount of air withdrawn from the gas turbine and the amount provided from a separate air compressor is determined by the particular characteristics of the gas turbine used. Some gas turbines </w:t>
      </w:r>
      <w:r>
        <w:rPr>
          <w:spacing w:val="-5"/>
        </w:rPr>
        <w:t>can </w:t>
      </w:r>
      <w:r>
        <w:rPr/>
        <w:t>accept a higher ratio of expander to compressor </w:t>
      </w:r>
      <w:r>
        <w:rPr>
          <w:spacing w:val="-4"/>
        </w:rPr>
        <w:t>flow, </w:t>
      </w:r>
      <w:r>
        <w:rPr/>
        <w:t>allowing greater volumes of dilution gas or smaller air-side draw flow and giving higher power output.</w:t>
      </w:r>
    </w:p>
    <w:p>
      <w:pPr>
        <w:pStyle w:val="BodyText"/>
        <w:spacing w:line="240" w:lineRule="exact"/>
        <w:ind w:left="513" w:firstLine="284"/>
        <w:jc w:val="both"/>
      </w:pPr>
      <w:r>
        <w:rPr/>
        <w:t>For pre-combustion capture of CO</w:t>
      </w:r>
      <w:r>
        <w:rPr>
          <w:position w:val="-6"/>
          <w:sz w:val="11"/>
        </w:rPr>
        <w:t>2 </w:t>
      </w:r>
      <w:r>
        <w:rPr/>
        <w:t>from coal, </w:t>
      </w:r>
      <w:r>
        <w:rPr>
          <w:spacing w:val="-3"/>
        </w:rPr>
        <w:t>oxygen- </w:t>
      </w:r>
      <w:r>
        <w:rPr/>
        <w:t>blown gasification is usually preferred (IEA GHG, 2003). Nitrogen dilution of the hydrogen required for firing in</w:t>
      </w:r>
      <w:r>
        <w:rPr>
          <w:spacing w:val="-32"/>
        </w:rPr>
        <w:t> </w:t>
      </w:r>
      <w:r>
        <w:rPr/>
        <w:t>modern gas</w:t>
      </w:r>
      <w:r>
        <w:rPr>
          <w:spacing w:val="-4"/>
        </w:rPr>
        <w:t> </w:t>
      </w:r>
      <w:r>
        <w:rPr/>
        <w:t>turbines</w:t>
      </w:r>
      <w:r>
        <w:rPr>
          <w:spacing w:val="-5"/>
        </w:rPr>
        <w:t> </w:t>
      </w:r>
      <w:r>
        <w:rPr/>
        <w:t>comes</w:t>
      </w:r>
      <w:r>
        <w:rPr>
          <w:spacing w:val="-5"/>
        </w:rPr>
        <w:t> </w:t>
      </w:r>
      <w:r>
        <w:rPr/>
        <w:t>from</w:t>
      </w:r>
      <w:r>
        <w:rPr>
          <w:spacing w:val="-5"/>
        </w:rPr>
        <w:t> </w:t>
      </w:r>
      <w:r>
        <w:rPr/>
        <w:t>the</w:t>
      </w:r>
      <w:r>
        <w:rPr>
          <w:spacing w:val="-5"/>
        </w:rPr>
        <w:t> </w:t>
      </w:r>
      <w:r>
        <w:rPr/>
        <w:t>cryogenic</w:t>
      </w:r>
      <w:r>
        <w:rPr>
          <w:spacing w:val="-5"/>
        </w:rPr>
        <w:t> </w:t>
      </w:r>
      <w:r>
        <w:rPr/>
        <w:t>air</w:t>
      </w:r>
      <w:r>
        <w:rPr>
          <w:spacing w:val="-5"/>
        </w:rPr>
        <w:t> </w:t>
      </w:r>
      <w:r>
        <w:rPr/>
        <w:t>separation</w:t>
      </w:r>
      <w:r>
        <w:rPr>
          <w:spacing w:val="-5"/>
        </w:rPr>
        <w:t> </w:t>
      </w:r>
      <w:r>
        <w:rPr/>
        <w:t>unit</w:t>
      </w:r>
      <w:r>
        <w:rPr>
          <w:spacing w:val="-5"/>
        </w:rPr>
        <w:t> </w:t>
      </w:r>
      <w:r>
        <w:rPr/>
        <w:t>(used to</w:t>
      </w:r>
      <w:r>
        <w:rPr>
          <w:spacing w:val="-6"/>
        </w:rPr>
        <w:t> </w:t>
      </w:r>
      <w:r>
        <w:rPr/>
        <w:t>make</w:t>
      </w:r>
      <w:r>
        <w:rPr>
          <w:spacing w:val="-6"/>
        </w:rPr>
        <w:t> </w:t>
      </w:r>
      <w:r>
        <w:rPr/>
        <w:t>the</w:t>
      </w:r>
      <w:r>
        <w:rPr>
          <w:spacing w:val="-6"/>
        </w:rPr>
        <w:t> </w:t>
      </w:r>
      <w:r>
        <w:rPr/>
        <w:t>oxygen;</w:t>
      </w:r>
      <w:r>
        <w:rPr>
          <w:spacing w:val="-6"/>
        </w:rPr>
        <w:t> </w:t>
      </w:r>
      <w:r>
        <w:rPr/>
        <w:t>see</w:t>
      </w:r>
      <w:r>
        <w:rPr>
          <w:spacing w:val="-5"/>
        </w:rPr>
        <w:t> </w:t>
      </w:r>
      <w:r>
        <w:rPr/>
        <w:t>Section</w:t>
      </w:r>
      <w:r>
        <w:rPr>
          <w:spacing w:val="-6"/>
        </w:rPr>
        <w:t> </w:t>
      </w:r>
      <w:r>
        <w:rPr/>
        <w:t>3.4.5.1).</w:t>
      </w:r>
      <w:r>
        <w:rPr>
          <w:spacing w:val="-9"/>
        </w:rPr>
        <w:t> </w:t>
      </w:r>
      <w:r>
        <w:rPr/>
        <w:t>The</w:t>
      </w:r>
      <w:r>
        <w:rPr>
          <w:spacing w:val="-6"/>
        </w:rPr>
        <w:t> </w:t>
      </w:r>
      <w:r>
        <w:rPr/>
        <w:t>nitrogen</w:t>
      </w:r>
      <w:r>
        <w:rPr>
          <w:spacing w:val="-5"/>
        </w:rPr>
        <w:t> </w:t>
      </w:r>
      <w:r>
        <w:rPr/>
        <w:t>is</w:t>
      </w:r>
      <w:r>
        <w:rPr>
          <w:spacing w:val="-6"/>
        </w:rPr>
        <w:t> </w:t>
      </w:r>
      <w:r>
        <w:rPr/>
        <w:t>added to the hydrogen after the gasification, CO shifting and CO</w:t>
      </w:r>
      <w:r>
        <w:rPr>
          <w:position w:val="-6"/>
          <w:sz w:val="11"/>
        </w:rPr>
        <w:t>2 </w:t>
      </w:r>
      <w:r>
        <w:rPr/>
        <w:t>capture to reduce the equipment sizes and cost. High-pressure air is usually extracted from the gas turbine to supply a higher than normal pressure cryogenic air separation unit to reduce costs plus air, oxygen and nitrogen compression power. </w:t>
      </w:r>
      <w:r>
        <w:rPr>
          <w:spacing w:val="-9"/>
        </w:rPr>
        <w:t>An </w:t>
      </w:r>
      <w:r>
        <w:rPr/>
        <w:t>alternative IGCC scheme that incorporates newly emerging</w:t>
      </w:r>
      <w:r>
        <w:rPr>
          <w:spacing w:val="-25"/>
        </w:rPr>
        <w:t> </w:t>
      </w:r>
      <w:r>
        <w:rPr/>
        <w:t>ion transport membranes for oxygen production is also described below in Section</w:t>
      </w:r>
      <w:r>
        <w:rPr>
          <w:spacing w:val="-2"/>
        </w:rPr>
        <w:t> </w:t>
      </w:r>
      <w:r>
        <w:rPr/>
        <w:t>3.5.4.3.</w:t>
      </w:r>
    </w:p>
    <w:p>
      <w:pPr>
        <w:pStyle w:val="BodyText"/>
        <w:spacing w:before="10"/>
        <w:rPr>
          <w:sz w:val="17"/>
        </w:rPr>
      </w:pPr>
      <w:r>
        <w:rPr/>
        <w:br w:type="column"/>
      </w:r>
      <w:r>
        <w:rPr>
          <w:sz w:val="17"/>
        </w:rPr>
      </w:r>
    </w:p>
    <w:p>
      <w:pPr>
        <w:pStyle w:val="ListParagraph"/>
        <w:numPr>
          <w:ilvl w:val="3"/>
          <w:numId w:val="22"/>
        </w:numPr>
        <w:tabs>
          <w:tab w:pos="1061" w:val="left" w:leader="none"/>
          <w:tab w:pos="1062" w:val="left" w:leader="none"/>
        </w:tabs>
        <w:spacing w:line="240" w:lineRule="exact" w:before="0" w:after="0"/>
        <w:ind w:left="241" w:right="732" w:firstLine="0"/>
        <w:jc w:val="left"/>
        <w:rPr>
          <w:sz w:val="20"/>
        </w:rPr>
      </w:pPr>
      <w:r>
        <w:rPr>
          <w:i/>
          <w:sz w:val="20"/>
        </w:rPr>
        <w:t>Syngas production using oxygen membranes </w:t>
      </w:r>
      <w:r>
        <w:rPr>
          <w:sz w:val="20"/>
        </w:rPr>
        <w:t>Oxygen required for a coal-fired IGCC process (Section 3.5.2.6) can be generated in an oxygen transport membrane system</w:t>
      </w:r>
      <w:r>
        <w:rPr>
          <w:spacing w:val="-6"/>
          <w:sz w:val="20"/>
        </w:rPr>
        <w:t> </w:t>
      </w:r>
      <w:r>
        <w:rPr>
          <w:sz w:val="20"/>
        </w:rPr>
        <w:t>by</w:t>
      </w:r>
      <w:r>
        <w:rPr>
          <w:spacing w:val="-5"/>
          <w:sz w:val="20"/>
        </w:rPr>
        <w:t> </w:t>
      </w:r>
      <w:r>
        <w:rPr>
          <w:sz w:val="20"/>
        </w:rPr>
        <w:t>using</w:t>
      </w:r>
      <w:r>
        <w:rPr>
          <w:spacing w:val="-5"/>
          <w:sz w:val="20"/>
        </w:rPr>
        <w:t> </w:t>
      </w:r>
      <w:r>
        <w:rPr>
          <w:sz w:val="20"/>
        </w:rPr>
        <w:t>a</w:t>
      </w:r>
      <w:r>
        <w:rPr>
          <w:spacing w:val="-5"/>
          <w:sz w:val="20"/>
        </w:rPr>
        <w:t> </w:t>
      </w:r>
      <w:r>
        <w:rPr>
          <w:sz w:val="20"/>
        </w:rPr>
        <w:t>heated,</w:t>
      </w:r>
      <w:r>
        <w:rPr>
          <w:spacing w:val="-5"/>
          <w:sz w:val="20"/>
        </w:rPr>
        <w:t> </w:t>
      </w:r>
      <w:r>
        <w:rPr>
          <w:sz w:val="20"/>
        </w:rPr>
        <w:t>high-pressure</w:t>
      </w:r>
      <w:r>
        <w:rPr>
          <w:spacing w:val="-5"/>
          <w:sz w:val="20"/>
        </w:rPr>
        <w:t> </w:t>
      </w:r>
      <w:r>
        <w:rPr>
          <w:sz w:val="20"/>
        </w:rPr>
        <w:t>air</w:t>
      </w:r>
      <w:r>
        <w:rPr>
          <w:spacing w:val="-5"/>
          <w:sz w:val="20"/>
        </w:rPr>
        <w:t> </w:t>
      </w:r>
      <w:r>
        <w:rPr>
          <w:sz w:val="20"/>
        </w:rPr>
        <w:t>stream</w:t>
      </w:r>
      <w:r>
        <w:rPr>
          <w:spacing w:val="-5"/>
          <w:sz w:val="20"/>
        </w:rPr>
        <w:t> </w:t>
      </w:r>
      <w:r>
        <w:rPr>
          <w:sz w:val="20"/>
        </w:rPr>
        <w:t>produced</w:t>
      </w:r>
      <w:r>
        <w:rPr>
          <w:spacing w:val="-5"/>
          <w:sz w:val="20"/>
        </w:rPr>
        <w:t> </w:t>
      </w:r>
      <w:r>
        <w:rPr>
          <w:sz w:val="20"/>
        </w:rPr>
        <w:t>by heating the discharge air from the compressor section of a gas turbine (Allam </w:t>
      </w:r>
      <w:r>
        <w:rPr>
          <w:i/>
          <w:sz w:val="20"/>
        </w:rPr>
        <w:t>et al.</w:t>
      </w:r>
      <w:r>
        <w:rPr>
          <w:sz w:val="20"/>
        </w:rPr>
        <w:t>, 2002), typically at 1.6 MPa or 420°C, to the</w:t>
      </w:r>
      <w:r>
        <w:rPr>
          <w:spacing w:val="-5"/>
          <w:sz w:val="20"/>
        </w:rPr>
        <w:t> </w:t>
      </w:r>
      <w:r>
        <w:rPr>
          <w:sz w:val="20"/>
        </w:rPr>
        <w:t>precise</w:t>
      </w:r>
      <w:r>
        <w:rPr>
          <w:spacing w:val="-5"/>
          <w:sz w:val="20"/>
        </w:rPr>
        <w:t> </w:t>
      </w:r>
      <w:r>
        <w:rPr>
          <w:sz w:val="20"/>
        </w:rPr>
        <w:t>inlet</w:t>
      </w:r>
      <w:r>
        <w:rPr>
          <w:spacing w:val="-5"/>
          <w:sz w:val="20"/>
        </w:rPr>
        <w:t> </w:t>
      </w:r>
      <w:r>
        <w:rPr>
          <w:sz w:val="20"/>
        </w:rPr>
        <w:t>temperature</w:t>
      </w:r>
      <w:r>
        <w:rPr>
          <w:spacing w:val="-5"/>
          <w:sz w:val="20"/>
        </w:rPr>
        <w:t> </w:t>
      </w:r>
      <w:r>
        <w:rPr>
          <w:sz w:val="20"/>
        </w:rPr>
        <w:t>of</w:t>
      </w:r>
      <w:r>
        <w:rPr>
          <w:spacing w:val="-5"/>
          <w:sz w:val="20"/>
        </w:rPr>
        <w:t> </w:t>
      </w:r>
      <w:r>
        <w:rPr>
          <w:sz w:val="20"/>
        </w:rPr>
        <w:t>the</w:t>
      </w:r>
      <w:r>
        <w:rPr>
          <w:spacing w:val="-5"/>
          <w:sz w:val="20"/>
        </w:rPr>
        <w:t> </w:t>
      </w:r>
      <w:r>
        <w:rPr>
          <w:sz w:val="20"/>
        </w:rPr>
        <w:t>oxygen</w:t>
      </w:r>
      <w:r>
        <w:rPr>
          <w:spacing w:val="-5"/>
          <w:sz w:val="20"/>
        </w:rPr>
        <w:t> </w:t>
      </w:r>
      <w:r>
        <w:rPr>
          <w:sz w:val="20"/>
        </w:rPr>
        <w:t>transport</w:t>
      </w:r>
      <w:r>
        <w:rPr>
          <w:spacing w:val="-5"/>
          <w:sz w:val="20"/>
        </w:rPr>
        <w:t> </w:t>
      </w:r>
      <w:r>
        <w:rPr>
          <w:sz w:val="20"/>
        </w:rPr>
        <w:t>membrane module which is above 700°C. The oxygen, which permeates to the low-pressure side passes through a heat recovery section and is compressed to the final pressure of use. The O</w:t>
      </w:r>
      <w:r>
        <w:rPr>
          <w:position w:val="-6"/>
          <w:sz w:val="11"/>
        </w:rPr>
        <w:t>2 </w:t>
      </w:r>
      <w:r>
        <w:rPr>
          <w:sz w:val="20"/>
        </w:rPr>
        <w:t>depleted air leaving the oxygen transport membrane module then </w:t>
      </w:r>
      <w:r>
        <w:rPr>
          <w:spacing w:val="-3"/>
          <w:sz w:val="20"/>
        </w:rPr>
        <w:t>enters </w:t>
      </w:r>
      <w:r>
        <w:rPr>
          <w:sz w:val="20"/>
        </w:rPr>
        <w:t>the gas turbine combustor where it is used to burn fuel before entering the gas turbine expander at the required temperature. Note</w:t>
      </w:r>
      <w:r>
        <w:rPr>
          <w:spacing w:val="-6"/>
          <w:sz w:val="20"/>
        </w:rPr>
        <w:t> </w:t>
      </w:r>
      <w:r>
        <w:rPr>
          <w:sz w:val="20"/>
        </w:rPr>
        <w:t>that</w:t>
      </w:r>
      <w:r>
        <w:rPr>
          <w:spacing w:val="-5"/>
          <w:sz w:val="20"/>
        </w:rPr>
        <w:t> </w:t>
      </w:r>
      <w:r>
        <w:rPr>
          <w:sz w:val="20"/>
        </w:rPr>
        <w:t>due</w:t>
      </w:r>
      <w:r>
        <w:rPr>
          <w:spacing w:val="-5"/>
          <w:sz w:val="20"/>
        </w:rPr>
        <w:t> </w:t>
      </w:r>
      <w:r>
        <w:rPr>
          <w:sz w:val="20"/>
        </w:rPr>
        <w:t>to</w:t>
      </w:r>
      <w:r>
        <w:rPr>
          <w:spacing w:val="-5"/>
          <w:sz w:val="20"/>
        </w:rPr>
        <w:t> </w:t>
      </w:r>
      <w:r>
        <w:rPr>
          <w:sz w:val="20"/>
        </w:rPr>
        <w:t>the</w:t>
      </w:r>
      <w:r>
        <w:rPr>
          <w:spacing w:val="-6"/>
          <w:sz w:val="20"/>
        </w:rPr>
        <w:t> </w:t>
      </w:r>
      <w:r>
        <w:rPr>
          <w:sz w:val="20"/>
        </w:rPr>
        <w:t>necessity</w:t>
      </w:r>
      <w:r>
        <w:rPr>
          <w:spacing w:val="-5"/>
          <w:sz w:val="20"/>
        </w:rPr>
        <w:t> </w:t>
      </w:r>
      <w:r>
        <w:rPr>
          <w:sz w:val="20"/>
        </w:rPr>
        <w:t>to</w:t>
      </w:r>
      <w:r>
        <w:rPr>
          <w:spacing w:val="-5"/>
          <w:sz w:val="20"/>
        </w:rPr>
        <w:t> </w:t>
      </w:r>
      <w:r>
        <w:rPr>
          <w:sz w:val="20"/>
        </w:rPr>
        <w:t>have</w:t>
      </w:r>
      <w:r>
        <w:rPr>
          <w:spacing w:val="-5"/>
          <w:sz w:val="20"/>
        </w:rPr>
        <w:t> </w:t>
      </w:r>
      <w:r>
        <w:rPr>
          <w:sz w:val="20"/>
        </w:rPr>
        <w:t>excess</w:t>
      </w:r>
      <w:r>
        <w:rPr>
          <w:spacing w:val="-6"/>
          <w:sz w:val="20"/>
        </w:rPr>
        <w:t> </w:t>
      </w:r>
      <w:r>
        <w:rPr>
          <w:sz w:val="20"/>
        </w:rPr>
        <w:t>air</w:t>
      </w:r>
      <w:r>
        <w:rPr>
          <w:spacing w:val="-5"/>
          <w:sz w:val="20"/>
        </w:rPr>
        <w:t> </w:t>
      </w:r>
      <w:r>
        <w:rPr>
          <w:sz w:val="20"/>
        </w:rPr>
        <w:t>in</w:t>
      </w:r>
      <w:r>
        <w:rPr>
          <w:spacing w:val="-5"/>
          <w:sz w:val="20"/>
        </w:rPr>
        <w:t> </w:t>
      </w:r>
      <w:r>
        <w:rPr>
          <w:sz w:val="20"/>
        </w:rPr>
        <w:t>a</w:t>
      </w:r>
      <w:r>
        <w:rPr>
          <w:spacing w:val="-5"/>
          <w:sz w:val="20"/>
        </w:rPr>
        <w:t> </w:t>
      </w:r>
      <w:r>
        <w:rPr>
          <w:sz w:val="20"/>
        </w:rPr>
        <w:t>gas</w:t>
      </w:r>
      <w:r>
        <w:rPr>
          <w:spacing w:val="-5"/>
          <w:sz w:val="20"/>
        </w:rPr>
        <w:t> </w:t>
      </w:r>
      <w:r>
        <w:rPr>
          <w:sz w:val="20"/>
        </w:rPr>
        <w:t>turbine to</w:t>
      </w:r>
      <w:r>
        <w:rPr>
          <w:spacing w:val="-11"/>
          <w:sz w:val="20"/>
        </w:rPr>
        <w:t> </w:t>
      </w:r>
      <w:r>
        <w:rPr>
          <w:sz w:val="20"/>
        </w:rPr>
        <w:t>limit</w:t>
      </w:r>
      <w:r>
        <w:rPr>
          <w:spacing w:val="-10"/>
          <w:sz w:val="20"/>
        </w:rPr>
        <w:t> </w:t>
      </w:r>
      <w:r>
        <w:rPr>
          <w:sz w:val="20"/>
        </w:rPr>
        <w:t>turbine</w:t>
      </w:r>
      <w:r>
        <w:rPr>
          <w:spacing w:val="-10"/>
          <w:sz w:val="20"/>
        </w:rPr>
        <w:t> </w:t>
      </w:r>
      <w:r>
        <w:rPr>
          <w:sz w:val="20"/>
        </w:rPr>
        <w:t>inlet</w:t>
      </w:r>
      <w:r>
        <w:rPr>
          <w:spacing w:val="-10"/>
          <w:sz w:val="20"/>
        </w:rPr>
        <w:t> </w:t>
      </w:r>
      <w:r>
        <w:rPr>
          <w:sz w:val="20"/>
        </w:rPr>
        <w:t>temperature,</w:t>
      </w:r>
      <w:r>
        <w:rPr>
          <w:spacing w:val="-10"/>
          <w:sz w:val="20"/>
        </w:rPr>
        <w:t> </w:t>
      </w:r>
      <w:r>
        <w:rPr>
          <w:sz w:val="20"/>
        </w:rPr>
        <w:t>removing</w:t>
      </w:r>
      <w:r>
        <w:rPr>
          <w:spacing w:val="-10"/>
          <w:sz w:val="20"/>
        </w:rPr>
        <w:t> </w:t>
      </w:r>
      <w:r>
        <w:rPr>
          <w:sz w:val="20"/>
        </w:rPr>
        <w:t>one</w:t>
      </w:r>
      <w:r>
        <w:rPr>
          <w:spacing w:val="-11"/>
          <w:sz w:val="20"/>
        </w:rPr>
        <w:t> </w:t>
      </w:r>
      <w:r>
        <w:rPr>
          <w:sz w:val="20"/>
        </w:rPr>
        <w:t>mole</w:t>
      </w:r>
      <w:r>
        <w:rPr>
          <w:spacing w:val="-10"/>
          <w:sz w:val="20"/>
        </w:rPr>
        <w:t> </w:t>
      </w:r>
      <w:r>
        <w:rPr>
          <w:sz w:val="20"/>
        </w:rPr>
        <w:t>of</w:t>
      </w:r>
      <w:r>
        <w:rPr>
          <w:spacing w:val="-10"/>
          <w:sz w:val="20"/>
        </w:rPr>
        <w:t> </w:t>
      </w:r>
      <w:r>
        <w:rPr>
          <w:sz w:val="20"/>
        </w:rPr>
        <w:t>oxygen can be compensated by injection of the equivalent thermal capacity</w:t>
      </w:r>
      <w:r>
        <w:rPr>
          <w:spacing w:val="-8"/>
          <w:sz w:val="20"/>
        </w:rPr>
        <w:t> </w:t>
      </w:r>
      <w:r>
        <w:rPr>
          <w:sz w:val="20"/>
        </w:rPr>
        <w:t>of</w:t>
      </w:r>
      <w:r>
        <w:rPr>
          <w:spacing w:val="-6"/>
          <w:sz w:val="20"/>
        </w:rPr>
        <w:t> </w:t>
      </w:r>
      <w:r>
        <w:rPr>
          <w:sz w:val="20"/>
        </w:rPr>
        <w:t>steam</w:t>
      </w:r>
      <w:r>
        <w:rPr>
          <w:spacing w:val="-7"/>
          <w:sz w:val="20"/>
        </w:rPr>
        <w:t> </w:t>
      </w:r>
      <w:r>
        <w:rPr>
          <w:sz w:val="20"/>
        </w:rPr>
        <w:t>to</w:t>
      </w:r>
      <w:r>
        <w:rPr>
          <w:spacing w:val="-6"/>
          <w:sz w:val="20"/>
        </w:rPr>
        <w:t> </w:t>
      </w:r>
      <w:r>
        <w:rPr>
          <w:sz w:val="20"/>
        </w:rPr>
        <w:t>maintain</w:t>
      </w:r>
      <w:r>
        <w:rPr>
          <w:spacing w:val="-7"/>
          <w:sz w:val="20"/>
        </w:rPr>
        <w:t> </w:t>
      </w:r>
      <w:r>
        <w:rPr>
          <w:sz w:val="20"/>
        </w:rPr>
        <w:t>gas</w:t>
      </w:r>
      <w:r>
        <w:rPr>
          <w:spacing w:val="-6"/>
          <w:sz w:val="20"/>
        </w:rPr>
        <w:t> </w:t>
      </w:r>
      <w:r>
        <w:rPr>
          <w:sz w:val="20"/>
        </w:rPr>
        <w:t>turbine</w:t>
      </w:r>
      <w:r>
        <w:rPr>
          <w:spacing w:val="-7"/>
          <w:sz w:val="20"/>
        </w:rPr>
        <w:t> </w:t>
      </w:r>
      <w:r>
        <w:rPr>
          <w:sz w:val="20"/>
        </w:rPr>
        <w:t>power</w:t>
      </w:r>
      <w:r>
        <w:rPr>
          <w:spacing w:val="-6"/>
          <w:sz w:val="20"/>
        </w:rPr>
        <w:t> </w:t>
      </w:r>
      <w:r>
        <w:rPr>
          <w:sz w:val="20"/>
        </w:rPr>
        <w:t>output.</w:t>
      </w:r>
      <w:r>
        <w:rPr>
          <w:spacing w:val="-6"/>
          <w:sz w:val="20"/>
        </w:rPr>
        <w:t> </w:t>
      </w:r>
      <w:r>
        <w:rPr>
          <w:sz w:val="20"/>
        </w:rPr>
        <w:t>Studies have been carried out (Armstrong </w:t>
      </w:r>
      <w:r>
        <w:rPr>
          <w:i/>
          <w:sz w:val="20"/>
        </w:rPr>
        <w:t>et al.</w:t>
      </w:r>
      <w:r>
        <w:rPr>
          <w:sz w:val="20"/>
        </w:rPr>
        <w:t>, 2002) to compare oxygen transport membrane and cryogenic oxygen production in an IGCC power plant using coal as fuel. The oxygen plant projected</w:t>
      </w:r>
      <w:r>
        <w:rPr>
          <w:spacing w:val="-7"/>
          <w:sz w:val="20"/>
        </w:rPr>
        <w:t> </w:t>
      </w:r>
      <w:r>
        <w:rPr>
          <w:sz w:val="20"/>
        </w:rPr>
        <w:t>cost</w:t>
      </w:r>
      <w:r>
        <w:rPr>
          <w:spacing w:val="-6"/>
          <w:sz w:val="20"/>
        </w:rPr>
        <w:t> </w:t>
      </w:r>
      <w:r>
        <w:rPr>
          <w:sz w:val="20"/>
        </w:rPr>
        <w:t>was</w:t>
      </w:r>
      <w:r>
        <w:rPr>
          <w:spacing w:val="-6"/>
          <w:sz w:val="20"/>
        </w:rPr>
        <w:t> </w:t>
      </w:r>
      <w:r>
        <w:rPr>
          <w:sz w:val="20"/>
        </w:rPr>
        <w:t>reduced</w:t>
      </w:r>
      <w:r>
        <w:rPr>
          <w:spacing w:val="-6"/>
          <w:sz w:val="20"/>
        </w:rPr>
        <w:t> </w:t>
      </w:r>
      <w:r>
        <w:rPr>
          <w:sz w:val="20"/>
        </w:rPr>
        <w:t>by</w:t>
      </w:r>
      <w:r>
        <w:rPr>
          <w:spacing w:val="-7"/>
          <w:sz w:val="20"/>
        </w:rPr>
        <w:t> </w:t>
      </w:r>
      <w:r>
        <w:rPr>
          <w:sz w:val="20"/>
        </w:rPr>
        <w:t>35%</w:t>
      </w:r>
      <w:r>
        <w:rPr>
          <w:spacing w:val="-6"/>
          <w:sz w:val="20"/>
        </w:rPr>
        <w:t> </w:t>
      </w:r>
      <w:r>
        <w:rPr>
          <w:sz w:val="20"/>
        </w:rPr>
        <w:t>and</w:t>
      </w:r>
      <w:r>
        <w:rPr>
          <w:spacing w:val="-6"/>
          <w:sz w:val="20"/>
        </w:rPr>
        <w:t> </w:t>
      </w:r>
      <w:r>
        <w:rPr>
          <w:sz w:val="20"/>
        </w:rPr>
        <w:t>the</w:t>
      </w:r>
      <w:r>
        <w:rPr>
          <w:spacing w:val="-6"/>
          <w:sz w:val="20"/>
        </w:rPr>
        <w:t> </w:t>
      </w:r>
      <w:r>
        <w:rPr>
          <w:sz w:val="20"/>
        </w:rPr>
        <w:t>power</w:t>
      </w:r>
      <w:r>
        <w:rPr>
          <w:spacing w:val="-6"/>
          <w:sz w:val="20"/>
        </w:rPr>
        <w:t> </w:t>
      </w:r>
      <w:r>
        <w:rPr>
          <w:sz w:val="20"/>
        </w:rPr>
        <w:t>consumption by 37%. An LHV efficiency of 41.8% without CO</w:t>
      </w:r>
      <w:r>
        <w:rPr>
          <w:position w:val="-6"/>
          <w:sz w:val="11"/>
        </w:rPr>
        <w:t>2 </w:t>
      </w:r>
      <w:r>
        <w:rPr>
          <w:sz w:val="20"/>
        </w:rPr>
        <w:t>capture</w:t>
      </w:r>
      <w:r>
        <w:rPr>
          <w:spacing w:val="-20"/>
          <w:sz w:val="20"/>
        </w:rPr>
        <w:t> </w:t>
      </w:r>
      <w:r>
        <w:rPr>
          <w:sz w:val="20"/>
        </w:rPr>
        <w:t>and compression</w:t>
      </w:r>
      <w:r>
        <w:rPr>
          <w:spacing w:val="-8"/>
          <w:sz w:val="20"/>
        </w:rPr>
        <w:t> </w:t>
      </w:r>
      <w:r>
        <w:rPr>
          <w:sz w:val="20"/>
        </w:rPr>
        <w:t>is</w:t>
      </w:r>
      <w:r>
        <w:rPr>
          <w:spacing w:val="-7"/>
          <w:sz w:val="20"/>
        </w:rPr>
        <w:t> </w:t>
      </w:r>
      <w:r>
        <w:rPr>
          <w:sz w:val="20"/>
        </w:rPr>
        <w:t>reported</w:t>
      </w:r>
      <w:r>
        <w:rPr>
          <w:spacing w:val="-8"/>
          <w:sz w:val="20"/>
        </w:rPr>
        <w:t> </w:t>
      </w:r>
      <w:r>
        <w:rPr>
          <w:sz w:val="20"/>
        </w:rPr>
        <w:t>for</w:t>
      </w:r>
      <w:r>
        <w:rPr>
          <w:spacing w:val="-7"/>
          <w:sz w:val="20"/>
        </w:rPr>
        <w:t> </w:t>
      </w:r>
      <w:r>
        <w:rPr>
          <w:sz w:val="20"/>
        </w:rPr>
        <w:t>this</w:t>
      </w:r>
      <w:r>
        <w:rPr>
          <w:spacing w:val="-8"/>
          <w:sz w:val="20"/>
        </w:rPr>
        <w:t> </w:t>
      </w:r>
      <w:r>
        <w:rPr>
          <w:sz w:val="20"/>
        </w:rPr>
        <w:t>cycle</w:t>
      </w:r>
      <w:r>
        <w:rPr>
          <w:spacing w:val="-7"/>
          <w:sz w:val="20"/>
        </w:rPr>
        <w:t> </w:t>
      </w:r>
      <w:r>
        <w:rPr>
          <w:sz w:val="20"/>
        </w:rPr>
        <w:t>compared</w:t>
      </w:r>
      <w:r>
        <w:rPr>
          <w:spacing w:val="-7"/>
          <w:sz w:val="20"/>
        </w:rPr>
        <w:t> </w:t>
      </w:r>
      <w:r>
        <w:rPr>
          <w:sz w:val="20"/>
        </w:rPr>
        <w:t>to</w:t>
      </w:r>
      <w:r>
        <w:rPr>
          <w:spacing w:val="-8"/>
          <w:sz w:val="20"/>
        </w:rPr>
        <w:t> </w:t>
      </w:r>
      <w:r>
        <w:rPr>
          <w:sz w:val="20"/>
        </w:rPr>
        <w:t>40.9%</w:t>
      </w:r>
      <w:r>
        <w:rPr>
          <w:spacing w:val="-7"/>
          <w:sz w:val="20"/>
        </w:rPr>
        <w:t> </w:t>
      </w:r>
      <w:r>
        <w:rPr>
          <w:sz w:val="20"/>
        </w:rPr>
        <w:t>when a conventional cryogenic oxygen plant is used.</w:t>
      </w:r>
    </w:p>
    <w:p>
      <w:pPr>
        <w:pStyle w:val="BodyText"/>
        <w:spacing w:line="249" w:lineRule="auto" w:before="6"/>
        <w:ind w:left="241" w:right="733" w:firstLine="284"/>
        <w:jc w:val="both"/>
        <w:rPr>
          <w:sz w:val="11"/>
        </w:rPr>
      </w:pPr>
      <w:r>
        <w:rPr/>
        <w:t>For</w:t>
      </w:r>
      <w:r>
        <w:rPr>
          <w:spacing w:val="-11"/>
        </w:rPr>
        <w:t> </w:t>
      </w:r>
      <w:r>
        <w:rPr/>
        <w:t>autothermal</w:t>
      </w:r>
      <w:r>
        <w:rPr>
          <w:spacing w:val="-10"/>
        </w:rPr>
        <w:t> </w:t>
      </w:r>
      <w:r>
        <w:rPr/>
        <w:t>reforming</w:t>
      </w:r>
      <w:r>
        <w:rPr>
          <w:spacing w:val="-10"/>
        </w:rPr>
        <w:t> </w:t>
      </w:r>
      <w:r>
        <w:rPr/>
        <w:t>or</w:t>
      </w:r>
      <w:r>
        <w:rPr>
          <w:spacing w:val="-10"/>
        </w:rPr>
        <w:t> </w:t>
      </w:r>
      <w:r>
        <w:rPr/>
        <w:t>the</w:t>
      </w:r>
      <w:r>
        <w:rPr>
          <w:spacing w:val="-11"/>
        </w:rPr>
        <w:t> </w:t>
      </w:r>
      <w:r>
        <w:rPr/>
        <w:t>partial</w:t>
      </w:r>
      <w:r>
        <w:rPr>
          <w:spacing w:val="-10"/>
        </w:rPr>
        <w:t> </w:t>
      </w:r>
      <w:r>
        <w:rPr/>
        <w:t>oxidation</w:t>
      </w:r>
      <w:r>
        <w:rPr>
          <w:spacing w:val="-10"/>
        </w:rPr>
        <w:t> </w:t>
      </w:r>
      <w:r>
        <w:rPr/>
        <w:t>of</w:t>
      </w:r>
      <w:r>
        <w:rPr>
          <w:spacing w:val="-10"/>
        </w:rPr>
        <w:t> </w:t>
      </w:r>
      <w:r>
        <w:rPr/>
        <w:t>natural gas, if the permeate side of the oxygen transport membrane is exposed</w:t>
      </w:r>
      <w:r>
        <w:rPr>
          <w:spacing w:val="-19"/>
        </w:rPr>
        <w:t> </w:t>
      </w:r>
      <w:r>
        <w:rPr/>
        <w:t>to</w:t>
      </w:r>
      <w:r>
        <w:rPr>
          <w:spacing w:val="-19"/>
        </w:rPr>
        <w:t> </w:t>
      </w:r>
      <w:r>
        <w:rPr/>
        <w:t>a</w:t>
      </w:r>
      <w:r>
        <w:rPr>
          <w:spacing w:val="-19"/>
        </w:rPr>
        <w:t> </w:t>
      </w:r>
      <w:r>
        <w:rPr/>
        <w:t>natural</w:t>
      </w:r>
      <w:r>
        <w:rPr>
          <w:spacing w:val="-19"/>
        </w:rPr>
        <w:t> </w:t>
      </w:r>
      <w:r>
        <w:rPr/>
        <w:t>gas</w:t>
      </w:r>
      <w:r>
        <w:rPr>
          <w:spacing w:val="-18"/>
        </w:rPr>
        <w:t> </w:t>
      </w:r>
      <w:r>
        <w:rPr/>
        <w:t>plus</w:t>
      </w:r>
      <w:r>
        <w:rPr>
          <w:spacing w:val="-19"/>
        </w:rPr>
        <w:t> </w:t>
      </w:r>
      <w:r>
        <w:rPr/>
        <w:t>water</w:t>
      </w:r>
      <w:r>
        <w:rPr>
          <w:spacing w:val="-19"/>
        </w:rPr>
        <w:t> </w:t>
      </w:r>
      <w:r>
        <w:rPr/>
        <w:t>vapour</w:t>
      </w:r>
      <w:r>
        <w:rPr>
          <w:spacing w:val="-19"/>
        </w:rPr>
        <w:t> </w:t>
      </w:r>
      <w:r>
        <w:rPr/>
        <w:t>stream</w:t>
      </w:r>
      <w:r>
        <w:rPr>
          <w:spacing w:val="-19"/>
        </w:rPr>
        <w:t> </w:t>
      </w:r>
      <w:r>
        <w:rPr/>
        <w:t>in</w:t>
      </w:r>
      <w:r>
        <w:rPr>
          <w:spacing w:val="-18"/>
        </w:rPr>
        <w:t> </w:t>
      </w:r>
      <w:r>
        <w:rPr/>
        <w:t>the</w:t>
      </w:r>
      <w:r>
        <w:rPr>
          <w:spacing w:val="-19"/>
        </w:rPr>
        <w:t> </w:t>
      </w:r>
      <w:r>
        <w:rPr/>
        <w:t>presence of a reforming catalyst, the oxygen will react as it leaves the membrane</w:t>
      </w:r>
      <w:r>
        <w:rPr>
          <w:spacing w:val="-11"/>
        </w:rPr>
        <w:t> </w:t>
      </w:r>
      <w:r>
        <w:rPr/>
        <w:t>in</w:t>
      </w:r>
      <w:r>
        <w:rPr>
          <w:spacing w:val="-11"/>
        </w:rPr>
        <w:t> </w:t>
      </w:r>
      <w:r>
        <w:rPr/>
        <w:t>an</w:t>
      </w:r>
      <w:r>
        <w:rPr>
          <w:spacing w:val="-11"/>
        </w:rPr>
        <w:t> </w:t>
      </w:r>
      <w:r>
        <w:rPr/>
        <w:t>exothermic</w:t>
      </w:r>
      <w:r>
        <w:rPr>
          <w:spacing w:val="-11"/>
        </w:rPr>
        <w:t> </w:t>
      </w:r>
      <w:r>
        <w:rPr/>
        <w:t>reaction</w:t>
      </w:r>
      <w:r>
        <w:rPr>
          <w:spacing w:val="-11"/>
        </w:rPr>
        <w:t> </w:t>
      </w:r>
      <w:r>
        <w:rPr/>
        <w:t>(Dyer</w:t>
      </w:r>
      <w:r>
        <w:rPr>
          <w:spacing w:val="-12"/>
        </w:rPr>
        <w:t> </w:t>
      </w:r>
      <w:r>
        <w:rPr>
          <w:i/>
        </w:rPr>
        <w:t>et</w:t>
      </w:r>
      <w:r>
        <w:rPr>
          <w:i/>
          <w:spacing w:val="-11"/>
        </w:rPr>
        <w:t> </w:t>
      </w:r>
      <w:r>
        <w:rPr>
          <w:i/>
        </w:rPr>
        <w:t>al.</w:t>
      </w:r>
      <w:r>
        <w:rPr/>
        <w:t>,</w:t>
      </w:r>
      <w:r>
        <w:rPr>
          <w:spacing w:val="-11"/>
        </w:rPr>
        <w:t> </w:t>
      </w:r>
      <w:r>
        <w:rPr/>
        <w:t>2001;</w:t>
      </w:r>
      <w:r>
        <w:rPr>
          <w:spacing w:val="-11"/>
        </w:rPr>
        <w:t> </w:t>
      </w:r>
      <w:r>
        <w:rPr/>
        <w:t>Carolan </w:t>
      </w:r>
      <w:r>
        <w:rPr>
          <w:i/>
        </w:rPr>
        <w:t>et</w:t>
      </w:r>
      <w:r>
        <w:rPr>
          <w:i/>
          <w:spacing w:val="-14"/>
        </w:rPr>
        <w:t> </w:t>
      </w:r>
      <w:r>
        <w:rPr>
          <w:i/>
        </w:rPr>
        <w:t>al.</w:t>
      </w:r>
      <w:r>
        <w:rPr/>
        <w:t>,</w:t>
      </w:r>
      <w:r>
        <w:rPr>
          <w:spacing w:val="-13"/>
        </w:rPr>
        <w:t> </w:t>
      </w:r>
      <w:r>
        <w:rPr/>
        <w:t>2001),</w:t>
      </w:r>
      <w:r>
        <w:rPr>
          <w:spacing w:val="-13"/>
        </w:rPr>
        <w:t> </w:t>
      </w:r>
      <w:r>
        <w:rPr/>
        <w:t>which</w:t>
      </w:r>
      <w:r>
        <w:rPr>
          <w:spacing w:val="-13"/>
        </w:rPr>
        <w:t> </w:t>
      </w:r>
      <w:r>
        <w:rPr/>
        <w:t>will</w:t>
      </w:r>
      <w:r>
        <w:rPr>
          <w:spacing w:val="-14"/>
        </w:rPr>
        <w:t> </w:t>
      </w:r>
      <w:r>
        <w:rPr/>
        <w:t>provide</w:t>
      </w:r>
      <w:r>
        <w:rPr>
          <w:spacing w:val="-13"/>
        </w:rPr>
        <w:t> </w:t>
      </w:r>
      <w:r>
        <w:rPr/>
        <w:t>heat</w:t>
      </w:r>
      <w:r>
        <w:rPr>
          <w:spacing w:val="-13"/>
        </w:rPr>
        <w:t> </w:t>
      </w:r>
      <w:r>
        <w:rPr/>
        <w:t>for</w:t>
      </w:r>
      <w:r>
        <w:rPr>
          <w:spacing w:val="-13"/>
        </w:rPr>
        <w:t> </w:t>
      </w:r>
      <w:r>
        <w:rPr/>
        <w:t>the</w:t>
      </w:r>
      <w:r>
        <w:rPr>
          <w:spacing w:val="-14"/>
        </w:rPr>
        <w:t> </w:t>
      </w:r>
      <w:r>
        <w:rPr/>
        <w:t>endothermic</w:t>
      </w:r>
      <w:r>
        <w:rPr>
          <w:spacing w:val="-13"/>
        </w:rPr>
        <w:t> </w:t>
      </w:r>
      <w:r>
        <w:rPr/>
        <w:t>steam/ natural gas reforming reaction. The oxygen partial pressure </w:t>
      </w:r>
      <w:r>
        <w:rPr>
          <w:spacing w:val="-6"/>
        </w:rPr>
        <w:t>at </w:t>
      </w:r>
      <w:r>
        <w:rPr/>
        <w:t>these</w:t>
      </w:r>
      <w:r>
        <w:rPr>
          <w:spacing w:val="-15"/>
        </w:rPr>
        <w:t> </w:t>
      </w:r>
      <w:r>
        <w:rPr/>
        <w:t>highly-reducing,</w:t>
      </w:r>
      <w:r>
        <w:rPr>
          <w:spacing w:val="-15"/>
        </w:rPr>
        <w:t> </w:t>
      </w:r>
      <w:r>
        <w:rPr/>
        <w:t>high</w:t>
      </w:r>
      <w:r>
        <w:rPr>
          <w:spacing w:val="-14"/>
        </w:rPr>
        <w:t> </w:t>
      </w:r>
      <w:r>
        <w:rPr/>
        <w:t>temperature</w:t>
      </w:r>
      <w:r>
        <w:rPr>
          <w:spacing w:val="-15"/>
        </w:rPr>
        <w:t> </w:t>
      </w:r>
      <w:r>
        <w:rPr/>
        <w:t>conditions</w:t>
      </w:r>
      <w:r>
        <w:rPr>
          <w:spacing w:val="-14"/>
        </w:rPr>
        <w:t> </w:t>
      </w:r>
      <w:r>
        <w:rPr/>
        <w:t>is</w:t>
      </w:r>
      <w:r>
        <w:rPr>
          <w:spacing w:val="-14"/>
        </w:rPr>
        <w:t> </w:t>
      </w:r>
      <w:r>
        <w:rPr/>
        <w:t>extremely </w:t>
      </w:r>
      <w:r>
        <w:rPr>
          <w:spacing w:val="-4"/>
        </w:rPr>
        <w:t>low, </w:t>
      </w:r>
      <w:r>
        <w:rPr/>
        <w:t>allowing heated air at close to atmospheric pressure to </w:t>
      </w:r>
      <w:r>
        <w:rPr>
          <w:spacing w:val="-6"/>
        </w:rPr>
        <w:t>be </w:t>
      </w:r>
      <w:r>
        <w:rPr/>
        <w:t>used</w:t>
      </w:r>
      <w:r>
        <w:rPr>
          <w:spacing w:val="18"/>
        </w:rPr>
        <w:t> </w:t>
      </w:r>
      <w:r>
        <w:rPr/>
        <w:t>on</w:t>
      </w:r>
      <w:r>
        <w:rPr>
          <w:spacing w:val="19"/>
        </w:rPr>
        <w:t> </w:t>
      </w:r>
      <w:r>
        <w:rPr/>
        <w:t>the</w:t>
      </w:r>
      <w:r>
        <w:rPr>
          <w:spacing w:val="18"/>
        </w:rPr>
        <w:t> </w:t>
      </w:r>
      <w:r>
        <w:rPr/>
        <w:t>feed</w:t>
      </w:r>
      <w:r>
        <w:rPr>
          <w:spacing w:val="19"/>
        </w:rPr>
        <w:t> </w:t>
      </w:r>
      <w:r>
        <w:rPr/>
        <w:t>side</w:t>
      </w:r>
      <w:r>
        <w:rPr>
          <w:spacing w:val="19"/>
        </w:rPr>
        <w:t> </w:t>
      </w:r>
      <w:r>
        <w:rPr/>
        <w:t>of</w:t>
      </w:r>
      <w:r>
        <w:rPr>
          <w:spacing w:val="18"/>
        </w:rPr>
        <w:t> </w:t>
      </w:r>
      <w:r>
        <w:rPr/>
        <w:t>the</w:t>
      </w:r>
      <w:r>
        <w:rPr>
          <w:spacing w:val="19"/>
        </w:rPr>
        <w:t> </w:t>
      </w:r>
      <w:r>
        <w:rPr/>
        <w:t>membrane</w:t>
      </w:r>
      <w:r>
        <w:rPr>
          <w:spacing w:val="19"/>
        </w:rPr>
        <w:t> </w:t>
      </w:r>
      <w:r>
        <w:rPr/>
        <w:t>while</w:t>
      </w:r>
      <w:r>
        <w:rPr>
          <w:spacing w:val="18"/>
        </w:rPr>
        <w:t> </w:t>
      </w:r>
      <w:r>
        <w:rPr/>
        <w:t>producing</w:t>
      </w:r>
      <w:r>
        <w:rPr>
          <w:spacing w:val="19"/>
        </w:rPr>
        <w:t> </w:t>
      </w:r>
      <w:r>
        <w:rPr/>
        <w:t>a</w:t>
      </w:r>
      <w:r>
        <w:rPr>
          <w:spacing w:val="19"/>
        </w:rPr>
        <w:t> </w:t>
      </w:r>
      <w:r>
        <w:rPr/>
        <w:t>H</w:t>
      </w:r>
      <w:r>
        <w:rPr>
          <w:position w:val="-6"/>
          <w:sz w:val="11"/>
        </w:rPr>
        <w:t>2</w:t>
      </w:r>
    </w:p>
    <w:p>
      <w:pPr>
        <w:pStyle w:val="BodyText"/>
        <w:spacing w:line="188" w:lineRule="exact"/>
        <w:ind w:left="241"/>
        <w:jc w:val="both"/>
      </w:pPr>
      <w:r>
        <w:rPr/>
        <w:t>+</w:t>
      </w:r>
      <w:r>
        <w:rPr>
          <w:spacing w:val="26"/>
        </w:rPr>
        <w:t> </w:t>
      </w:r>
      <w:r>
        <w:rPr/>
        <w:t>CO</w:t>
      </w:r>
      <w:r>
        <w:rPr>
          <w:spacing w:val="27"/>
        </w:rPr>
        <w:t> </w:t>
      </w:r>
      <w:r>
        <w:rPr/>
        <w:t>mixture</w:t>
      </w:r>
      <w:r>
        <w:rPr>
          <w:spacing w:val="26"/>
        </w:rPr>
        <w:t> </w:t>
      </w:r>
      <w:r>
        <w:rPr/>
        <w:t>at</w:t>
      </w:r>
      <w:r>
        <w:rPr>
          <w:spacing w:val="27"/>
        </w:rPr>
        <w:t> </w:t>
      </w:r>
      <w:r>
        <w:rPr/>
        <w:t>high</w:t>
      </w:r>
      <w:r>
        <w:rPr>
          <w:spacing w:val="26"/>
        </w:rPr>
        <w:t> </w:t>
      </w:r>
      <w:r>
        <w:rPr/>
        <w:t>pressure</w:t>
      </w:r>
      <w:r>
        <w:rPr>
          <w:spacing w:val="27"/>
        </w:rPr>
        <w:t> </w:t>
      </w:r>
      <w:r>
        <w:rPr/>
        <w:t>from</w:t>
      </w:r>
      <w:r>
        <w:rPr>
          <w:spacing w:val="27"/>
        </w:rPr>
        <w:t> </w:t>
      </w:r>
      <w:r>
        <w:rPr/>
        <w:t>the</w:t>
      </w:r>
      <w:r>
        <w:rPr>
          <w:spacing w:val="26"/>
        </w:rPr>
        <w:t> </w:t>
      </w:r>
      <w:r>
        <w:rPr/>
        <w:t>permeate</w:t>
      </w:r>
      <w:r>
        <w:rPr>
          <w:spacing w:val="27"/>
        </w:rPr>
        <w:t> </w:t>
      </w:r>
      <w:r>
        <w:rPr/>
        <w:t>side.</w:t>
      </w:r>
      <w:r>
        <w:rPr>
          <w:spacing w:val="23"/>
        </w:rPr>
        <w:t> </w:t>
      </w:r>
      <w:r>
        <w:rPr/>
        <w:t>This</w:t>
      </w:r>
    </w:p>
    <w:p>
      <w:pPr>
        <w:pStyle w:val="BodyText"/>
        <w:spacing w:line="206" w:lineRule="auto" w:before="29"/>
        <w:ind w:left="241" w:right="735"/>
        <w:jc w:val="both"/>
      </w:pPr>
      <w:r>
        <w:rPr/>
        <w:t>system can be used to produce H</w:t>
      </w:r>
      <w:r>
        <w:rPr>
          <w:position w:val="-6"/>
          <w:sz w:val="11"/>
        </w:rPr>
        <w:t>2 </w:t>
      </w:r>
      <w:r>
        <w:rPr/>
        <w:t>following CO shift reaction and CO</w:t>
      </w:r>
      <w:r>
        <w:rPr>
          <w:position w:val="-6"/>
          <w:sz w:val="11"/>
        </w:rPr>
        <w:t>2 </w:t>
      </w:r>
      <w:r>
        <w:rPr/>
        <w:t>removal.</w:t>
      </w:r>
    </w:p>
    <w:p>
      <w:pPr>
        <w:pStyle w:val="ListParagraph"/>
        <w:numPr>
          <w:ilvl w:val="3"/>
          <w:numId w:val="22"/>
        </w:numPr>
        <w:tabs>
          <w:tab w:pos="1093" w:val="left" w:leader="none"/>
        </w:tabs>
        <w:spacing w:line="240" w:lineRule="auto" w:before="204" w:after="0"/>
        <w:ind w:left="1093" w:right="0" w:hanging="852"/>
        <w:jc w:val="both"/>
        <w:rPr>
          <w:i/>
          <w:sz w:val="20"/>
        </w:rPr>
      </w:pPr>
      <w:r>
        <w:rPr>
          <w:i/>
          <w:sz w:val="20"/>
        </w:rPr>
        <w:t>Chemical looping</w:t>
      </w:r>
      <w:r>
        <w:rPr>
          <w:i/>
          <w:spacing w:val="-2"/>
          <w:sz w:val="20"/>
        </w:rPr>
        <w:t> </w:t>
      </w:r>
      <w:r>
        <w:rPr>
          <w:i/>
          <w:sz w:val="20"/>
        </w:rPr>
        <w:t>gasification/reforming</w:t>
      </w:r>
    </w:p>
    <w:p>
      <w:pPr>
        <w:pStyle w:val="BodyText"/>
        <w:spacing w:line="240" w:lineRule="exact" w:before="5"/>
        <w:ind w:left="241" w:right="734"/>
        <w:jc w:val="both"/>
      </w:pPr>
      <w:r>
        <w:rPr/>
        <w:t>The chemical looping concept described in 3.4.6 is </w:t>
      </w:r>
      <w:r>
        <w:rPr>
          <w:spacing w:val="-3"/>
        </w:rPr>
        <w:t>being </w:t>
      </w:r>
      <w:r>
        <w:rPr/>
        <w:t>considered for reforming of a fuel to produce H</w:t>
      </w:r>
      <w:r>
        <w:rPr>
          <w:position w:val="-6"/>
          <w:sz w:val="11"/>
        </w:rPr>
        <w:t>2 </w:t>
      </w:r>
      <w:r>
        <w:rPr/>
        <w:t>and CO</w:t>
      </w:r>
      <w:r>
        <w:rPr>
          <w:spacing w:val="-32"/>
        </w:rPr>
        <w:t> </w:t>
      </w:r>
      <w:r>
        <w:rPr/>
        <w:t>(Zafar </w:t>
      </w:r>
      <w:r>
        <w:rPr>
          <w:i/>
        </w:rPr>
        <w:t>et al.</w:t>
      </w:r>
      <w:r>
        <w:rPr/>
        <w:t>, 2005). When the amount of oxygen brought by the metal oxide into the reduction reactor is below stoichiometric requirements, the chemical reaction with the fuel produces H</w:t>
      </w:r>
      <w:r>
        <w:rPr>
          <w:position w:val="-6"/>
          <w:sz w:val="11"/>
        </w:rPr>
        <w:t>2 </w:t>
      </w:r>
      <w:r>
        <w:rPr/>
        <w:t>and CO. The reaction products may subsequently be shifted with steam to yield CO</w:t>
      </w:r>
      <w:r>
        <w:rPr>
          <w:position w:val="-6"/>
          <w:sz w:val="11"/>
        </w:rPr>
        <w:t>2 </w:t>
      </w:r>
      <w:r>
        <w:rPr/>
        <w:t>and more</w:t>
      </w:r>
      <w:r>
        <w:rPr>
          <w:spacing w:val="-8"/>
        </w:rPr>
        <w:t> </w:t>
      </w:r>
      <w:r>
        <w:rPr/>
        <w:t>H</w:t>
      </w:r>
      <w:r>
        <w:rPr>
          <w:position w:val="-6"/>
          <w:sz w:val="11"/>
        </w:rPr>
        <w:t>2</w:t>
      </w:r>
      <w:r>
        <w:rPr/>
        <w:t>.</w:t>
      </w:r>
    </w:p>
    <w:p>
      <w:pPr>
        <w:pStyle w:val="BodyText"/>
        <w:spacing w:before="3"/>
        <w:rPr>
          <w:sz w:val="21"/>
        </w:rPr>
      </w:pPr>
    </w:p>
    <w:p>
      <w:pPr>
        <w:pStyle w:val="ListParagraph"/>
        <w:numPr>
          <w:ilvl w:val="3"/>
          <w:numId w:val="22"/>
        </w:numPr>
        <w:tabs>
          <w:tab w:pos="1093" w:val="left" w:leader="none"/>
        </w:tabs>
        <w:spacing w:line="240" w:lineRule="auto" w:before="1" w:after="0"/>
        <w:ind w:left="1092" w:right="0" w:hanging="852"/>
        <w:jc w:val="both"/>
        <w:rPr>
          <w:i/>
          <w:sz w:val="20"/>
        </w:rPr>
      </w:pPr>
      <w:r>
        <w:rPr>
          <w:i/>
          <w:sz w:val="20"/>
        </w:rPr>
        <w:t>Use of de-carbonized fuel in fuel</w:t>
      </w:r>
      <w:r>
        <w:rPr>
          <w:i/>
          <w:spacing w:val="-2"/>
          <w:sz w:val="20"/>
        </w:rPr>
        <w:t> </w:t>
      </w:r>
      <w:r>
        <w:rPr>
          <w:i/>
          <w:sz w:val="20"/>
        </w:rPr>
        <w:t>cells</w:t>
      </w:r>
    </w:p>
    <w:p>
      <w:pPr>
        <w:pStyle w:val="BodyText"/>
        <w:spacing w:line="249" w:lineRule="auto" w:before="10"/>
        <w:ind w:left="241" w:right="733" w:hanging="1"/>
        <w:jc w:val="both"/>
      </w:pPr>
      <w:r>
        <w:rPr/>
        <w:t>Fuel cells offer the possibility for highly efficient power production since the conversion process is not controlled by heat to work Carnot cycle restrictions (Blomen and Mugerwa, 1993).</w:t>
      </w:r>
      <w:r>
        <w:rPr>
          <w:spacing w:val="-18"/>
        </w:rPr>
        <w:t> </w:t>
      </w:r>
      <w:r>
        <w:rPr/>
        <w:t>In</w:t>
      </w:r>
      <w:r>
        <w:rPr>
          <w:spacing w:val="-18"/>
        </w:rPr>
        <w:t> </w:t>
      </w:r>
      <w:r>
        <w:rPr/>
        <w:t>general</w:t>
      </w:r>
      <w:r>
        <w:rPr>
          <w:spacing w:val="-17"/>
        </w:rPr>
        <w:t> </w:t>
      </w:r>
      <w:r>
        <w:rPr/>
        <w:t>fuel</w:t>
      </w:r>
      <w:r>
        <w:rPr>
          <w:spacing w:val="-18"/>
        </w:rPr>
        <w:t> </w:t>
      </w:r>
      <w:r>
        <w:rPr/>
        <w:t>cells</w:t>
      </w:r>
      <w:r>
        <w:rPr>
          <w:spacing w:val="-17"/>
        </w:rPr>
        <w:t> </w:t>
      </w:r>
      <w:r>
        <w:rPr/>
        <w:t>feature</w:t>
      </w:r>
      <w:r>
        <w:rPr>
          <w:spacing w:val="-18"/>
        </w:rPr>
        <w:t> </w:t>
      </w:r>
      <w:r>
        <w:rPr/>
        <w:t>the</w:t>
      </w:r>
      <w:r>
        <w:rPr>
          <w:spacing w:val="-17"/>
        </w:rPr>
        <w:t> </w:t>
      </w:r>
      <w:r>
        <w:rPr/>
        <w:t>electrochemical</w:t>
      </w:r>
      <w:r>
        <w:rPr>
          <w:spacing w:val="-19"/>
        </w:rPr>
        <w:t> </w:t>
      </w:r>
      <w:r>
        <w:rPr/>
        <w:t>oxidation of</w:t>
      </w:r>
      <w:r>
        <w:rPr>
          <w:spacing w:val="-12"/>
        </w:rPr>
        <w:t> </w:t>
      </w:r>
      <w:r>
        <w:rPr/>
        <w:t>gaseous</w:t>
      </w:r>
      <w:r>
        <w:rPr>
          <w:spacing w:val="-11"/>
        </w:rPr>
        <w:t> </w:t>
      </w:r>
      <w:r>
        <w:rPr/>
        <w:t>fuels</w:t>
      </w:r>
      <w:r>
        <w:rPr>
          <w:spacing w:val="-12"/>
        </w:rPr>
        <w:t> </w:t>
      </w:r>
      <w:r>
        <w:rPr/>
        <w:t>directly</w:t>
      </w:r>
      <w:r>
        <w:rPr>
          <w:spacing w:val="-11"/>
        </w:rPr>
        <w:t> </w:t>
      </w:r>
      <w:r>
        <w:rPr/>
        <w:t>into</w:t>
      </w:r>
      <w:r>
        <w:rPr>
          <w:spacing w:val="-11"/>
        </w:rPr>
        <w:t> </w:t>
      </w:r>
      <w:r>
        <w:rPr/>
        <w:t>electricity,</w:t>
      </w:r>
      <w:r>
        <w:rPr>
          <w:spacing w:val="-12"/>
        </w:rPr>
        <w:t> </w:t>
      </w:r>
      <w:r>
        <w:rPr/>
        <w:t>avoiding</w:t>
      </w:r>
      <w:r>
        <w:rPr>
          <w:spacing w:val="-11"/>
        </w:rPr>
        <w:t> </w:t>
      </w:r>
      <w:r>
        <w:rPr/>
        <w:t>the</w:t>
      </w:r>
      <w:r>
        <w:rPr>
          <w:spacing w:val="-12"/>
        </w:rPr>
        <w:t> </w:t>
      </w:r>
      <w:r>
        <w:rPr/>
        <w:t>mixture</w:t>
      </w:r>
      <w:r>
        <w:rPr>
          <w:spacing w:val="-11"/>
        </w:rPr>
        <w:t> </w:t>
      </w:r>
      <w:r>
        <w:rPr>
          <w:spacing w:val="-6"/>
        </w:rPr>
        <w:t>of </w:t>
      </w:r>
      <w:r>
        <w:rPr/>
        <w:t>the</w:t>
      </w:r>
      <w:r>
        <w:rPr>
          <w:spacing w:val="-10"/>
        </w:rPr>
        <w:t> </w:t>
      </w:r>
      <w:r>
        <w:rPr/>
        <w:t>air</w:t>
      </w:r>
      <w:r>
        <w:rPr>
          <w:spacing w:val="-9"/>
        </w:rPr>
        <w:t> </w:t>
      </w:r>
      <w:r>
        <w:rPr/>
        <w:t>and</w:t>
      </w:r>
      <w:r>
        <w:rPr>
          <w:spacing w:val="-10"/>
        </w:rPr>
        <w:t> </w:t>
      </w:r>
      <w:r>
        <w:rPr/>
        <w:t>the</w:t>
      </w:r>
      <w:r>
        <w:rPr>
          <w:spacing w:val="-9"/>
        </w:rPr>
        <w:t> </w:t>
      </w:r>
      <w:r>
        <w:rPr/>
        <w:t>fuel</w:t>
      </w:r>
      <w:r>
        <w:rPr>
          <w:spacing w:val="-10"/>
        </w:rPr>
        <w:t> </w:t>
      </w:r>
      <w:r>
        <w:rPr/>
        <w:t>flows</w:t>
      </w:r>
      <w:r>
        <w:rPr>
          <w:spacing w:val="-9"/>
        </w:rPr>
        <w:t> </w:t>
      </w:r>
      <w:r>
        <w:rPr/>
        <w:t>and</w:t>
      </w:r>
      <w:r>
        <w:rPr>
          <w:spacing w:val="-10"/>
        </w:rPr>
        <w:t> </w:t>
      </w:r>
      <w:r>
        <w:rPr/>
        <w:t>thus</w:t>
      </w:r>
      <w:r>
        <w:rPr>
          <w:spacing w:val="-9"/>
        </w:rPr>
        <w:t> </w:t>
      </w:r>
      <w:r>
        <w:rPr/>
        <w:t>the</w:t>
      </w:r>
      <w:r>
        <w:rPr>
          <w:spacing w:val="-9"/>
        </w:rPr>
        <w:t> </w:t>
      </w:r>
      <w:r>
        <w:rPr/>
        <w:t>dilution</w:t>
      </w:r>
      <w:r>
        <w:rPr>
          <w:spacing w:val="-10"/>
        </w:rPr>
        <w:t> </w:t>
      </w:r>
      <w:r>
        <w:rPr/>
        <w:t>with</w:t>
      </w:r>
      <w:r>
        <w:rPr>
          <w:spacing w:val="-9"/>
        </w:rPr>
        <w:t> </w:t>
      </w:r>
      <w:r>
        <w:rPr/>
        <w:t>nitrogen</w:t>
      </w:r>
      <w:r>
        <w:rPr>
          <w:spacing w:val="-10"/>
        </w:rPr>
        <w:t> </w:t>
      </w:r>
      <w:r>
        <w:rPr/>
        <w:t>and excess oxygen of the oxidized products (Campanari, 2002). As a</w:t>
      </w:r>
      <w:r>
        <w:rPr>
          <w:spacing w:val="-6"/>
        </w:rPr>
        <w:t> </w:t>
      </w:r>
      <w:r>
        <w:rPr/>
        <w:t>result,</w:t>
      </w:r>
      <w:r>
        <w:rPr>
          <w:spacing w:val="-5"/>
        </w:rPr>
        <w:t> </w:t>
      </w:r>
      <w:r>
        <w:rPr/>
        <w:t>the</w:t>
      </w:r>
      <w:r>
        <w:rPr>
          <w:spacing w:val="-6"/>
        </w:rPr>
        <w:t> </w:t>
      </w:r>
      <w:r>
        <w:rPr/>
        <w:t>anode</w:t>
      </w:r>
      <w:r>
        <w:rPr>
          <w:spacing w:val="-5"/>
        </w:rPr>
        <w:t> </w:t>
      </w:r>
      <w:r>
        <w:rPr/>
        <w:t>outlet</w:t>
      </w:r>
      <w:r>
        <w:rPr>
          <w:spacing w:val="-5"/>
        </w:rPr>
        <w:t> </w:t>
      </w:r>
      <w:r>
        <w:rPr/>
        <w:t>stream</w:t>
      </w:r>
      <w:r>
        <w:rPr>
          <w:spacing w:val="-6"/>
        </w:rPr>
        <w:t> </w:t>
      </w:r>
      <w:r>
        <w:rPr/>
        <w:t>of</w:t>
      </w:r>
      <w:r>
        <w:rPr>
          <w:spacing w:val="-5"/>
        </w:rPr>
        <w:t> </w:t>
      </w:r>
      <w:r>
        <w:rPr/>
        <w:t>a</w:t>
      </w:r>
      <w:r>
        <w:rPr>
          <w:spacing w:val="-5"/>
        </w:rPr>
        <w:t> </w:t>
      </w:r>
      <w:r>
        <w:rPr/>
        <w:t>fuel</w:t>
      </w:r>
      <w:r>
        <w:rPr>
          <w:spacing w:val="-6"/>
        </w:rPr>
        <w:t> </w:t>
      </w:r>
      <w:r>
        <w:rPr/>
        <w:t>cell</w:t>
      </w:r>
      <w:r>
        <w:rPr>
          <w:spacing w:val="-5"/>
        </w:rPr>
        <w:t> </w:t>
      </w:r>
      <w:r>
        <w:rPr/>
        <w:t>already</w:t>
      </w:r>
      <w:r>
        <w:rPr>
          <w:spacing w:val="-6"/>
        </w:rPr>
        <w:t> </w:t>
      </w:r>
      <w:r>
        <w:rPr/>
        <w:t>has</w:t>
      </w:r>
      <w:r>
        <w:rPr>
          <w:spacing w:val="-5"/>
        </w:rPr>
        <w:t> </w:t>
      </w:r>
      <w:r>
        <w:rPr/>
        <w:t>a</w:t>
      </w:r>
      <w:r>
        <w:rPr>
          <w:spacing w:val="-5"/>
        </w:rPr>
        <w:t> </w:t>
      </w:r>
      <w:r>
        <w:rPr/>
        <w:t>very</w:t>
      </w:r>
    </w:p>
    <w:p>
      <w:pPr>
        <w:spacing w:after="0" w:line="249" w:lineRule="auto"/>
        <w:jc w:val="both"/>
        <w:sectPr>
          <w:type w:val="continuous"/>
          <w:pgSz w:w="12240" w:h="15840"/>
          <w:pgMar w:top="480" w:bottom="280" w:left="620" w:right="0"/>
          <w:cols w:num="2" w:equalWidth="0">
            <w:col w:w="5559" w:space="40"/>
            <w:col w:w="6021"/>
          </w:cols>
        </w:sectPr>
      </w:pPr>
    </w:p>
    <w:p>
      <w:pPr>
        <w:pStyle w:val="BodyText"/>
      </w:pPr>
    </w:p>
    <w:p>
      <w:pPr>
        <w:pStyle w:val="BodyText"/>
        <w:spacing w:before="9"/>
        <w:rPr>
          <w:sz w:val="16"/>
        </w:rPr>
      </w:pPr>
    </w:p>
    <w:p>
      <w:pPr>
        <w:spacing w:after="0"/>
        <w:rPr>
          <w:sz w:val="16"/>
        </w:rPr>
        <w:sectPr>
          <w:pgSz w:w="12240" w:h="15840"/>
          <w:pgMar w:header="567" w:footer="0" w:top="760" w:bottom="280" w:left="620" w:right="0"/>
        </w:sectPr>
      </w:pPr>
    </w:p>
    <w:p>
      <w:pPr>
        <w:pStyle w:val="BodyText"/>
        <w:spacing w:line="240" w:lineRule="exact" w:before="58"/>
        <w:ind w:left="117" w:right="39"/>
        <w:jc w:val="both"/>
      </w:pPr>
      <w:bookmarkStart w:name="3.5.5 Status and outlook" w:id="56"/>
      <w:bookmarkEnd w:id="56"/>
      <w:r>
        <w:rPr/>
      </w:r>
      <w:r>
        <w:rPr/>
        <w:t>high CO</w:t>
      </w:r>
      <w:r>
        <w:rPr>
          <w:position w:val="-6"/>
          <w:sz w:val="11"/>
        </w:rPr>
        <w:t>2 </w:t>
      </w:r>
      <w:r>
        <w:rPr/>
        <w:t>content that simplifies the CO</w:t>
      </w:r>
      <w:r>
        <w:rPr>
          <w:position w:val="-6"/>
          <w:sz w:val="11"/>
        </w:rPr>
        <w:t>2 </w:t>
      </w:r>
      <w:r>
        <w:rPr/>
        <w:t>capture subsystem. The fuel is normally natural gas, though some concepts </w:t>
      </w:r>
      <w:r>
        <w:rPr>
          <w:spacing w:val="-5"/>
        </w:rPr>
        <w:t>can </w:t>
      </w:r>
      <w:r>
        <w:rPr/>
        <w:t>also</w:t>
      </w:r>
      <w:r>
        <w:rPr>
          <w:spacing w:val="-12"/>
        </w:rPr>
        <w:t> </w:t>
      </w:r>
      <w:r>
        <w:rPr/>
        <w:t>be</w:t>
      </w:r>
      <w:r>
        <w:rPr>
          <w:spacing w:val="-12"/>
        </w:rPr>
        <w:t> </w:t>
      </w:r>
      <w:r>
        <w:rPr/>
        <w:t>incorporated</w:t>
      </w:r>
      <w:r>
        <w:rPr>
          <w:spacing w:val="-13"/>
        </w:rPr>
        <w:t> </w:t>
      </w:r>
      <w:r>
        <w:rPr/>
        <w:t>into</w:t>
      </w:r>
      <w:r>
        <w:rPr>
          <w:spacing w:val="-12"/>
        </w:rPr>
        <w:t> </w:t>
      </w:r>
      <w:r>
        <w:rPr/>
        <w:t>coal</w:t>
      </w:r>
      <w:r>
        <w:rPr>
          <w:spacing w:val="-12"/>
        </w:rPr>
        <w:t> </w:t>
      </w:r>
      <w:r>
        <w:rPr/>
        <w:t>gasification</w:t>
      </w:r>
      <w:r>
        <w:rPr>
          <w:spacing w:val="-12"/>
        </w:rPr>
        <w:t> </w:t>
      </w:r>
      <w:r>
        <w:rPr/>
        <w:t>systems.</w:t>
      </w:r>
      <w:r>
        <w:rPr>
          <w:spacing w:val="-15"/>
        </w:rPr>
        <w:t> </w:t>
      </w:r>
      <w:r>
        <w:rPr/>
        <w:t>The</w:t>
      </w:r>
      <w:r>
        <w:rPr>
          <w:spacing w:val="-12"/>
        </w:rPr>
        <w:t> </w:t>
      </w:r>
      <w:r>
        <w:rPr/>
        <w:t>systems concepts can be classified into two main groups (Goettlicher, 1999):</w:t>
      </w:r>
    </w:p>
    <w:p>
      <w:pPr>
        <w:pStyle w:val="ListParagraph"/>
        <w:numPr>
          <w:ilvl w:val="2"/>
          <w:numId w:val="19"/>
        </w:numPr>
        <w:tabs>
          <w:tab w:pos="401" w:val="left" w:leader="none"/>
        </w:tabs>
        <w:spacing w:line="260" w:lineRule="exact" w:before="5" w:after="0"/>
        <w:ind w:left="400" w:right="0" w:hanging="284"/>
        <w:jc w:val="both"/>
        <w:rPr>
          <w:sz w:val="20"/>
        </w:rPr>
      </w:pPr>
      <w:r>
        <w:rPr>
          <w:sz w:val="20"/>
        </w:rPr>
        <w:t>Systems with pre-fuel cell CO</w:t>
      </w:r>
      <w:r>
        <w:rPr>
          <w:position w:val="-6"/>
          <w:sz w:val="11"/>
        </w:rPr>
        <w:t>2</w:t>
      </w:r>
      <w:r>
        <w:rPr>
          <w:spacing w:val="14"/>
          <w:position w:val="-6"/>
          <w:sz w:val="11"/>
        </w:rPr>
        <w:t> </w:t>
      </w:r>
      <w:r>
        <w:rPr>
          <w:sz w:val="20"/>
        </w:rPr>
        <w:t>capture;</w:t>
      </w:r>
    </w:p>
    <w:p>
      <w:pPr>
        <w:pStyle w:val="ListParagraph"/>
        <w:numPr>
          <w:ilvl w:val="2"/>
          <w:numId w:val="19"/>
        </w:numPr>
        <w:tabs>
          <w:tab w:pos="401" w:val="left" w:leader="none"/>
        </w:tabs>
        <w:spacing w:line="213" w:lineRule="auto" w:before="0" w:after="0"/>
        <w:ind w:left="400" w:right="0" w:hanging="284"/>
        <w:jc w:val="both"/>
        <w:rPr>
          <w:sz w:val="20"/>
        </w:rPr>
      </w:pPr>
      <w:r>
        <w:rPr>
          <w:sz w:val="20"/>
        </w:rPr>
        <w:t>Systems with post-fuel cell CO</w:t>
      </w:r>
      <w:r>
        <w:rPr>
          <w:position w:val="-6"/>
          <w:sz w:val="11"/>
        </w:rPr>
        <w:t>2</w:t>
      </w:r>
      <w:r>
        <w:rPr>
          <w:spacing w:val="14"/>
          <w:position w:val="-6"/>
          <w:sz w:val="11"/>
        </w:rPr>
        <w:t> </w:t>
      </w:r>
      <w:r>
        <w:rPr>
          <w:sz w:val="20"/>
        </w:rPr>
        <w:t>capture.</w:t>
      </w:r>
    </w:p>
    <w:p>
      <w:pPr>
        <w:pStyle w:val="BodyText"/>
        <w:spacing w:line="240" w:lineRule="exact" w:before="199"/>
        <w:ind w:left="116" w:right="39"/>
        <w:jc w:val="both"/>
      </w:pPr>
      <w:r>
        <w:rPr/>
        <w:t>In pre-fuel cell CO</w:t>
      </w:r>
      <w:r>
        <w:rPr>
          <w:position w:val="-6"/>
          <w:sz w:val="11"/>
        </w:rPr>
        <w:t>2 </w:t>
      </w:r>
      <w:r>
        <w:rPr/>
        <w:t>capture systems (see Figure 3.18a) the  fuel is first converted into hydrogen using steam reforming or coal gasification, followed by the water gas shift conversion. This system approach has been first proposed both for low temperature and for high temperature fuel cells.</w:t>
      </w:r>
    </w:p>
    <w:p>
      <w:pPr>
        <w:pStyle w:val="BodyText"/>
        <w:spacing w:line="240" w:lineRule="exact"/>
        <w:ind w:left="117" w:right="38" w:firstLine="284"/>
        <w:jc w:val="both"/>
      </w:pPr>
      <w:r>
        <w:rPr/>
        <w:t>The post-fuel cell capture system (see Figure 3.18b) is proposed for high temperature fuel cell systems (Dijkstra and Jansen,</w:t>
      </w:r>
      <w:r>
        <w:rPr>
          <w:spacing w:val="-18"/>
        </w:rPr>
        <w:t> </w:t>
      </w:r>
      <w:r>
        <w:rPr/>
        <w:t>2003).</w:t>
      </w:r>
      <w:r>
        <w:rPr>
          <w:spacing w:val="-20"/>
        </w:rPr>
        <w:t> </w:t>
      </w:r>
      <w:r>
        <w:rPr/>
        <w:t>These</w:t>
      </w:r>
      <w:r>
        <w:rPr>
          <w:spacing w:val="-17"/>
        </w:rPr>
        <w:t> </w:t>
      </w:r>
      <w:r>
        <w:rPr/>
        <w:t>systems</w:t>
      </w:r>
      <w:r>
        <w:rPr>
          <w:spacing w:val="-17"/>
        </w:rPr>
        <w:t> </w:t>
      </w:r>
      <w:r>
        <w:rPr/>
        <w:t>make</w:t>
      </w:r>
      <w:r>
        <w:rPr>
          <w:spacing w:val="-18"/>
        </w:rPr>
        <w:t> </w:t>
      </w:r>
      <w:r>
        <w:rPr/>
        <w:t>use</w:t>
      </w:r>
      <w:r>
        <w:rPr>
          <w:spacing w:val="-16"/>
        </w:rPr>
        <w:t> </w:t>
      </w:r>
      <w:r>
        <w:rPr/>
        <w:t>of</w:t>
      </w:r>
      <w:r>
        <w:rPr>
          <w:spacing w:val="-16"/>
        </w:rPr>
        <w:t> </w:t>
      </w:r>
      <w:r>
        <w:rPr/>
        <w:t>the</w:t>
      </w:r>
      <w:r>
        <w:rPr>
          <w:spacing w:val="-17"/>
        </w:rPr>
        <w:t> </w:t>
      </w:r>
      <w:r>
        <w:rPr/>
        <w:t>internal</w:t>
      </w:r>
      <w:r>
        <w:rPr>
          <w:spacing w:val="-18"/>
        </w:rPr>
        <w:t> </w:t>
      </w:r>
      <w:r>
        <w:rPr/>
        <w:t>reforming capabilities of the high temperature fuel cells resulting in </w:t>
      </w:r>
      <w:r>
        <w:rPr>
          <w:spacing w:val="-6"/>
        </w:rPr>
        <w:t>an </w:t>
      </w:r>
      <w:r>
        <w:rPr/>
        <w:t>anode off-gas that has a high CO</w:t>
      </w:r>
      <w:r>
        <w:rPr>
          <w:position w:val="-6"/>
          <w:sz w:val="11"/>
        </w:rPr>
        <w:t>2</w:t>
      </w:r>
      <w:r>
        <w:rPr/>
        <w:t>-content, but also contains H</w:t>
      </w:r>
      <w:r>
        <w:rPr>
          <w:position w:val="-6"/>
          <w:sz w:val="11"/>
        </w:rPr>
        <w:t>2</w:t>
      </w:r>
      <w:r>
        <w:rPr/>
        <w:t>O and unconverted CO and H</w:t>
      </w:r>
      <w:r>
        <w:rPr>
          <w:position w:val="-6"/>
          <w:sz w:val="11"/>
        </w:rPr>
        <w:t>2</w:t>
      </w:r>
      <w:r>
        <w:rPr/>
        <w:t>. The water can easily be removed by conventional techniques (cooling, knock-out, additional drying). Oxidizing the H</w:t>
      </w:r>
      <w:r>
        <w:rPr>
          <w:position w:val="-6"/>
          <w:sz w:val="11"/>
        </w:rPr>
        <w:t>2 </w:t>
      </w:r>
      <w:r>
        <w:rPr/>
        <w:t>and CO from the (SOFC) anode with air will result in a too high dilution of the stream with</w:t>
      </w:r>
      <w:r>
        <w:rPr>
          <w:spacing w:val="-2"/>
        </w:rPr>
        <w:t> </w:t>
      </w:r>
      <w:r>
        <w:rPr/>
        <w:t>nitrogen.</w:t>
      </w:r>
    </w:p>
    <w:p>
      <w:pPr>
        <w:pStyle w:val="BodyText"/>
        <w:spacing w:line="240" w:lineRule="exact"/>
        <w:ind w:left="117" w:right="38" w:firstLine="284"/>
        <w:jc w:val="both"/>
      </w:pPr>
      <w:r>
        <w:rPr/>
        <w:t>Haines</w:t>
      </w:r>
      <w:r>
        <w:rPr>
          <w:spacing w:val="-21"/>
        </w:rPr>
        <w:t> </w:t>
      </w:r>
      <w:r>
        <w:rPr/>
        <w:t>(1999)</w:t>
      </w:r>
      <w:r>
        <w:rPr>
          <w:spacing w:val="-21"/>
        </w:rPr>
        <w:t> </w:t>
      </w:r>
      <w:r>
        <w:rPr/>
        <w:t>chooses</w:t>
      </w:r>
      <w:r>
        <w:rPr>
          <w:spacing w:val="-20"/>
        </w:rPr>
        <w:t> </w:t>
      </w:r>
      <w:r>
        <w:rPr/>
        <w:t>to</w:t>
      </w:r>
      <w:r>
        <w:rPr>
          <w:spacing w:val="-21"/>
        </w:rPr>
        <w:t> </w:t>
      </w:r>
      <w:r>
        <w:rPr/>
        <w:t>use</w:t>
      </w:r>
      <w:r>
        <w:rPr>
          <w:spacing w:val="-21"/>
        </w:rPr>
        <w:t> </w:t>
      </w:r>
      <w:r>
        <w:rPr/>
        <w:t>an</w:t>
      </w:r>
      <w:r>
        <w:rPr>
          <w:spacing w:val="-20"/>
        </w:rPr>
        <w:t> </w:t>
      </w:r>
      <w:r>
        <w:rPr/>
        <w:t>oxygen-transport</w:t>
      </w:r>
      <w:r>
        <w:rPr>
          <w:spacing w:val="-21"/>
        </w:rPr>
        <w:t> </w:t>
      </w:r>
      <w:r>
        <w:rPr/>
        <w:t>membrane reactor placed after the SOFC. The anode off-gas is fed to one side of the membrane, the cathode off-gas is fed to the other side of the membrane. The membrane is selective to oxygen, which permeates from the cathode off-gas stream to the</w:t>
      </w:r>
      <w:r>
        <w:rPr>
          <w:spacing w:val="-22"/>
        </w:rPr>
        <w:t> </w:t>
      </w:r>
      <w:r>
        <w:rPr/>
        <w:t>anode- off gas. In the membrane unit the H</w:t>
      </w:r>
      <w:r>
        <w:rPr>
          <w:position w:val="-6"/>
          <w:sz w:val="11"/>
        </w:rPr>
        <w:t>2 </w:t>
      </w:r>
      <w:r>
        <w:rPr/>
        <w:t>and CO are oxidized. </w:t>
      </w:r>
      <w:r>
        <w:rPr>
          <w:spacing w:val="-4"/>
        </w:rPr>
        <w:t>The </w:t>
      </w:r>
      <w:r>
        <w:rPr/>
        <w:t>retenate</w:t>
      </w:r>
      <w:r>
        <w:rPr>
          <w:spacing w:val="-7"/>
        </w:rPr>
        <w:t> </w:t>
      </w:r>
      <w:r>
        <w:rPr/>
        <w:t>of</w:t>
      </w:r>
      <w:r>
        <w:rPr>
          <w:spacing w:val="-6"/>
        </w:rPr>
        <w:t> </w:t>
      </w:r>
      <w:r>
        <w:rPr/>
        <w:t>the</w:t>
      </w:r>
      <w:r>
        <w:rPr>
          <w:spacing w:val="-6"/>
        </w:rPr>
        <w:t> </w:t>
      </w:r>
      <w:r>
        <w:rPr/>
        <w:t>membrane</w:t>
      </w:r>
      <w:r>
        <w:rPr>
          <w:spacing w:val="-7"/>
        </w:rPr>
        <w:t> </w:t>
      </w:r>
      <w:r>
        <w:rPr/>
        <w:t>unit</w:t>
      </w:r>
      <w:r>
        <w:rPr>
          <w:spacing w:val="-6"/>
        </w:rPr>
        <w:t> </w:t>
      </w:r>
      <w:r>
        <w:rPr/>
        <w:t>consist</w:t>
      </w:r>
      <w:r>
        <w:rPr>
          <w:spacing w:val="-6"/>
        </w:rPr>
        <w:t> </w:t>
      </w:r>
      <w:r>
        <w:rPr/>
        <w:t>of</w:t>
      </w:r>
      <w:r>
        <w:rPr>
          <w:spacing w:val="-6"/>
        </w:rPr>
        <w:t> </w:t>
      </w:r>
      <w:r>
        <w:rPr/>
        <w:t>CO</w:t>
      </w:r>
      <w:r>
        <w:rPr>
          <w:position w:val="-6"/>
          <w:sz w:val="11"/>
        </w:rPr>
        <w:t>2</w:t>
      </w:r>
      <w:r>
        <w:rPr>
          <w:spacing w:val="16"/>
          <w:position w:val="-6"/>
          <w:sz w:val="11"/>
        </w:rPr>
        <w:t> </w:t>
      </w:r>
      <w:r>
        <w:rPr/>
        <w:t>and</w:t>
      </w:r>
      <w:r>
        <w:rPr>
          <w:spacing w:val="-7"/>
        </w:rPr>
        <w:t> </w:t>
      </w:r>
      <w:r>
        <w:rPr>
          <w:spacing w:val="-3"/>
        </w:rPr>
        <w:t>water.</w:t>
      </w:r>
      <w:r>
        <w:rPr>
          <w:spacing w:val="-6"/>
        </w:rPr>
        <w:t> </w:t>
      </w:r>
      <w:r>
        <w:rPr/>
        <w:t>Finally a concept using a water gas shift membrane reactor has been proposed (Jansen and Dijkstra,</w:t>
      </w:r>
      <w:r>
        <w:rPr>
          <w:spacing w:val="-2"/>
        </w:rPr>
        <w:t> </w:t>
      </w:r>
      <w:r>
        <w:rPr/>
        <w:t>2003).</w:t>
      </w:r>
    </w:p>
    <w:p>
      <w:pPr>
        <w:pStyle w:val="BodyText"/>
        <w:spacing w:before="4"/>
        <w:rPr>
          <w:sz w:val="21"/>
        </w:rPr>
      </w:pPr>
    </w:p>
    <w:p>
      <w:pPr>
        <w:pStyle w:val="Heading2"/>
        <w:numPr>
          <w:ilvl w:val="2"/>
          <w:numId w:val="22"/>
        </w:numPr>
        <w:tabs>
          <w:tab w:pos="937" w:val="left" w:leader="none"/>
        </w:tabs>
        <w:spacing w:line="240" w:lineRule="auto" w:before="0" w:after="0"/>
        <w:ind w:left="937" w:right="0" w:hanging="820"/>
        <w:jc w:val="both"/>
        <w:rPr>
          <w:i/>
        </w:rPr>
      </w:pPr>
      <w:r>
        <w:rPr>
          <w:i/>
        </w:rPr>
        <w:t>Status and</w:t>
      </w:r>
      <w:r>
        <w:rPr>
          <w:i/>
          <w:spacing w:val="-2"/>
        </w:rPr>
        <w:t> </w:t>
      </w:r>
      <w:r>
        <w:rPr>
          <w:i/>
        </w:rPr>
        <w:t>outlook</w:t>
      </w:r>
    </w:p>
    <w:p>
      <w:pPr>
        <w:pStyle w:val="BodyText"/>
        <w:spacing w:before="3"/>
        <w:rPr>
          <w:b/>
          <w:i/>
          <w:sz w:val="21"/>
        </w:rPr>
      </w:pPr>
    </w:p>
    <w:p>
      <w:pPr>
        <w:pStyle w:val="BodyText"/>
        <w:spacing w:line="240" w:lineRule="exact"/>
        <w:ind w:left="117" w:right="38"/>
        <w:jc w:val="both"/>
      </w:pPr>
      <w:r>
        <w:rPr/>
        <w:t>This section reviewed a wide variety of processes and fuel conversion routes that share a common objective: to produce a cleaner fuel stream from the conversion of a raw carbonaceous fuel</w:t>
      </w:r>
      <w:r>
        <w:rPr>
          <w:spacing w:val="-15"/>
        </w:rPr>
        <w:t> </w:t>
      </w:r>
      <w:r>
        <w:rPr/>
        <w:t>into</w:t>
      </w:r>
      <w:r>
        <w:rPr>
          <w:spacing w:val="-14"/>
        </w:rPr>
        <w:t> </w:t>
      </w:r>
      <w:r>
        <w:rPr/>
        <w:t>one</w:t>
      </w:r>
      <w:r>
        <w:rPr>
          <w:spacing w:val="-14"/>
        </w:rPr>
        <w:t> </w:t>
      </w:r>
      <w:r>
        <w:rPr/>
        <w:t>that</w:t>
      </w:r>
      <w:r>
        <w:rPr>
          <w:spacing w:val="-14"/>
        </w:rPr>
        <w:t> </w:t>
      </w:r>
      <w:r>
        <w:rPr/>
        <w:t>contains</w:t>
      </w:r>
      <w:r>
        <w:rPr>
          <w:spacing w:val="-14"/>
        </w:rPr>
        <w:t> </w:t>
      </w:r>
      <w:r>
        <w:rPr/>
        <w:t>little,</w:t>
      </w:r>
      <w:r>
        <w:rPr>
          <w:spacing w:val="-14"/>
        </w:rPr>
        <w:t> </w:t>
      </w:r>
      <w:r>
        <w:rPr/>
        <w:t>or</w:t>
      </w:r>
      <w:r>
        <w:rPr>
          <w:spacing w:val="-14"/>
        </w:rPr>
        <w:t> </w:t>
      </w:r>
      <w:r>
        <w:rPr/>
        <w:t>none,</w:t>
      </w:r>
      <w:r>
        <w:rPr>
          <w:spacing w:val="-14"/>
        </w:rPr>
        <w:t> </w:t>
      </w:r>
      <w:r>
        <w:rPr/>
        <w:t>of</w:t>
      </w:r>
      <w:r>
        <w:rPr>
          <w:spacing w:val="-14"/>
        </w:rPr>
        <w:t> </w:t>
      </w:r>
      <w:r>
        <w:rPr/>
        <w:t>the</w:t>
      </w:r>
      <w:r>
        <w:rPr>
          <w:spacing w:val="-14"/>
        </w:rPr>
        <w:t> </w:t>
      </w:r>
      <w:r>
        <w:rPr/>
        <w:t>carbon</w:t>
      </w:r>
      <w:r>
        <w:rPr>
          <w:spacing w:val="-14"/>
        </w:rPr>
        <w:t> </w:t>
      </w:r>
      <w:r>
        <w:rPr/>
        <w:t>contained in the original fuel. This approach necessarily involves </w:t>
      </w:r>
      <w:r>
        <w:rPr>
          <w:spacing w:val="-5"/>
        </w:rPr>
        <w:t>the </w:t>
      </w:r>
      <w:r>
        <w:rPr/>
        <w:t>separation of CO</w:t>
      </w:r>
      <w:r>
        <w:rPr>
          <w:position w:val="-6"/>
          <w:sz w:val="11"/>
        </w:rPr>
        <w:t>2 </w:t>
      </w:r>
      <w:r>
        <w:rPr/>
        <w:t>at some point in the conversion process.  The resulting H</w:t>
      </w:r>
      <w:r>
        <w:rPr>
          <w:position w:val="-6"/>
          <w:sz w:val="11"/>
        </w:rPr>
        <w:t>2</w:t>
      </w:r>
      <w:r>
        <w:rPr/>
        <w:t>-rich fuel can be fed to a hydrogen consuming process, oxidized in a fuel cell, or burned in the combustion chamber of a gas turbine to produce electricity. In systems that operate</w:t>
      </w:r>
      <w:r>
        <w:rPr>
          <w:spacing w:val="-12"/>
        </w:rPr>
        <w:t> </w:t>
      </w:r>
      <w:r>
        <w:rPr/>
        <w:t>at</w:t>
      </w:r>
      <w:r>
        <w:rPr>
          <w:spacing w:val="-12"/>
        </w:rPr>
        <w:t> </w:t>
      </w:r>
      <w:r>
        <w:rPr/>
        <w:t>high</w:t>
      </w:r>
      <w:r>
        <w:rPr>
          <w:spacing w:val="-12"/>
        </w:rPr>
        <w:t> </w:t>
      </w:r>
      <w:r>
        <w:rPr/>
        <w:t>pressure,</w:t>
      </w:r>
      <w:r>
        <w:rPr>
          <w:spacing w:val="-12"/>
        </w:rPr>
        <w:t> </w:t>
      </w:r>
      <w:r>
        <w:rPr/>
        <w:t>the</w:t>
      </w:r>
      <w:r>
        <w:rPr>
          <w:spacing w:val="-11"/>
        </w:rPr>
        <w:t> </w:t>
      </w:r>
      <w:r>
        <w:rPr/>
        <w:t>energy</w:t>
      </w:r>
      <w:r>
        <w:rPr>
          <w:spacing w:val="-13"/>
        </w:rPr>
        <w:t> </w:t>
      </w:r>
      <w:r>
        <w:rPr/>
        <w:t>conversion</w:t>
      </w:r>
      <w:r>
        <w:rPr>
          <w:spacing w:val="-13"/>
        </w:rPr>
        <w:t> </w:t>
      </w:r>
      <w:r>
        <w:rPr/>
        <w:t>efficiencies</w:t>
      </w:r>
      <w:r>
        <w:rPr>
          <w:spacing w:val="-13"/>
        </w:rPr>
        <w:t> </w:t>
      </w:r>
      <w:r>
        <w:rPr>
          <w:spacing w:val="-3"/>
        </w:rPr>
        <w:t>tend </w:t>
      </w:r>
      <w:r>
        <w:rPr/>
        <w:t>to be higher when compared to equivalent systems operating at low pressures following the combustion route, but </w:t>
      </w:r>
      <w:r>
        <w:rPr>
          <w:spacing w:val="-3"/>
        </w:rPr>
        <w:t>these </w:t>
      </w:r>
      <w:r>
        <w:rPr/>
        <w:t>efficiency improvements are often obtained at the expense of </w:t>
      </w:r>
      <w:r>
        <w:rPr>
          <w:spacing w:val="-12"/>
        </w:rPr>
        <w:t>a </w:t>
      </w:r>
      <w:r>
        <w:rPr/>
        <w:t>higher complexity and capital investment in process plants</w:t>
      </w:r>
      <w:r>
        <w:rPr>
          <w:spacing w:val="-23"/>
        </w:rPr>
        <w:t> </w:t>
      </w:r>
      <w:r>
        <w:rPr>
          <w:spacing w:val="-4"/>
        </w:rPr>
        <w:t>(see </w:t>
      </w:r>
      <w:r>
        <w:rPr/>
        <w:t>Section</w:t>
      </w:r>
      <w:r>
        <w:rPr>
          <w:spacing w:val="-2"/>
        </w:rPr>
        <w:t> </w:t>
      </w:r>
      <w:r>
        <w:rPr/>
        <w:t>3.7).</w:t>
      </w:r>
    </w:p>
    <w:p>
      <w:pPr>
        <w:pStyle w:val="BodyText"/>
        <w:spacing w:line="249" w:lineRule="auto" w:before="6"/>
        <w:ind w:left="117" w:right="38" w:firstLine="284"/>
        <w:jc w:val="both"/>
      </w:pPr>
      <w:r>
        <w:rPr/>
        <w:t>In principle, all pre-combustion systems are substantially similar in their conversion routes, allowing for differences that arise from the initial method employed for syngas production from</w:t>
      </w:r>
      <w:r>
        <w:rPr>
          <w:spacing w:val="-15"/>
        </w:rPr>
        <w:t> </w:t>
      </w:r>
      <w:r>
        <w:rPr/>
        <w:t>gaseous,</w:t>
      </w:r>
      <w:r>
        <w:rPr>
          <w:spacing w:val="-15"/>
        </w:rPr>
        <w:t> </w:t>
      </w:r>
      <w:r>
        <w:rPr/>
        <w:t>liquid</w:t>
      </w:r>
      <w:r>
        <w:rPr>
          <w:spacing w:val="-14"/>
        </w:rPr>
        <w:t> </w:t>
      </w:r>
      <w:r>
        <w:rPr/>
        <w:t>or</w:t>
      </w:r>
      <w:r>
        <w:rPr>
          <w:spacing w:val="-15"/>
        </w:rPr>
        <w:t> </w:t>
      </w:r>
      <w:r>
        <w:rPr/>
        <w:t>solid</w:t>
      </w:r>
      <w:r>
        <w:rPr>
          <w:spacing w:val="-15"/>
        </w:rPr>
        <w:t> </w:t>
      </w:r>
      <w:r>
        <w:rPr/>
        <w:t>fuels</w:t>
      </w:r>
      <w:r>
        <w:rPr>
          <w:spacing w:val="-14"/>
        </w:rPr>
        <w:t> </w:t>
      </w:r>
      <w:r>
        <w:rPr/>
        <w:t>and</w:t>
      </w:r>
      <w:r>
        <w:rPr>
          <w:spacing w:val="-15"/>
        </w:rPr>
        <w:t> </w:t>
      </w:r>
      <w:r>
        <w:rPr/>
        <w:t>from</w:t>
      </w:r>
      <w:r>
        <w:rPr>
          <w:spacing w:val="-14"/>
        </w:rPr>
        <w:t> </w:t>
      </w:r>
      <w:r>
        <w:rPr/>
        <w:t>the</w:t>
      </w:r>
      <w:r>
        <w:rPr>
          <w:spacing w:val="-15"/>
        </w:rPr>
        <w:t> </w:t>
      </w:r>
      <w:r>
        <w:rPr/>
        <w:t>subsequent</w:t>
      </w:r>
      <w:r>
        <w:rPr>
          <w:spacing w:val="-15"/>
        </w:rPr>
        <w:t> </w:t>
      </w:r>
      <w:r>
        <w:rPr/>
        <w:t>need to</w:t>
      </w:r>
      <w:r>
        <w:rPr>
          <w:spacing w:val="-20"/>
        </w:rPr>
        <w:t> </w:t>
      </w:r>
      <w:r>
        <w:rPr/>
        <w:t>remove</w:t>
      </w:r>
      <w:r>
        <w:rPr>
          <w:spacing w:val="-20"/>
        </w:rPr>
        <w:t> </w:t>
      </w:r>
      <w:r>
        <w:rPr/>
        <w:t>impurities</w:t>
      </w:r>
      <w:r>
        <w:rPr>
          <w:spacing w:val="-20"/>
        </w:rPr>
        <w:t> </w:t>
      </w:r>
      <w:r>
        <w:rPr/>
        <w:t>that</w:t>
      </w:r>
      <w:r>
        <w:rPr>
          <w:spacing w:val="-20"/>
        </w:rPr>
        <w:t> </w:t>
      </w:r>
      <w:r>
        <w:rPr/>
        <w:t>originate</w:t>
      </w:r>
      <w:r>
        <w:rPr>
          <w:spacing w:val="-21"/>
        </w:rPr>
        <w:t> </w:t>
      </w:r>
      <w:r>
        <w:rPr/>
        <w:t>from</w:t>
      </w:r>
      <w:r>
        <w:rPr>
          <w:spacing w:val="-19"/>
        </w:rPr>
        <w:t> </w:t>
      </w:r>
      <w:r>
        <w:rPr/>
        <w:t>the</w:t>
      </w:r>
      <w:r>
        <w:rPr>
          <w:spacing w:val="-20"/>
        </w:rPr>
        <w:t> </w:t>
      </w:r>
      <w:r>
        <w:rPr/>
        <w:t>fuel</w:t>
      </w:r>
      <w:r>
        <w:rPr>
          <w:spacing w:val="-20"/>
        </w:rPr>
        <w:t> </w:t>
      </w:r>
      <w:r>
        <w:rPr/>
        <w:t>feed</w:t>
      </w:r>
      <w:r>
        <w:rPr>
          <w:spacing w:val="-19"/>
        </w:rPr>
        <w:t> </w:t>
      </w:r>
      <w:r>
        <w:rPr/>
        <w:t>to</w:t>
      </w:r>
      <w:r>
        <w:rPr>
          <w:spacing w:val="-20"/>
        </w:rPr>
        <w:t> </w:t>
      </w:r>
      <w:r>
        <w:rPr/>
        <w:t>the</w:t>
      </w:r>
      <w:r>
        <w:rPr>
          <w:spacing w:val="-20"/>
        </w:rPr>
        <w:t> </w:t>
      </w:r>
      <w:r>
        <w:rPr>
          <w:spacing w:val="-3"/>
        </w:rPr>
        <w:t>plant. </w:t>
      </w:r>
      <w:r>
        <w:rPr/>
        <w:t>Once</w:t>
      </w:r>
      <w:r>
        <w:rPr>
          <w:spacing w:val="-11"/>
        </w:rPr>
        <w:t> </w:t>
      </w:r>
      <w:r>
        <w:rPr/>
        <w:t>produced,</w:t>
      </w:r>
      <w:r>
        <w:rPr>
          <w:spacing w:val="-11"/>
        </w:rPr>
        <w:t> </w:t>
      </w:r>
      <w:r>
        <w:rPr/>
        <w:t>the</w:t>
      </w:r>
      <w:r>
        <w:rPr>
          <w:spacing w:val="-11"/>
        </w:rPr>
        <w:t> </w:t>
      </w:r>
      <w:r>
        <w:rPr/>
        <w:t>syngas</w:t>
      </w:r>
      <w:r>
        <w:rPr>
          <w:spacing w:val="-11"/>
        </w:rPr>
        <w:t> </w:t>
      </w:r>
      <w:r>
        <w:rPr/>
        <w:t>is</w:t>
      </w:r>
      <w:r>
        <w:rPr>
          <w:spacing w:val="-11"/>
        </w:rPr>
        <w:t> </w:t>
      </w:r>
      <w:r>
        <w:rPr/>
        <w:t>first</w:t>
      </w:r>
      <w:r>
        <w:rPr>
          <w:spacing w:val="-11"/>
        </w:rPr>
        <w:t> </w:t>
      </w:r>
      <w:r>
        <w:rPr/>
        <w:t>cleaned</w:t>
      </w:r>
      <w:r>
        <w:rPr>
          <w:spacing w:val="-11"/>
        </w:rPr>
        <w:t> </w:t>
      </w:r>
      <w:r>
        <w:rPr/>
        <w:t>and</w:t>
      </w:r>
      <w:r>
        <w:rPr>
          <w:spacing w:val="-11"/>
        </w:rPr>
        <w:t> </w:t>
      </w:r>
      <w:r>
        <w:rPr/>
        <w:t>then</w:t>
      </w:r>
      <w:r>
        <w:rPr>
          <w:spacing w:val="-11"/>
        </w:rPr>
        <w:t> </w:t>
      </w:r>
      <w:r>
        <w:rPr/>
        <w:t>reacted</w:t>
      </w:r>
      <w:r>
        <w:rPr>
          <w:spacing w:val="-11"/>
        </w:rPr>
        <w:t> </w:t>
      </w:r>
      <w:r>
        <w:rPr/>
        <w:t>with</w:t>
      </w:r>
    </w:p>
    <w:p>
      <w:pPr>
        <w:pStyle w:val="BodyText"/>
        <w:spacing w:before="3"/>
        <w:rPr>
          <w:sz w:val="11"/>
        </w:rPr>
      </w:pPr>
      <w:r>
        <w:rPr/>
        <w:br w:type="column"/>
      </w:r>
      <w:r>
        <w:rPr>
          <w:sz w:val="11"/>
        </w:rPr>
      </w:r>
    </w:p>
    <w:p>
      <w:pPr>
        <w:pStyle w:val="BodyText"/>
        <w:ind w:left="116"/>
      </w:pPr>
      <w:r>
        <w:rPr/>
        <w:pict>
          <v:group style="width:252.65pt;height:82.35pt;mso-position-horizontal-relative:char;mso-position-vertical-relative:line" coordorigin="0,0" coordsize="5053,1647">
            <v:shape style="position:absolute;left:57;top:134;width:4938;height:1379" type="#_x0000_t75" stroked="false">
              <v:imagedata r:id="rId175" o:title=""/>
            </v:shape>
            <v:rect style="position:absolute;left:5;top:5;width:5043;height:1637" filled="false" stroked="true" strokeweight=".5pt" strokecolor="#000000">
              <v:stroke dashstyle="solid"/>
            </v:rect>
          </v:group>
        </w:pict>
      </w:r>
      <w:r>
        <w:rPr/>
      </w:r>
    </w:p>
    <w:p>
      <w:pPr>
        <w:spacing w:line="220" w:lineRule="exact" w:before="100"/>
        <w:ind w:left="121" w:right="1126" w:firstLine="0"/>
        <w:jc w:val="both"/>
        <w:rPr>
          <w:sz w:val="18"/>
        </w:rPr>
      </w:pPr>
      <w:r>
        <w:rPr>
          <w:b/>
          <w:sz w:val="18"/>
        </w:rPr>
        <w:t>Figure 3</w:t>
      </w:r>
      <w:r>
        <w:rPr>
          <w:b/>
          <w:i/>
          <w:sz w:val="18"/>
        </w:rPr>
        <w:t>.</w:t>
      </w:r>
      <w:r>
        <w:rPr>
          <w:b/>
          <w:sz w:val="18"/>
        </w:rPr>
        <w:t>18a </w:t>
      </w:r>
      <w:r>
        <w:rPr>
          <w:sz w:val="18"/>
        </w:rPr>
        <w:t>Fuel cell system with pre-fuel cell CO</w:t>
      </w:r>
      <w:r>
        <w:rPr>
          <w:position w:val="-5"/>
          <w:sz w:val="10"/>
        </w:rPr>
        <w:t>2 </w:t>
      </w:r>
      <w:r>
        <w:rPr>
          <w:sz w:val="18"/>
        </w:rPr>
        <w:t>capture. The carbon-containing fuel is first completely converted into a mixture of hydrogen and CO</w:t>
      </w:r>
      <w:r>
        <w:rPr>
          <w:position w:val="-5"/>
          <w:sz w:val="10"/>
        </w:rPr>
        <w:t>2</w:t>
      </w:r>
      <w:r>
        <w:rPr>
          <w:sz w:val="18"/>
        </w:rPr>
        <w:t>. Hydrogen and CO</w:t>
      </w:r>
      <w:r>
        <w:rPr>
          <w:position w:val="-5"/>
          <w:sz w:val="10"/>
        </w:rPr>
        <w:t>2 </w:t>
      </w:r>
      <w:r>
        <w:rPr>
          <w:sz w:val="18"/>
        </w:rPr>
        <w:t>are then separated and the H</w:t>
      </w:r>
      <w:r>
        <w:rPr>
          <w:position w:val="-5"/>
          <w:sz w:val="10"/>
        </w:rPr>
        <w:t>2</w:t>
      </w:r>
      <w:r>
        <w:rPr>
          <w:sz w:val="18"/>
        </w:rPr>
        <w:t>- rich fuel is oxidized in the fuel cell to produce electricity. The CO</w:t>
      </w:r>
      <w:r>
        <w:rPr>
          <w:position w:val="-5"/>
          <w:sz w:val="10"/>
        </w:rPr>
        <w:t>2 </w:t>
      </w:r>
      <w:r>
        <w:rPr>
          <w:sz w:val="18"/>
        </w:rPr>
        <w:t>stream is dried and compressed for transport and storage.</w:t>
      </w:r>
    </w:p>
    <w:p>
      <w:pPr>
        <w:pStyle w:val="BodyText"/>
        <w:rPr>
          <w:sz w:val="9"/>
        </w:rPr>
      </w:pPr>
      <w:r>
        <w:rPr/>
        <w:pict>
          <v:group style="position:absolute;margin-left:303.415009pt;margin-top:7.130895pt;width:252.15pt;height:79.650pt;mso-position-horizontal-relative:page;mso-position-vertical-relative:paragraph;z-index:-251603968;mso-wrap-distance-left:0;mso-wrap-distance-right:0" coordorigin="6068,143" coordsize="5043,1593">
            <v:shape style="position:absolute;left:6163;top:264;width:4853;height:1359" type="#_x0000_t75" stroked="false">
              <v:imagedata r:id="rId176" o:title=""/>
            </v:shape>
            <v:rect style="position:absolute;left:6073;top:147;width:5033;height:1583" filled="false" stroked="true" strokeweight=".5pt" strokecolor="#000000">
              <v:stroke dashstyle="solid"/>
            </v:rect>
            <w10:wrap type="topAndBottom"/>
          </v:group>
        </w:pict>
      </w:r>
    </w:p>
    <w:p>
      <w:pPr>
        <w:spacing w:line="230" w:lineRule="auto" w:before="113"/>
        <w:ind w:left="121" w:right="1126" w:firstLine="0"/>
        <w:jc w:val="both"/>
        <w:rPr>
          <w:sz w:val="18"/>
        </w:rPr>
      </w:pPr>
      <w:r>
        <w:rPr>
          <w:b/>
          <w:sz w:val="18"/>
        </w:rPr>
        <w:t>Figure 3.18b </w:t>
      </w:r>
      <w:r>
        <w:rPr>
          <w:sz w:val="18"/>
        </w:rPr>
        <w:t>Fuel cell system with post-fuel cell CO</w:t>
      </w:r>
      <w:r>
        <w:rPr>
          <w:position w:val="-5"/>
          <w:sz w:val="10"/>
        </w:rPr>
        <w:t>2 </w:t>
      </w:r>
      <w:r>
        <w:rPr>
          <w:sz w:val="18"/>
        </w:rPr>
        <w:t>capture. The carbon-containing fuel is first converted into a syngas. The syngas    is oxidized in the fuel cell to produce electricity. At the outlet of the fuel cell CO</w:t>
      </w:r>
      <w:r>
        <w:rPr>
          <w:position w:val="-5"/>
          <w:sz w:val="10"/>
        </w:rPr>
        <w:t>2 </w:t>
      </w:r>
      <w:r>
        <w:rPr>
          <w:sz w:val="18"/>
        </w:rPr>
        <w:t>is separated from the flue gas, dried and compressed for transport and</w:t>
      </w:r>
      <w:r>
        <w:rPr>
          <w:spacing w:val="-1"/>
          <w:sz w:val="18"/>
        </w:rPr>
        <w:t> </w:t>
      </w:r>
      <w:r>
        <w:rPr>
          <w:sz w:val="18"/>
        </w:rPr>
        <w:t>storage.</w:t>
      </w:r>
    </w:p>
    <w:p>
      <w:pPr>
        <w:pStyle w:val="BodyText"/>
        <w:rPr>
          <w:sz w:val="18"/>
        </w:rPr>
      </w:pPr>
    </w:p>
    <w:p>
      <w:pPr>
        <w:pStyle w:val="BodyText"/>
        <w:spacing w:line="240" w:lineRule="exact" w:before="130"/>
        <w:ind w:left="116" w:right="1131"/>
        <w:jc w:val="both"/>
      </w:pPr>
      <w:r>
        <w:rPr/>
        <w:t>steam</w:t>
      </w:r>
      <w:r>
        <w:rPr>
          <w:spacing w:val="-8"/>
        </w:rPr>
        <w:t> </w:t>
      </w:r>
      <w:r>
        <w:rPr/>
        <w:t>to</w:t>
      </w:r>
      <w:r>
        <w:rPr>
          <w:spacing w:val="-8"/>
        </w:rPr>
        <w:t> </w:t>
      </w:r>
      <w:r>
        <w:rPr/>
        <w:t>produce</w:t>
      </w:r>
      <w:r>
        <w:rPr>
          <w:spacing w:val="-7"/>
        </w:rPr>
        <w:t> </w:t>
      </w:r>
      <w:r>
        <w:rPr/>
        <w:t>more</w:t>
      </w:r>
      <w:r>
        <w:rPr>
          <w:spacing w:val="-8"/>
        </w:rPr>
        <w:t> </w:t>
      </w:r>
      <w:r>
        <w:rPr/>
        <w:t>H</w:t>
      </w:r>
      <w:r>
        <w:rPr>
          <w:position w:val="-6"/>
          <w:sz w:val="11"/>
        </w:rPr>
        <w:t>2</w:t>
      </w:r>
      <w:r>
        <w:rPr>
          <w:spacing w:val="15"/>
          <w:position w:val="-6"/>
          <w:sz w:val="11"/>
        </w:rPr>
        <w:t> </w:t>
      </w:r>
      <w:r>
        <w:rPr/>
        <w:t>and</w:t>
      </w:r>
      <w:r>
        <w:rPr>
          <w:spacing w:val="-8"/>
        </w:rPr>
        <w:t> </w:t>
      </w:r>
      <w:r>
        <w:rPr/>
        <w:t>CO</w:t>
      </w:r>
      <w:r>
        <w:rPr>
          <w:position w:val="-6"/>
          <w:sz w:val="11"/>
        </w:rPr>
        <w:t>2</w:t>
      </w:r>
      <w:r>
        <w:rPr/>
        <w:t>.</w:t>
      </w:r>
      <w:r>
        <w:rPr>
          <w:spacing w:val="-10"/>
        </w:rPr>
        <w:t> </w:t>
      </w:r>
      <w:r>
        <w:rPr/>
        <w:t>The</w:t>
      </w:r>
      <w:r>
        <w:rPr>
          <w:spacing w:val="-8"/>
        </w:rPr>
        <w:t> </w:t>
      </w:r>
      <w:r>
        <w:rPr/>
        <w:t>separation</w:t>
      </w:r>
      <w:r>
        <w:rPr>
          <w:spacing w:val="-8"/>
        </w:rPr>
        <w:t> </w:t>
      </w:r>
      <w:r>
        <w:rPr/>
        <w:t>of</w:t>
      </w:r>
      <w:r>
        <w:rPr>
          <w:spacing w:val="-7"/>
        </w:rPr>
        <w:t> </w:t>
      </w:r>
      <w:r>
        <w:rPr/>
        <w:t>these</w:t>
      </w:r>
      <w:r>
        <w:rPr>
          <w:spacing w:val="-8"/>
        </w:rPr>
        <w:t> </w:t>
      </w:r>
      <w:r>
        <w:rPr/>
        <w:t>two gases</w:t>
      </w:r>
      <w:r>
        <w:rPr>
          <w:spacing w:val="-22"/>
        </w:rPr>
        <w:t> </w:t>
      </w:r>
      <w:r>
        <w:rPr/>
        <w:t>can</w:t>
      </w:r>
      <w:r>
        <w:rPr>
          <w:spacing w:val="-21"/>
        </w:rPr>
        <w:t> </w:t>
      </w:r>
      <w:r>
        <w:rPr/>
        <w:t>be</w:t>
      </w:r>
      <w:r>
        <w:rPr>
          <w:spacing w:val="-21"/>
        </w:rPr>
        <w:t> </w:t>
      </w:r>
      <w:r>
        <w:rPr/>
        <w:t>achieved</w:t>
      </w:r>
      <w:r>
        <w:rPr>
          <w:spacing w:val="-21"/>
        </w:rPr>
        <w:t> </w:t>
      </w:r>
      <w:r>
        <w:rPr/>
        <w:t>with</w:t>
      </w:r>
      <w:r>
        <w:rPr>
          <w:spacing w:val="-21"/>
        </w:rPr>
        <w:t> </w:t>
      </w:r>
      <w:r>
        <w:rPr/>
        <w:t>well-known,</w:t>
      </w:r>
      <w:r>
        <w:rPr>
          <w:spacing w:val="-21"/>
        </w:rPr>
        <w:t> </w:t>
      </w:r>
      <w:r>
        <w:rPr/>
        <w:t>commercial</w:t>
      </w:r>
      <w:r>
        <w:rPr>
          <w:spacing w:val="-21"/>
        </w:rPr>
        <w:t> </w:t>
      </w:r>
      <w:r>
        <w:rPr/>
        <w:t>absorption- desorption</w:t>
      </w:r>
      <w:r>
        <w:rPr>
          <w:spacing w:val="-25"/>
        </w:rPr>
        <w:t> </w:t>
      </w:r>
      <w:r>
        <w:rPr/>
        <w:t>methods,</w:t>
      </w:r>
      <w:r>
        <w:rPr>
          <w:spacing w:val="-24"/>
        </w:rPr>
        <w:t> </w:t>
      </w:r>
      <w:r>
        <w:rPr/>
        <w:t>producing</w:t>
      </w:r>
      <w:r>
        <w:rPr>
          <w:spacing w:val="-25"/>
        </w:rPr>
        <w:t> </w:t>
      </w:r>
      <w:r>
        <w:rPr/>
        <w:t>a</w:t>
      </w:r>
      <w:r>
        <w:rPr>
          <w:spacing w:val="-24"/>
        </w:rPr>
        <w:t> </w:t>
      </w:r>
      <w:r>
        <w:rPr/>
        <w:t>CO</w:t>
      </w:r>
      <w:r>
        <w:rPr>
          <w:position w:val="-6"/>
          <w:sz w:val="11"/>
        </w:rPr>
        <w:t>2</w:t>
      </w:r>
      <w:r>
        <w:rPr>
          <w:spacing w:val="-3"/>
          <w:position w:val="-6"/>
          <w:sz w:val="11"/>
        </w:rPr>
        <w:t> </w:t>
      </w:r>
      <w:r>
        <w:rPr/>
        <w:t>stream</w:t>
      </w:r>
      <w:r>
        <w:rPr>
          <w:spacing w:val="-24"/>
        </w:rPr>
        <w:t> </w:t>
      </w:r>
      <w:r>
        <w:rPr/>
        <w:t>suitable</w:t>
      </w:r>
      <w:r>
        <w:rPr>
          <w:spacing w:val="-25"/>
        </w:rPr>
        <w:t> </w:t>
      </w:r>
      <w:r>
        <w:rPr/>
        <w:t>for</w:t>
      </w:r>
      <w:r>
        <w:rPr>
          <w:spacing w:val="-24"/>
        </w:rPr>
        <w:t> </w:t>
      </w:r>
      <w:r>
        <w:rPr/>
        <w:t>storage. Also,</w:t>
      </w:r>
      <w:r>
        <w:rPr>
          <w:spacing w:val="-18"/>
        </w:rPr>
        <w:t> </w:t>
      </w:r>
      <w:r>
        <w:rPr/>
        <w:t>intense</w:t>
      </w:r>
      <w:r>
        <w:rPr>
          <w:spacing w:val="-17"/>
        </w:rPr>
        <w:t> </w:t>
      </w:r>
      <w:r>
        <w:rPr/>
        <w:t>R&amp;D</w:t>
      </w:r>
      <w:r>
        <w:rPr>
          <w:spacing w:val="-18"/>
        </w:rPr>
        <w:t> </w:t>
      </w:r>
      <w:r>
        <w:rPr/>
        <w:t>efforts</w:t>
      </w:r>
      <w:r>
        <w:rPr>
          <w:spacing w:val="-17"/>
        </w:rPr>
        <w:t> </w:t>
      </w:r>
      <w:r>
        <w:rPr/>
        <w:t>worldwide</w:t>
      </w:r>
      <w:r>
        <w:rPr>
          <w:spacing w:val="-18"/>
        </w:rPr>
        <w:t> </w:t>
      </w:r>
      <w:r>
        <w:rPr/>
        <w:t>are</w:t>
      </w:r>
      <w:r>
        <w:rPr>
          <w:spacing w:val="-17"/>
        </w:rPr>
        <w:t> </w:t>
      </w:r>
      <w:r>
        <w:rPr/>
        <w:t>being</w:t>
      </w:r>
      <w:r>
        <w:rPr>
          <w:spacing w:val="-18"/>
        </w:rPr>
        <w:t> </w:t>
      </w:r>
      <w:r>
        <w:rPr/>
        <w:t>directed</w:t>
      </w:r>
      <w:r>
        <w:rPr>
          <w:spacing w:val="-17"/>
        </w:rPr>
        <w:t> </w:t>
      </w:r>
      <w:r>
        <w:rPr/>
        <w:t>towards the development of new systems that combine CO</w:t>
      </w:r>
      <w:r>
        <w:rPr>
          <w:position w:val="-6"/>
          <w:sz w:val="11"/>
        </w:rPr>
        <w:t>2 </w:t>
      </w:r>
      <w:r>
        <w:rPr/>
        <w:t>separation with some of the reaction steps, such as the steam reforming  of natural gas or water gas shift reaction stages, but it is not</w:t>
      </w:r>
      <w:r>
        <w:rPr>
          <w:spacing w:val="-30"/>
        </w:rPr>
        <w:t> </w:t>
      </w:r>
      <w:r>
        <w:rPr/>
        <w:t>yet clear</w:t>
      </w:r>
      <w:r>
        <w:rPr>
          <w:spacing w:val="-6"/>
        </w:rPr>
        <w:t> </w:t>
      </w:r>
      <w:r>
        <w:rPr/>
        <w:t>if</w:t>
      </w:r>
      <w:r>
        <w:rPr>
          <w:spacing w:val="-5"/>
        </w:rPr>
        <w:t> </w:t>
      </w:r>
      <w:r>
        <w:rPr/>
        <w:t>these</w:t>
      </w:r>
      <w:r>
        <w:rPr>
          <w:spacing w:val="-6"/>
        </w:rPr>
        <w:t> </w:t>
      </w:r>
      <w:r>
        <w:rPr/>
        <w:t>emerging</w:t>
      </w:r>
      <w:r>
        <w:rPr>
          <w:spacing w:val="-5"/>
        </w:rPr>
        <w:t> </w:t>
      </w:r>
      <w:r>
        <w:rPr/>
        <w:t>concepts</w:t>
      </w:r>
      <w:r>
        <w:rPr>
          <w:spacing w:val="-5"/>
        </w:rPr>
        <w:t> </w:t>
      </w:r>
      <w:r>
        <w:rPr/>
        <w:t>(see</w:t>
      </w:r>
      <w:r>
        <w:rPr>
          <w:spacing w:val="-6"/>
        </w:rPr>
        <w:t> </w:t>
      </w:r>
      <w:r>
        <w:rPr/>
        <w:t>Section</w:t>
      </w:r>
      <w:r>
        <w:rPr>
          <w:spacing w:val="-5"/>
        </w:rPr>
        <w:t> </w:t>
      </w:r>
      <w:r>
        <w:rPr/>
        <w:t>3.5.3)</w:t>
      </w:r>
      <w:r>
        <w:rPr>
          <w:spacing w:val="-5"/>
        </w:rPr>
        <w:t> </w:t>
      </w:r>
      <w:r>
        <w:rPr/>
        <w:t>will</w:t>
      </w:r>
      <w:r>
        <w:rPr>
          <w:spacing w:val="-6"/>
        </w:rPr>
        <w:t> </w:t>
      </w:r>
      <w:r>
        <w:rPr/>
        <w:t>deliver a lower CO</w:t>
      </w:r>
      <w:r>
        <w:rPr>
          <w:position w:val="-6"/>
          <w:sz w:val="11"/>
        </w:rPr>
        <w:t>2 </w:t>
      </w:r>
      <w:r>
        <w:rPr/>
        <w:t>capture</w:t>
      </w:r>
      <w:r>
        <w:rPr>
          <w:spacing w:val="-10"/>
        </w:rPr>
        <w:t> </w:t>
      </w:r>
      <w:r>
        <w:rPr/>
        <w:t>cost.</w:t>
      </w:r>
    </w:p>
    <w:p>
      <w:pPr>
        <w:pStyle w:val="BodyText"/>
        <w:spacing w:line="240" w:lineRule="exact"/>
        <w:ind w:left="116" w:right="1130" w:firstLine="284"/>
        <w:jc w:val="both"/>
      </w:pPr>
      <w:r>
        <w:rPr/>
        <w:t>In power systems, pre-combustion CO</w:t>
      </w:r>
      <w:r>
        <w:rPr>
          <w:position w:val="-6"/>
          <w:sz w:val="11"/>
        </w:rPr>
        <w:t>2 </w:t>
      </w:r>
      <w:r>
        <w:rPr/>
        <w:t>capture in natural gas combined cycles has not been demonstrated. However, studies show that based on current state of the art gas turbine combined cycles, pre-combustion CO</w:t>
      </w:r>
      <w:r>
        <w:rPr>
          <w:position w:val="-6"/>
          <w:sz w:val="11"/>
        </w:rPr>
        <w:t>2 </w:t>
      </w:r>
      <w:r>
        <w:rPr/>
        <w:t>capture will reduce the efficiency</w:t>
      </w:r>
      <w:r>
        <w:rPr>
          <w:spacing w:val="-16"/>
        </w:rPr>
        <w:t> </w:t>
      </w:r>
      <w:r>
        <w:rPr/>
        <w:t>from</w:t>
      </w:r>
      <w:r>
        <w:rPr>
          <w:spacing w:val="-15"/>
        </w:rPr>
        <w:t> </w:t>
      </w:r>
      <w:r>
        <w:rPr/>
        <w:t>56%</w:t>
      </w:r>
      <w:r>
        <w:rPr>
          <w:spacing w:val="-15"/>
        </w:rPr>
        <w:t> </w:t>
      </w:r>
      <w:r>
        <w:rPr/>
        <w:t>LHV</w:t>
      </w:r>
      <w:r>
        <w:rPr>
          <w:spacing w:val="-19"/>
        </w:rPr>
        <w:t> </w:t>
      </w:r>
      <w:r>
        <w:rPr/>
        <w:t>to</w:t>
      </w:r>
      <w:r>
        <w:rPr>
          <w:spacing w:val="-15"/>
        </w:rPr>
        <w:t> </w:t>
      </w:r>
      <w:r>
        <w:rPr/>
        <w:t>48%</w:t>
      </w:r>
      <w:r>
        <w:rPr>
          <w:spacing w:val="-15"/>
        </w:rPr>
        <w:t> </w:t>
      </w:r>
      <w:r>
        <w:rPr/>
        <w:t>LHV</w:t>
      </w:r>
      <w:r>
        <w:rPr>
          <w:spacing w:val="-19"/>
        </w:rPr>
        <w:t> </w:t>
      </w:r>
      <w:r>
        <w:rPr/>
        <w:t>(IEA,</w:t>
      </w:r>
      <w:r>
        <w:rPr>
          <w:spacing w:val="-15"/>
        </w:rPr>
        <w:t> </w:t>
      </w:r>
      <w:r>
        <w:rPr/>
        <w:t>2000b).</w:t>
      </w:r>
      <w:r>
        <w:rPr>
          <w:spacing w:val="-15"/>
        </w:rPr>
        <w:t> </w:t>
      </w:r>
      <w:r>
        <w:rPr/>
        <w:t>In</w:t>
      </w:r>
      <w:r>
        <w:rPr>
          <w:spacing w:val="-15"/>
        </w:rPr>
        <w:t> </w:t>
      </w:r>
      <w:r>
        <w:rPr/>
        <w:t>natural gas combined cycles, the most significant area for efficiency improvement is the gas turbine and it is expected that by 2020, the efficiency of a natural gas combined cycle could be </w:t>
      </w:r>
      <w:r>
        <w:rPr>
          <w:spacing w:val="-7"/>
        </w:rPr>
        <w:t>as  </w:t>
      </w:r>
      <w:r>
        <w:rPr/>
        <w:t>high as 65% LHV (IEA GHG, 2000d). For such systems the efficiency with CO</w:t>
      </w:r>
      <w:r>
        <w:rPr>
          <w:position w:val="-6"/>
          <w:sz w:val="11"/>
        </w:rPr>
        <w:t>2 </w:t>
      </w:r>
      <w:r>
        <w:rPr/>
        <w:t>capture would equal the current state-of- the-art efficiency for plants without CO</w:t>
      </w:r>
      <w:r>
        <w:rPr>
          <w:position w:val="-6"/>
          <w:sz w:val="11"/>
        </w:rPr>
        <w:t>2 </w:t>
      </w:r>
      <w:r>
        <w:rPr/>
        <w:t>capture, that is, 56% </w:t>
      </w:r>
      <w:r>
        <w:rPr>
          <w:spacing w:val="-7"/>
        </w:rPr>
        <w:t>LHV.</w:t>
      </w:r>
    </w:p>
    <w:p>
      <w:pPr>
        <w:pStyle w:val="BodyText"/>
        <w:spacing w:line="240" w:lineRule="exact"/>
        <w:ind w:left="116" w:right="1131" w:firstLine="284"/>
        <w:jc w:val="both"/>
      </w:pPr>
      <w:r>
        <w:rPr/>
        <w:t>Integrated Gasification Combined Cycles (IGCC) are large scale, near commercial examples of power systems that can be implemented</w:t>
      </w:r>
      <w:r>
        <w:rPr>
          <w:spacing w:val="-21"/>
        </w:rPr>
        <w:t> </w:t>
      </w:r>
      <w:r>
        <w:rPr/>
        <w:t>with</w:t>
      </w:r>
      <w:r>
        <w:rPr>
          <w:spacing w:val="-21"/>
        </w:rPr>
        <w:t> </w:t>
      </w:r>
      <w:r>
        <w:rPr/>
        <w:t>heavy</w:t>
      </w:r>
      <w:r>
        <w:rPr>
          <w:spacing w:val="-19"/>
        </w:rPr>
        <w:t> </w:t>
      </w:r>
      <w:r>
        <w:rPr/>
        <w:t>oil</w:t>
      </w:r>
      <w:r>
        <w:rPr>
          <w:spacing w:val="-20"/>
        </w:rPr>
        <w:t> </w:t>
      </w:r>
      <w:r>
        <w:rPr/>
        <w:t>residues</w:t>
      </w:r>
      <w:r>
        <w:rPr>
          <w:spacing w:val="-20"/>
        </w:rPr>
        <w:t> </w:t>
      </w:r>
      <w:r>
        <w:rPr/>
        <w:t>and</w:t>
      </w:r>
      <w:r>
        <w:rPr>
          <w:spacing w:val="-19"/>
        </w:rPr>
        <w:t> </w:t>
      </w:r>
      <w:r>
        <w:rPr/>
        <w:t>solid</w:t>
      </w:r>
      <w:r>
        <w:rPr>
          <w:spacing w:val="-21"/>
        </w:rPr>
        <w:t> </w:t>
      </w:r>
      <w:r>
        <w:rPr/>
        <w:t>fuels</w:t>
      </w:r>
      <w:r>
        <w:rPr>
          <w:spacing w:val="-20"/>
        </w:rPr>
        <w:t> </w:t>
      </w:r>
      <w:r>
        <w:rPr/>
        <w:t>like</w:t>
      </w:r>
      <w:r>
        <w:rPr>
          <w:spacing w:val="-19"/>
        </w:rPr>
        <w:t> </w:t>
      </w:r>
      <w:r>
        <w:rPr/>
        <w:t>coal</w:t>
      </w:r>
      <w:r>
        <w:rPr>
          <w:spacing w:val="-20"/>
        </w:rPr>
        <w:t> </w:t>
      </w:r>
      <w:r>
        <w:rPr/>
        <w:t>and petroleum</w:t>
      </w:r>
      <w:r>
        <w:rPr>
          <w:spacing w:val="-11"/>
        </w:rPr>
        <w:t> </w:t>
      </w:r>
      <w:r>
        <w:rPr/>
        <w:t>coke.</w:t>
      </w:r>
      <w:r>
        <w:rPr>
          <w:spacing w:val="-11"/>
        </w:rPr>
        <w:t> </w:t>
      </w:r>
      <w:r>
        <w:rPr/>
        <w:t>For</w:t>
      </w:r>
      <w:r>
        <w:rPr>
          <w:spacing w:val="-10"/>
        </w:rPr>
        <w:t> </w:t>
      </w:r>
      <w:r>
        <w:rPr/>
        <w:t>the</w:t>
      </w:r>
      <w:r>
        <w:rPr>
          <w:spacing w:val="-10"/>
        </w:rPr>
        <w:t> </w:t>
      </w:r>
      <w:r>
        <w:rPr/>
        <w:t>embryonic</w:t>
      </w:r>
      <w:r>
        <w:rPr>
          <w:spacing w:val="-10"/>
        </w:rPr>
        <w:t> </w:t>
      </w:r>
      <w:r>
        <w:rPr/>
        <w:t>coal-fired</w:t>
      </w:r>
      <w:r>
        <w:rPr>
          <w:spacing w:val="-11"/>
        </w:rPr>
        <w:t> </w:t>
      </w:r>
      <w:r>
        <w:rPr/>
        <w:t>IGCC</w:t>
      </w:r>
      <w:r>
        <w:rPr>
          <w:spacing w:val="-11"/>
        </w:rPr>
        <w:t> </w:t>
      </w:r>
      <w:r>
        <w:rPr/>
        <w:t>technology with</w:t>
      </w:r>
      <w:r>
        <w:rPr>
          <w:spacing w:val="-8"/>
        </w:rPr>
        <w:t> </w:t>
      </w:r>
      <w:r>
        <w:rPr/>
        <w:t>the</w:t>
      </w:r>
      <w:r>
        <w:rPr>
          <w:spacing w:val="-6"/>
        </w:rPr>
        <w:t> </w:t>
      </w:r>
      <w:r>
        <w:rPr/>
        <w:t>largest</w:t>
      </w:r>
      <w:r>
        <w:rPr>
          <w:spacing w:val="-6"/>
        </w:rPr>
        <w:t> </w:t>
      </w:r>
      <w:r>
        <w:rPr/>
        <w:t>unit</w:t>
      </w:r>
      <w:r>
        <w:rPr>
          <w:spacing w:val="-6"/>
        </w:rPr>
        <w:t> </w:t>
      </w:r>
      <w:r>
        <w:rPr/>
        <w:t>rated</w:t>
      </w:r>
      <w:r>
        <w:rPr>
          <w:spacing w:val="-6"/>
        </w:rPr>
        <w:t> </w:t>
      </w:r>
      <w:r>
        <w:rPr/>
        <w:t>at</w:t>
      </w:r>
      <w:r>
        <w:rPr>
          <w:spacing w:val="-6"/>
        </w:rPr>
        <w:t> </w:t>
      </w:r>
      <w:r>
        <w:rPr/>
        <w:t>331</w:t>
      </w:r>
      <w:r>
        <w:rPr>
          <w:spacing w:val="-6"/>
        </w:rPr>
        <w:t> </w:t>
      </w:r>
      <w:r>
        <w:rPr>
          <w:spacing w:val="-5"/>
        </w:rPr>
        <w:t>MW</w:t>
      </w:r>
      <w:r>
        <w:rPr>
          <w:spacing w:val="-5"/>
          <w:position w:val="-6"/>
          <w:sz w:val="11"/>
        </w:rPr>
        <w:t>e</w:t>
      </w:r>
      <w:r>
        <w:rPr>
          <w:spacing w:val="-5"/>
        </w:rPr>
        <w:t>,</w:t>
      </w:r>
      <w:r>
        <w:rPr>
          <w:spacing w:val="-7"/>
        </w:rPr>
        <w:t> </w:t>
      </w:r>
      <w:r>
        <w:rPr/>
        <w:t>future</w:t>
      </w:r>
      <w:r>
        <w:rPr>
          <w:spacing w:val="-6"/>
        </w:rPr>
        <w:t> </w:t>
      </w:r>
      <w:r>
        <w:rPr/>
        <w:t>improvements</w:t>
      </w:r>
      <w:r>
        <w:rPr>
          <w:spacing w:val="-7"/>
        </w:rPr>
        <w:t> </w:t>
      </w:r>
      <w:r>
        <w:rPr/>
        <w:t>are expected. A recent study describes improvements potentially realisable for bituminous coals by 2020 that could reduce </w:t>
      </w:r>
      <w:r>
        <w:rPr>
          <w:spacing w:val="-3"/>
        </w:rPr>
        <w:t>both </w:t>
      </w:r>
      <w:r>
        <w:rPr/>
        <w:t>energy and cost-of-electricity penalties for CO</w:t>
      </w:r>
      <w:r>
        <w:rPr>
          <w:position w:val="-6"/>
          <w:sz w:val="11"/>
        </w:rPr>
        <w:t>2 </w:t>
      </w:r>
      <w:r>
        <w:rPr/>
        <w:t>capture to  13%</w:t>
      </w:r>
      <w:r>
        <w:rPr>
          <w:spacing w:val="6"/>
        </w:rPr>
        <w:t> </w:t>
      </w:r>
      <w:r>
        <w:rPr/>
        <w:t>compared</w:t>
      </w:r>
      <w:r>
        <w:rPr>
          <w:spacing w:val="7"/>
        </w:rPr>
        <w:t> </w:t>
      </w:r>
      <w:r>
        <w:rPr/>
        <w:t>to</w:t>
      </w:r>
      <w:r>
        <w:rPr>
          <w:spacing w:val="6"/>
        </w:rPr>
        <w:t> </w:t>
      </w:r>
      <w:r>
        <w:rPr/>
        <w:t>a</w:t>
      </w:r>
      <w:r>
        <w:rPr>
          <w:spacing w:val="7"/>
        </w:rPr>
        <w:t> </w:t>
      </w:r>
      <w:r>
        <w:rPr/>
        <w:t>same</w:t>
      </w:r>
      <w:r>
        <w:rPr>
          <w:spacing w:val="6"/>
        </w:rPr>
        <w:t> </w:t>
      </w:r>
      <w:r>
        <w:rPr/>
        <w:t>base</w:t>
      </w:r>
      <w:r>
        <w:rPr>
          <w:spacing w:val="7"/>
        </w:rPr>
        <w:t> </w:t>
      </w:r>
      <w:r>
        <w:rPr/>
        <w:t>plant</w:t>
      </w:r>
      <w:r>
        <w:rPr>
          <w:spacing w:val="6"/>
        </w:rPr>
        <w:t> </w:t>
      </w:r>
      <w:r>
        <w:rPr/>
        <w:t>without</w:t>
      </w:r>
      <w:r>
        <w:rPr>
          <w:spacing w:val="7"/>
        </w:rPr>
        <w:t> </w:t>
      </w:r>
      <w:r>
        <w:rPr/>
        <w:t>capture.</w:t>
      </w:r>
      <w:r>
        <w:rPr>
          <w:spacing w:val="7"/>
        </w:rPr>
        <w:t> </w:t>
      </w:r>
      <w:r>
        <w:rPr/>
        <w:t>For</w:t>
      </w:r>
      <w:r>
        <w:rPr>
          <w:spacing w:val="6"/>
        </w:rPr>
        <w:t> </w:t>
      </w:r>
      <w:r>
        <w:rPr/>
        <w:t>such</w:t>
      </w:r>
    </w:p>
    <w:p>
      <w:pPr>
        <w:spacing w:after="0" w:line="240" w:lineRule="exact"/>
        <w:jc w:val="both"/>
        <w:sectPr>
          <w:type w:val="continuous"/>
          <w:pgSz w:w="12240" w:h="15840"/>
          <w:pgMar w:top="480" w:bottom="280" w:left="620" w:right="0"/>
          <w:cols w:num="2" w:equalWidth="0">
            <w:col w:w="5202" w:space="124"/>
            <w:col w:w="6294"/>
          </w:cols>
        </w:sectPr>
      </w:pPr>
    </w:p>
    <w:p>
      <w:pPr>
        <w:pStyle w:val="BodyText"/>
      </w:pPr>
    </w:p>
    <w:p>
      <w:pPr>
        <w:spacing w:after="0"/>
        <w:sectPr>
          <w:pgSz w:w="12240" w:h="15840"/>
          <w:pgMar w:header="567" w:footer="0" w:top="800" w:bottom="280" w:left="620" w:right="0"/>
        </w:sectPr>
      </w:pPr>
    </w:p>
    <w:p>
      <w:pPr>
        <w:pStyle w:val="BodyText"/>
        <w:spacing w:before="10"/>
        <w:rPr>
          <w:sz w:val="17"/>
        </w:rPr>
      </w:pPr>
    </w:p>
    <w:p>
      <w:pPr>
        <w:pStyle w:val="BodyText"/>
        <w:spacing w:line="240" w:lineRule="exact"/>
        <w:ind w:left="513" w:right="7"/>
        <w:jc w:val="both"/>
      </w:pPr>
      <w:bookmarkStart w:name="3.6 Environmental, monitoring, risk and " w:id="57"/>
      <w:bookmarkEnd w:id="57"/>
      <w:r>
        <w:rPr/>
      </w:r>
      <w:bookmarkStart w:name="3.6.1 Emissions and resource use impacts" w:id="58"/>
      <w:bookmarkEnd w:id="58"/>
      <w:r>
        <w:rPr/>
      </w:r>
      <w:r>
        <w:rPr/>
        <w:t>systems the generation efficiency with capture would equal the best efficiency realisable today without CO</w:t>
      </w:r>
      <w:r>
        <w:rPr>
          <w:position w:val="-6"/>
          <w:sz w:val="11"/>
        </w:rPr>
        <w:t>2 </w:t>
      </w:r>
      <w:r>
        <w:rPr/>
        <w:t>capture (i.e., 43% </w:t>
      </w:r>
      <w:r>
        <w:rPr>
          <w:spacing w:val="-4"/>
        </w:rPr>
        <w:t>LHV;</w:t>
      </w:r>
      <w:r>
        <w:rPr>
          <w:spacing w:val="-14"/>
        </w:rPr>
        <w:t> </w:t>
      </w:r>
      <w:r>
        <w:rPr/>
        <w:t>IEA</w:t>
      </w:r>
      <w:r>
        <w:rPr>
          <w:spacing w:val="-25"/>
        </w:rPr>
        <w:t> </w:t>
      </w:r>
      <w:r>
        <w:rPr/>
        <w:t>GHG,</w:t>
      </w:r>
      <w:r>
        <w:rPr>
          <w:spacing w:val="-14"/>
        </w:rPr>
        <w:t> </w:t>
      </w:r>
      <w:r>
        <w:rPr/>
        <w:t>2003).</w:t>
      </w:r>
      <w:r>
        <w:rPr>
          <w:spacing w:val="-14"/>
        </w:rPr>
        <w:t> </w:t>
      </w:r>
      <w:r>
        <w:rPr>
          <w:spacing w:val="-3"/>
        </w:rPr>
        <w:t>Notably,</w:t>
      </w:r>
      <w:r>
        <w:rPr>
          <w:spacing w:val="-13"/>
        </w:rPr>
        <w:t> </w:t>
      </w:r>
      <w:r>
        <w:rPr/>
        <w:t>all</w:t>
      </w:r>
      <w:r>
        <w:rPr>
          <w:spacing w:val="-14"/>
        </w:rPr>
        <w:t> </w:t>
      </w:r>
      <w:r>
        <w:rPr/>
        <w:t>the</w:t>
      </w:r>
      <w:r>
        <w:rPr>
          <w:spacing w:val="-14"/>
        </w:rPr>
        <w:t> </w:t>
      </w:r>
      <w:r>
        <w:rPr/>
        <w:t>innovations</w:t>
      </w:r>
      <w:r>
        <w:rPr>
          <w:spacing w:val="-14"/>
        </w:rPr>
        <w:t> </w:t>
      </w:r>
      <w:r>
        <w:rPr/>
        <w:t>considered, with</w:t>
      </w:r>
      <w:r>
        <w:rPr>
          <w:spacing w:val="-12"/>
        </w:rPr>
        <w:t> </w:t>
      </w:r>
      <w:r>
        <w:rPr/>
        <w:t>the</w:t>
      </w:r>
      <w:r>
        <w:rPr>
          <w:spacing w:val="-11"/>
        </w:rPr>
        <w:t> </w:t>
      </w:r>
      <w:r>
        <w:rPr/>
        <w:t>exception</w:t>
      </w:r>
      <w:r>
        <w:rPr>
          <w:spacing w:val="-11"/>
        </w:rPr>
        <w:t> </w:t>
      </w:r>
      <w:r>
        <w:rPr/>
        <w:t>of</w:t>
      </w:r>
      <w:r>
        <w:rPr>
          <w:spacing w:val="-12"/>
        </w:rPr>
        <w:t> </w:t>
      </w:r>
      <w:r>
        <w:rPr/>
        <w:t>ion</w:t>
      </w:r>
      <w:r>
        <w:rPr>
          <w:spacing w:val="-11"/>
        </w:rPr>
        <w:t> </w:t>
      </w:r>
      <w:r>
        <w:rPr/>
        <w:t>transport</w:t>
      </w:r>
      <w:r>
        <w:rPr>
          <w:spacing w:val="-11"/>
        </w:rPr>
        <w:t> </w:t>
      </w:r>
      <w:r>
        <w:rPr/>
        <w:t>membrane</w:t>
      </w:r>
      <w:r>
        <w:rPr>
          <w:spacing w:val="-12"/>
        </w:rPr>
        <w:t> </w:t>
      </w:r>
      <w:r>
        <w:rPr/>
        <w:t>technology</w:t>
      </w:r>
      <w:r>
        <w:rPr>
          <w:spacing w:val="-11"/>
        </w:rPr>
        <w:t> </w:t>
      </w:r>
      <w:r>
        <w:rPr/>
        <w:t>for</w:t>
      </w:r>
      <w:r>
        <w:rPr>
          <w:spacing w:val="-11"/>
        </w:rPr>
        <w:t> </w:t>
      </w:r>
      <w:r>
        <w:rPr/>
        <w:t>air separation (which is motivated by many market drivers other than IGCC needs) involve ‘non- breakthrough’ </w:t>
      </w:r>
      <w:r>
        <w:rPr>
          <w:spacing w:val="-2"/>
        </w:rPr>
        <w:t>technologies, </w:t>
      </w:r>
      <w:r>
        <w:rPr/>
        <w:t>with modest continuing improvements in components that are already established commercially - improvements that </w:t>
      </w:r>
      <w:r>
        <w:rPr>
          <w:spacing w:val="-3"/>
        </w:rPr>
        <w:t>might </w:t>
      </w:r>
      <w:r>
        <w:rPr/>
        <w:t>emerge as a natural result of growing commercial experience with IGCC</w:t>
      </w:r>
      <w:r>
        <w:rPr>
          <w:spacing w:val="-2"/>
        </w:rPr>
        <w:t> </w:t>
      </w:r>
      <w:r>
        <w:rPr/>
        <w:t>technologies.</w:t>
      </w:r>
    </w:p>
    <w:p>
      <w:pPr>
        <w:pStyle w:val="BodyText"/>
        <w:spacing w:line="240" w:lineRule="exact"/>
        <w:ind w:left="513" w:firstLine="284"/>
        <w:jc w:val="both"/>
      </w:pPr>
      <w:r>
        <w:rPr/>
        <w:t>All fuel cell types are currently in the development phase. The first demonstration systems are now being tested, with  the largest units being at the 1 MW scale. However, it will  take at least another 5 to 10 years before these units become commercially available. In the longer term, these highly efficient fuel cell systems are expected to become competitive for power generation. Integrating CO</w:t>
      </w:r>
      <w:r>
        <w:rPr>
          <w:position w:val="-6"/>
          <w:sz w:val="11"/>
        </w:rPr>
        <w:t>2 </w:t>
      </w:r>
      <w:r>
        <w:rPr/>
        <w:t>capture in these systems is relatively simple and therefore fuel cell power generation systems offer the prospect of reducing the CO</w:t>
      </w:r>
      <w:r>
        <w:rPr>
          <w:position w:val="-6"/>
          <w:sz w:val="11"/>
        </w:rPr>
        <w:t>2 </w:t>
      </w:r>
      <w:r>
        <w:rPr/>
        <w:t>capture penalty in terms of efficiency and capture costs. For instance, for high temperature fuel cell systems without CO</w:t>
      </w:r>
      <w:r>
        <w:rPr>
          <w:position w:val="-6"/>
          <w:sz w:val="11"/>
        </w:rPr>
        <w:t>2 </w:t>
      </w:r>
      <w:r>
        <w:rPr/>
        <w:t>capture, efficiencies that</w:t>
      </w:r>
      <w:r>
        <w:rPr>
          <w:spacing w:val="-20"/>
        </w:rPr>
        <w:t> </w:t>
      </w:r>
      <w:r>
        <w:rPr/>
        <w:t>exceed</w:t>
      </w:r>
      <w:r>
        <w:rPr>
          <w:spacing w:val="-20"/>
        </w:rPr>
        <w:t> </w:t>
      </w:r>
      <w:r>
        <w:rPr/>
        <w:t>67%</w:t>
      </w:r>
      <w:r>
        <w:rPr>
          <w:spacing w:val="-20"/>
        </w:rPr>
        <w:t> </w:t>
      </w:r>
      <w:r>
        <w:rPr/>
        <w:t>are</w:t>
      </w:r>
      <w:r>
        <w:rPr>
          <w:spacing w:val="-19"/>
        </w:rPr>
        <w:t> </w:t>
      </w:r>
      <w:r>
        <w:rPr/>
        <w:t>calculated</w:t>
      </w:r>
      <w:r>
        <w:rPr>
          <w:spacing w:val="-21"/>
        </w:rPr>
        <w:t> </w:t>
      </w:r>
      <w:r>
        <w:rPr/>
        <w:t>with</w:t>
      </w:r>
      <w:r>
        <w:rPr>
          <w:spacing w:val="-19"/>
        </w:rPr>
        <w:t> </w:t>
      </w:r>
      <w:r>
        <w:rPr/>
        <w:t>an</w:t>
      </w:r>
      <w:r>
        <w:rPr>
          <w:spacing w:val="-20"/>
        </w:rPr>
        <w:t> </w:t>
      </w:r>
      <w:r>
        <w:rPr/>
        <w:t>anticipated</w:t>
      </w:r>
      <w:r>
        <w:rPr>
          <w:spacing w:val="-20"/>
        </w:rPr>
        <w:t> </w:t>
      </w:r>
      <w:r>
        <w:rPr/>
        <w:t>7%</w:t>
      </w:r>
      <w:r>
        <w:rPr>
          <w:spacing w:val="-19"/>
        </w:rPr>
        <w:t> </w:t>
      </w:r>
      <w:r>
        <w:rPr/>
        <w:t>efficiency reduction when CO</w:t>
      </w:r>
      <w:r>
        <w:rPr>
          <w:position w:val="-6"/>
          <w:sz w:val="11"/>
        </w:rPr>
        <w:t>2 </w:t>
      </w:r>
      <w:r>
        <w:rPr/>
        <w:t>capture is integrated into the system</w:t>
      </w:r>
      <w:bookmarkStart w:name="_bookmark22" w:id="59"/>
      <w:bookmarkEnd w:id="59"/>
      <w:r>
        <w:rPr/>
      </w:r>
      <w:r>
        <w:rPr/>
        <w:t> (Jansen</w:t>
      </w:r>
      <w:r>
        <w:rPr>
          <w:spacing w:val="-5"/>
        </w:rPr>
        <w:t> </w:t>
      </w:r>
      <w:r>
        <w:rPr/>
        <w:t>and</w:t>
      </w:r>
      <w:r>
        <w:rPr>
          <w:spacing w:val="-5"/>
        </w:rPr>
        <w:t> </w:t>
      </w:r>
      <w:r>
        <w:rPr/>
        <w:t>Dijkstra,</w:t>
      </w:r>
      <w:r>
        <w:rPr>
          <w:spacing w:val="-5"/>
        </w:rPr>
        <w:t> </w:t>
      </w:r>
      <w:r>
        <w:rPr/>
        <w:t>2003).</w:t>
      </w:r>
      <w:r>
        <w:rPr>
          <w:spacing w:val="-5"/>
        </w:rPr>
        <w:t> </w:t>
      </w:r>
      <w:r>
        <w:rPr/>
        <w:t>However,</w:t>
      </w:r>
      <w:r>
        <w:rPr>
          <w:spacing w:val="-5"/>
        </w:rPr>
        <w:t> </w:t>
      </w:r>
      <w:r>
        <w:rPr/>
        <w:t>fuel</w:t>
      </w:r>
      <w:r>
        <w:rPr>
          <w:spacing w:val="-5"/>
        </w:rPr>
        <w:t> </w:t>
      </w:r>
      <w:r>
        <w:rPr/>
        <w:t>cell</w:t>
      </w:r>
      <w:r>
        <w:rPr>
          <w:spacing w:val="-5"/>
        </w:rPr>
        <w:t> </w:t>
      </w:r>
      <w:r>
        <w:rPr/>
        <w:t>systems</w:t>
      </w:r>
      <w:r>
        <w:rPr>
          <w:spacing w:val="-5"/>
        </w:rPr>
        <w:t> </w:t>
      </w:r>
      <w:r>
        <w:rPr/>
        <w:t>are</w:t>
      </w:r>
      <w:r>
        <w:rPr>
          <w:spacing w:val="-5"/>
        </w:rPr>
        <w:t> </w:t>
      </w:r>
      <w:r>
        <w:rPr/>
        <w:t>too small to reach a reasonable level of CO</w:t>
      </w:r>
      <w:r>
        <w:rPr>
          <w:position w:val="-6"/>
          <w:sz w:val="11"/>
        </w:rPr>
        <w:t>2 </w:t>
      </w:r>
      <w:r>
        <w:rPr/>
        <w:t>transport cost (IEA GHG, 2002a), but in groups of a total of capacity </w:t>
      </w:r>
      <w:r>
        <w:rPr>
          <w:spacing w:val="-3"/>
        </w:rPr>
        <w:t>100MWe,</w:t>
      </w:r>
      <w:r>
        <w:rPr>
          <w:spacing w:val="-32"/>
        </w:rPr>
        <w:t> </w:t>
      </w:r>
      <w:r>
        <w:rPr/>
        <w:t>the cost of CO</w:t>
      </w:r>
      <w:r>
        <w:rPr>
          <w:position w:val="-6"/>
          <w:sz w:val="11"/>
        </w:rPr>
        <w:t>2 </w:t>
      </w:r>
      <w:r>
        <w:rPr/>
        <w:t>transport is reduced to a more acceptable</w:t>
      </w:r>
      <w:r>
        <w:rPr>
          <w:spacing w:val="-4"/>
        </w:rPr>
        <w:t> </w:t>
      </w:r>
      <w:r>
        <w:rPr/>
        <w:t>level.</w:t>
      </w:r>
    </w:p>
    <w:p>
      <w:pPr>
        <w:pStyle w:val="BodyText"/>
        <w:spacing w:line="240" w:lineRule="exact"/>
        <w:ind w:left="513" w:right="7" w:firstLine="284"/>
        <w:jc w:val="both"/>
      </w:pPr>
      <w:r>
        <w:rPr/>
        <w:t>Most</w:t>
      </w:r>
      <w:r>
        <w:rPr>
          <w:spacing w:val="-30"/>
        </w:rPr>
        <w:t> </w:t>
      </w:r>
      <w:r>
        <w:rPr/>
        <w:t>studies</w:t>
      </w:r>
      <w:r>
        <w:rPr>
          <w:spacing w:val="-30"/>
        </w:rPr>
        <w:t> </w:t>
      </w:r>
      <w:r>
        <w:rPr/>
        <w:t>agree</w:t>
      </w:r>
      <w:r>
        <w:rPr>
          <w:spacing w:val="-29"/>
        </w:rPr>
        <w:t> </w:t>
      </w:r>
      <w:r>
        <w:rPr/>
        <w:t>that</w:t>
      </w:r>
      <w:r>
        <w:rPr>
          <w:spacing w:val="-30"/>
        </w:rPr>
        <w:t> </w:t>
      </w:r>
      <w:r>
        <w:rPr/>
        <w:t>pre-combustion</w:t>
      </w:r>
      <w:r>
        <w:rPr>
          <w:spacing w:val="-30"/>
        </w:rPr>
        <w:t> </w:t>
      </w:r>
      <w:r>
        <w:rPr/>
        <w:t>systems</w:t>
      </w:r>
      <w:r>
        <w:rPr>
          <w:spacing w:val="-29"/>
        </w:rPr>
        <w:t> </w:t>
      </w:r>
      <w:r>
        <w:rPr/>
        <w:t>may</w:t>
      </w:r>
      <w:r>
        <w:rPr>
          <w:spacing w:val="-30"/>
        </w:rPr>
        <w:t> </w:t>
      </w:r>
      <w:r>
        <w:rPr/>
        <w:t>be</w:t>
      </w:r>
      <w:r>
        <w:rPr>
          <w:spacing w:val="-29"/>
        </w:rPr>
        <w:t> </w:t>
      </w:r>
      <w:r>
        <w:rPr/>
        <w:t>better suited to implement CO</w:t>
      </w:r>
      <w:r>
        <w:rPr>
          <w:position w:val="-6"/>
          <w:sz w:val="11"/>
        </w:rPr>
        <w:t>2 </w:t>
      </w:r>
      <w:r>
        <w:rPr/>
        <w:t>capture at a lower incremental cost compared to the same type of base technology without capture (Section 3.7), but with a key driver affecting implementation being the absolute cost of the carbon emission-free product,   or service provided. Pre-combustion systems also have a high strategic importance, because  their  capability  to  deliver,  in a large scale and at high thermal efficiencies, a suitable mix  </w:t>
      </w:r>
      <w:bookmarkStart w:name="_bookmark23" w:id="60"/>
      <w:bookmarkEnd w:id="60"/>
      <w:r>
        <w:rPr/>
      </w:r>
      <w:r>
        <w:rPr/>
        <w:t> of</w:t>
      </w:r>
      <w:r>
        <w:rPr>
          <w:spacing w:val="23"/>
        </w:rPr>
        <w:t> </w:t>
      </w:r>
      <w:r>
        <w:rPr/>
        <w:t>electricity,</w:t>
      </w:r>
      <w:r>
        <w:rPr>
          <w:spacing w:val="23"/>
        </w:rPr>
        <w:t> </w:t>
      </w:r>
      <w:r>
        <w:rPr/>
        <w:t>hydrogen</w:t>
      </w:r>
      <w:r>
        <w:rPr>
          <w:spacing w:val="23"/>
        </w:rPr>
        <w:t> </w:t>
      </w:r>
      <w:r>
        <w:rPr/>
        <w:t>and</w:t>
      </w:r>
      <w:r>
        <w:rPr>
          <w:spacing w:val="23"/>
        </w:rPr>
        <w:t> </w:t>
      </w:r>
      <w:r>
        <w:rPr/>
        <w:t>lower</w:t>
      </w:r>
      <w:r>
        <w:rPr>
          <w:spacing w:val="23"/>
        </w:rPr>
        <w:t> </w:t>
      </w:r>
      <w:r>
        <w:rPr/>
        <w:t>carbon-containing</w:t>
      </w:r>
      <w:r>
        <w:rPr>
          <w:spacing w:val="23"/>
        </w:rPr>
        <w:t> </w:t>
      </w:r>
      <w:r>
        <w:rPr/>
        <w:t>fuels</w:t>
      </w:r>
      <w:r>
        <w:rPr>
          <w:spacing w:val="23"/>
        </w:rPr>
        <w:t> </w:t>
      </w:r>
      <w:r>
        <w:rPr/>
        <w:t>or</w:t>
      </w:r>
    </w:p>
    <w:p>
      <w:pPr>
        <w:pStyle w:val="BodyText"/>
        <w:spacing w:before="4"/>
        <w:rPr>
          <w:sz w:val="18"/>
        </w:rPr>
      </w:pPr>
      <w:r>
        <w:rPr/>
        <w:br w:type="column"/>
      </w:r>
      <w:r>
        <w:rPr>
          <w:sz w:val="18"/>
        </w:rPr>
      </w:r>
    </w:p>
    <w:p>
      <w:pPr>
        <w:pStyle w:val="BodyText"/>
        <w:spacing w:line="249" w:lineRule="auto"/>
        <w:ind w:left="231" w:right="733"/>
        <w:jc w:val="both"/>
      </w:pPr>
      <w:r>
        <w:rPr/>
        <w:t>chemical feedstocks in an increasingly carbon-constrained world.</w:t>
      </w:r>
    </w:p>
    <w:p>
      <w:pPr>
        <w:pStyle w:val="BodyText"/>
        <w:rPr>
          <w:sz w:val="21"/>
        </w:rPr>
      </w:pPr>
    </w:p>
    <w:p>
      <w:pPr>
        <w:pStyle w:val="Heading1"/>
        <w:numPr>
          <w:ilvl w:val="1"/>
          <w:numId w:val="23"/>
        </w:numPr>
        <w:tabs>
          <w:tab w:pos="1051" w:val="left" w:leader="none"/>
          <w:tab w:pos="1052" w:val="left" w:leader="none"/>
        </w:tabs>
        <w:spacing w:line="249" w:lineRule="auto" w:before="0" w:after="0"/>
        <w:ind w:left="1051" w:right="1360" w:hanging="820"/>
        <w:jc w:val="left"/>
      </w:pPr>
      <w:r>
        <w:rPr/>
        <w:t>Environmental, monitoring, risk and </w:t>
      </w:r>
      <w:r>
        <w:rPr>
          <w:spacing w:val="-4"/>
        </w:rPr>
        <w:t>legal </w:t>
      </w:r>
      <w:r>
        <w:rPr/>
        <w:t>aspects of capture</w:t>
      </w:r>
      <w:r>
        <w:rPr>
          <w:spacing w:val="-2"/>
        </w:rPr>
        <w:t> </w:t>
      </w:r>
      <w:r>
        <w:rPr/>
        <w:t>systems</w:t>
      </w:r>
    </w:p>
    <w:p>
      <w:pPr>
        <w:pStyle w:val="BodyText"/>
        <w:spacing w:before="6"/>
        <w:rPr>
          <w:b/>
        </w:rPr>
      </w:pPr>
    </w:p>
    <w:p>
      <w:pPr>
        <w:pStyle w:val="BodyText"/>
        <w:spacing w:line="240" w:lineRule="exact" w:before="1"/>
        <w:ind w:left="231" w:right="733"/>
        <w:jc w:val="both"/>
      </w:pPr>
      <w:r>
        <w:rPr/>
        <w:t>The previous sections of this chapter focused on each of the major technologies and systems for CO</w:t>
      </w:r>
      <w:r>
        <w:rPr>
          <w:position w:val="-6"/>
          <w:sz w:val="11"/>
        </w:rPr>
        <w:t>2 </w:t>
      </w:r>
      <w:r>
        <w:rPr/>
        <w:t>capture. Here we summarize the major environmental, regulatory and risk issues associated with the use of CO</w:t>
      </w:r>
      <w:r>
        <w:rPr>
          <w:position w:val="-6"/>
          <w:sz w:val="11"/>
        </w:rPr>
        <w:t>2 </w:t>
      </w:r>
      <w:r>
        <w:rPr/>
        <w:t>capture technology and the handling of carbon dioxide common to all of these systems. Issues related to the subsequent transport and storage of</w:t>
      </w:r>
      <w:r>
        <w:rPr>
          <w:spacing w:val="-35"/>
        </w:rPr>
        <w:t> </w:t>
      </w:r>
      <w:r>
        <w:rPr/>
        <w:t>carbon dioxide are discussed in Chapters 4 to 7.</w:t>
      </w:r>
    </w:p>
    <w:p>
      <w:pPr>
        <w:pStyle w:val="BodyText"/>
        <w:spacing w:before="11"/>
        <w:rPr>
          <w:sz w:val="22"/>
        </w:rPr>
      </w:pPr>
    </w:p>
    <w:p>
      <w:pPr>
        <w:pStyle w:val="Heading2"/>
        <w:numPr>
          <w:ilvl w:val="2"/>
          <w:numId w:val="23"/>
        </w:numPr>
        <w:tabs>
          <w:tab w:pos="1051" w:val="left" w:leader="none"/>
          <w:tab w:pos="1052" w:val="left" w:leader="none"/>
        </w:tabs>
        <w:spacing w:line="206" w:lineRule="auto" w:before="0" w:after="0"/>
        <w:ind w:left="1051" w:right="1377" w:hanging="821"/>
        <w:jc w:val="left"/>
      </w:pPr>
      <w:r>
        <w:rPr>
          <w:i/>
        </w:rPr>
        <w:t>Emissions and resource use impacts of CO</w:t>
      </w:r>
      <w:r>
        <w:rPr>
          <w:i/>
          <w:position w:val="-6"/>
          <w:sz w:val="11"/>
        </w:rPr>
        <w:t>2</w:t>
      </w:r>
      <w:r>
        <w:rPr>
          <w:i/>
          <w:sz w:val="11"/>
        </w:rPr>
        <w:t> </w:t>
      </w:r>
      <w:r>
        <w:rPr/>
        <w:t>capture</w:t>
      </w:r>
      <w:r>
        <w:rPr>
          <w:spacing w:val="-1"/>
        </w:rPr>
        <w:t> </w:t>
      </w:r>
      <w:r>
        <w:rPr/>
        <w:t>systems</w:t>
      </w:r>
    </w:p>
    <w:p>
      <w:pPr>
        <w:pStyle w:val="BodyText"/>
        <w:spacing w:before="2"/>
        <w:rPr>
          <w:b/>
          <w:i/>
          <w:sz w:val="22"/>
        </w:rPr>
      </w:pPr>
    </w:p>
    <w:p>
      <w:pPr>
        <w:pStyle w:val="ListParagraph"/>
        <w:numPr>
          <w:ilvl w:val="3"/>
          <w:numId w:val="23"/>
        </w:numPr>
        <w:tabs>
          <w:tab w:pos="1052" w:val="left" w:leader="none"/>
        </w:tabs>
        <w:spacing w:line="240" w:lineRule="auto" w:before="0" w:after="0"/>
        <w:ind w:left="1051" w:right="0" w:hanging="821"/>
        <w:jc w:val="both"/>
        <w:rPr>
          <w:i/>
          <w:sz w:val="20"/>
        </w:rPr>
      </w:pPr>
      <w:r>
        <w:rPr>
          <w:i/>
          <w:sz w:val="20"/>
        </w:rPr>
        <w:t>Overview of emissions from capture</w:t>
      </w:r>
      <w:r>
        <w:rPr>
          <w:i/>
          <w:spacing w:val="-6"/>
          <w:sz w:val="20"/>
        </w:rPr>
        <w:t> </w:t>
      </w:r>
      <w:r>
        <w:rPr>
          <w:i/>
          <w:sz w:val="20"/>
        </w:rPr>
        <w:t>systems</w:t>
      </w:r>
    </w:p>
    <w:p>
      <w:pPr>
        <w:pStyle w:val="BodyText"/>
        <w:spacing w:line="240" w:lineRule="exact" w:before="5"/>
        <w:ind w:left="231" w:right="734"/>
        <w:jc w:val="both"/>
      </w:pPr>
      <w:r>
        <w:rPr/>
        <w:t>Plants</w:t>
      </w:r>
      <w:r>
        <w:rPr>
          <w:spacing w:val="-17"/>
        </w:rPr>
        <w:t> </w:t>
      </w:r>
      <w:r>
        <w:rPr/>
        <w:t>with</w:t>
      </w:r>
      <w:r>
        <w:rPr>
          <w:spacing w:val="-16"/>
        </w:rPr>
        <w:t> </w:t>
      </w:r>
      <w:r>
        <w:rPr/>
        <w:t>CO</w:t>
      </w:r>
      <w:r>
        <w:rPr>
          <w:position w:val="-6"/>
          <w:sz w:val="11"/>
        </w:rPr>
        <w:t>2</w:t>
      </w:r>
      <w:r>
        <w:rPr>
          <w:spacing w:val="6"/>
          <w:position w:val="-6"/>
          <w:sz w:val="11"/>
        </w:rPr>
        <w:t> </w:t>
      </w:r>
      <w:r>
        <w:rPr/>
        <w:t>capture</w:t>
      </w:r>
      <w:r>
        <w:rPr>
          <w:spacing w:val="-16"/>
        </w:rPr>
        <w:t> </w:t>
      </w:r>
      <w:r>
        <w:rPr/>
        <w:t>would</w:t>
      </w:r>
      <w:r>
        <w:rPr>
          <w:spacing w:val="-17"/>
        </w:rPr>
        <w:t> </w:t>
      </w:r>
      <w:r>
        <w:rPr/>
        <w:t>produce</w:t>
      </w:r>
      <w:r>
        <w:rPr>
          <w:spacing w:val="-16"/>
        </w:rPr>
        <w:t> </w:t>
      </w:r>
      <w:r>
        <w:rPr/>
        <w:t>a</w:t>
      </w:r>
      <w:r>
        <w:rPr>
          <w:spacing w:val="-17"/>
        </w:rPr>
        <w:t> </w:t>
      </w:r>
      <w:r>
        <w:rPr/>
        <w:t>stream</w:t>
      </w:r>
      <w:r>
        <w:rPr>
          <w:spacing w:val="-16"/>
        </w:rPr>
        <w:t> </w:t>
      </w:r>
      <w:r>
        <w:rPr/>
        <w:t>of</w:t>
      </w:r>
      <w:r>
        <w:rPr>
          <w:spacing w:val="-16"/>
        </w:rPr>
        <w:t> </w:t>
      </w:r>
      <w:r>
        <w:rPr/>
        <w:t>concentrated CO</w:t>
      </w:r>
      <w:r>
        <w:rPr>
          <w:position w:val="-6"/>
          <w:sz w:val="11"/>
        </w:rPr>
        <w:t>2</w:t>
      </w:r>
      <w:r>
        <w:rPr>
          <w:spacing w:val="10"/>
          <w:position w:val="-6"/>
          <w:sz w:val="11"/>
        </w:rPr>
        <w:t> </w:t>
      </w:r>
      <w:r>
        <w:rPr/>
        <w:t>for</w:t>
      </w:r>
      <w:r>
        <w:rPr>
          <w:spacing w:val="-12"/>
        </w:rPr>
        <w:t> </w:t>
      </w:r>
      <w:r>
        <w:rPr/>
        <w:t>storage,</w:t>
      </w:r>
      <w:r>
        <w:rPr>
          <w:spacing w:val="-12"/>
        </w:rPr>
        <w:t> </w:t>
      </w:r>
      <w:r>
        <w:rPr/>
        <w:t>plus</w:t>
      </w:r>
      <w:r>
        <w:rPr>
          <w:spacing w:val="-13"/>
        </w:rPr>
        <w:t> </w:t>
      </w:r>
      <w:r>
        <w:rPr/>
        <w:t>in</w:t>
      </w:r>
      <w:r>
        <w:rPr>
          <w:spacing w:val="-12"/>
        </w:rPr>
        <w:t> </w:t>
      </w:r>
      <w:r>
        <w:rPr/>
        <w:t>most</w:t>
      </w:r>
      <w:r>
        <w:rPr>
          <w:spacing w:val="-12"/>
        </w:rPr>
        <w:t> </w:t>
      </w:r>
      <w:r>
        <w:rPr/>
        <w:t>cases</w:t>
      </w:r>
      <w:r>
        <w:rPr>
          <w:spacing w:val="-13"/>
        </w:rPr>
        <w:t> </w:t>
      </w:r>
      <w:r>
        <w:rPr/>
        <w:t>a</w:t>
      </w:r>
      <w:r>
        <w:rPr>
          <w:spacing w:val="-12"/>
        </w:rPr>
        <w:t> </w:t>
      </w:r>
      <w:r>
        <w:rPr/>
        <w:t>flue</w:t>
      </w:r>
      <w:r>
        <w:rPr>
          <w:spacing w:val="-12"/>
        </w:rPr>
        <w:t> </w:t>
      </w:r>
      <w:r>
        <w:rPr/>
        <w:t>gas</w:t>
      </w:r>
      <w:r>
        <w:rPr>
          <w:spacing w:val="-13"/>
        </w:rPr>
        <w:t> </w:t>
      </w:r>
      <w:r>
        <w:rPr/>
        <w:t>or</w:t>
      </w:r>
      <w:r>
        <w:rPr>
          <w:spacing w:val="-12"/>
        </w:rPr>
        <w:t> </w:t>
      </w:r>
      <w:r>
        <w:rPr/>
        <w:t>vent</w:t>
      </w:r>
      <w:r>
        <w:rPr>
          <w:spacing w:val="-12"/>
        </w:rPr>
        <w:t> </w:t>
      </w:r>
      <w:r>
        <w:rPr/>
        <w:t>gas</w:t>
      </w:r>
      <w:r>
        <w:rPr>
          <w:spacing w:val="-13"/>
        </w:rPr>
        <w:t> </w:t>
      </w:r>
      <w:r>
        <w:rPr/>
        <w:t>emitted to</w:t>
      </w:r>
      <w:r>
        <w:rPr>
          <w:spacing w:val="-7"/>
        </w:rPr>
        <w:t> </w:t>
      </w:r>
      <w:r>
        <w:rPr/>
        <w:t>the</w:t>
      </w:r>
      <w:r>
        <w:rPr>
          <w:spacing w:val="-8"/>
        </w:rPr>
        <w:t> </w:t>
      </w:r>
      <w:r>
        <w:rPr/>
        <w:t>atmosphere</w:t>
      </w:r>
      <w:r>
        <w:rPr>
          <w:spacing w:val="-8"/>
        </w:rPr>
        <w:t> </w:t>
      </w:r>
      <w:r>
        <w:rPr/>
        <w:t>and</w:t>
      </w:r>
      <w:r>
        <w:rPr>
          <w:spacing w:val="-7"/>
        </w:rPr>
        <w:t> </w:t>
      </w:r>
      <w:r>
        <w:rPr/>
        <w:t>liquid</w:t>
      </w:r>
      <w:r>
        <w:rPr>
          <w:spacing w:val="-7"/>
        </w:rPr>
        <w:t> </w:t>
      </w:r>
      <w:r>
        <w:rPr/>
        <w:t>wastes.</w:t>
      </w:r>
      <w:r>
        <w:rPr>
          <w:spacing w:val="-8"/>
        </w:rPr>
        <w:t> </w:t>
      </w:r>
      <w:r>
        <w:rPr/>
        <w:t>In</w:t>
      </w:r>
      <w:r>
        <w:rPr>
          <w:spacing w:val="-7"/>
        </w:rPr>
        <w:t> </w:t>
      </w:r>
      <w:r>
        <w:rPr/>
        <w:t>some</w:t>
      </w:r>
      <w:r>
        <w:rPr>
          <w:spacing w:val="-8"/>
        </w:rPr>
        <w:t> </w:t>
      </w:r>
      <w:r>
        <w:rPr/>
        <w:t>cases</w:t>
      </w:r>
      <w:r>
        <w:rPr>
          <w:spacing w:val="-7"/>
        </w:rPr>
        <w:t> </w:t>
      </w:r>
      <w:r>
        <w:rPr/>
        <w:t>solid</w:t>
      </w:r>
      <w:r>
        <w:rPr>
          <w:spacing w:val="-7"/>
        </w:rPr>
        <w:t> </w:t>
      </w:r>
      <w:r>
        <w:rPr/>
        <w:t>wastes will also be</w:t>
      </w:r>
      <w:r>
        <w:rPr>
          <w:spacing w:val="-2"/>
        </w:rPr>
        <w:t> </w:t>
      </w:r>
      <w:r>
        <w:rPr/>
        <w:t>produced.</w:t>
      </w:r>
    </w:p>
    <w:p>
      <w:pPr>
        <w:pStyle w:val="BodyText"/>
        <w:spacing w:line="225" w:lineRule="auto" w:before="13"/>
        <w:ind w:left="231" w:right="733" w:firstLine="283"/>
        <w:jc w:val="both"/>
      </w:pPr>
      <w:r>
        <w:rPr/>
        <w:t>The captured CO</w:t>
      </w:r>
      <w:r>
        <w:rPr>
          <w:position w:val="-6"/>
          <w:sz w:val="11"/>
        </w:rPr>
        <w:t>2 </w:t>
      </w:r>
      <w:r>
        <w:rPr/>
        <w:t>stream may contain impurities which would have practical impacts on CO</w:t>
      </w:r>
      <w:r>
        <w:rPr>
          <w:position w:val="-6"/>
          <w:sz w:val="11"/>
        </w:rPr>
        <w:t>2 </w:t>
      </w:r>
      <w:r>
        <w:rPr/>
        <w:t>transport and storage systems and also potential health, safety and environmental impacts. The types and concentrations of impurities depend on the type of capture process, as shown in </w:t>
      </w:r>
      <w:hyperlink w:history="true" w:anchor="_bookmark22">
        <w:r>
          <w:rPr>
            <w:spacing w:val="-3"/>
          </w:rPr>
          <w:t>Table </w:t>
        </w:r>
        <w:r>
          <w:rPr/>
          <w:t>3.4, </w:t>
        </w:r>
      </w:hyperlink>
      <w:r>
        <w:rPr/>
        <w:t>and</w:t>
      </w:r>
      <w:r>
        <w:rPr>
          <w:spacing w:val="-14"/>
        </w:rPr>
        <w:t> </w:t>
      </w:r>
      <w:r>
        <w:rPr/>
        <w:t>detailed plant design. The major impurities in CO</w:t>
      </w:r>
      <w:r>
        <w:rPr>
          <w:position w:val="-6"/>
          <w:sz w:val="11"/>
        </w:rPr>
        <w:t>2 </w:t>
      </w:r>
      <w:r>
        <w:rPr/>
        <w:t>are well known but there is little published information on the fate of any </w:t>
      </w:r>
      <w:r>
        <w:rPr>
          <w:spacing w:val="-3"/>
        </w:rPr>
        <w:t>trace </w:t>
      </w:r>
      <w:r>
        <w:rPr/>
        <w:t>impurities in the feed gas such as heavy metals. If substances are captured along with the CO</w:t>
      </w:r>
      <w:r>
        <w:rPr>
          <w:position w:val="-6"/>
          <w:sz w:val="11"/>
        </w:rPr>
        <w:t>2 </w:t>
      </w:r>
      <w:r>
        <w:rPr/>
        <w:t>then their net emissions to the atmosphere will be reduced, but impurities in the CO</w:t>
      </w:r>
      <w:r>
        <w:rPr>
          <w:position w:val="-6"/>
          <w:sz w:val="11"/>
        </w:rPr>
        <w:t>2 </w:t>
      </w:r>
      <w:r>
        <w:rPr/>
        <w:t>may result in environmental impacts at the storage</w:t>
      </w:r>
      <w:r>
        <w:rPr>
          <w:spacing w:val="-4"/>
        </w:rPr>
        <w:t> </w:t>
      </w:r>
      <w:r>
        <w:rPr/>
        <w:t>site.</w:t>
      </w:r>
    </w:p>
    <w:p>
      <w:pPr>
        <w:pStyle w:val="BodyText"/>
        <w:spacing w:line="225" w:lineRule="auto" w:before="9"/>
        <w:ind w:left="231" w:right="733" w:firstLine="283"/>
        <w:jc w:val="both"/>
      </w:pPr>
      <w:r>
        <w:rPr/>
        <w:t>CO</w:t>
      </w:r>
      <w:r>
        <w:rPr>
          <w:position w:val="-6"/>
          <w:sz w:val="11"/>
        </w:rPr>
        <w:t>2 </w:t>
      </w:r>
      <w:r>
        <w:rPr/>
        <w:t>from most capture processes contains moisture, which has to be removed to avoid corrosion and hydrate formation during transportation. This can be done using conventional</w:t>
      </w:r>
    </w:p>
    <w:p>
      <w:pPr>
        <w:spacing w:after="0" w:line="225" w:lineRule="auto"/>
        <w:jc w:val="both"/>
        <w:sectPr>
          <w:type w:val="continuous"/>
          <w:pgSz w:w="12240" w:h="15840"/>
          <w:pgMar w:top="480" w:bottom="280" w:left="620" w:right="0"/>
          <w:cols w:num="2" w:equalWidth="0">
            <w:col w:w="5569" w:space="40"/>
            <w:col w:w="6011"/>
          </w:cols>
        </w:sectPr>
      </w:pPr>
    </w:p>
    <w:p>
      <w:pPr>
        <w:pStyle w:val="BodyText"/>
      </w:pPr>
    </w:p>
    <w:p>
      <w:pPr>
        <w:pStyle w:val="BodyText"/>
        <w:spacing w:before="1"/>
        <w:rPr>
          <w:sz w:val="19"/>
        </w:rPr>
      </w:pPr>
    </w:p>
    <w:p>
      <w:pPr>
        <w:spacing w:before="67" w:after="4"/>
        <w:ind w:left="513" w:right="0" w:firstLine="0"/>
        <w:jc w:val="left"/>
        <w:rPr>
          <w:sz w:val="18"/>
        </w:rPr>
      </w:pPr>
      <w:r>
        <w:rPr>
          <w:b/>
          <w:spacing w:val="-17"/>
          <w:w w:val="200"/>
          <w:sz w:val="18"/>
        </w:rPr>
        <w:t>t</w:t>
      </w:r>
      <w:r>
        <w:rPr>
          <w:b/>
          <w:sz w:val="18"/>
        </w:rPr>
        <w:t>able</w:t>
      </w:r>
      <w:r>
        <w:rPr>
          <w:b/>
          <w:spacing w:val="4"/>
          <w:sz w:val="18"/>
        </w:rPr>
        <w:t> </w:t>
      </w:r>
      <w:r>
        <w:rPr>
          <w:b/>
          <w:sz w:val="18"/>
        </w:rPr>
        <w:t>3.4</w:t>
      </w:r>
      <w:r>
        <w:rPr>
          <w:b/>
          <w:spacing w:val="4"/>
          <w:sz w:val="18"/>
        </w:rPr>
        <w:t> </w:t>
      </w:r>
      <w:r>
        <w:rPr>
          <w:sz w:val="18"/>
        </w:rPr>
        <w:t>Concentrations</w:t>
      </w:r>
      <w:r>
        <w:rPr>
          <w:spacing w:val="4"/>
          <w:sz w:val="18"/>
        </w:rPr>
        <w:t> </w:t>
      </w:r>
      <w:r>
        <w:rPr>
          <w:sz w:val="18"/>
        </w:rPr>
        <w:t>of</w:t>
      </w:r>
      <w:r>
        <w:rPr>
          <w:spacing w:val="4"/>
          <w:sz w:val="18"/>
        </w:rPr>
        <w:t> </w:t>
      </w:r>
      <w:r>
        <w:rPr>
          <w:sz w:val="18"/>
        </w:rPr>
        <w:t>impurities</w:t>
      </w:r>
      <w:r>
        <w:rPr>
          <w:spacing w:val="4"/>
          <w:sz w:val="18"/>
        </w:rPr>
        <w:t> </w:t>
      </w:r>
      <w:r>
        <w:rPr>
          <w:sz w:val="18"/>
        </w:rPr>
        <w:t>in</w:t>
      </w:r>
      <w:r>
        <w:rPr>
          <w:spacing w:val="4"/>
          <w:sz w:val="18"/>
        </w:rPr>
        <w:t> </w:t>
      </w:r>
      <w:r>
        <w:rPr>
          <w:sz w:val="18"/>
        </w:rPr>
        <w:t>dried</w:t>
      </w:r>
      <w:r>
        <w:rPr>
          <w:spacing w:val="4"/>
          <w:sz w:val="18"/>
        </w:rPr>
        <w:t> </w:t>
      </w:r>
      <w:r>
        <w:rPr>
          <w:sz w:val="18"/>
        </w:rPr>
        <w:t>C</w:t>
      </w:r>
      <w:r>
        <w:rPr>
          <w:spacing w:val="-1"/>
          <w:sz w:val="18"/>
        </w:rPr>
        <w:t>O</w:t>
      </w:r>
      <w:r>
        <w:rPr>
          <w:w w:val="104"/>
          <w:position w:val="-5"/>
          <w:sz w:val="10"/>
        </w:rPr>
        <w:t>2</w:t>
      </w:r>
      <w:r>
        <w:rPr>
          <w:sz w:val="18"/>
        </w:rPr>
        <w:t>,</w:t>
      </w:r>
      <w:r>
        <w:rPr>
          <w:spacing w:val="4"/>
          <w:sz w:val="18"/>
        </w:rPr>
        <w:t> </w:t>
      </w:r>
      <w:r>
        <w:rPr>
          <w:sz w:val="18"/>
        </w:rPr>
        <w:t>%</w:t>
      </w:r>
      <w:r>
        <w:rPr>
          <w:spacing w:val="4"/>
          <w:sz w:val="18"/>
        </w:rPr>
        <w:t> </w:t>
      </w:r>
      <w:r>
        <w:rPr>
          <w:sz w:val="18"/>
        </w:rPr>
        <w:t>by</w:t>
      </w:r>
      <w:r>
        <w:rPr>
          <w:spacing w:val="4"/>
          <w:sz w:val="18"/>
        </w:rPr>
        <w:t> </w:t>
      </w:r>
      <w:r>
        <w:rPr>
          <w:sz w:val="18"/>
        </w:rPr>
        <w:t>volume</w:t>
      </w:r>
      <w:r>
        <w:rPr>
          <w:spacing w:val="4"/>
          <w:sz w:val="18"/>
        </w:rPr>
        <w:t> </w:t>
      </w:r>
      <w:r>
        <w:rPr>
          <w:sz w:val="18"/>
        </w:rPr>
        <w:t>(Source</w:t>
      </w:r>
      <w:r>
        <w:rPr>
          <w:spacing w:val="4"/>
          <w:sz w:val="18"/>
        </w:rPr>
        <w:t> </w:t>
      </w:r>
      <w:r>
        <w:rPr>
          <w:sz w:val="18"/>
        </w:rPr>
        <w:t>data:</w:t>
      </w:r>
      <w:r>
        <w:rPr>
          <w:spacing w:val="4"/>
          <w:sz w:val="18"/>
        </w:rPr>
        <w:t> </w:t>
      </w:r>
      <w:r>
        <w:rPr>
          <w:sz w:val="18"/>
        </w:rPr>
        <w:t>IEA</w:t>
      </w:r>
      <w:r>
        <w:rPr>
          <w:spacing w:val="-6"/>
          <w:sz w:val="18"/>
        </w:rPr>
        <w:t> </w:t>
      </w:r>
      <w:r>
        <w:rPr>
          <w:spacing w:val="-1"/>
          <w:sz w:val="18"/>
        </w:rPr>
        <w:t>GHG</w:t>
      </w:r>
      <w:r>
        <w:rPr>
          <w:sz w:val="18"/>
        </w:rPr>
        <w:t>,</w:t>
      </w:r>
      <w:r>
        <w:rPr>
          <w:spacing w:val="4"/>
          <w:sz w:val="18"/>
        </w:rPr>
        <w:t> </w:t>
      </w:r>
      <w:r>
        <w:rPr>
          <w:sz w:val="18"/>
        </w:rPr>
        <w:t>2003;</w:t>
      </w:r>
      <w:r>
        <w:rPr>
          <w:spacing w:val="4"/>
          <w:sz w:val="18"/>
        </w:rPr>
        <w:t> </w:t>
      </w:r>
      <w:r>
        <w:rPr>
          <w:sz w:val="18"/>
        </w:rPr>
        <w:t>IEA</w:t>
      </w:r>
      <w:r>
        <w:rPr>
          <w:spacing w:val="-6"/>
          <w:sz w:val="18"/>
        </w:rPr>
        <w:t> </w:t>
      </w:r>
      <w:r>
        <w:rPr>
          <w:spacing w:val="-1"/>
          <w:sz w:val="18"/>
        </w:rPr>
        <w:t>GHG</w:t>
      </w:r>
      <w:r>
        <w:rPr>
          <w:sz w:val="18"/>
        </w:rPr>
        <w:t>,</w:t>
      </w:r>
      <w:r>
        <w:rPr>
          <w:spacing w:val="4"/>
          <w:sz w:val="18"/>
        </w:rPr>
        <w:t> </w:t>
      </w:r>
      <w:r>
        <w:rPr>
          <w:sz w:val="18"/>
        </w:rPr>
        <w:t>2004;</w:t>
      </w:r>
      <w:r>
        <w:rPr>
          <w:spacing w:val="4"/>
          <w:sz w:val="18"/>
        </w:rPr>
        <w:t> </w:t>
      </w:r>
      <w:r>
        <w:rPr>
          <w:sz w:val="18"/>
        </w:rPr>
        <w:t>IEA</w:t>
      </w:r>
      <w:r>
        <w:rPr>
          <w:spacing w:val="-6"/>
          <w:sz w:val="18"/>
        </w:rPr>
        <w:t> </w:t>
      </w:r>
      <w:r>
        <w:rPr>
          <w:spacing w:val="-1"/>
          <w:sz w:val="18"/>
        </w:rPr>
        <w:t>GHG</w:t>
      </w:r>
      <w:r>
        <w:rPr>
          <w:sz w:val="18"/>
        </w:rPr>
        <w:t>,</w:t>
      </w:r>
      <w:r>
        <w:rPr>
          <w:spacing w:val="4"/>
          <w:sz w:val="18"/>
        </w:rPr>
        <w:t> </w:t>
      </w:r>
      <w:r>
        <w:rPr>
          <w:sz w:val="18"/>
        </w:rPr>
        <w:t>2005).</w:t>
      </w:r>
    </w:p>
    <w:tbl>
      <w:tblPr>
        <w:tblW w:w="0" w:type="auto"/>
        <w:jc w:val="left"/>
        <w:tblInd w:w="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7"/>
        <w:gridCol w:w="954"/>
        <w:gridCol w:w="880"/>
        <w:gridCol w:w="994"/>
        <w:gridCol w:w="881"/>
        <w:gridCol w:w="1018"/>
        <w:gridCol w:w="766"/>
        <w:gridCol w:w="1083"/>
        <w:gridCol w:w="952"/>
      </w:tblGrid>
      <w:tr>
        <w:trPr>
          <w:trHeight w:val="285" w:hRule="atLeast"/>
        </w:trPr>
        <w:tc>
          <w:tcPr>
            <w:tcW w:w="3781" w:type="dxa"/>
            <w:gridSpan w:val="2"/>
            <w:tcBorders>
              <w:top w:val="single" w:sz="4" w:space="0" w:color="000000"/>
              <w:bottom w:val="single" w:sz="4" w:space="0" w:color="000000"/>
            </w:tcBorders>
            <w:shd w:val="clear" w:color="auto" w:fill="E0EEE0"/>
          </w:tcPr>
          <w:p>
            <w:pPr>
              <w:pStyle w:val="TableParagraph"/>
              <w:spacing w:line="223" w:lineRule="exact" w:before="42"/>
              <w:ind w:right="314"/>
              <w:jc w:val="right"/>
              <w:rPr>
                <w:b/>
                <w:sz w:val="10"/>
              </w:rPr>
            </w:pPr>
            <w:r>
              <w:rPr>
                <w:b/>
                <w:sz w:val="18"/>
              </w:rPr>
              <w:t>SO</w:t>
            </w:r>
            <w:r>
              <w:rPr>
                <w:b/>
                <w:position w:val="-5"/>
                <w:sz w:val="10"/>
              </w:rPr>
              <w:t>2</w:t>
            </w:r>
          </w:p>
        </w:tc>
        <w:tc>
          <w:tcPr>
            <w:tcW w:w="880" w:type="dxa"/>
            <w:tcBorders>
              <w:top w:val="single" w:sz="4" w:space="0" w:color="000000"/>
              <w:bottom w:val="single" w:sz="4" w:space="0" w:color="000000"/>
            </w:tcBorders>
            <w:shd w:val="clear" w:color="auto" w:fill="E0EEE0"/>
          </w:tcPr>
          <w:p>
            <w:pPr>
              <w:pStyle w:val="TableParagraph"/>
              <w:spacing w:before="42"/>
              <w:ind w:left="235" w:right="188"/>
              <w:rPr>
                <w:b/>
                <w:sz w:val="18"/>
              </w:rPr>
            </w:pPr>
            <w:r>
              <w:rPr>
                <w:b/>
                <w:sz w:val="18"/>
              </w:rPr>
              <w:t>NO</w:t>
            </w:r>
          </w:p>
        </w:tc>
        <w:tc>
          <w:tcPr>
            <w:tcW w:w="994" w:type="dxa"/>
            <w:tcBorders>
              <w:top w:val="single" w:sz="4" w:space="0" w:color="000000"/>
              <w:bottom w:val="single" w:sz="4" w:space="0" w:color="000000"/>
            </w:tcBorders>
            <w:shd w:val="clear" w:color="auto" w:fill="E0EEE0"/>
          </w:tcPr>
          <w:p>
            <w:pPr>
              <w:pStyle w:val="TableParagraph"/>
              <w:spacing w:line="223" w:lineRule="exact" w:before="42"/>
              <w:ind w:left="190" w:right="164"/>
              <w:rPr>
                <w:b/>
                <w:sz w:val="18"/>
              </w:rPr>
            </w:pPr>
            <w:r>
              <w:rPr>
                <w:b/>
                <w:sz w:val="18"/>
              </w:rPr>
              <w:t>H</w:t>
            </w:r>
            <w:r>
              <w:rPr>
                <w:b/>
                <w:position w:val="-5"/>
                <w:sz w:val="10"/>
              </w:rPr>
              <w:t>2</w:t>
            </w:r>
            <w:r>
              <w:rPr>
                <w:b/>
                <w:sz w:val="18"/>
              </w:rPr>
              <w:t>S</w:t>
            </w:r>
          </w:p>
        </w:tc>
        <w:tc>
          <w:tcPr>
            <w:tcW w:w="881" w:type="dxa"/>
            <w:tcBorders>
              <w:top w:val="single" w:sz="4" w:space="0" w:color="000000"/>
              <w:bottom w:val="single" w:sz="4" w:space="0" w:color="000000"/>
            </w:tcBorders>
            <w:shd w:val="clear" w:color="auto" w:fill="E0EEE0"/>
          </w:tcPr>
          <w:p>
            <w:pPr>
              <w:pStyle w:val="TableParagraph"/>
              <w:spacing w:line="223" w:lineRule="exact" w:before="42"/>
              <w:ind w:left="167" w:right="164"/>
              <w:rPr>
                <w:b/>
                <w:sz w:val="10"/>
              </w:rPr>
            </w:pPr>
            <w:r>
              <w:rPr>
                <w:b/>
                <w:sz w:val="18"/>
              </w:rPr>
              <w:t>H</w:t>
            </w:r>
            <w:r>
              <w:rPr>
                <w:b/>
                <w:position w:val="-5"/>
                <w:sz w:val="10"/>
              </w:rPr>
              <w:t>2</w:t>
            </w:r>
          </w:p>
        </w:tc>
        <w:tc>
          <w:tcPr>
            <w:tcW w:w="1018" w:type="dxa"/>
            <w:tcBorders>
              <w:top w:val="single" w:sz="4" w:space="0" w:color="000000"/>
              <w:bottom w:val="single" w:sz="4" w:space="0" w:color="000000"/>
            </w:tcBorders>
            <w:shd w:val="clear" w:color="auto" w:fill="E0EEE0"/>
          </w:tcPr>
          <w:p>
            <w:pPr>
              <w:pStyle w:val="TableParagraph"/>
              <w:spacing w:before="42"/>
              <w:ind w:left="169" w:right="209"/>
              <w:rPr>
                <w:b/>
                <w:sz w:val="18"/>
              </w:rPr>
            </w:pPr>
            <w:r>
              <w:rPr>
                <w:b/>
                <w:sz w:val="18"/>
              </w:rPr>
              <w:t>CO</w:t>
            </w:r>
          </w:p>
        </w:tc>
        <w:tc>
          <w:tcPr>
            <w:tcW w:w="766" w:type="dxa"/>
            <w:tcBorders>
              <w:top w:val="single" w:sz="4" w:space="0" w:color="000000"/>
              <w:bottom w:val="single" w:sz="4" w:space="0" w:color="000000"/>
            </w:tcBorders>
            <w:shd w:val="clear" w:color="auto" w:fill="E0EEE0"/>
          </w:tcPr>
          <w:p>
            <w:pPr>
              <w:pStyle w:val="TableParagraph"/>
              <w:spacing w:line="223" w:lineRule="exact" w:before="42"/>
              <w:ind w:left="234"/>
              <w:jc w:val="left"/>
              <w:rPr>
                <w:b/>
                <w:sz w:val="10"/>
              </w:rPr>
            </w:pPr>
            <w:r>
              <w:rPr>
                <w:b/>
                <w:sz w:val="18"/>
              </w:rPr>
              <w:t>CH</w:t>
            </w:r>
            <w:r>
              <w:rPr>
                <w:b/>
                <w:position w:val="-5"/>
                <w:sz w:val="10"/>
              </w:rPr>
              <w:t>4</w:t>
            </w:r>
          </w:p>
        </w:tc>
        <w:tc>
          <w:tcPr>
            <w:tcW w:w="1083" w:type="dxa"/>
            <w:tcBorders>
              <w:top w:val="single" w:sz="4" w:space="0" w:color="000000"/>
              <w:bottom w:val="single" w:sz="4" w:space="0" w:color="000000"/>
            </w:tcBorders>
            <w:shd w:val="clear" w:color="auto" w:fill="E0EEE0"/>
          </w:tcPr>
          <w:p>
            <w:pPr>
              <w:pStyle w:val="TableParagraph"/>
              <w:spacing w:line="223" w:lineRule="exact" w:before="42"/>
              <w:ind w:left="196" w:right="167"/>
              <w:rPr>
                <w:b/>
                <w:sz w:val="10"/>
              </w:rPr>
            </w:pPr>
            <w:r>
              <w:rPr>
                <w:b/>
                <w:sz w:val="18"/>
              </w:rPr>
              <w:t>N</w:t>
            </w:r>
            <w:r>
              <w:rPr>
                <w:b/>
                <w:position w:val="-5"/>
                <w:sz w:val="10"/>
              </w:rPr>
              <w:t>2</w:t>
            </w:r>
            <w:r>
              <w:rPr>
                <w:b/>
                <w:sz w:val="18"/>
              </w:rPr>
              <w:t>/Ar/O</w:t>
            </w:r>
            <w:r>
              <w:rPr>
                <w:b/>
                <w:position w:val="-5"/>
                <w:sz w:val="10"/>
              </w:rPr>
              <w:t>2</w:t>
            </w:r>
          </w:p>
        </w:tc>
        <w:tc>
          <w:tcPr>
            <w:tcW w:w="952" w:type="dxa"/>
            <w:tcBorders>
              <w:top w:val="single" w:sz="4" w:space="0" w:color="000000"/>
              <w:bottom w:val="single" w:sz="4" w:space="0" w:color="000000"/>
            </w:tcBorders>
            <w:shd w:val="clear" w:color="auto" w:fill="E0EEE0"/>
          </w:tcPr>
          <w:p>
            <w:pPr>
              <w:pStyle w:val="TableParagraph"/>
              <w:spacing w:before="42"/>
              <w:ind w:left="172" w:right="229"/>
              <w:rPr>
                <w:b/>
                <w:sz w:val="18"/>
              </w:rPr>
            </w:pPr>
            <w:r>
              <w:rPr>
                <w:b/>
                <w:spacing w:val="-17"/>
                <w:w w:val="200"/>
                <w:sz w:val="18"/>
              </w:rPr>
              <w:t>t</w:t>
            </w:r>
            <w:r>
              <w:rPr>
                <w:b/>
                <w:sz w:val="18"/>
              </w:rPr>
              <w:t>otal</w:t>
            </w:r>
          </w:p>
        </w:tc>
      </w:tr>
      <w:tr>
        <w:trPr>
          <w:trHeight w:val="328" w:hRule="atLeast"/>
        </w:trPr>
        <w:tc>
          <w:tcPr>
            <w:tcW w:w="2827" w:type="dxa"/>
            <w:tcBorders>
              <w:top w:val="single" w:sz="4" w:space="0" w:color="000000"/>
            </w:tcBorders>
            <w:shd w:val="clear" w:color="auto" w:fill="F9FCF9"/>
          </w:tcPr>
          <w:p>
            <w:pPr>
              <w:pStyle w:val="TableParagraph"/>
              <w:spacing w:before="42"/>
              <w:ind w:left="80"/>
              <w:jc w:val="left"/>
              <w:rPr>
                <w:sz w:val="18"/>
              </w:rPr>
            </w:pPr>
            <w:r>
              <w:rPr>
                <w:sz w:val="18"/>
              </w:rPr>
              <w:t>COAL FIRED PLANTS</w:t>
            </w:r>
          </w:p>
        </w:tc>
        <w:tc>
          <w:tcPr>
            <w:tcW w:w="954" w:type="dxa"/>
            <w:tcBorders>
              <w:top w:val="single" w:sz="4" w:space="0" w:color="000000"/>
            </w:tcBorders>
            <w:shd w:val="clear" w:color="auto" w:fill="F9FCF9"/>
          </w:tcPr>
          <w:p>
            <w:pPr>
              <w:pStyle w:val="TableParagraph"/>
              <w:jc w:val="left"/>
              <w:rPr>
                <w:sz w:val="18"/>
              </w:rPr>
            </w:pPr>
          </w:p>
        </w:tc>
        <w:tc>
          <w:tcPr>
            <w:tcW w:w="880" w:type="dxa"/>
            <w:tcBorders>
              <w:top w:val="single" w:sz="4" w:space="0" w:color="000000"/>
            </w:tcBorders>
            <w:shd w:val="clear" w:color="auto" w:fill="F9FCF9"/>
          </w:tcPr>
          <w:p>
            <w:pPr>
              <w:pStyle w:val="TableParagraph"/>
              <w:jc w:val="left"/>
              <w:rPr>
                <w:sz w:val="18"/>
              </w:rPr>
            </w:pPr>
          </w:p>
        </w:tc>
        <w:tc>
          <w:tcPr>
            <w:tcW w:w="994" w:type="dxa"/>
            <w:tcBorders>
              <w:top w:val="single" w:sz="4" w:space="0" w:color="000000"/>
            </w:tcBorders>
            <w:shd w:val="clear" w:color="auto" w:fill="F9FCF9"/>
          </w:tcPr>
          <w:p>
            <w:pPr>
              <w:pStyle w:val="TableParagraph"/>
              <w:jc w:val="left"/>
              <w:rPr>
                <w:sz w:val="18"/>
              </w:rPr>
            </w:pPr>
          </w:p>
        </w:tc>
        <w:tc>
          <w:tcPr>
            <w:tcW w:w="881" w:type="dxa"/>
            <w:tcBorders>
              <w:top w:val="single" w:sz="4" w:space="0" w:color="000000"/>
            </w:tcBorders>
            <w:shd w:val="clear" w:color="auto" w:fill="F9FCF9"/>
          </w:tcPr>
          <w:p>
            <w:pPr>
              <w:pStyle w:val="TableParagraph"/>
              <w:jc w:val="left"/>
              <w:rPr>
                <w:sz w:val="18"/>
              </w:rPr>
            </w:pPr>
          </w:p>
        </w:tc>
        <w:tc>
          <w:tcPr>
            <w:tcW w:w="1018" w:type="dxa"/>
            <w:tcBorders>
              <w:top w:val="single" w:sz="4" w:space="0" w:color="000000"/>
            </w:tcBorders>
            <w:shd w:val="clear" w:color="auto" w:fill="F9FCF9"/>
          </w:tcPr>
          <w:p>
            <w:pPr>
              <w:pStyle w:val="TableParagraph"/>
              <w:jc w:val="left"/>
              <w:rPr>
                <w:sz w:val="18"/>
              </w:rPr>
            </w:pPr>
          </w:p>
        </w:tc>
        <w:tc>
          <w:tcPr>
            <w:tcW w:w="766" w:type="dxa"/>
            <w:tcBorders>
              <w:top w:val="single" w:sz="4" w:space="0" w:color="000000"/>
            </w:tcBorders>
            <w:shd w:val="clear" w:color="auto" w:fill="F9FCF9"/>
          </w:tcPr>
          <w:p>
            <w:pPr>
              <w:pStyle w:val="TableParagraph"/>
              <w:jc w:val="left"/>
              <w:rPr>
                <w:sz w:val="18"/>
              </w:rPr>
            </w:pPr>
          </w:p>
        </w:tc>
        <w:tc>
          <w:tcPr>
            <w:tcW w:w="1083" w:type="dxa"/>
            <w:tcBorders>
              <w:top w:val="single" w:sz="4" w:space="0" w:color="000000"/>
            </w:tcBorders>
            <w:shd w:val="clear" w:color="auto" w:fill="F9FCF9"/>
          </w:tcPr>
          <w:p>
            <w:pPr>
              <w:pStyle w:val="TableParagraph"/>
              <w:jc w:val="left"/>
              <w:rPr>
                <w:sz w:val="18"/>
              </w:rPr>
            </w:pPr>
          </w:p>
        </w:tc>
        <w:tc>
          <w:tcPr>
            <w:tcW w:w="952" w:type="dxa"/>
            <w:tcBorders>
              <w:top w:val="single" w:sz="4" w:space="0" w:color="000000"/>
            </w:tcBorders>
            <w:shd w:val="clear" w:color="auto" w:fill="F9FCF9"/>
          </w:tcPr>
          <w:p>
            <w:pPr>
              <w:pStyle w:val="TableParagraph"/>
              <w:jc w:val="left"/>
              <w:rPr>
                <w:sz w:val="18"/>
              </w:rPr>
            </w:pPr>
          </w:p>
        </w:tc>
      </w:tr>
      <w:tr>
        <w:trPr>
          <w:trHeight w:val="311" w:hRule="atLeast"/>
        </w:trPr>
        <w:tc>
          <w:tcPr>
            <w:tcW w:w="2827" w:type="dxa"/>
            <w:shd w:val="clear" w:color="auto" w:fill="F9FCF9"/>
          </w:tcPr>
          <w:p>
            <w:pPr>
              <w:pStyle w:val="TableParagraph"/>
              <w:spacing w:before="41"/>
              <w:ind w:left="226"/>
              <w:jc w:val="left"/>
              <w:rPr>
                <w:sz w:val="18"/>
              </w:rPr>
            </w:pPr>
            <w:r>
              <w:rPr>
                <w:sz w:val="18"/>
              </w:rPr>
              <w:t>Post-combustion capture</w:t>
            </w:r>
          </w:p>
        </w:tc>
        <w:tc>
          <w:tcPr>
            <w:tcW w:w="954" w:type="dxa"/>
            <w:shd w:val="clear" w:color="auto" w:fill="F9FCF9"/>
          </w:tcPr>
          <w:p>
            <w:pPr>
              <w:pStyle w:val="TableParagraph"/>
              <w:spacing w:before="41"/>
              <w:ind w:left="263" w:right="234"/>
              <w:rPr>
                <w:sz w:val="18"/>
              </w:rPr>
            </w:pPr>
            <w:r>
              <w:rPr>
                <w:sz w:val="18"/>
              </w:rPr>
              <w:t>&lt;0.01</w:t>
            </w:r>
          </w:p>
        </w:tc>
        <w:tc>
          <w:tcPr>
            <w:tcW w:w="880" w:type="dxa"/>
            <w:shd w:val="clear" w:color="auto" w:fill="F9FCF9"/>
          </w:tcPr>
          <w:p>
            <w:pPr>
              <w:pStyle w:val="TableParagraph"/>
              <w:spacing w:before="41"/>
              <w:ind w:left="235" w:right="188"/>
              <w:rPr>
                <w:sz w:val="18"/>
              </w:rPr>
            </w:pPr>
            <w:r>
              <w:rPr>
                <w:sz w:val="18"/>
              </w:rPr>
              <w:t>&lt;0.01</w:t>
            </w:r>
          </w:p>
        </w:tc>
        <w:tc>
          <w:tcPr>
            <w:tcW w:w="994" w:type="dxa"/>
            <w:shd w:val="clear" w:color="auto" w:fill="F9FCF9"/>
          </w:tcPr>
          <w:p>
            <w:pPr>
              <w:pStyle w:val="TableParagraph"/>
              <w:spacing w:before="41"/>
              <w:ind w:left="26"/>
              <w:rPr>
                <w:sz w:val="18"/>
              </w:rPr>
            </w:pPr>
            <w:r>
              <w:rPr>
                <w:sz w:val="18"/>
              </w:rPr>
              <w:t>0</w:t>
            </w:r>
          </w:p>
        </w:tc>
        <w:tc>
          <w:tcPr>
            <w:tcW w:w="881" w:type="dxa"/>
            <w:shd w:val="clear" w:color="auto" w:fill="F9FCF9"/>
          </w:tcPr>
          <w:p>
            <w:pPr>
              <w:pStyle w:val="TableParagraph"/>
              <w:spacing w:before="41"/>
              <w:ind w:left="3"/>
              <w:rPr>
                <w:sz w:val="18"/>
              </w:rPr>
            </w:pPr>
            <w:r>
              <w:rPr>
                <w:sz w:val="18"/>
              </w:rPr>
              <w:t>0</w:t>
            </w:r>
          </w:p>
        </w:tc>
        <w:tc>
          <w:tcPr>
            <w:tcW w:w="1018" w:type="dxa"/>
            <w:shd w:val="clear" w:color="auto" w:fill="F9FCF9"/>
          </w:tcPr>
          <w:p>
            <w:pPr>
              <w:pStyle w:val="TableParagraph"/>
              <w:spacing w:before="41"/>
              <w:ind w:right="40"/>
              <w:rPr>
                <w:sz w:val="18"/>
              </w:rPr>
            </w:pPr>
            <w:r>
              <w:rPr>
                <w:sz w:val="18"/>
              </w:rPr>
              <w:t>0</w:t>
            </w:r>
          </w:p>
        </w:tc>
        <w:tc>
          <w:tcPr>
            <w:tcW w:w="766" w:type="dxa"/>
            <w:shd w:val="clear" w:color="auto" w:fill="F9FCF9"/>
          </w:tcPr>
          <w:p>
            <w:pPr>
              <w:pStyle w:val="TableParagraph"/>
              <w:spacing w:before="41"/>
              <w:ind w:left="350"/>
              <w:jc w:val="left"/>
              <w:rPr>
                <w:sz w:val="18"/>
              </w:rPr>
            </w:pPr>
            <w:r>
              <w:rPr>
                <w:sz w:val="18"/>
              </w:rPr>
              <w:t>0</w:t>
            </w:r>
          </w:p>
        </w:tc>
        <w:tc>
          <w:tcPr>
            <w:tcW w:w="1083" w:type="dxa"/>
            <w:shd w:val="clear" w:color="auto" w:fill="F9FCF9"/>
          </w:tcPr>
          <w:p>
            <w:pPr>
              <w:pStyle w:val="TableParagraph"/>
              <w:spacing w:before="41"/>
              <w:ind w:left="196" w:right="167"/>
              <w:rPr>
                <w:sz w:val="18"/>
              </w:rPr>
            </w:pPr>
            <w:r>
              <w:rPr>
                <w:sz w:val="18"/>
              </w:rPr>
              <w:t>0.01</w:t>
            </w:r>
          </w:p>
        </w:tc>
        <w:tc>
          <w:tcPr>
            <w:tcW w:w="952" w:type="dxa"/>
            <w:shd w:val="clear" w:color="auto" w:fill="F9FCF9"/>
          </w:tcPr>
          <w:p>
            <w:pPr>
              <w:pStyle w:val="TableParagraph"/>
              <w:spacing w:before="41"/>
              <w:ind w:left="172" w:right="229"/>
              <w:rPr>
                <w:sz w:val="18"/>
              </w:rPr>
            </w:pPr>
            <w:r>
              <w:rPr>
                <w:sz w:val="18"/>
              </w:rPr>
              <w:t>0.01</w:t>
            </w:r>
          </w:p>
        </w:tc>
      </w:tr>
      <w:tr>
        <w:trPr>
          <w:trHeight w:val="295" w:hRule="atLeast"/>
        </w:trPr>
        <w:tc>
          <w:tcPr>
            <w:tcW w:w="2827" w:type="dxa"/>
            <w:shd w:val="clear" w:color="auto" w:fill="F9FCF9"/>
          </w:tcPr>
          <w:p>
            <w:pPr>
              <w:pStyle w:val="TableParagraph"/>
              <w:spacing w:before="24"/>
              <w:ind w:left="226"/>
              <w:jc w:val="left"/>
              <w:rPr>
                <w:sz w:val="18"/>
              </w:rPr>
            </w:pPr>
            <w:r>
              <w:rPr>
                <w:sz w:val="18"/>
              </w:rPr>
              <w:t>Pre-combustion capture (IGCC)</w:t>
            </w:r>
          </w:p>
        </w:tc>
        <w:tc>
          <w:tcPr>
            <w:tcW w:w="954" w:type="dxa"/>
            <w:shd w:val="clear" w:color="auto" w:fill="F9FCF9"/>
          </w:tcPr>
          <w:p>
            <w:pPr>
              <w:pStyle w:val="TableParagraph"/>
              <w:spacing w:before="24"/>
              <w:ind w:left="29"/>
              <w:rPr>
                <w:sz w:val="18"/>
              </w:rPr>
            </w:pPr>
            <w:r>
              <w:rPr>
                <w:sz w:val="18"/>
              </w:rPr>
              <w:t>0</w:t>
            </w:r>
          </w:p>
        </w:tc>
        <w:tc>
          <w:tcPr>
            <w:tcW w:w="880" w:type="dxa"/>
            <w:shd w:val="clear" w:color="auto" w:fill="F9FCF9"/>
          </w:tcPr>
          <w:p>
            <w:pPr>
              <w:pStyle w:val="TableParagraph"/>
              <w:spacing w:before="24"/>
              <w:ind w:left="47"/>
              <w:rPr>
                <w:sz w:val="18"/>
              </w:rPr>
            </w:pPr>
            <w:r>
              <w:rPr>
                <w:sz w:val="18"/>
              </w:rPr>
              <w:t>0</w:t>
            </w:r>
          </w:p>
        </w:tc>
        <w:tc>
          <w:tcPr>
            <w:tcW w:w="994" w:type="dxa"/>
            <w:shd w:val="clear" w:color="auto" w:fill="F9FCF9"/>
          </w:tcPr>
          <w:p>
            <w:pPr>
              <w:pStyle w:val="TableParagraph"/>
              <w:spacing w:before="24"/>
              <w:ind w:left="190" w:right="164"/>
              <w:rPr>
                <w:sz w:val="18"/>
              </w:rPr>
            </w:pPr>
            <w:r>
              <w:rPr>
                <w:sz w:val="18"/>
              </w:rPr>
              <w:t>0.01-0.6</w:t>
            </w:r>
          </w:p>
        </w:tc>
        <w:tc>
          <w:tcPr>
            <w:tcW w:w="881" w:type="dxa"/>
            <w:shd w:val="clear" w:color="auto" w:fill="F9FCF9"/>
          </w:tcPr>
          <w:p>
            <w:pPr>
              <w:pStyle w:val="TableParagraph"/>
              <w:spacing w:before="24"/>
              <w:ind w:left="167" w:right="164"/>
              <w:rPr>
                <w:sz w:val="18"/>
              </w:rPr>
            </w:pPr>
            <w:r>
              <w:rPr>
                <w:sz w:val="18"/>
              </w:rPr>
              <w:t>0.8-2.0</w:t>
            </w:r>
          </w:p>
        </w:tc>
        <w:tc>
          <w:tcPr>
            <w:tcW w:w="1018" w:type="dxa"/>
            <w:shd w:val="clear" w:color="auto" w:fill="F9FCF9"/>
          </w:tcPr>
          <w:p>
            <w:pPr>
              <w:pStyle w:val="TableParagraph"/>
              <w:spacing w:before="24"/>
              <w:ind w:left="169" w:right="209"/>
              <w:rPr>
                <w:sz w:val="18"/>
              </w:rPr>
            </w:pPr>
            <w:r>
              <w:rPr>
                <w:sz w:val="18"/>
              </w:rPr>
              <w:t>0.03-0.4</w:t>
            </w:r>
          </w:p>
        </w:tc>
        <w:tc>
          <w:tcPr>
            <w:tcW w:w="766" w:type="dxa"/>
            <w:shd w:val="clear" w:color="auto" w:fill="F9FCF9"/>
          </w:tcPr>
          <w:p>
            <w:pPr>
              <w:pStyle w:val="TableParagraph"/>
              <w:spacing w:before="24"/>
              <w:ind w:left="238"/>
              <w:jc w:val="left"/>
              <w:rPr>
                <w:sz w:val="18"/>
              </w:rPr>
            </w:pPr>
            <w:r>
              <w:rPr>
                <w:sz w:val="18"/>
              </w:rPr>
              <w:t>0.01</w:t>
            </w:r>
          </w:p>
        </w:tc>
        <w:tc>
          <w:tcPr>
            <w:tcW w:w="1083" w:type="dxa"/>
            <w:shd w:val="clear" w:color="auto" w:fill="F9FCF9"/>
          </w:tcPr>
          <w:p>
            <w:pPr>
              <w:pStyle w:val="TableParagraph"/>
              <w:spacing w:before="24"/>
              <w:ind w:left="196" w:right="167"/>
              <w:rPr>
                <w:sz w:val="18"/>
              </w:rPr>
            </w:pPr>
            <w:r>
              <w:rPr>
                <w:sz w:val="18"/>
              </w:rPr>
              <w:t>0.03-0.6</w:t>
            </w:r>
          </w:p>
        </w:tc>
        <w:tc>
          <w:tcPr>
            <w:tcW w:w="952" w:type="dxa"/>
            <w:shd w:val="clear" w:color="auto" w:fill="F9FCF9"/>
          </w:tcPr>
          <w:p>
            <w:pPr>
              <w:pStyle w:val="TableParagraph"/>
              <w:spacing w:before="24"/>
              <w:ind w:left="172" w:right="229"/>
              <w:rPr>
                <w:sz w:val="18"/>
              </w:rPr>
            </w:pPr>
            <w:r>
              <w:rPr>
                <w:sz w:val="18"/>
              </w:rPr>
              <w:t>2.1-2.7</w:t>
            </w:r>
          </w:p>
        </w:tc>
      </w:tr>
      <w:tr>
        <w:trPr>
          <w:trHeight w:val="267" w:hRule="atLeast"/>
        </w:trPr>
        <w:tc>
          <w:tcPr>
            <w:tcW w:w="2827" w:type="dxa"/>
            <w:tcBorders>
              <w:bottom w:val="single" w:sz="4" w:space="0" w:color="000000"/>
            </w:tcBorders>
            <w:shd w:val="clear" w:color="auto" w:fill="F9FCF9"/>
          </w:tcPr>
          <w:p>
            <w:pPr>
              <w:pStyle w:val="TableParagraph"/>
              <w:spacing w:before="24"/>
              <w:ind w:left="226"/>
              <w:jc w:val="left"/>
              <w:rPr>
                <w:sz w:val="18"/>
              </w:rPr>
            </w:pPr>
            <w:r>
              <w:rPr>
                <w:sz w:val="18"/>
              </w:rPr>
              <w:t>Oxy-fuel</w:t>
            </w:r>
          </w:p>
        </w:tc>
        <w:tc>
          <w:tcPr>
            <w:tcW w:w="954" w:type="dxa"/>
            <w:tcBorders>
              <w:bottom w:val="single" w:sz="4" w:space="0" w:color="000000"/>
            </w:tcBorders>
            <w:shd w:val="clear" w:color="auto" w:fill="F9FCF9"/>
          </w:tcPr>
          <w:p>
            <w:pPr>
              <w:pStyle w:val="TableParagraph"/>
              <w:spacing w:before="24"/>
              <w:ind w:left="263" w:right="234"/>
              <w:rPr>
                <w:sz w:val="18"/>
              </w:rPr>
            </w:pPr>
            <w:r>
              <w:rPr>
                <w:sz w:val="18"/>
              </w:rPr>
              <w:t>0.5</w:t>
            </w:r>
          </w:p>
        </w:tc>
        <w:tc>
          <w:tcPr>
            <w:tcW w:w="880" w:type="dxa"/>
            <w:tcBorders>
              <w:bottom w:val="single" w:sz="4" w:space="0" w:color="000000"/>
            </w:tcBorders>
            <w:shd w:val="clear" w:color="auto" w:fill="F9FCF9"/>
          </w:tcPr>
          <w:p>
            <w:pPr>
              <w:pStyle w:val="TableParagraph"/>
              <w:spacing w:before="24"/>
              <w:ind w:left="235" w:right="188"/>
              <w:rPr>
                <w:sz w:val="18"/>
              </w:rPr>
            </w:pPr>
            <w:r>
              <w:rPr>
                <w:sz w:val="18"/>
              </w:rPr>
              <w:t>0.01</w:t>
            </w:r>
          </w:p>
        </w:tc>
        <w:tc>
          <w:tcPr>
            <w:tcW w:w="994" w:type="dxa"/>
            <w:tcBorders>
              <w:bottom w:val="single" w:sz="4" w:space="0" w:color="000000"/>
            </w:tcBorders>
            <w:shd w:val="clear" w:color="auto" w:fill="F9FCF9"/>
          </w:tcPr>
          <w:p>
            <w:pPr>
              <w:pStyle w:val="TableParagraph"/>
              <w:spacing w:before="24"/>
              <w:ind w:left="26"/>
              <w:rPr>
                <w:sz w:val="18"/>
              </w:rPr>
            </w:pPr>
            <w:r>
              <w:rPr>
                <w:sz w:val="18"/>
              </w:rPr>
              <w:t>0</w:t>
            </w:r>
          </w:p>
        </w:tc>
        <w:tc>
          <w:tcPr>
            <w:tcW w:w="881" w:type="dxa"/>
            <w:tcBorders>
              <w:bottom w:val="single" w:sz="4" w:space="0" w:color="000000"/>
            </w:tcBorders>
            <w:shd w:val="clear" w:color="auto" w:fill="F9FCF9"/>
          </w:tcPr>
          <w:p>
            <w:pPr>
              <w:pStyle w:val="TableParagraph"/>
              <w:spacing w:before="24"/>
              <w:ind w:left="3"/>
              <w:rPr>
                <w:sz w:val="18"/>
              </w:rPr>
            </w:pPr>
            <w:r>
              <w:rPr>
                <w:sz w:val="18"/>
              </w:rPr>
              <w:t>0</w:t>
            </w:r>
          </w:p>
        </w:tc>
        <w:tc>
          <w:tcPr>
            <w:tcW w:w="1018" w:type="dxa"/>
            <w:tcBorders>
              <w:bottom w:val="single" w:sz="4" w:space="0" w:color="000000"/>
            </w:tcBorders>
            <w:shd w:val="clear" w:color="auto" w:fill="F9FCF9"/>
          </w:tcPr>
          <w:p>
            <w:pPr>
              <w:pStyle w:val="TableParagraph"/>
              <w:spacing w:before="24"/>
              <w:ind w:right="40"/>
              <w:rPr>
                <w:sz w:val="18"/>
              </w:rPr>
            </w:pPr>
            <w:r>
              <w:rPr>
                <w:sz w:val="18"/>
              </w:rPr>
              <w:t>0</w:t>
            </w:r>
          </w:p>
        </w:tc>
        <w:tc>
          <w:tcPr>
            <w:tcW w:w="766" w:type="dxa"/>
            <w:tcBorders>
              <w:bottom w:val="single" w:sz="4" w:space="0" w:color="000000"/>
            </w:tcBorders>
            <w:shd w:val="clear" w:color="auto" w:fill="F9FCF9"/>
          </w:tcPr>
          <w:p>
            <w:pPr>
              <w:pStyle w:val="TableParagraph"/>
              <w:spacing w:before="24"/>
              <w:ind w:left="350"/>
              <w:jc w:val="left"/>
              <w:rPr>
                <w:sz w:val="18"/>
              </w:rPr>
            </w:pPr>
            <w:r>
              <w:rPr>
                <w:sz w:val="18"/>
              </w:rPr>
              <w:t>0</w:t>
            </w:r>
          </w:p>
        </w:tc>
        <w:tc>
          <w:tcPr>
            <w:tcW w:w="1083" w:type="dxa"/>
            <w:tcBorders>
              <w:bottom w:val="single" w:sz="4" w:space="0" w:color="000000"/>
            </w:tcBorders>
            <w:shd w:val="clear" w:color="auto" w:fill="F9FCF9"/>
          </w:tcPr>
          <w:p>
            <w:pPr>
              <w:pStyle w:val="TableParagraph"/>
              <w:spacing w:before="24"/>
              <w:ind w:left="196" w:right="167"/>
              <w:rPr>
                <w:sz w:val="18"/>
              </w:rPr>
            </w:pPr>
            <w:r>
              <w:rPr>
                <w:sz w:val="18"/>
              </w:rPr>
              <w:t>3.7</w:t>
            </w:r>
          </w:p>
        </w:tc>
        <w:tc>
          <w:tcPr>
            <w:tcW w:w="952" w:type="dxa"/>
            <w:tcBorders>
              <w:bottom w:val="single" w:sz="4" w:space="0" w:color="000000"/>
            </w:tcBorders>
            <w:shd w:val="clear" w:color="auto" w:fill="F9FCF9"/>
          </w:tcPr>
          <w:p>
            <w:pPr>
              <w:pStyle w:val="TableParagraph"/>
              <w:spacing w:before="24"/>
              <w:ind w:left="172" w:right="229"/>
              <w:rPr>
                <w:sz w:val="18"/>
              </w:rPr>
            </w:pPr>
            <w:r>
              <w:rPr>
                <w:sz w:val="18"/>
              </w:rPr>
              <w:t>4.2</w:t>
            </w:r>
          </w:p>
        </w:tc>
      </w:tr>
      <w:tr>
        <w:trPr>
          <w:trHeight w:val="312" w:hRule="atLeast"/>
        </w:trPr>
        <w:tc>
          <w:tcPr>
            <w:tcW w:w="2827" w:type="dxa"/>
            <w:tcBorders>
              <w:top w:val="single" w:sz="4" w:space="0" w:color="000000"/>
            </w:tcBorders>
            <w:shd w:val="clear" w:color="auto" w:fill="F9FCF9"/>
          </w:tcPr>
          <w:p>
            <w:pPr>
              <w:pStyle w:val="TableParagraph"/>
              <w:spacing w:before="42"/>
              <w:ind w:left="80"/>
              <w:jc w:val="left"/>
              <w:rPr>
                <w:sz w:val="18"/>
              </w:rPr>
            </w:pPr>
            <w:r>
              <w:rPr>
                <w:sz w:val="18"/>
              </w:rPr>
              <w:t>GAS FIRED PLANTS</w:t>
            </w:r>
          </w:p>
        </w:tc>
        <w:tc>
          <w:tcPr>
            <w:tcW w:w="954" w:type="dxa"/>
            <w:tcBorders>
              <w:top w:val="single" w:sz="4" w:space="0" w:color="000000"/>
            </w:tcBorders>
            <w:shd w:val="clear" w:color="auto" w:fill="F9FCF9"/>
          </w:tcPr>
          <w:p>
            <w:pPr>
              <w:pStyle w:val="TableParagraph"/>
              <w:jc w:val="left"/>
              <w:rPr>
                <w:sz w:val="18"/>
              </w:rPr>
            </w:pPr>
          </w:p>
        </w:tc>
        <w:tc>
          <w:tcPr>
            <w:tcW w:w="880" w:type="dxa"/>
            <w:tcBorders>
              <w:top w:val="single" w:sz="4" w:space="0" w:color="000000"/>
            </w:tcBorders>
            <w:shd w:val="clear" w:color="auto" w:fill="F9FCF9"/>
          </w:tcPr>
          <w:p>
            <w:pPr>
              <w:pStyle w:val="TableParagraph"/>
              <w:jc w:val="left"/>
              <w:rPr>
                <w:sz w:val="18"/>
              </w:rPr>
            </w:pPr>
          </w:p>
        </w:tc>
        <w:tc>
          <w:tcPr>
            <w:tcW w:w="994" w:type="dxa"/>
            <w:tcBorders>
              <w:top w:val="single" w:sz="4" w:space="0" w:color="000000"/>
            </w:tcBorders>
            <w:shd w:val="clear" w:color="auto" w:fill="F9FCF9"/>
          </w:tcPr>
          <w:p>
            <w:pPr>
              <w:pStyle w:val="TableParagraph"/>
              <w:jc w:val="left"/>
              <w:rPr>
                <w:sz w:val="18"/>
              </w:rPr>
            </w:pPr>
          </w:p>
        </w:tc>
        <w:tc>
          <w:tcPr>
            <w:tcW w:w="881" w:type="dxa"/>
            <w:tcBorders>
              <w:top w:val="single" w:sz="4" w:space="0" w:color="000000"/>
            </w:tcBorders>
            <w:shd w:val="clear" w:color="auto" w:fill="F9FCF9"/>
          </w:tcPr>
          <w:p>
            <w:pPr>
              <w:pStyle w:val="TableParagraph"/>
              <w:jc w:val="left"/>
              <w:rPr>
                <w:sz w:val="18"/>
              </w:rPr>
            </w:pPr>
          </w:p>
        </w:tc>
        <w:tc>
          <w:tcPr>
            <w:tcW w:w="1018" w:type="dxa"/>
            <w:tcBorders>
              <w:top w:val="single" w:sz="4" w:space="0" w:color="000000"/>
            </w:tcBorders>
            <w:shd w:val="clear" w:color="auto" w:fill="F9FCF9"/>
          </w:tcPr>
          <w:p>
            <w:pPr>
              <w:pStyle w:val="TableParagraph"/>
              <w:jc w:val="left"/>
              <w:rPr>
                <w:sz w:val="18"/>
              </w:rPr>
            </w:pPr>
          </w:p>
        </w:tc>
        <w:tc>
          <w:tcPr>
            <w:tcW w:w="766" w:type="dxa"/>
            <w:tcBorders>
              <w:top w:val="single" w:sz="4" w:space="0" w:color="000000"/>
            </w:tcBorders>
            <w:shd w:val="clear" w:color="auto" w:fill="F9FCF9"/>
          </w:tcPr>
          <w:p>
            <w:pPr>
              <w:pStyle w:val="TableParagraph"/>
              <w:jc w:val="left"/>
              <w:rPr>
                <w:sz w:val="18"/>
              </w:rPr>
            </w:pPr>
          </w:p>
        </w:tc>
        <w:tc>
          <w:tcPr>
            <w:tcW w:w="1083" w:type="dxa"/>
            <w:tcBorders>
              <w:top w:val="single" w:sz="4" w:space="0" w:color="000000"/>
            </w:tcBorders>
            <w:shd w:val="clear" w:color="auto" w:fill="F9FCF9"/>
          </w:tcPr>
          <w:p>
            <w:pPr>
              <w:pStyle w:val="TableParagraph"/>
              <w:jc w:val="left"/>
              <w:rPr>
                <w:sz w:val="18"/>
              </w:rPr>
            </w:pPr>
          </w:p>
        </w:tc>
        <w:tc>
          <w:tcPr>
            <w:tcW w:w="952" w:type="dxa"/>
            <w:tcBorders>
              <w:top w:val="single" w:sz="4" w:space="0" w:color="000000"/>
            </w:tcBorders>
            <w:shd w:val="clear" w:color="auto" w:fill="F9FCF9"/>
          </w:tcPr>
          <w:p>
            <w:pPr>
              <w:pStyle w:val="TableParagraph"/>
              <w:jc w:val="left"/>
              <w:rPr>
                <w:sz w:val="18"/>
              </w:rPr>
            </w:pPr>
          </w:p>
        </w:tc>
      </w:tr>
      <w:tr>
        <w:trPr>
          <w:trHeight w:val="303" w:hRule="atLeast"/>
        </w:trPr>
        <w:tc>
          <w:tcPr>
            <w:tcW w:w="2827" w:type="dxa"/>
            <w:shd w:val="clear" w:color="auto" w:fill="F9FCF9"/>
          </w:tcPr>
          <w:p>
            <w:pPr>
              <w:pStyle w:val="TableParagraph"/>
              <w:spacing w:before="24"/>
              <w:ind w:left="226"/>
              <w:jc w:val="left"/>
              <w:rPr>
                <w:sz w:val="18"/>
              </w:rPr>
            </w:pPr>
            <w:r>
              <w:rPr>
                <w:sz w:val="18"/>
              </w:rPr>
              <w:t>Post-combustion capture</w:t>
            </w:r>
          </w:p>
        </w:tc>
        <w:tc>
          <w:tcPr>
            <w:tcW w:w="954" w:type="dxa"/>
            <w:shd w:val="clear" w:color="auto" w:fill="F9FCF9"/>
          </w:tcPr>
          <w:p>
            <w:pPr>
              <w:pStyle w:val="TableParagraph"/>
              <w:spacing w:before="24"/>
              <w:ind w:left="263" w:right="234"/>
              <w:rPr>
                <w:sz w:val="18"/>
              </w:rPr>
            </w:pPr>
            <w:r>
              <w:rPr>
                <w:sz w:val="18"/>
              </w:rPr>
              <w:t>&lt;0.01</w:t>
            </w:r>
          </w:p>
        </w:tc>
        <w:tc>
          <w:tcPr>
            <w:tcW w:w="880" w:type="dxa"/>
            <w:shd w:val="clear" w:color="auto" w:fill="F9FCF9"/>
          </w:tcPr>
          <w:p>
            <w:pPr>
              <w:pStyle w:val="TableParagraph"/>
              <w:spacing w:before="24"/>
              <w:ind w:left="235" w:right="188"/>
              <w:rPr>
                <w:sz w:val="18"/>
              </w:rPr>
            </w:pPr>
            <w:r>
              <w:rPr>
                <w:sz w:val="18"/>
              </w:rPr>
              <w:t>&lt;0.01</w:t>
            </w:r>
          </w:p>
        </w:tc>
        <w:tc>
          <w:tcPr>
            <w:tcW w:w="994" w:type="dxa"/>
            <w:shd w:val="clear" w:color="auto" w:fill="F9FCF9"/>
          </w:tcPr>
          <w:p>
            <w:pPr>
              <w:pStyle w:val="TableParagraph"/>
              <w:spacing w:before="24"/>
              <w:ind w:left="26"/>
              <w:rPr>
                <w:sz w:val="18"/>
              </w:rPr>
            </w:pPr>
            <w:r>
              <w:rPr>
                <w:sz w:val="18"/>
              </w:rPr>
              <w:t>0</w:t>
            </w:r>
          </w:p>
        </w:tc>
        <w:tc>
          <w:tcPr>
            <w:tcW w:w="881" w:type="dxa"/>
            <w:shd w:val="clear" w:color="auto" w:fill="F9FCF9"/>
          </w:tcPr>
          <w:p>
            <w:pPr>
              <w:pStyle w:val="TableParagraph"/>
              <w:spacing w:before="24"/>
              <w:ind w:left="3"/>
              <w:rPr>
                <w:sz w:val="18"/>
              </w:rPr>
            </w:pPr>
            <w:r>
              <w:rPr>
                <w:sz w:val="18"/>
              </w:rPr>
              <w:t>0</w:t>
            </w:r>
          </w:p>
        </w:tc>
        <w:tc>
          <w:tcPr>
            <w:tcW w:w="1018" w:type="dxa"/>
            <w:shd w:val="clear" w:color="auto" w:fill="F9FCF9"/>
          </w:tcPr>
          <w:p>
            <w:pPr>
              <w:pStyle w:val="TableParagraph"/>
              <w:spacing w:before="24"/>
              <w:ind w:right="40"/>
              <w:rPr>
                <w:sz w:val="18"/>
              </w:rPr>
            </w:pPr>
            <w:r>
              <w:rPr>
                <w:sz w:val="18"/>
              </w:rPr>
              <w:t>0</w:t>
            </w:r>
          </w:p>
        </w:tc>
        <w:tc>
          <w:tcPr>
            <w:tcW w:w="766" w:type="dxa"/>
            <w:shd w:val="clear" w:color="auto" w:fill="F9FCF9"/>
          </w:tcPr>
          <w:p>
            <w:pPr>
              <w:pStyle w:val="TableParagraph"/>
              <w:spacing w:before="24"/>
              <w:ind w:left="350"/>
              <w:jc w:val="left"/>
              <w:rPr>
                <w:sz w:val="18"/>
              </w:rPr>
            </w:pPr>
            <w:r>
              <w:rPr>
                <w:sz w:val="18"/>
              </w:rPr>
              <w:t>0</w:t>
            </w:r>
          </w:p>
        </w:tc>
        <w:tc>
          <w:tcPr>
            <w:tcW w:w="1083" w:type="dxa"/>
            <w:shd w:val="clear" w:color="auto" w:fill="F9FCF9"/>
          </w:tcPr>
          <w:p>
            <w:pPr>
              <w:pStyle w:val="TableParagraph"/>
              <w:spacing w:before="24"/>
              <w:ind w:left="196" w:right="167"/>
              <w:rPr>
                <w:sz w:val="18"/>
              </w:rPr>
            </w:pPr>
            <w:r>
              <w:rPr>
                <w:sz w:val="18"/>
              </w:rPr>
              <w:t>0.01</w:t>
            </w:r>
          </w:p>
        </w:tc>
        <w:tc>
          <w:tcPr>
            <w:tcW w:w="952" w:type="dxa"/>
            <w:shd w:val="clear" w:color="auto" w:fill="F9FCF9"/>
          </w:tcPr>
          <w:p>
            <w:pPr>
              <w:pStyle w:val="TableParagraph"/>
              <w:spacing w:before="24"/>
              <w:ind w:left="172" w:right="229"/>
              <w:rPr>
                <w:sz w:val="18"/>
              </w:rPr>
            </w:pPr>
            <w:r>
              <w:rPr>
                <w:sz w:val="18"/>
              </w:rPr>
              <w:t>0.01</w:t>
            </w:r>
          </w:p>
        </w:tc>
      </w:tr>
      <w:tr>
        <w:trPr>
          <w:trHeight w:val="303" w:hRule="atLeast"/>
        </w:trPr>
        <w:tc>
          <w:tcPr>
            <w:tcW w:w="2827" w:type="dxa"/>
            <w:shd w:val="clear" w:color="auto" w:fill="F9FCF9"/>
          </w:tcPr>
          <w:p>
            <w:pPr>
              <w:pStyle w:val="TableParagraph"/>
              <w:spacing w:before="33"/>
              <w:ind w:left="226"/>
              <w:jc w:val="left"/>
              <w:rPr>
                <w:sz w:val="18"/>
              </w:rPr>
            </w:pPr>
            <w:r>
              <w:rPr>
                <w:sz w:val="18"/>
              </w:rPr>
              <w:t>Pre-combustion capture</w:t>
            </w:r>
          </w:p>
        </w:tc>
        <w:tc>
          <w:tcPr>
            <w:tcW w:w="954" w:type="dxa"/>
            <w:shd w:val="clear" w:color="auto" w:fill="F9FCF9"/>
          </w:tcPr>
          <w:p>
            <w:pPr>
              <w:pStyle w:val="TableParagraph"/>
              <w:spacing w:before="33"/>
              <w:ind w:left="29"/>
              <w:rPr>
                <w:sz w:val="18"/>
              </w:rPr>
            </w:pPr>
            <w:r>
              <w:rPr>
                <w:sz w:val="18"/>
              </w:rPr>
              <w:t>0</w:t>
            </w:r>
          </w:p>
        </w:tc>
        <w:tc>
          <w:tcPr>
            <w:tcW w:w="880" w:type="dxa"/>
            <w:shd w:val="clear" w:color="auto" w:fill="F9FCF9"/>
          </w:tcPr>
          <w:p>
            <w:pPr>
              <w:pStyle w:val="TableParagraph"/>
              <w:spacing w:before="33"/>
              <w:ind w:left="47"/>
              <w:rPr>
                <w:sz w:val="18"/>
              </w:rPr>
            </w:pPr>
            <w:r>
              <w:rPr>
                <w:sz w:val="18"/>
              </w:rPr>
              <w:t>0</w:t>
            </w:r>
          </w:p>
        </w:tc>
        <w:tc>
          <w:tcPr>
            <w:tcW w:w="994" w:type="dxa"/>
            <w:shd w:val="clear" w:color="auto" w:fill="F9FCF9"/>
          </w:tcPr>
          <w:p>
            <w:pPr>
              <w:pStyle w:val="TableParagraph"/>
              <w:spacing w:before="33"/>
              <w:ind w:left="190" w:right="164"/>
              <w:rPr>
                <w:sz w:val="18"/>
              </w:rPr>
            </w:pPr>
            <w:r>
              <w:rPr>
                <w:sz w:val="18"/>
              </w:rPr>
              <w:t>&lt;0.01</w:t>
            </w:r>
          </w:p>
        </w:tc>
        <w:tc>
          <w:tcPr>
            <w:tcW w:w="881" w:type="dxa"/>
            <w:shd w:val="clear" w:color="auto" w:fill="F9FCF9"/>
          </w:tcPr>
          <w:p>
            <w:pPr>
              <w:pStyle w:val="TableParagraph"/>
              <w:spacing w:before="33"/>
              <w:ind w:left="167" w:right="164"/>
              <w:rPr>
                <w:sz w:val="18"/>
              </w:rPr>
            </w:pPr>
            <w:r>
              <w:rPr>
                <w:sz w:val="18"/>
              </w:rPr>
              <w:t>1.0</w:t>
            </w:r>
          </w:p>
        </w:tc>
        <w:tc>
          <w:tcPr>
            <w:tcW w:w="1018" w:type="dxa"/>
            <w:shd w:val="clear" w:color="auto" w:fill="F9FCF9"/>
          </w:tcPr>
          <w:p>
            <w:pPr>
              <w:pStyle w:val="TableParagraph"/>
              <w:spacing w:before="33"/>
              <w:ind w:left="169" w:right="209"/>
              <w:rPr>
                <w:sz w:val="18"/>
              </w:rPr>
            </w:pPr>
            <w:r>
              <w:rPr>
                <w:sz w:val="18"/>
              </w:rPr>
              <w:t>0.04</w:t>
            </w:r>
          </w:p>
        </w:tc>
        <w:tc>
          <w:tcPr>
            <w:tcW w:w="766" w:type="dxa"/>
            <w:shd w:val="clear" w:color="auto" w:fill="F9FCF9"/>
          </w:tcPr>
          <w:p>
            <w:pPr>
              <w:pStyle w:val="TableParagraph"/>
              <w:spacing w:before="33"/>
              <w:ind w:left="283"/>
              <w:jc w:val="left"/>
              <w:rPr>
                <w:sz w:val="18"/>
              </w:rPr>
            </w:pPr>
            <w:r>
              <w:rPr>
                <w:sz w:val="18"/>
              </w:rPr>
              <w:t>2.0</w:t>
            </w:r>
          </w:p>
        </w:tc>
        <w:tc>
          <w:tcPr>
            <w:tcW w:w="1083" w:type="dxa"/>
            <w:shd w:val="clear" w:color="auto" w:fill="F9FCF9"/>
          </w:tcPr>
          <w:p>
            <w:pPr>
              <w:pStyle w:val="TableParagraph"/>
              <w:spacing w:before="33"/>
              <w:ind w:left="196" w:right="167"/>
              <w:rPr>
                <w:sz w:val="18"/>
              </w:rPr>
            </w:pPr>
            <w:r>
              <w:rPr>
                <w:sz w:val="18"/>
              </w:rPr>
              <w:t>1.3</w:t>
            </w:r>
          </w:p>
        </w:tc>
        <w:tc>
          <w:tcPr>
            <w:tcW w:w="952" w:type="dxa"/>
            <w:shd w:val="clear" w:color="auto" w:fill="F9FCF9"/>
          </w:tcPr>
          <w:p>
            <w:pPr>
              <w:pStyle w:val="TableParagraph"/>
              <w:spacing w:before="33"/>
              <w:ind w:left="172" w:right="229"/>
              <w:rPr>
                <w:sz w:val="18"/>
              </w:rPr>
            </w:pPr>
            <w:r>
              <w:rPr>
                <w:sz w:val="18"/>
              </w:rPr>
              <w:t>4.4</w:t>
            </w:r>
          </w:p>
        </w:tc>
      </w:tr>
      <w:tr>
        <w:trPr>
          <w:trHeight w:val="267" w:hRule="atLeast"/>
        </w:trPr>
        <w:tc>
          <w:tcPr>
            <w:tcW w:w="2827" w:type="dxa"/>
            <w:tcBorders>
              <w:bottom w:val="single" w:sz="4" w:space="0" w:color="000000"/>
            </w:tcBorders>
            <w:shd w:val="clear" w:color="auto" w:fill="F9FCF9"/>
          </w:tcPr>
          <w:p>
            <w:pPr>
              <w:pStyle w:val="TableParagraph"/>
              <w:spacing w:before="24"/>
              <w:ind w:left="226"/>
              <w:jc w:val="left"/>
              <w:rPr>
                <w:sz w:val="18"/>
              </w:rPr>
            </w:pPr>
            <w:r>
              <w:rPr>
                <w:sz w:val="18"/>
              </w:rPr>
              <w:t>Oxy-fuel</w:t>
            </w:r>
          </w:p>
        </w:tc>
        <w:tc>
          <w:tcPr>
            <w:tcW w:w="954" w:type="dxa"/>
            <w:tcBorders>
              <w:bottom w:val="single" w:sz="4" w:space="0" w:color="000000"/>
            </w:tcBorders>
            <w:shd w:val="clear" w:color="auto" w:fill="F9FCF9"/>
          </w:tcPr>
          <w:p>
            <w:pPr>
              <w:pStyle w:val="TableParagraph"/>
              <w:spacing w:before="24"/>
              <w:ind w:left="263" w:right="234"/>
              <w:rPr>
                <w:sz w:val="18"/>
              </w:rPr>
            </w:pPr>
            <w:r>
              <w:rPr>
                <w:sz w:val="18"/>
              </w:rPr>
              <w:t>&lt;0.01</w:t>
            </w:r>
          </w:p>
        </w:tc>
        <w:tc>
          <w:tcPr>
            <w:tcW w:w="880" w:type="dxa"/>
            <w:tcBorders>
              <w:bottom w:val="single" w:sz="4" w:space="0" w:color="000000"/>
            </w:tcBorders>
            <w:shd w:val="clear" w:color="auto" w:fill="F9FCF9"/>
          </w:tcPr>
          <w:p>
            <w:pPr>
              <w:pStyle w:val="TableParagraph"/>
              <w:spacing w:before="24"/>
              <w:ind w:left="235" w:right="188"/>
              <w:rPr>
                <w:sz w:val="18"/>
              </w:rPr>
            </w:pPr>
            <w:r>
              <w:rPr>
                <w:sz w:val="18"/>
              </w:rPr>
              <w:t>&lt;0.01</w:t>
            </w:r>
          </w:p>
        </w:tc>
        <w:tc>
          <w:tcPr>
            <w:tcW w:w="994" w:type="dxa"/>
            <w:tcBorders>
              <w:bottom w:val="single" w:sz="4" w:space="0" w:color="000000"/>
            </w:tcBorders>
            <w:shd w:val="clear" w:color="auto" w:fill="F9FCF9"/>
          </w:tcPr>
          <w:p>
            <w:pPr>
              <w:pStyle w:val="TableParagraph"/>
              <w:spacing w:before="24"/>
              <w:ind w:left="26"/>
              <w:rPr>
                <w:sz w:val="18"/>
              </w:rPr>
            </w:pPr>
            <w:r>
              <w:rPr>
                <w:sz w:val="18"/>
              </w:rPr>
              <w:t>0</w:t>
            </w:r>
          </w:p>
        </w:tc>
        <w:tc>
          <w:tcPr>
            <w:tcW w:w="881" w:type="dxa"/>
            <w:tcBorders>
              <w:bottom w:val="single" w:sz="4" w:space="0" w:color="000000"/>
            </w:tcBorders>
            <w:shd w:val="clear" w:color="auto" w:fill="F9FCF9"/>
          </w:tcPr>
          <w:p>
            <w:pPr>
              <w:pStyle w:val="TableParagraph"/>
              <w:spacing w:before="24"/>
              <w:ind w:left="3"/>
              <w:rPr>
                <w:sz w:val="18"/>
              </w:rPr>
            </w:pPr>
            <w:r>
              <w:rPr>
                <w:sz w:val="18"/>
              </w:rPr>
              <w:t>0</w:t>
            </w:r>
          </w:p>
        </w:tc>
        <w:tc>
          <w:tcPr>
            <w:tcW w:w="1018" w:type="dxa"/>
            <w:tcBorders>
              <w:bottom w:val="single" w:sz="4" w:space="0" w:color="000000"/>
            </w:tcBorders>
            <w:shd w:val="clear" w:color="auto" w:fill="F9FCF9"/>
          </w:tcPr>
          <w:p>
            <w:pPr>
              <w:pStyle w:val="TableParagraph"/>
              <w:spacing w:before="24"/>
              <w:ind w:right="40"/>
              <w:rPr>
                <w:sz w:val="18"/>
              </w:rPr>
            </w:pPr>
            <w:r>
              <w:rPr>
                <w:sz w:val="18"/>
              </w:rPr>
              <w:t>0</w:t>
            </w:r>
          </w:p>
        </w:tc>
        <w:tc>
          <w:tcPr>
            <w:tcW w:w="766" w:type="dxa"/>
            <w:tcBorders>
              <w:bottom w:val="single" w:sz="4" w:space="0" w:color="000000"/>
            </w:tcBorders>
            <w:shd w:val="clear" w:color="auto" w:fill="F9FCF9"/>
          </w:tcPr>
          <w:p>
            <w:pPr>
              <w:pStyle w:val="TableParagraph"/>
              <w:spacing w:before="24"/>
              <w:ind w:left="350"/>
              <w:jc w:val="left"/>
              <w:rPr>
                <w:sz w:val="18"/>
              </w:rPr>
            </w:pPr>
            <w:r>
              <w:rPr>
                <w:sz w:val="18"/>
              </w:rPr>
              <w:t>0</w:t>
            </w:r>
          </w:p>
        </w:tc>
        <w:tc>
          <w:tcPr>
            <w:tcW w:w="1083" w:type="dxa"/>
            <w:tcBorders>
              <w:bottom w:val="single" w:sz="4" w:space="0" w:color="000000"/>
            </w:tcBorders>
            <w:shd w:val="clear" w:color="auto" w:fill="F9FCF9"/>
          </w:tcPr>
          <w:p>
            <w:pPr>
              <w:pStyle w:val="TableParagraph"/>
              <w:spacing w:before="24"/>
              <w:ind w:left="196" w:right="167"/>
              <w:rPr>
                <w:sz w:val="18"/>
              </w:rPr>
            </w:pPr>
            <w:r>
              <w:rPr>
                <w:sz w:val="18"/>
              </w:rPr>
              <w:t>4.1</w:t>
            </w:r>
          </w:p>
        </w:tc>
        <w:tc>
          <w:tcPr>
            <w:tcW w:w="952" w:type="dxa"/>
            <w:tcBorders>
              <w:bottom w:val="single" w:sz="4" w:space="0" w:color="000000"/>
            </w:tcBorders>
            <w:shd w:val="clear" w:color="auto" w:fill="F9FCF9"/>
          </w:tcPr>
          <w:p>
            <w:pPr>
              <w:pStyle w:val="TableParagraph"/>
              <w:spacing w:before="24"/>
              <w:ind w:left="172" w:right="229"/>
              <w:rPr>
                <w:sz w:val="18"/>
              </w:rPr>
            </w:pPr>
            <w:r>
              <w:rPr>
                <w:sz w:val="18"/>
              </w:rPr>
              <w:t>4.1</w:t>
            </w:r>
          </w:p>
        </w:tc>
      </w:tr>
    </w:tbl>
    <w:p>
      <w:pPr>
        <w:pStyle w:val="ListParagraph"/>
        <w:numPr>
          <w:ilvl w:val="4"/>
          <w:numId w:val="23"/>
        </w:numPr>
        <w:tabs>
          <w:tab w:pos="741" w:val="left" w:leader="none"/>
        </w:tabs>
        <w:spacing w:line="218" w:lineRule="auto" w:before="61" w:after="0"/>
        <w:ind w:left="740" w:right="933" w:hanging="227"/>
        <w:jc w:val="left"/>
        <w:rPr>
          <w:sz w:val="16"/>
        </w:rPr>
      </w:pPr>
      <w:r>
        <w:rPr>
          <w:sz w:val="16"/>
        </w:rPr>
        <w:t>The SO</w:t>
      </w:r>
      <w:r>
        <w:rPr>
          <w:position w:val="-4"/>
          <w:sz w:val="9"/>
        </w:rPr>
        <w:t>2 </w:t>
      </w:r>
      <w:r>
        <w:rPr>
          <w:sz w:val="16"/>
        </w:rPr>
        <w:t>concentration for oxy-fuel and the maximum H</w:t>
      </w:r>
      <w:r>
        <w:rPr>
          <w:position w:val="-4"/>
          <w:sz w:val="9"/>
        </w:rPr>
        <w:t>2</w:t>
      </w:r>
      <w:r>
        <w:rPr>
          <w:sz w:val="16"/>
        </w:rPr>
        <w:t>S concentration for pre-combustion capture are for cases where these impurities are deliberately left in the CO</w:t>
      </w:r>
      <w:r>
        <w:rPr>
          <w:position w:val="-4"/>
          <w:sz w:val="9"/>
        </w:rPr>
        <w:t>2</w:t>
      </w:r>
      <w:r>
        <w:rPr>
          <w:sz w:val="16"/>
        </w:rPr>
        <w:t>, to reduce the costs of capture (see Section 3.6.1.1). The concentrations shown in the table are based on use of coal with a sulphur content of 0.86%. The concentrations would be directly proportional to the fuel sulphur</w:t>
      </w:r>
      <w:r>
        <w:rPr>
          <w:spacing w:val="-6"/>
          <w:sz w:val="16"/>
        </w:rPr>
        <w:t> </w:t>
      </w:r>
      <w:r>
        <w:rPr>
          <w:sz w:val="16"/>
        </w:rPr>
        <w:t>content.</w:t>
      </w:r>
    </w:p>
    <w:p>
      <w:pPr>
        <w:pStyle w:val="ListParagraph"/>
        <w:numPr>
          <w:ilvl w:val="4"/>
          <w:numId w:val="23"/>
        </w:numPr>
        <w:tabs>
          <w:tab w:pos="741" w:val="left" w:leader="none"/>
        </w:tabs>
        <w:spacing w:line="218" w:lineRule="auto" w:before="28" w:after="0"/>
        <w:ind w:left="740" w:right="1224" w:hanging="227"/>
        <w:jc w:val="left"/>
        <w:rPr>
          <w:sz w:val="16"/>
        </w:rPr>
      </w:pPr>
      <w:r>
        <w:rPr>
          <w:sz w:val="16"/>
        </w:rPr>
        <w:t>The oxy-fuel case includes cryogenic purification of the CO</w:t>
      </w:r>
      <w:r>
        <w:rPr>
          <w:position w:val="-4"/>
          <w:sz w:val="9"/>
        </w:rPr>
        <w:t>2 </w:t>
      </w:r>
      <w:r>
        <w:rPr>
          <w:sz w:val="16"/>
        </w:rPr>
        <w:t>to separate some of the N</w:t>
      </w:r>
      <w:r>
        <w:rPr>
          <w:position w:val="-4"/>
          <w:sz w:val="9"/>
        </w:rPr>
        <w:t>2</w:t>
      </w:r>
      <w:r>
        <w:rPr>
          <w:sz w:val="16"/>
        </w:rPr>
        <w:t>, </w:t>
      </w:r>
      <w:r>
        <w:rPr>
          <w:spacing w:val="-3"/>
          <w:sz w:val="16"/>
        </w:rPr>
        <w:t>Ar, </w:t>
      </w:r>
      <w:r>
        <w:rPr>
          <w:sz w:val="16"/>
        </w:rPr>
        <w:t>O</w:t>
      </w:r>
      <w:r>
        <w:rPr>
          <w:position w:val="-4"/>
          <w:sz w:val="9"/>
        </w:rPr>
        <w:t>2 </w:t>
      </w:r>
      <w:r>
        <w:rPr>
          <w:sz w:val="16"/>
        </w:rPr>
        <w:t>and NO</w:t>
      </w:r>
      <w:r>
        <w:rPr>
          <w:position w:val="-4"/>
          <w:sz w:val="9"/>
        </w:rPr>
        <w:t>x</w:t>
      </w:r>
      <w:r>
        <w:rPr>
          <w:sz w:val="16"/>
        </w:rPr>
        <w:t>. Removal of this unit would increase impurity concentrations but reduce costs.</w:t>
      </w:r>
    </w:p>
    <w:p>
      <w:pPr>
        <w:pStyle w:val="ListParagraph"/>
        <w:numPr>
          <w:ilvl w:val="4"/>
          <w:numId w:val="23"/>
        </w:numPr>
        <w:tabs>
          <w:tab w:pos="741" w:val="left" w:leader="none"/>
        </w:tabs>
        <w:spacing w:line="240" w:lineRule="auto" w:before="60" w:after="0"/>
        <w:ind w:left="740" w:right="0" w:hanging="228"/>
        <w:jc w:val="left"/>
        <w:rPr>
          <w:sz w:val="16"/>
        </w:rPr>
      </w:pPr>
      <w:r>
        <w:rPr>
          <w:sz w:val="16"/>
        </w:rPr>
        <w:t>For all technologies, the impurity concentrations shown in the table could be reduced at higher capture</w:t>
      </w:r>
      <w:r>
        <w:rPr>
          <w:spacing w:val="-4"/>
          <w:sz w:val="16"/>
        </w:rPr>
        <w:t> </w:t>
      </w:r>
      <w:r>
        <w:rPr>
          <w:sz w:val="16"/>
        </w:rPr>
        <w:t>costs.</w:t>
      </w:r>
    </w:p>
    <w:p>
      <w:pPr>
        <w:spacing w:after="0" w:line="240" w:lineRule="auto"/>
        <w:jc w:val="left"/>
        <w:rPr>
          <w:sz w:val="16"/>
        </w:rPr>
        <w:sectPr>
          <w:type w:val="continuous"/>
          <w:pgSz w:w="12240" w:h="15840"/>
          <w:pgMar w:top="480" w:bottom="280" w:left="620" w:right="0"/>
        </w:sectPr>
      </w:pPr>
    </w:p>
    <w:p>
      <w:pPr>
        <w:pStyle w:val="BodyText"/>
      </w:pPr>
    </w:p>
    <w:p>
      <w:pPr>
        <w:pStyle w:val="BodyText"/>
        <w:spacing w:before="9"/>
        <w:rPr>
          <w:sz w:val="16"/>
        </w:rPr>
      </w:pPr>
    </w:p>
    <w:p>
      <w:pPr>
        <w:spacing w:after="0"/>
        <w:rPr>
          <w:sz w:val="16"/>
        </w:rPr>
        <w:sectPr>
          <w:pgSz w:w="12240" w:h="15840"/>
          <w:pgMar w:header="567" w:footer="0" w:top="760" w:bottom="280" w:left="620" w:right="0"/>
        </w:sectPr>
      </w:pPr>
    </w:p>
    <w:p>
      <w:pPr>
        <w:pStyle w:val="BodyText"/>
        <w:spacing w:line="249" w:lineRule="auto" w:before="63"/>
        <w:ind w:left="117" w:right="39"/>
        <w:jc w:val="both"/>
      </w:pPr>
      <w:r>
        <w:rPr/>
        <w:t>processes and the costs of doing so are included in published costs of CO</w:t>
      </w:r>
      <w:r>
        <w:rPr>
          <w:position w:val="-6"/>
          <w:sz w:val="11"/>
        </w:rPr>
        <w:t>2 </w:t>
      </w:r>
      <w:r>
        <w:rPr/>
        <w:t>capture plants.</w:t>
      </w:r>
    </w:p>
    <w:p>
      <w:pPr>
        <w:pStyle w:val="BodyText"/>
        <w:spacing w:line="175" w:lineRule="auto"/>
        <w:ind w:left="400"/>
        <w:jc w:val="both"/>
      </w:pPr>
      <w:r>
        <w:rPr/>
        <w:t>CO</w:t>
      </w:r>
      <w:r>
        <w:rPr>
          <w:position w:val="-6"/>
          <w:sz w:val="11"/>
        </w:rPr>
        <w:t>2    </w:t>
      </w:r>
      <w:r>
        <w:rPr/>
        <w:t>from  post-combustion  solvent  scrubbing </w:t>
      </w:r>
      <w:r>
        <w:rPr>
          <w:spacing w:val="44"/>
        </w:rPr>
        <w:t> </w:t>
      </w:r>
      <w:r>
        <w:rPr/>
        <w:t>processes</w:t>
      </w:r>
    </w:p>
    <w:p>
      <w:pPr>
        <w:pStyle w:val="BodyText"/>
        <w:spacing w:line="214" w:lineRule="exact"/>
        <w:ind w:left="117"/>
        <w:jc w:val="both"/>
      </w:pPr>
      <w:r>
        <w:rPr/>
        <w:t>normally</w:t>
      </w:r>
      <w:r>
        <w:rPr>
          <w:spacing w:val="24"/>
        </w:rPr>
        <w:t> </w:t>
      </w:r>
      <w:r>
        <w:rPr/>
        <w:t>contains</w:t>
      </w:r>
      <w:r>
        <w:rPr>
          <w:spacing w:val="25"/>
        </w:rPr>
        <w:t> </w:t>
      </w:r>
      <w:r>
        <w:rPr/>
        <w:t>low</w:t>
      </w:r>
      <w:r>
        <w:rPr>
          <w:spacing w:val="24"/>
        </w:rPr>
        <w:t> </w:t>
      </w:r>
      <w:r>
        <w:rPr/>
        <w:t>concentrations</w:t>
      </w:r>
      <w:r>
        <w:rPr>
          <w:spacing w:val="25"/>
        </w:rPr>
        <w:t> </w:t>
      </w:r>
      <w:r>
        <w:rPr/>
        <w:t>of</w:t>
      </w:r>
      <w:r>
        <w:rPr>
          <w:spacing w:val="24"/>
        </w:rPr>
        <w:t> </w:t>
      </w:r>
      <w:r>
        <w:rPr/>
        <w:t>impurities.</w:t>
      </w:r>
      <w:r>
        <w:rPr>
          <w:spacing w:val="25"/>
        </w:rPr>
        <w:t> </w:t>
      </w:r>
      <w:r>
        <w:rPr/>
        <w:t>Many</w:t>
      </w:r>
      <w:r>
        <w:rPr>
          <w:spacing w:val="25"/>
        </w:rPr>
        <w:t> </w:t>
      </w:r>
      <w:r>
        <w:rPr/>
        <w:t>of</w:t>
      </w:r>
    </w:p>
    <w:p>
      <w:pPr>
        <w:pStyle w:val="BodyText"/>
        <w:spacing w:line="249" w:lineRule="auto"/>
        <w:ind w:left="117" w:right="39"/>
        <w:jc w:val="both"/>
      </w:pPr>
      <w:r>
        <w:rPr/>
        <w:t>the</w:t>
      </w:r>
      <w:r>
        <w:rPr>
          <w:spacing w:val="-9"/>
        </w:rPr>
        <w:t> </w:t>
      </w:r>
      <w:r>
        <w:rPr/>
        <w:t>existing</w:t>
      </w:r>
      <w:r>
        <w:rPr>
          <w:spacing w:val="-9"/>
        </w:rPr>
        <w:t> </w:t>
      </w:r>
      <w:r>
        <w:rPr/>
        <w:t>post-combustion</w:t>
      </w:r>
      <w:r>
        <w:rPr>
          <w:spacing w:val="-9"/>
        </w:rPr>
        <w:t> </w:t>
      </w:r>
      <w:r>
        <w:rPr/>
        <w:t>capture</w:t>
      </w:r>
      <w:r>
        <w:rPr>
          <w:spacing w:val="-8"/>
        </w:rPr>
        <w:t> </w:t>
      </w:r>
      <w:r>
        <w:rPr/>
        <w:t>plants</w:t>
      </w:r>
      <w:r>
        <w:rPr>
          <w:spacing w:val="-9"/>
        </w:rPr>
        <w:t> </w:t>
      </w:r>
      <w:r>
        <w:rPr/>
        <w:t>produce</w:t>
      </w:r>
      <w:r>
        <w:rPr>
          <w:spacing w:val="-9"/>
        </w:rPr>
        <w:t> </w:t>
      </w:r>
      <w:r>
        <w:rPr/>
        <w:t>high</w:t>
      </w:r>
      <w:r>
        <w:rPr>
          <w:spacing w:val="-8"/>
        </w:rPr>
        <w:t> </w:t>
      </w:r>
      <w:r>
        <w:rPr>
          <w:spacing w:val="-3"/>
        </w:rPr>
        <w:t>purity </w:t>
      </w:r>
      <w:r>
        <w:rPr/>
        <w:t>CO</w:t>
      </w:r>
      <w:r>
        <w:rPr>
          <w:position w:val="-6"/>
          <w:sz w:val="11"/>
        </w:rPr>
        <w:t>2 </w:t>
      </w:r>
      <w:r>
        <w:rPr/>
        <w:t>for use in the food industry (IEA GHG,</w:t>
      </w:r>
      <w:r>
        <w:rPr>
          <w:spacing w:val="-17"/>
        </w:rPr>
        <w:t> </w:t>
      </w:r>
      <w:r>
        <w:rPr/>
        <w:t>2004).</w:t>
      </w:r>
    </w:p>
    <w:p>
      <w:pPr>
        <w:pStyle w:val="BodyText"/>
        <w:spacing w:line="175" w:lineRule="auto"/>
        <w:ind w:left="400"/>
        <w:jc w:val="both"/>
      </w:pPr>
      <w:r>
        <w:rPr/>
        <w:t>CO</w:t>
      </w:r>
      <w:r>
        <w:rPr>
          <w:position w:val="-6"/>
          <w:sz w:val="11"/>
        </w:rPr>
        <w:t>2      </w:t>
      </w:r>
      <w:r>
        <w:rPr/>
        <w:t>from   pre-combustion   physical   solvent </w:t>
      </w:r>
      <w:r>
        <w:rPr>
          <w:spacing w:val="17"/>
        </w:rPr>
        <w:t> </w:t>
      </w:r>
      <w:r>
        <w:rPr/>
        <w:t>scrubbing</w:t>
      </w:r>
    </w:p>
    <w:p>
      <w:pPr>
        <w:pStyle w:val="BodyText"/>
        <w:spacing w:line="206" w:lineRule="auto"/>
        <w:ind w:left="117" w:right="39"/>
        <w:jc w:val="both"/>
      </w:pPr>
      <w:r>
        <w:rPr/>
        <w:t>processes typically contains about 1-2% H</w:t>
      </w:r>
      <w:r>
        <w:rPr>
          <w:position w:val="-6"/>
          <w:sz w:val="11"/>
        </w:rPr>
        <w:t>2 </w:t>
      </w:r>
      <w:r>
        <w:rPr/>
        <w:t>and CO and traces of H</w:t>
      </w:r>
      <w:r>
        <w:rPr>
          <w:position w:val="-6"/>
          <w:sz w:val="11"/>
        </w:rPr>
        <w:t>2</w:t>
      </w:r>
      <w:r>
        <w:rPr/>
        <w:t>S and other sulphur compounds (IEA GHG, 2003). IGCC plants with pre-combustion capture can be designed to</w:t>
      </w:r>
      <w:r>
        <w:rPr>
          <w:spacing w:val="-19"/>
        </w:rPr>
        <w:t> </w:t>
      </w:r>
      <w:r>
        <w:rPr/>
        <w:t>produce</w:t>
      </w:r>
    </w:p>
    <w:p>
      <w:pPr>
        <w:pStyle w:val="BodyText"/>
        <w:spacing w:line="240" w:lineRule="exact"/>
        <w:ind w:left="117" w:right="39"/>
        <w:jc w:val="both"/>
      </w:pPr>
      <w:r>
        <w:rPr/>
        <w:t>a combined stream of CO</w:t>
      </w:r>
      <w:r>
        <w:rPr>
          <w:position w:val="-6"/>
          <w:sz w:val="11"/>
        </w:rPr>
        <w:t>2 </w:t>
      </w:r>
      <w:r>
        <w:rPr/>
        <w:t>and sulphur compounds, to reduce costs and avoid the production of solid sulphur (IEA GHG, 2003). Combined streams of CO</w:t>
      </w:r>
      <w:r>
        <w:rPr>
          <w:position w:val="-6"/>
          <w:sz w:val="11"/>
        </w:rPr>
        <w:t>2 </w:t>
      </w:r>
      <w:r>
        <w:rPr/>
        <w:t>and sulphur compounds (primarily hydrogen sulphide, H</w:t>
      </w:r>
      <w:r>
        <w:rPr>
          <w:position w:val="-6"/>
          <w:sz w:val="11"/>
        </w:rPr>
        <w:t>2</w:t>
      </w:r>
      <w:r>
        <w:rPr/>
        <w:t>S) are already stored, for example in Canada, as discussed in Chapter 5. However, this option would only be considered in circumstances where the combined stream could be transported and stored in a safe and environmentally acceptable manner.</w:t>
      </w:r>
    </w:p>
    <w:p>
      <w:pPr>
        <w:pStyle w:val="BodyText"/>
        <w:spacing w:line="240" w:lineRule="exact"/>
        <w:ind w:left="116" w:right="38" w:firstLine="284"/>
        <w:jc w:val="both"/>
      </w:pPr>
      <w:r>
        <w:rPr/>
        <w:t>The CO</w:t>
      </w:r>
      <w:r>
        <w:rPr>
          <w:position w:val="-6"/>
          <w:sz w:val="11"/>
        </w:rPr>
        <w:t>2</w:t>
      </w:r>
      <w:r>
        <w:rPr/>
        <w:t>-rich gas from oxy-fuel processes contains</w:t>
      </w:r>
      <w:r>
        <w:rPr>
          <w:spacing w:val="-32"/>
        </w:rPr>
        <w:t> </w:t>
      </w:r>
      <w:r>
        <w:rPr/>
        <w:t>oxygen, nitrogen, argon, sulphur and nitrogen oxides and various other trace impurities. This gas will normally be compressed and  fed to a cryogenic purification process to reduce the impurities concentrations to the levels required to avoid two-phase flow conditions in the transportation pipelines. A 99.99% purity could be produced by including distillation in the cryogenic separation unit. Alternatively, the sulphur and nitrogen oxides could be left in the CO</w:t>
      </w:r>
      <w:r>
        <w:rPr>
          <w:position w:val="-6"/>
          <w:sz w:val="11"/>
        </w:rPr>
        <w:t>2 </w:t>
      </w:r>
      <w:r>
        <w:rPr/>
        <w:t>fed to storage in circumstances where that is environmentally acceptable as described above for </w:t>
      </w:r>
      <w:r>
        <w:rPr>
          <w:spacing w:val="-4"/>
        </w:rPr>
        <w:t>pre- </w:t>
      </w:r>
      <w:r>
        <w:rPr/>
        <w:t>combustion</w:t>
      </w:r>
      <w:r>
        <w:rPr>
          <w:spacing w:val="-5"/>
        </w:rPr>
        <w:t> </w:t>
      </w:r>
      <w:r>
        <w:rPr/>
        <w:t>capture</w:t>
      </w:r>
      <w:r>
        <w:rPr>
          <w:spacing w:val="-4"/>
        </w:rPr>
        <w:t> </w:t>
      </w:r>
      <w:r>
        <w:rPr/>
        <w:t>and</w:t>
      </w:r>
      <w:r>
        <w:rPr>
          <w:spacing w:val="-4"/>
        </w:rPr>
        <w:t> </w:t>
      </w:r>
      <w:r>
        <w:rPr/>
        <w:t>when</w:t>
      </w:r>
      <w:r>
        <w:rPr>
          <w:spacing w:val="-5"/>
        </w:rPr>
        <w:t> </w:t>
      </w:r>
      <w:r>
        <w:rPr/>
        <w:t>the</w:t>
      </w:r>
      <w:r>
        <w:rPr>
          <w:spacing w:val="-4"/>
        </w:rPr>
        <w:t> </w:t>
      </w:r>
      <w:r>
        <w:rPr/>
        <w:t>total</w:t>
      </w:r>
      <w:r>
        <w:rPr>
          <w:spacing w:val="-4"/>
        </w:rPr>
        <w:t> </w:t>
      </w:r>
      <w:r>
        <w:rPr/>
        <w:t>amount</w:t>
      </w:r>
      <w:r>
        <w:rPr>
          <w:spacing w:val="-5"/>
        </w:rPr>
        <w:t> </w:t>
      </w:r>
      <w:r>
        <w:rPr/>
        <w:t>of</w:t>
      </w:r>
      <w:r>
        <w:rPr>
          <w:spacing w:val="-4"/>
        </w:rPr>
        <w:t> </w:t>
      </w:r>
      <w:r>
        <w:rPr/>
        <w:t>all</w:t>
      </w:r>
      <w:r>
        <w:rPr>
          <w:spacing w:val="-4"/>
        </w:rPr>
        <w:t> </w:t>
      </w:r>
      <w:r>
        <w:rPr/>
        <w:t>impurities left</w:t>
      </w:r>
      <w:r>
        <w:rPr>
          <w:spacing w:val="-15"/>
        </w:rPr>
        <w:t> </w:t>
      </w:r>
      <w:r>
        <w:rPr/>
        <w:t>in</w:t>
      </w:r>
      <w:r>
        <w:rPr>
          <w:spacing w:val="-14"/>
        </w:rPr>
        <w:t> </w:t>
      </w:r>
      <w:r>
        <w:rPr/>
        <w:t>the</w:t>
      </w:r>
      <w:r>
        <w:rPr>
          <w:spacing w:val="-14"/>
        </w:rPr>
        <w:t> </w:t>
      </w:r>
      <w:r>
        <w:rPr/>
        <w:t>CO</w:t>
      </w:r>
      <w:r>
        <w:rPr>
          <w:position w:val="-6"/>
          <w:sz w:val="11"/>
        </w:rPr>
        <w:t>2</w:t>
      </w:r>
      <w:r>
        <w:rPr>
          <w:spacing w:val="8"/>
          <w:position w:val="-6"/>
          <w:sz w:val="11"/>
        </w:rPr>
        <w:t> </w:t>
      </w:r>
      <w:r>
        <w:rPr/>
        <w:t>is</w:t>
      </w:r>
      <w:r>
        <w:rPr>
          <w:spacing w:val="-15"/>
        </w:rPr>
        <w:t> </w:t>
      </w:r>
      <w:r>
        <w:rPr/>
        <w:t>low</w:t>
      </w:r>
      <w:r>
        <w:rPr>
          <w:spacing w:val="-15"/>
        </w:rPr>
        <w:t> </w:t>
      </w:r>
      <w:r>
        <w:rPr/>
        <w:t>enough</w:t>
      </w:r>
      <w:r>
        <w:rPr>
          <w:spacing w:val="-15"/>
        </w:rPr>
        <w:t> </w:t>
      </w:r>
      <w:r>
        <w:rPr/>
        <w:t>to</w:t>
      </w:r>
      <w:r>
        <w:rPr>
          <w:spacing w:val="-14"/>
        </w:rPr>
        <w:t> </w:t>
      </w:r>
      <w:r>
        <w:rPr/>
        <w:t>avoid</w:t>
      </w:r>
      <w:r>
        <w:rPr>
          <w:spacing w:val="-15"/>
        </w:rPr>
        <w:t> </w:t>
      </w:r>
      <w:r>
        <w:rPr/>
        <w:t>two-phase</w:t>
      </w:r>
      <w:r>
        <w:rPr>
          <w:spacing w:val="-15"/>
        </w:rPr>
        <w:t> </w:t>
      </w:r>
      <w:r>
        <w:rPr/>
        <w:t>flow</w:t>
      </w:r>
      <w:r>
        <w:rPr>
          <w:spacing w:val="-14"/>
        </w:rPr>
        <w:t> </w:t>
      </w:r>
      <w:r>
        <w:rPr/>
        <w:t>conditions in transportation pipelines.</w:t>
      </w:r>
    </w:p>
    <w:p>
      <w:pPr>
        <w:pStyle w:val="BodyText"/>
        <w:spacing w:line="249" w:lineRule="auto" w:before="63"/>
        <w:ind w:left="116" w:right="1122"/>
        <w:jc w:val="both"/>
      </w:pPr>
      <w:r>
        <w:rPr/>
        <w:br w:type="column"/>
      </w:r>
      <w:r>
        <w:rPr/>
        <w:t>solvent, as discussed in Section 3.3.2.1. The waste from MEA scrubbing would normally be processed to remove metals and then incinerated. The waste can also be disposed of in cement kilns, where the waste metals become agglomerated in the clinker (IEA GHG, 2004). Pre-combustion capture systems periodically produce spent shift and reforming catalysts and these would be sent to specialist reprocessing and disposal facilities.</w:t>
      </w:r>
    </w:p>
    <w:p>
      <w:pPr>
        <w:pStyle w:val="BodyText"/>
        <w:rPr>
          <w:sz w:val="21"/>
        </w:rPr>
      </w:pPr>
    </w:p>
    <w:p>
      <w:pPr>
        <w:pStyle w:val="ListParagraph"/>
        <w:numPr>
          <w:ilvl w:val="3"/>
          <w:numId w:val="23"/>
        </w:numPr>
        <w:tabs>
          <w:tab w:pos="967" w:val="left" w:leader="none"/>
          <w:tab w:pos="968" w:val="left" w:leader="none"/>
        </w:tabs>
        <w:spacing w:line="240" w:lineRule="exact" w:before="0" w:after="0"/>
        <w:ind w:left="116" w:right="1130" w:firstLine="0"/>
        <w:jc w:val="left"/>
        <w:rPr>
          <w:sz w:val="20"/>
        </w:rPr>
      </w:pPr>
      <w:r>
        <w:rPr>
          <w:i/>
          <w:sz w:val="20"/>
        </w:rPr>
        <w:t>Framework for evaluating capture system impacts </w:t>
      </w:r>
      <w:r>
        <w:rPr>
          <w:sz w:val="20"/>
        </w:rPr>
        <w:t>As discussed in Chapter 1, the framework used throughout </w:t>
      </w:r>
      <w:r>
        <w:rPr>
          <w:spacing w:val="-4"/>
          <w:sz w:val="20"/>
        </w:rPr>
        <w:t>this </w:t>
      </w:r>
      <w:r>
        <w:rPr>
          <w:sz w:val="20"/>
        </w:rPr>
        <w:t>report to assess the impacts of CO</w:t>
      </w:r>
      <w:r>
        <w:rPr>
          <w:position w:val="-6"/>
          <w:sz w:val="11"/>
        </w:rPr>
        <w:t>2 </w:t>
      </w:r>
      <w:r>
        <w:rPr>
          <w:sz w:val="20"/>
        </w:rPr>
        <w:t>capture and storage is</w:t>
      </w:r>
      <w:r>
        <w:rPr>
          <w:spacing w:val="-26"/>
          <w:sz w:val="20"/>
        </w:rPr>
        <w:t> </w:t>
      </w:r>
      <w:r>
        <w:rPr>
          <w:sz w:val="20"/>
        </w:rPr>
        <w:t>based on the material and energy flows needed to produce a unit of product</w:t>
      </w:r>
      <w:r>
        <w:rPr>
          <w:spacing w:val="-14"/>
          <w:sz w:val="20"/>
        </w:rPr>
        <w:t> </w:t>
      </w:r>
      <w:r>
        <w:rPr>
          <w:sz w:val="20"/>
        </w:rPr>
        <w:t>from</w:t>
      </w:r>
      <w:r>
        <w:rPr>
          <w:spacing w:val="-13"/>
          <w:sz w:val="20"/>
        </w:rPr>
        <w:t> </w:t>
      </w:r>
      <w:r>
        <w:rPr>
          <w:sz w:val="20"/>
        </w:rPr>
        <w:t>a</w:t>
      </w:r>
      <w:r>
        <w:rPr>
          <w:spacing w:val="-13"/>
          <w:sz w:val="20"/>
        </w:rPr>
        <w:t> </w:t>
      </w:r>
      <w:r>
        <w:rPr>
          <w:sz w:val="20"/>
        </w:rPr>
        <w:t>particular</w:t>
      </w:r>
      <w:r>
        <w:rPr>
          <w:spacing w:val="-13"/>
          <w:sz w:val="20"/>
        </w:rPr>
        <w:t> </w:t>
      </w:r>
      <w:r>
        <w:rPr>
          <w:sz w:val="20"/>
        </w:rPr>
        <w:t>process.</w:t>
      </w:r>
      <w:r>
        <w:rPr>
          <w:spacing w:val="-24"/>
          <w:sz w:val="20"/>
        </w:rPr>
        <w:t> </w:t>
      </w:r>
      <w:r>
        <w:rPr>
          <w:sz w:val="20"/>
        </w:rPr>
        <w:t>As</w:t>
      </w:r>
      <w:r>
        <w:rPr>
          <w:spacing w:val="-13"/>
          <w:sz w:val="20"/>
        </w:rPr>
        <w:t> </w:t>
      </w:r>
      <w:r>
        <w:rPr>
          <w:sz w:val="20"/>
        </w:rPr>
        <w:t>seen</w:t>
      </w:r>
      <w:r>
        <w:rPr>
          <w:spacing w:val="-13"/>
          <w:sz w:val="20"/>
        </w:rPr>
        <w:t> </w:t>
      </w:r>
      <w:r>
        <w:rPr>
          <w:sz w:val="20"/>
        </w:rPr>
        <w:t>earlier</w:t>
      </w:r>
      <w:r>
        <w:rPr>
          <w:spacing w:val="-14"/>
          <w:sz w:val="20"/>
        </w:rPr>
        <w:t> </w:t>
      </w:r>
      <w:r>
        <w:rPr>
          <w:sz w:val="20"/>
        </w:rPr>
        <w:t>in</w:t>
      </w:r>
      <w:r>
        <w:rPr>
          <w:spacing w:val="-13"/>
          <w:sz w:val="20"/>
        </w:rPr>
        <w:t> </w:t>
      </w:r>
      <w:r>
        <w:rPr>
          <w:sz w:val="20"/>
        </w:rPr>
        <w:t>this</w:t>
      </w:r>
      <w:r>
        <w:rPr>
          <w:spacing w:val="-13"/>
          <w:sz w:val="20"/>
        </w:rPr>
        <w:t> </w:t>
      </w:r>
      <w:r>
        <w:rPr>
          <w:sz w:val="20"/>
        </w:rPr>
        <w:t>chapter, CO</w:t>
      </w:r>
      <w:r>
        <w:rPr>
          <w:position w:val="-6"/>
          <w:sz w:val="11"/>
        </w:rPr>
        <w:t>2 </w:t>
      </w:r>
      <w:r>
        <w:rPr>
          <w:sz w:val="20"/>
        </w:rPr>
        <w:t>capture systems require an increase in energy use for their operation. As defined in this report (see Section 1.5 and Figure 1.5), the energy requirement associated with CO</w:t>
      </w:r>
      <w:r>
        <w:rPr>
          <w:position w:val="-6"/>
          <w:sz w:val="11"/>
        </w:rPr>
        <w:t>2 </w:t>
      </w:r>
      <w:r>
        <w:rPr>
          <w:sz w:val="20"/>
        </w:rPr>
        <w:t>capture is expressed as the additional energy required to produce a unit of useful product, such as a kilowatt-hour of electricity (for the case of a power plant). As the energy and resource</w:t>
      </w:r>
      <w:r>
        <w:rPr>
          <w:spacing w:val="-26"/>
          <w:sz w:val="20"/>
        </w:rPr>
        <w:t> </w:t>
      </w:r>
      <w:r>
        <w:rPr>
          <w:sz w:val="20"/>
        </w:rPr>
        <w:t>requirement for CO</w:t>
      </w:r>
      <w:r>
        <w:rPr>
          <w:position w:val="-6"/>
          <w:sz w:val="11"/>
        </w:rPr>
        <w:t>2 </w:t>
      </w:r>
      <w:r>
        <w:rPr>
          <w:sz w:val="20"/>
        </w:rPr>
        <w:t>capture (which includes the energy needed to</w:t>
      </w:r>
      <w:r>
        <w:rPr>
          <w:spacing w:val="-33"/>
          <w:sz w:val="20"/>
        </w:rPr>
        <w:t> </w:t>
      </w:r>
      <w:r>
        <w:rPr>
          <w:sz w:val="20"/>
        </w:rPr>
        <w:t>compress CO</w:t>
      </w:r>
      <w:r>
        <w:rPr>
          <w:position w:val="-6"/>
          <w:sz w:val="11"/>
        </w:rPr>
        <w:t>2 </w:t>
      </w:r>
      <w:r>
        <w:rPr>
          <w:sz w:val="20"/>
        </w:rPr>
        <w:t>for subsequent transport and storage) is typically much larger than for other emission control systems, it has important implications</w:t>
      </w:r>
      <w:r>
        <w:rPr>
          <w:spacing w:val="-10"/>
          <w:sz w:val="20"/>
        </w:rPr>
        <w:t> </w:t>
      </w:r>
      <w:r>
        <w:rPr>
          <w:sz w:val="20"/>
        </w:rPr>
        <w:t>for</w:t>
      </w:r>
      <w:r>
        <w:rPr>
          <w:spacing w:val="-10"/>
          <w:sz w:val="20"/>
        </w:rPr>
        <w:t> </w:t>
      </w:r>
      <w:r>
        <w:rPr>
          <w:sz w:val="20"/>
        </w:rPr>
        <w:t>plant</w:t>
      </w:r>
      <w:r>
        <w:rPr>
          <w:spacing w:val="-10"/>
          <w:sz w:val="20"/>
        </w:rPr>
        <w:t> </w:t>
      </w:r>
      <w:r>
        <w:rPr>
          <w:sz w:val="20"/>
        </w:rPr>
        <w:t>resource</w:t>
      </w:r>
      <w:r>
        <w:rPr>
          <w:spacing w:val="-10"/>
          <w:sz w:val="20"/>
        </w:rPr>
        <w:t> </w:t>
      </w:r>
      <w:r>
        <w:rPr>
          <w:sz w:val="20"/>
        </w:rPr>
        <w:t>requirements</w:t>
      </w:r>
      <w:r>
        <w:rPr>
          <w:spacing w:val="-10"/>
          <w:sz w:val="20"/>
        </w:rPr>
        <w:t> </w:t>
      </w:r>
      <w:r>
        <w:rPr>
          <w:sz w:val="20"/>
        </w:rPr>
        <w:t>and</w:t>
      </w:r>
      <w:r>
        <w:rPr>
          <w:spacing w:val="-10"/>
          <w:sz w:val="20"/>
        </w:rPr>
        <w:t> </w:t>
      </w:r>
      <w:r>
        <w:rPr>
          <w:sz w:val="20"/>
        </w:rPr>
        <w:t>environmental emissions when viewed from the ‘systems’ perspective of Figure</w:t>
      </w:r>
      <w:r>
        <w:rPr>
          <w:spacing w:val="-2"/>
          <w:sz w:val="20"/>
        </w:rPr>
        <w:t> </w:t>
      </w:r>
      <w:r>
        <w:rPr>
          <w:sz w:val="20"/>
        </w:rPr>
        <w:t>1.5.</w:t>
      </w:r>
    </w:p>
    <w:p>
      <w:pPr>
        <w:pStyle w:val="BodyText"/>
        <w:spacing w:line="240" w:lineRule="exact"/>
        <w:ind w:left="116" w:right="1131"/>
        <w:jc w:val="both"/>
        <w:rPr>
          <w:sz w:val="11"/>
        </w:rPr>
      </w:pPr>
      <w:r>
        <w:rPr/>
        <w:t>In general, the CCS energy requirement per unit of product</w:t>
      </w:r>
      <w:r>
        <w:rPr>
          <w:spacing w:val="-24"/>
        </w:rPr>
        <w:t> </w:t>
      </w:r>
      <w:r>
        <w:rPr/>
        <w:t>can be expressed in terms of the change in net plant efficiency </w:t>
      </w:r>
      <w:r>
        <w:rPr>
          <w:spacing w:val="-4"/>
        </w:rPr>
        <w:t>(</w:t>
      </w:r>
      <w:r>
        <w:rPr>
          <w:rFonts w:ascii="Symbol" w:hAnsi="Symbol"/>
          <w:spacing w:val="-4"/>
          <w:sz w:val="24"/>
        </w:rPr>
        <w:t></w:t>
      </w:r>
      <w:r>
        <w:rPr>
          <w:spacing w:val="-4"/>
        </w:rPr>
        <w:t>) </w:t>
      </w:r>
      <w:r>
        <w:rPr/>
        <w:t>when the reference plant without capture is equipped with a CCS</w:t>
      </w:r>
      <w:r>
        <w:rPr>
          <w:spacing w:val="-1"/>
        </w:rPr>
        <w:t> </w:t>
      </w:r>
      <w:r>
        <w:rPr/>
        <w:t>system:</w:t>
      </w:r>
      <w:r>
        <w:rPr>
          <w:position w:val="7"/>
          <w:sz w:val="11"/>
        </w:rPr>
        <w:t>1</w:t>
      </w:r>
    </w:p>
    <w:p>
      <w:pPr>
        <w:spacing w:after="0" w:line="240" w:lineRule="exact"/>
        <w:jc w:val="both"/>
        <w:rPr>
          <w:sz w:val="11"/>
        </w:rPr>
        <w:sectPr>
          <w:type w:val="continuous"/>
          <w:pgSz w:w="12240" w:h="15840"/>
          <w:pgMar w:top="480" w:bottom="280" w:left="620" w:right="0"/>
          <w:cols w:num="2" w:equalWidth="0">
            <w:col w:w="5202" w:space="124"/>
            <w:col w:w="6294"/>
          </w:cols>
        </w:sectPr>
      </w:pPr>
    </w:p>
    <w:p>
      <w:pPr>
        <w:pStyle w:val="BodyText"/>
        <w:spacing w:line="159" w:lineRule="exact"/>
        <w:ind w:left="401"/>
      </w:pPr>
      <w:r>
        <w:rPr/>
        <w:t>Power plants with CO</w:t>
      </w:r>
    </w:p>
    <w:p>
      <w:pPr>
        <w:pStyle w:val="BodyText"/>
        <w:spacing w:line="159" w:lineRule="exact"/>
        <w:ind w:left="76"/>
      </w:pPr>
      <w:r>
        <w:rPr/>
        <w:br w:type="column"/>
      </w:r>
      <w:r>
        <w:rPr/>
        <w:t>capture would emit a CO -depleted</w:t>
      </w:r>
    </w:p>
    <w:p>
      <w:pPr>
        <w:spacing w:line="159" w:lineRule="exact" w:before="0"/>
        <w:ind w:left="401" w:right="0" w:firstLine="0"/>
        <w:jc w:val="left"/>
        <w:rPr>
          <w:rFonts w:ascii="Symbol" w:hAnsi="Symbol"/>
          <w:sz w:val="20"/>
        </w:rPr>
      </w:pPr>
      <w:r>
        <w:rPr/>
        <w:br w:type="column"/>
      </w:r>
      <w:r>
        <w:rPr>
          <w:rFonts w:ascii="Symbol" w:hAnsi="Symbol"/>
          <w:sz w:val="20"/>
        </w:rPr>
        <w:t></w:t>
      </w:r>
      <w:r>
        <w:rPr>
          <w:i/>
          <w:sz w:val="20"/>
        </w:rPr>
        <w:t>E </w:t>
      </w:r>
      <w:r>
        <w:rPr>
          <w:sz w:val="20"/>
        </w:rPr>
        <w:t>= (</w:t>
      </w:r>
      <w:r>
        <w:rPr>
          <w:rFonts w:ascii="Symbol" w:hAnsi="Symbol"/>
          <w:sz w:val="20"/>
        </w:rPr>
        <w:t></w:t>
      </w:r>
    </w:p>
    <w:p>
      <w:pPr>
        <w:pStyle w:val="BodyText"/>
        <w:tabs>
          <w:tab w:pos="3624" w:val="left" w:leader="none"/>
        </w:tabs>
        <w:spacing w:line="159" w:lineRule="exact"/>
        <w:ind w:left="117"/>
      </w:pPr>
      <w:r>
        <w:rPr/>
        <w:br w:type="column"/>
      </w:r>
      <w:r>
        <w:rPr/>
        <w:t>/ </w:t>
      </w:r>
      <w:r>
        <w:rPr>
          <w:rFonts w:ascii="Symbol" w:hAnsi="Symbol"/>
        </w:rPr>
        <w:t></w:t>
      </w:r>
      <w:r>
        <w:rPr/>
        <w:t>   )</w:t>
      </w:r>
      <w:r>
        <w:rPr>
          <w:spacing w:val="-2"/>
        </w:rPr>
        <w:t> </w:t>
      </w:r>
      <w:r>
        <w:rPr/>
        <w:t>- 1</w:t>
        <w:tab/>
        <w:t>(6)</w:t>
      </w:r>
    </w:p>
    <w:p>
      <w:pPr>
        <w:spacing w:after="0" w:line="159" w:lineRule="exact"/>
        <w:sectPr>
          <w:type w:val="continuous"/>
          <w:pgSz w:w="12240" w:h="15840"/>
          <w:pgMar w:top="480" w:bottom="280" w:left="620" w:right="0"/>
          <w:cols w:num="4" w:equalWidth="0">
            <w:col w:w="2198" w:space="40"/>
            <w:col w:w="2963" w:space="181"/>
            <w:col w:w="1096" w:space="40"/>
            <w:col w:w="5102"/>
          </w:cols>
        </w:sectPr>
      </w:pPr>
    </w:p>
    <w:p>
      <w:pPr>
        <w:tabs>
          <w:tab w:pos="4357" w:val="left" w:leader="none"/>
          <w:tab w:pos="6477" w:val="left" w:leader="none"/>
          <w:tab w:pos="6861" w:val="left" w:leader="none"/>
        </w:tabs>
        <w:spacing w:line="111" w:lineRule="exact" w:before="0"/>
        <w:ind w:left="2197" w:right="0" w:firstLine="0"/>
        <w:jc w:val="left"/>
        <w:rPr>
          <w:sz w:val="11"/>
        </w:rPr>
      </w:pPr>
      <w:r>
        <w:rPr/>
        <w:pict>
          <v:shape style="position:absolute;margin-left:391.470306pt;margin-top:36pt;width:7.45pt;height:5.8pt;mso-position-horizontal-relative:page;mso-position-vertical-relative:paragraph;z-index:-272415744" type="#_x0000_t202" filled="false" stroked="false">
            <v:textbox inset="0,0,0,0">
              <w:txbxContent>
                <w:p>
                  <w:pPr>
                    <w:spacing w:line="111" w:lineRule="exact" w:before="0"/>
                    <w:ind w:left="0" w:right="0" w:firstLine="0"/>
                    <w:jc w:val="left"/>
                    <w:rPr>
                      <w:sz w:val="11"/>
                    </w:rPr>
                  </w:pPr>
                  <w:r>
                    <w:rPr>
                      <w:w w:val="105"/>
                      <w:sz w:val="11"/>
                    </w:rPr>
                    <w:t>ccs</w:t>
                  </w:r>
                </w:p>
              </w:txbxContent>
            </v:textbox>
            <w10:wrap type="none"/>
          </v:shape>
        </w:pict>
      </w:r>
      <w:r>
        <w:rPr/>
        <w:pict>
          <v:shape style="position:absolute;margin-left:426.045898pt;margin-top:36pt;width:6.45pt;height:5.8pt;mso-position-horizontal-relative:page;mso-position-vertical-relative:paragraph;z-index:-272414720" type="#_x0000_t202" filled="false" stroked="false">
            <v:textbox inset="0,0,0,0">
              <w:txbxContent>
                <w:p>
                  <w:pPr>
                    <w:spacing w:line="111" w:lineRule="exact" w:before="0"/>
                    <w:ind w:left="0" w:right="0" w:firstLine="0"/>
                    <w:jc w:val="left"/>
                    <w:rPr>
                      <w:sz w:val="11"/>
                    </w:rPr>
                  </w:pPr>
                  <w:r>
                    <w:rPr>
                      <w:w w:val="105"/>
                      <w:sz w:val="11"/>
                    </w:rPr>
                    <w:t>ref</w:t>
                  </w:r>
                </w:p>
              </w:txbxContent>
            </v:textbox>
            <w10:wrap type="none"/>
          </v:shape>
        </w:pict>
      </w:r>
      <w:r>
        <w:rPr>
          <w:w w:val="105"/>
          <w:sz w:val="11"/>
        </w:rPr>
        <w:t>2</w:t>
        <w:tab/>
        <w:t>2</w:t>
        <w:tab/>
        <w:t>ref</w:t>
        <w:tab/>
        <w:t>ccs</w:t>
      </w:r>
    </w:p>
    <w:p>
      <w:pPr>
        <w:spacing w:after="0" w:line="111" w:lineRule="exact"/>
        <w:jc w:val="left"/>
        <w:rPr>
          <w:sz w:val="11"/>
        </w:rPr>
        <w:sectPr>
          <w:type w:val="continuous"/>
          <w:pgSz w:w="12240" w:h="15840"/>
          <w:pgMar w:top="480" w:bottom="280" w:left="620" w:right="0"/>
        </w:sectPr>
      </w:pPr>
    </w:p>
    <w:p>
      <w:pPr>
        <w:pStyle w:val="BodyText"/>
        <w:spacing w:line="193" w:lineRule="exact"/>
        <w:ind w:left="116"/>
      </w:pPr>
      <w:r>
        <w:rPr/>
        <w:t>flue gas to the atmosphere. The concentrations of most</w:t>
      </w:r>
      <w:r>
        <w:rPr>
          <w:spacing w:val="-29"/>
        </w:rPr>
        <w:t> </w:t>
      </w:r>
      <w:r>
        <w:rPr/>
        <w:t>harmful</w:t>
      </w:r>
    </w:p>
    <w:p>
      <w:pPr>
        <w:pStyle w:val="BodyText"/>
        <w:spacing w:line="249" w:lineRule="auto" w:before="10"/>
        <w:ind w:left="116" w:right="38"/>
        <w:rPr>
          <w:sz w:val="11"/>
        </w:rPr>
      </w:pPr>
      <w:r>
        <w:rPr/>
        <w:t>substances in the flue gas would be similar to or lower than   in</w:t>
      </w:r>
      <w:r>
        <w:rPr>
          <w:spacing w:val="13"/>
        </w:rPr>
        <w:t> </w:t>
      </w:r>
      <w:r>
        <w:rPr/>
        <w:t>the</w:t>
      </w:r>
      <w:r>
        <w:rPr>
          <w:spacing w:val="14"/>
        </w:rPr>
        <w:t> </w:t>
      </w:r>
      <w:r>
        <w:rPr/>
        <w:t>flue</w:t>
      </w:r>
      <w:r>
        <w:rPr>
          <w:spacing w:val="13"/>
        </w:rPr>
        <w:t> </w:t>
      </w:r>
      <w:r>
        <w:rPr/>
        <w:t>gas</w:t>
      </w:r>
      <w:r>
        <w:rPr>
          <w:spacing w:val="14"/>
        </w:rPr>
        <w:t> </w:t>
      </w:r>
      <w:r>
        <w:rPr/>
        <w:t>from</w:t>
      </w:r>
      <w:r>
        <w:rPr>
          <w:spacing w:val="13"/>
        </w:rPr>
        <w:t> </w:t>
      </w:r>
      <w:r>
        <w:rPr/>
        <w:t>plants</w:t>
      </w:r>
      <w:r>
        <w:rPr>
          <w:spacing w:val="14"/>
        </w:rPr>
        <w:t> </w:t>
      </w:r>
      <w:r>
        <w:rPr/>
        <w:t>without</w:t>
      </w:r>
      <w:r>
        <w:rPr>
          <w:spacing w:val="13"/>
        </w:rPr>
        <w:t> </w:t>
      </w:r>
      <w:r>
        <w:rPr/>
        <w:t>CO</w:t>
      </w:r>
      <w:r>
        <w:rPr>
          <w:position w:val="-6"/>
          <w:sz w:val="11"/>
        </w:rPr>
        <w:t>2 </w:t>
      </w:r>
      <w:r>
        <w:rPr>
          <w:spacing w:val="9"/>
          <w:position w:val="-6"/>
          <w:sz w:val="11"/>
        </w:rPr>
        <w:t> </w:t>
      </w:r>
      <w:r>
        <w:rPr/>
        <w:t>capture,</w:t>
      </w:r>
      <w:r>
        <w:rPr>
          <w:spacing w:val="13"/>
        </w:rPr>
        <w:t> </w:t>
      </w:r>
      <w:r>
        <w:rPr/>
        <w:t>because</w:t>
      </w:r>
      <w:r>
        <w:rPr>
          <w:spacing w:val="14"/>
        </w:rPr>
        <w:t> </w:t>
      </w:r>
      <w:r>
        <w:rPr/>
        <w:t>CO</w:t>
      </w:r>
      <w:r>
        <w:rPr>
          <w:position w:val="-6"/>
          <w:sz w:val="11"/>
        </w:rPr>
        <w:t>2</w:t>
      </w:r>
    </w:p>
    <w:p>
      <w:pPr>
        <w:pStyle w:val="BodyText"/>
        <w:tabs>
          <w:tab w:pos="2097" w:val="left" w:leader="none"/>
        </w:tabs>
        <w:spacing w:line="235" w:lineRule="auto" w:before="193"/>
        <w:ind w:left="116" w:right="1131"/>
      </w:pPr>
      <w:r>
        <w:rPr/>
        <w:br w:type="column"/>
      </w:r>
      <w:r>
        <w:rPr/>
        <w:t>where </w:t>
      </w:r>
      <w:r>
        <w:rPr>
          <w:rFonts w:ascii="Symbol" w:hAnsi="Symbol"/>
        </w:rPr>
        <w:t></w:t>
      </w:r>
      <w:r>
        <w:rPr>
          <w:i/>
        </w:rPr>
        <w:t>E </w:t>
      </w:r>
      <w:r>
        <w:rPr/>
        <w:t>is the fractional increase in plant energy input per unit of product </w:t>
      </w:r>
      <w:r>
        <w:rPr>
          <w:spacing w:val="1"/>
        </w:rPr>
        <w:t> </w:t>
      </w:r>
      <w:r>
        <w:rPr/>
        <w:t>and</w:t>
      </w:r>
      <w:r>
        <w:rPr>
          <w:spacing w:val="16"/>
        </w:rPr>
        <w:t> </w:t>
      </w:r>
      <w:r>
        <w:rPr>
          <w:rFonts w:ascii="Symbol" w:hAnsi="Symbol"/>
        </w:rPr>
        <w:t></w:t>
      </w:r>
      <w:r>
        <w:rPr/>
        <w:tab/>
        <w:t>and</w:t>
      </w:r>
      <w:r>
        <w:rPr>
          <w:spacing w:val="15"/>
        </w:rPr>
        <w:t> </w:t>
      </w:r>
      <w:r>
        <w:rPr>
          <w:rFonts w:ascii="Symbol" w:hAnsi="Symbol"/>
        </w:rPr>
        <w:t></w:t>
      </w:r>
      <w:r>
        <w:rPr>
          <w:spacing w:val="42"/>
        </w:rPr>
        <w:t> </w:t>
      </w:r>
      <w:r>
        <w:rPr/>
        <w:t>are</w:t>
      </w:r>
      <w:r>
        <w:rPr>
          <w:spacing w:val="16"/>
        </w:rPr>
        <w:t> </w:t>
      </w:r>
      <w:r>
        <w:rPr/>
        <w:t>the</w:t>
      </w:r>
      <w:r>
        <w:rPr>
          <w:spacing w:val="16"/>
        </w:rPr>
        <w:t> </w:t>
      </w:r>
      <w:r>
        <w:rPr/>
        <w:t>net</w:t>
      </w:r>
      <w:r>
        <w:rPr>
          <w:spacing w:val="16"/>
        </w:rPr>
        <w:t> </w:t>
      </w:r>
      <w:r>
        <w:rPr/>
        <w:t>efficiencies</w:t>
      </w:r>
      <w:r>
        <w:rPr>
          <w:spacing w:val="15"/>
        </w:rPr>
        <w:t> </w:t>
      </w:r>
      <w:r>
        <w:rPr/>
        <w:t>of</w:t>
      </w:r>
      <w:r>
        <w:rPr>
          <w:spacing w:val="16"/>
        </w:rPr>
        <w:t> </w:t>
      </w:r>
      <w:r>
        <w:rPr>
          <w:spacing w:val="-5"/>
        </w:rPr>
        <w:t>the</w:t>
      </w:r>
    </w:p>
    <w:p>
      <w:pPr>
        <w:spacing w:after="0" w:line="235" w:lineRule="auto"/>
        <w:sectPr>
          <w:type w:val="continuous"/>
          <w:pgSz w:w="12240" w:h="15840"/>
          <w:pgMar w:top="480" w:bottom="280" w:left="620" w:right="0"/>
          <w:cols w:num="2" w:equalWidth="0">
            <w:col w:w="5200" w:space="126"/>
            <w:col w:w="6294"/>
          </w:cols>
        </w:sectPr>
      </w:pPr>
    </w:p>
    <w:p>
      <w:pPr>
        <w:pStyle w:val="BodyText"/>
        <w:spacing w:line="181" w:lineRule="exact"/>
        <w:ind w:left="117"/>
        <w:jc w:val="both"/>
      </w:pPr>
      <w:r>
        <w:rPr/>
        <w:t>capture processes inherently remove some impurities and</w:t>
      </w:r>
    </w:p>
    <w:p>
      <w:pPr>
        <w:pStyle w:val="BodyText"/>
        <w:spacing w:line="240" w:lineRule="exact" w:before="4"/>
        <w:ind w:left="117" w:right="47"/>
        <w:jc w:val="both"/>
      </w:pPr>
      <w:r>
        <w:rPr/>
        <w:t>some other impurities have to be removed upstream to enable the CO</w:t>
      </w:r>
      <w:r>
        <w:rPr>
          <w:position w:val="-6"/>
          <w:sz w:val="11"/>
        </w:rPr>
        <w:t>2 </w:t>
      </w:r>
      <w:r>
        <w:rPr/>
        <w:t>capture process to operate effectively. For example, post-combustion solvent absorption processes require low concentrations of sulphur compounds in the feed gas to avoid excessive solvent loss, but the reduction in the concentration of an impurity may still result in a higher rate of emissions per kWh of product, depending upon the actual amount removed upstream and the capture system energy requirements. As discussed below (Section 3.6.1.2), the latter measure is </w:t>
      </w:r>
      <w:r>
        <w:rPr>
          <w:spacing w:val="-3"/>
        </w:rPr>
        <w:t>more </w:t>
      </w:r>
      <w:r>
        <w:rPr/>
        <w:t>relevant for environmental assessments. In the case of </w:t>
      </w:r>
      <w:r>
        <w:rPr>
          <w:spacing w:val="-3"/>
        </w:rPr>
        <w:t>post- </w:t>
      </w:r>
      <w:r>
        <w:rPr/>
        <w:t>combustion solvent capture, the flue gas may also contain traces of solvent and ammonia produced by decomposition of solvent.</w:t>
      </w:r>
    </w:p>
    <w:p>
      <w:pPr>
        <w:pStyle w:val="BodyText"/>
        <w:spacing w:line="240" w:lineRule="exact"/>
        <w:ind w:left="117" w:right="38" w:firstLine="284"/>
        <w:jc w:val="both"/>
      </w:pPr>
      <w:r>
        <w:rPr/>
        <w:t>Some CO</w:t>
      </w:r>
      <w:r>
        <w:rPr>
          <w:position w:val="-6"/>
          <w:sz w:val="11"/>
        </w:rPr>
        <w:t>2 </w:t>
      </w:r>
      <w:r>
        <w:rPr/>
        <w:t>capture systems produce solid and liquid wastes. Solvent scrubbing processes produce degraded solvent wastes, which would be incinerated or disposed of by other means. Post-combustion capture processes produce substantially more degraded solvent than pre-combustion capture processes. However, use of novel post-combustion capture solvents can significantly reduce the quantity of waste compared to MEA</w:t>
      </w:r>
    </w:p>
    <w:p>
      <w:pPr>
        <w:pStyle w:val="BodyText"/>
        <w:spacing w:line="181" w:lineRule="exact"/>
        <w:ind w:left="117"/>
        <w:jc w:val="both"/>
      </w:pPr>
      <w:r>
        <w:rPr/>
        <w:br w:type="column"/>
      </w:r>
      <w:r>
        <w:rPr/>
        <w:t>capture</w:t>
      </w:r>
      <w:r>
        <w:rPr>
          <w:spacing w:val="-11"/>
        </w:rPr>
        <w:t> </w:t>
      </w:r>
      <w:r>
        <w:rPr/>
        <w:t>plant</w:t>
      </w:r>
      <w:r>
        <w:rPr>
          <w:spacing w:val="-10"/>
        </w:rPr>
        <w:t> </w:t>
      </w:r>
      <w:r>
        <w:rPr/>
        <w:t>and</w:t>
      </w:r>
      <w:r>
        <w:rPr>
          <w:spacing w:val="-10"/>
        </w:rPr>
        <w:t> </w:t>
      </w:r>
      <w:r>
        <w:rPr/>
        <w:t>reference</w:t>
      </w:r>
      <w:r>
        <w:rPr>
          <w:spacing w:val="-11"/>
        </w:rPr>
        <w:t> </w:t>
      </w:r>
      <w:r>
        <w:rPr/>
        <w:t>plant,</w:t>
      </w:r>
      <w:r>
        <w:rPr>
          <w:spacing w:val="-10"/>
        </w:rPr>
        <w:t> </w:t>
      </w:r>
      <w:r>
        <w:rPr/>
        <w:t>respectively.</w:t>
      </w:r>
      <w:r>
        <w:rPr>
          <w:spacing w:val="-13"/>
        </w:rPr>
        <w:t> </w:t>
      </w:r>
      <w:r>
        <w:rPr/>
        <w:t>The</w:t>
      </w:r>
      <w:r>
        <w:rPr>
          <w:spacing w:val="-10"/>
        </w:rPr>
        <w:t> </w:t>
      </w:r>
      <w:r>
        <w:rPr/>
        <w:t>CCS</w:t>
      </w:r>
      <w:r>
        <w:rPr>
          <w:spacing w:val="-10"/>
        </w:rPr>
        <w:t> </w:t>
      </w:r>
      <w:r>
        <w:rPr/>
        <w:t>energy</w:t>
      </w:r>
    </w:p>
    <w:p>
      <w:pPr>
        <w:pStyle w:val="BodyText"/>
        <w:spacing w:line="240" w:lineRule="exact" w:before="4"/>
        <w:ind w:left="117" w:right="1131"/>
        <w:jc w:val="both"/>
      </w:pPr>
      <w:r>
        <w:rPr/>
        <w:t>requirement directly determines the increases in plant-level resource consumption and environmental burdens associated with producing a unit of useful product  (like  </w:t>
      </w:r>
      <w:r>
        <w:rPr>
          <w:spacing w:val="-2"/>
        </w:rPr>
        <w:t>electricity)</w:t>
      </w:r>
      <w:r>
        <w:rPr>
          <w:spacing w:val="46"/>
        </w:rPr>
        <w:t> </w:t>
      </w:r>
      <w:r>
        <w:rPr/>
        <w:t>while capturing CO</w:t>
      </w:r>
      <w:r>
        <w:rPr>
          <w:position w:val="-6"/>
          <w:sz w:val="11"/>
        </w:rPr>
        <w:t>2</w:t>
      </w:r>
      <w:r>
        <w:rPr/>
        <w:t>. In the case of a power plant, the larger the CCS energy requirement, the greater the increases </w:t>
      </w:r>
      <w:r>
        <w:rPr>
          <w:spacing w:val="-4"/>
        </w:rPr>
        <w:t>per </w:t>
      </w:r>
      <w:r>
        <w:rPr/>
        <w:t>kilowatt-hour of in-plant fuel consumption and other resource requirements (such as </w:t>
      </w:r>
      <w:r>
        <w:rPr>
          <w:spacing w:val="-3"/>
        </w:rPr>
        <w:t>water, </w:t>
      </w:r>
      <w:r>
        <w:rPr/>
        <w:t>chemicals and reagents), as well as environmental releases in the form of solid wastes, liquid wastes and air pollutants not captured by the CCS system. The magnitude of </w:t>
      </w:r>
      <w:r>
        <w:rPr>
          <w:rFonts w:ascii="Symbol" w:hAnsi="Symbol"/>
        </w:rPr>
        <w:t></w:t>
      </w:r>
      <w:r>
        <w:rPr>
          <w:i/>
        </w:rPr>
        <w:t>E </w:t>
      </w:r>
      <w:r>
        <w:rPr/>
        <w:t>also determines the magnitude of additional upstream</w:t>
      </w:r>
      <w:r>
        <w:rPr>
          <w:spacing w:val="-10"/>
        </w:rPr>
        <w:t> </w:t>
      </w:r>
      <w:r>
        <w:rPr/>
        <w:t>environmental</w:t>
      </w:r>
      <w:r>
        <w:rPr>
          <w:spacing w:val="-9"/>
        </w:rPr>
        <w:t> </w:t>
      </w:r>
      <w:r>
        <w:rPr/>
        <w:t>impacts</w:t>
      </w:r>
      <w:r>
        <w:rPr>
          <w:spacing w:val="-9"/>
        </w:rPr>
        <w:t> </w:t>
      </w:r>
      <w:r>
        <w:rPr/>
        <w:t>associated</w:t>
      </w:r>
      <w:r>
        <w:rPr>
          <w:spacing w:val="-9"/>
        </w:rPr>
        <w:t> </w:t>
      </w:r>
      <w:r>
        <w:rPr/>
        <w:t>with</w:t>
      </w:r>
      <w:r>
        <w:rPr>
          <w:spacing w:val="-9"/>
        </w:rPr>
        <w:t> </w:t>
      </w:r>
      <w:r>
        <w:rPr/>
        <w:t>the</w:t>
      </w:r>
      <w:r>
        <w:rPr>
          <w:spacing w:val="-9"/>
        </w:rPr>
        <w:t> </w:t>
      </w:r>
      <w:r>
        <w:rPr/>
        <w:t>extraction, storage and transport of additional fuel and other resources consumed</w:t>
      </w:r>
      <w:r>
        <w:rPr>
          <w:spacing w:val="-10"/>
        </w:rPr>
        <w:t> </w:t>
      </w:r>
      <w:r>
        <w:rPr/>
        <w:t>at</w:t>
      </w:r>
      <w:r>
        <w:rPr>
          <w:spacing w:val="-9"/>
        </w:rPr>
        <w:t> </w:t>
      </w:r>
      <w:r>
        <w:rPr/>
        <w:t>the</w:t>
      </w:r>
      <w:r>
        <w:rPr>
          <w:spacing w:val="-9"/>
        </w:rPr>
        <w:t> </w:t>
      </w:r>
      <w:r>
        <w:rPr/>
        <w:t>plant.</w:t>
      </w:r>
      <w:r>
        <w:rPr>
          <w:spacing w:val="-9"/>
        </w:rPr>
        <w:t> </w:t>
      </w:r>
      <w:r>
        <w:rPr/>
        <w:t>However,</w:t>
      </w:r>
      <w:r>
        <w:rPr>
          <w:spacing w:val="-9"/>
        </w:rPr>
        <w:t> </w:t>
      </w:r>
      <w:r>
        <w:rPr/>
        <w:t>the</w:t>
      </w:r>
      <w:r>
        <w:rPr>
          <w:spacing w:val="-9"/>
        </w:rPr>
        <w:t> </w:t>
      </w:r>
      <w:r>
        <w:rPr/>
        <w:t>additional</w:t>
      </w:r>
      <w:r>
        <w:rPr>
          <w:spacing w:val="-9"/>
        </w:rPr>
        <w:t> </w:t>
      </w:r>
      <w:r>
        <w:rPr/>
        <w:t>energy</w:t>
      </w:r>
      <w:r>
        <w:rPr>
          <w:spacing w:val="-9"/>
        </w:rPr>
        <w:t> </w:t>
      </w:r>
      <w:r>
        <w:rPr/>
        <w:t>for</w:t>
      </w:r>
      <w:r>
        <w:rPr>
          <w:spacing w:val="-9"/>
        </w:rPr>
        <w:t> </w:t>
      </w:r>
      <w:r>
        <w:rPr/>
        <w:t>these upstream</w:t>
      </w:r>
      <w:r>
        <w:rPr>
          <w:spacing w:val="38"/>
        </w:rPr>
        <w:t> </w:t>
      </w:r>
      <w:r>
        <w:rPr/>
        <w:t>activities</w:t>
      </w:r>
      <w:r>
        <w:rPr>
          <w:spacing w:val="38"/>
        </w:rPr>
        <w:t> </w:t>
      </w:r>
      <w:r>
        <w:rPr/>
        <w:t>is</w:t>
      </w:r>
      <w:r>
        <w:rPr>
          <w:spacing w:val="38"/>
        </w:rPr>
        <w:t> </w:t>
      </w:r>
      <w:r>
        <w:rPr/>
        <w:t>not</w:t>
      </w:r>
      <w:r>
        <w:rPr>
          <w:spacing w:val="38"/>
        </w:rPr>
        <w:t> </w:t>
      </w:r>
      <w:r>
        <w:rPr/>
        <w:t>normally</w:t>
      </w:r>
      <w:r>
        <w:rPr>
          <w:spacing w:val="38"/>
        </w:rPr>
        <w:t> </w:t>
      </w:r>
      <w:r>
        <w:rPr/>
        <w:t>included</w:t>
      </w:r>
      <w:r>
        <w:rPr>
          <w:spacing w:val="38"/>
        </w:rPr>
        <w:t> </w:t>
      </w:r>
      <w:r>
        <w:rPr/>
        <w:t>in</w:t>
      </w:r>
      <w:r>
        <w:rPr>
          <w:spacing w:val="38"/>
        </w:rPr>
        <w:t> </w:t>
      </w:r>
      <w:r>
        <w:rPr/>
        <w:t>the</w:t>
      </w:r>
      <w:r>
        <w:rPr>
          <w:spacing w:val="38"/>
        </w:rPr>
        <w:t> </w:t>
      </w:r>
      <w:r>
        <w:rPr/>
        <w:t>reported</w:t>
      </w:r>
    </w:p>
    <w:p>
      <w:pPr>
        <w:pStyle w:val="BodyText"/>
        <w:spacing w:before="2"/>
        <w:rPr>
          <w:sz w:val="18"/>
        </w:rPr>
      </w:pPr>
      <w:r>
        <w:rPr/>
        <w:pict>
          <v:shape style="position:absolute;margin-left:303.165009pt;margin-top:12.943914pt;width:72pt;height:.1pt;mso-position-horizontal-relative:page;mso-position-vertical-relative:paragraph;z-index:-251602944;mso-wrap-distance-left:0;mso-wrap-distance-right:0" coordorigin="6063,259" coordsize="1440,0" path="m6063,259l7503,259e" filled="false" stroked="true" strokeweight="1pt" strokecolor="#000000">
            <v:path arrowok="t"/>
            <v:stroke dashstyle="solid"/>
            <w10:wrap type="topAndBottom"/>
          </v:shape>
        </w:pict>
      </w:r>
    </w:p>
    <w:p>
      <w:pPr>
        <w:spacing w:line="249" w:lineRule="auto" w:before="11"/>
        <w:ind w:left="117" w:right="1130" w:firstLine="0"/>
        <w:jc w:val="both"/>
        <w:rPr>
          <w:sz w:val="16"/>
        </w:rPr>
      </w:pPr>
      <w:r>
        <w:rPr>
          <w:position w:val="5"/>
          <w:sz w:val="9"/>
        </w:rPr>
        <w:t>1</w:t>
      </w:r>
      <w:r>
        <w:rPr>
          <w:spacing w:val="-2"/>
          <w:position w:val="5"/>
          <w:sz w:val="9"/>
        </w:rPr>
        <w:t> </w:t>
      </w:r>
      <w:r>
        <w:rPr>
          <w:sz w:val="16"/>
        </w:rPr>
        <w:t>A</w:t>
      </w:r>
      <w:r>
        <w:rPr>
          <w:spacing w:val="-19"/>
          <w:sz w:val="16"/>
        </w:rPr>
        <w:t> </w:t>
      </w:r>
      <w:r>
        <w:rPr>
          <w:sz w:val="16"/>
        </w:rPr>
        <w:t>different</w:t>
      </w:r>
      <w:r>
        <w:rPr>
          <w:spacing w:val="-10"/>
          <w:sz w:val="16"/>
        </w:rPr>
        <w:t> </w:t>
      </w:r>
      <w:r>
        <w:rPr>
          <w:sz w:val="16"/>
        </w:rPr>
        <w:t>measure</w:t>
      </w:r>
      <w:r>
        <w:rPr>
          <w:spacing w:val="-10"/>
          <w:sz w:val="16"/>
        </w:rPr>
        <w:t> </w:t>
      </w:r>
      <w:r>
        <w:rPr>
          <w:sz w:val="16"/>
        </w:rPr>
        <w:t>of</w:t>
      </w:r>
      <w:r>
        <w:rPr>
          <w:spacing w:val="-11"/>
          <w:sz w:val="16"/>
        </w:rPr>
        <w:t> </w:t>
      </w:r>
      <w:r>
        <w:rPr>
          <w:sz w:val="16"/>
        </w:rPr>
        <w:t>the</w:t>
      </w:r>
      <w:r>
        <w:rPr>
          <w:spacing w:val="-10"/>
          <w:sz w:val="16"/>
        </w:rPr>
        <w:t> </w:t>
      </w:r>
      <w:r>
        <w:rPr>
          <w:sz w:val="16"/>
        </w:rPr>
        <w:t>‘energy</w:t>
      </w:r>
      <w:r>
        <w:rPr>
          <w:spacing w:val="-11"/>
          <w:sz w:val="16"/>
        </w:rPr>
        <w:t> </w:t>
      </w:r>
      <w:r>
        <w:rPr>
          <w:sz w:val="16"/>
        </w:rPr>
        <w:t>penalty’</w:t>
      </w:r>
      <w:r>
        <w:rPr>
          <w:spacing w:val="-21"/>
          <w:sz w:val="16"/>
        </w:rPr>
        <w:t> </w:t>
      </w:r>
      <w:r>
        <w:rPr>
          <w:sz w:val="16"/>
        </w:rPr>
        <w:t>commonly</w:t>
      </w:r>
      <w:r>
        <w:rPr>
          <w:spacing w:val="-11"/>
          <w:sz w:val="16"/>
        </w:rPr>
        <w:t> </w:t>
      </w:r>
      <w:r>
        <w:rPr>
          <w:sz w:val="16"/>
        </w:rPr>
        <w:t>reported</w:t>
      </w:r>
      <w:r>
        <w:rPr>
          <w:spacing w:val="-10"/>
          <w:sz w:val="16"/>
        </w:rPr>
        <w:t> </w:t>
      </w:r>
      <w:r>
        <w:rPr>
          <w:sz w:val="16"/>
        </w:rPr>
        <w:t>in</w:t>
      </w:r>
      <w:r>
        <w:rPr>
          <w:spacing w:val="-11"/>
          <w:sz w:val="16"/>
        </w:rPr>
        <w:t> </w:t>
      </w:r>
      <w:r>
        <w:rPr>
          <w:sz w:val="16"/>
        </w:rPr>
        <w:t>the</w:t>
      </w:r>
      <w:r>
        <w:rPr>
          <w:spacing w:val="-10"/>
          <w:sz w:val="16"/>
        </w:rPr>
        <w:t> </w:t>
      </w:r>
      <w:r>
        <w:rPr>
          <w:sz w:val="16"/>
        </w:rPr>
        <w:t>literature is the fractional decrease in plant output (plant derating) for a fixed energy input. This value can be expressed as: </w:t>
      </w:r>
      <w:r>
        <w:rPr>
          <w:rFonts w:ascii="Symbol" w:hAnsi="Symbol"/>
          <w:sz w:val="16"/>
        </w:rPr>
        <w:t></w:t>
      </w:r>
      <w:r>
        <w:rPr>
          <w:i/>
          <w:sz w:val="16"/>
        </w:rPr>
        <w:t>E</w:t>
      </w:r>
      <w:r>
        <w:rPr>
          <w:sz w:val="16"/>
        </w:rPr>
        <w:t>* = 1 – (</w:t>
      </w:r>
      <w:r>
        <w:rPr>
          <w:rFonts w:ascii="Symbol" w:hAnsi="Symbol"/>
          <w:sz w:val="16"/>
        </w:rPr>
        <w:t></w:t>
      </w:r>
      <w:r>
        <w:rPr>
          <w:sz w:val="16"/>
        </w:rPr>
        <w:t>  /</w:t>
      </w:r>
      <w:r>
        <w:rPr>
          <w:rFonts w:ascii="Symbol" w:hAnsi="Symbol"/>
          <w:sz w:val="16"/>
        </w:rPr>
        <w:t></w:t>
      </w:r>
      <w:r>
        <w:rPr>
          <w:sz w:val="16"/>
        </w:rPr>
        <w:t>  ). Numerically, </w:t>
      </w:r>
      <w:r>
        <w:rPr>
          <w:rFonts w:ascii="Symbol" w:hAnsi="Symbol"/>
          <w:sz w:val="16"/>
        </w:rPr>
        <w:t></w:t>
      </w:r>
      <w:r>
        <w:rPr>
          <w:i/>
          <w:sz w:val="16"/>
        </w:rPr>
        <w:t>E</w:t>
      </w:r>
      <w:r>
        <w:rPr>
          <w:sz w:val="16"/>
        </w:rPr>
        <w:t>*  is smaller than the value of </w:t>
      </w:r>
      <w:r>
        <w:rPr>
          <w:rFonts w:ascii="Symbol" w:hAnsi="Symbol"/>
          <w:sz w:val="16"/>
        </w:rPr>
        <w:t></w:t>
      </w:r>
      <w:r>
        <w:rPr>
          <w:i/>
          <w:sz w:val="16"/>
        </w:rPr>
        <w:t>E </w:t>
      </w:r>
      <w:r>
        <w:rPr>
          <w:sz w:val="16"/>
        </w:rPr>
        <w:t>given by Equation (6). For example, a plant derating</w:t>
      </w:r>
      <w:r>
        <w:rPr>
          <w:spacing w:val="3"/>
          <w:sz w:val="16"/>
        </w:rPr>
        <w:t> </w:t>
      </w:r>
      <w:r>
        <w:rPr>
          <w:sz w:val="16"/>
        </w:rPr>
        <w:t>of</w:t>
      </w:r>
      <w:r>
        <w:rPr>
          <w:spacing w:val="4"/>
          <w:sz w:val="16"/>
        </w:rPr>
        <w:t> </w:t>
      </w:r>
      <w:r>
        <w:rPr>
          <w:rFonts w:ascii="Symbol" w:hAnsi="Symbol"/>
          <w:sz w:val="16"/>
        </w:rPr>
        <w:t></w:t>
      </w:r>
      <w:r>
        <w:rPr>
          <w:i/>
          <w:sz w:val="16"/>
        </w:rPr>
        <w:t>E</w:t>
      </w:r>
      <w:r>
        <w:rPr>
          <w:sz w:val="16"/>
        </w:rPr>
        <w:t>*</w:t>
      </w:r>
      <w:r>
        <w:rPr>
          <w:spacing w:val="4"/>
          <w:sz w:val="16"/>
        </w:rPr>
        <w:t> </w:t>
      </w:r>
      <w:r>
        <w:rPr>
          <w:sz w:val="16"/>
        </w:rPr>
        <w:t>=</w:t>
      </w:r>
      <w:r>
        <w:rPr>
          <w:spacing w:val="4"/>
          <w:sz w:val="16"/>
        </w:rPr>
        <w:t> </w:t>
      </w:r>
      <w:r>
        <w:rPr>
          <w:sz w:val="16"/>
        </w:rPr>
        <w:t>25%</w:t>
      </w:r>
      <w:r>
        <w:rPr>
          <w:spacing w:val="4"/>
          <w:sz w:val="16"/>
        </w:rPr>
        <w:t> </w:t>
      </w:r>
      <w:r>
        <w:rPr>
          <w:sz w:val="16"/>
        </w:rPr>
        <w:t>corresponds</w:t>
      </w:r>
      <w:r>
        <w:rPr>
          <w:spacing w:val="4"/>
          <w:sz w:val="16"/>
        </w:rPr>
        <w:t> </w:t>
      </w:r>
      <w:r>
        <w:rPr>
          <w:sz w:val="16"/>
        </w:rPr>
        <w:t>to</w:t>
      </w:r>
      <w:r>
        <w:rPr>
          <w:spacing w:val="4"/>
          <w:sz w:val="16"/>
        </w:rPr>
        <w:t> </w:t>
      </w:r>
      <w:r>
        <w:rPr>
          <w:sz w:val="16"/>
        </w:rPr>
        <w:t>an</w:t>
      </w:r>
      <w:r>
        <w:rPr>
          <w:spacing w:val="3"/>
          <w:sz w:val="16"/>
        </w:rPr>
        <w:t> </w:t>
      </w:r>
      <w:r>
        <w:rPr>
          <w:sz w:val="16"/>
        </w:rPr>
        <w:t>increase</w:t>
      </w:r>
      <w:r>
        <w:rPr>
          <w:spacing w:val="4"/>
          <w:sz w:val="16"/>
        </w:rPr>
        <w:t> </w:t>
      </w:r>
      <w:r>
        <w:rPr>
          <w:sz w:val="16"/>
        </w:rPr>
        <w:t>in</w:t>
      </w:r>
      <w:r>
        <w:rPr>
          <w:spacing w:val="4"/>
          <w:sz w:val="16"/>
        </w:rPr>
        <w:t> </w:t>
      </w:r>
      <w:r>
        <w:rPr>
          <w:sz w:val="16"/>
        </w:rPr>
        <w:t>energy</w:t>
      </w:r>
      <w:r>
        <w:rPr>
          <w:spacing w:val="4"/>
          <w:sz w:val="16"/>
        </w:rPr>
        <w:t> </w:t>
      </w:r>
      <w:r>
        <w:rPr>
          <w:sz w:val="16"/>
        </w:rPr>
        <w:t>input</w:t>
      </w:r>
      <w:r>
        <w:rPr>
          <w:spacing w:val="4"/>
          <w:sz w:val="16"/>
        </w:rPr>
        <w:t> </w:t>
      </w:r>
      <w:r>
        <w:rPr>
          <w:sz w:val="16"/>
        </w:rPr>
        <w:t>per</w:t>
      </w:r>
      <w:r>
        <w:rPr>
          <w:spacing w:val="4"/>
          <w:sz w:val="16"/>
        </w:rPr>
        <w:t> </w:t>
      </w:r>
      <w:r>
        <w:rPr>
          <w:sz w:val="16"/>
        </w:rPr>
        <w:t>kWh</w:t>
      </w:r>
      <w:r>
        <w:rPr>
          <w:spacing w:val="4"/>
          <w:sz w:val="16"/>
        </w:rPr>
        <w:t> </w:t>
      </w:r>
      <w:r>
        <w:rPr>
          <w:spacing w:val="-7"/>
          <w:sz w:val="16"/>
        </w:rPr>
        <w:t>of</w:t>
      </w:r>
    </w:p>
    <w:p>
      <w:pPr>
        <w:spacing w:line="190" w:lineRule="exact" w:before="0"/>
        <w:ind w:left="117" w:right="0" w:firstLine="0"/>
        <w:jc w:val="both"/>
        <w:rPr>
          <w:sz w:val="16"/>
        </w:rPr>
      </w:pPr>
      <w:r>
        <w:rPr/>
        <w:pict>
          <v:shape style="position:absolute;margin-left:472.444794pt;margin-top:-23.084061pt;width:18.150pt;height:4.650pt;mso-position-horizontal-relative:page;mso-position-vertical-relative:paragraph;z-index:-272413696" type="#_x0000_t202" filled="false" stroked="false">
            <v:textbox inset="0,0,0,0">
              <w:txbxContent>
                <w:p>
                  <w:pPr>
                    <w:spacing w:line="89" w:lineRule="exact" w:before="0"/>
                    <w:ind w:left="0" w:right="0" w:firstLine="0"/>
                    <w:jc w:val="left"/>
                    <w:rPr>
                      <w:sz w:val="9"/>
                    </w:rPr>
                  </w:pPr>
                  <w:r>
                    <w:rPr>
                      <w:w w:val="105"/>
                      <w:sz w:val="9"/>
                    </w:rPr>
                    <w:t>ccs ref</w:t>
                  </w:r>
                </w:p>
              </w:txbxContent>
            </v:textbox>
            <w10:wrap type="none"/>
          </v:shape>
        </w:pict>
      </w:r>
      <w:r>
        <w:rPr>
          <w:rFonts w:ascii="Symbol" w:hAnsi="Symbol"/>
          <w:sz w:val="16"/>
        </w:rPr>
        <w:t></w:t>
      </w:r>
      <w:r>
        <w:rPr>
          <w:i/>
          <w:sz w:val="16"/>
        </w:rPr>
        <w:t>E </w:t>
      </w:r>
      <w:r>
        <w:rPr>
          <w:sz w:val="16"/>
        </w:rPr>
        <w:t>= 33%.</w:t>
      </w:r>
    </w:p>
    <w:p>
      <w:pPr>
        <w:spacing w:after="0" w:line="190" w:lineRule="exact"/>
        <w:jc w:val="both"/>
        <w:rPr>
          <w:sz w:val="16"/>
        </w:rPr>
        <w:sectPr>
          <w:type w:val="continuous"/>
          <w:pgSz w:w="12240" w:h="15840"/>
          <w:pgMar w:top="480" w:bottom="280" w:left="620" w:right="0"/>
          <w:cols w:num="2" w:equalWidth="0">
            <w:col w:w="5211" w:space="115"/>
            <w:col w:w="6294"/>
          </w:cols>
        </w:sectPr>
      </w:pPr>
    </w:p>
    <w:p>
      <w:pPr>
        <w:pStyle w:val="BodyText"/>
      </w:pPr>
    </w:p>
    <w:p>
      <w:pPr>
        <w:spacing w:after="0"/>
        <w:sectPr>
          <w:pgSz w:w="12240" w:h="15840"/>
          <w:pgMar w:header="567" w:footer="0" w:top="800" w:bottom="280" w:left="620" w:right="0"/>
        </w:sectPr>
      </w:pPr>
    </w:p>
    <w:p>
      <w:pPr>
        <w:pStyle w:val="BodyText"/>
        <w:spacing w:line="277" w:lineRule="exact" w:before="211"/>
        <w:ind w:left="513"/>
        <w:rPr>
          <w:sz w:val="11"/>
        </w:rPr>
      </w:pPr>
      <w:r>
        <w:rPr/>
        <w:t>energy requirements for CO</w:t>
      </w:r>
      <w:r>
        <w:rPr>
          <w:position w:val="-6"/>
          <w:sz w:val="11"/>
        </w:rPr>
        <w:t>2</w:t>
      </w:r>
    </w:p>
    <w:p>
      <w:pPr>
        <w:pStyle w:val="BodyText"/>
        <w:spacing w:before="4"/>
        <w:rPr>
          <w:sz w:val="18"/>
        </w:rPr>
      </w:pPr>
      <w:r>
        <w:rPr/>
        <w:br w:type="column"/>
      </w:r>
      <w:r>
        <w:rPr>
          <w:sz w:val="18"/>
        </w:rPr>
      </w:r>
    </w:p>
    <w:p>
      <w:pPr>
        <w:pStyle w:val="BodyText"/>
        <w:ind w:left="9"/>
        <w:rPr>
          <w:sz w:val="11"/>
        </w:rPr>
      </w:pPr>
      <w:r>
        <w:rPr/>
        <w:t>capture systems.</w:t>
      </w:r>
      <w:r>
        <w:rPr>
          <w:position w:val="7"/>
          <w:sz w:val="11"/>
        </w:rPr>
        <w:t>2</w:t>
      </w:r>
    </w:p>
    <w:p>
      <w:pPr>
        <w:pStyle w:val="BodyText"/>
        <w:spacing w:before="4"/>
        <w:rPr>
          <w:sz w:val="18"/>
        </w:rPr>
      </w:pPr>
      <w:r>
        <w:rPr/>
        <w:br w:type="column"/>
      </w:r>
      <w:r>
        <w:rPr>
          <w:sz w:val="18"/>
        </w:rPr>
      </w:r>
    </w:p>
    <w:p>
      <w:pPr>
        <w:pStyle w:val="BodyText"/>
        <w:ind w:left="513"/>
      </w:pPr>
      <w:r>
        <w:rPr/>
        <w:t>Other studies, however, indicate that these impacts, while not</w:t>
      </w:r>
    </w:p>
    <w:p>
      <w:pPr>
        <w:spacing w:after="0"/>
        <w:sectPr>
          <w:type w:val="continuous"/>
          <w:pgSz w:w="12240" w:h="15840"/>
          <w:pgMar w:top="480" w:bottom="280" w:left="620" w:right="0"/>
          <w:cols w:num="3" w:equalWidth="0">
            <w:col w:w="2818" w:space="40"/>
            <w:col w:w="1430" w:space="1038"/>
            <w:col w:w="6294"/>
          </w:cols>
        </w:sectPr>
      </w:pPr>
    </w:p>
    <w:p>
      <w:pPr>
        <w:pStyle w:val="BodyText"/>
        <w:spacing w:line="187" w:lineRule="auto"/>
        <w:ind w:left="797"/>
      </w:pPr>
      <w:r>
        <w:rPr/>
        <w:t>Recent   literature   on   CO</w:t>
      </w:r>
      <w:r>
        <w:rPr>
          <w:position w:val="-6"/>
          <w:sz w:val="11"/>
        </w:rPr>
        <w:t>2     </w:t>
      </w:r>
      <w:r>
        <w:rPr/>
        <w:t>capture   systems   applied</w:t>
      </w:r>
      <w:r>
        <w:rPr>
          <w:spacing w:val="36"/>
        </w:rPr>
        <w:t> </w:t>
      </w:r>
      <w:r>
        <w:rPr/>
        <w:t>to</w:t>
      </w:r>
    </w:p>
    <w:p>
      <w:pPr>
        <w:pStyle w:val="BodyText"/>
        <w:spacing w:line="210" w:lineRule="exact"/>
        <w:ind w:left="513"/>
        <w:jc w:val="both"/>
      </w:pPr>
      <w:r>
        <w:rPr/>
        <w:t>electric</w:t>
      </w:r>
      <w:r>
        <w:rPr>
          <w:spacing w:val="13"/>
        </w:rPr>
        <w:t> </w:t>
      </w:r>
      <w:r>
        <w:rPr/>
        <w:t>power</w:t>
      </w:r>
      <w:r>
        <w:rPr>
          <w:spacing w:val="14"/>
        </w:rPr>
        <w:t> </w:t>
      </w:r>
      <w:r>
        <w:rPr/>
        <w:t>plants</w:t>
      </w:r>
      <w:r>
        <w:rPr>
          <w:spacing w:val="14"/>
        </w:rPr>
        <w:t> </w:t>
      </w:r>
      <w:r>
        <w:rPr/>
        <w:t>quantifies</w:t>
      </w:r>
      <w:r>
        <w:rPr>
          <w:spacing w:val="14"/>
        </w:rPr>
        <w:t> </w:t>
      </w:r>
      <w:r>
        <w:rPr/>
        <w:t>the</w:t>
      </w:r>
      <w:r>
        <w:rPr>
          <w:spacing w:val="14"/>
        </w:rPr>
        <w:t> </w:t>
      </w:r>
      <w:r>
        <w:rPr/>
        <w:t>magnitude</w:t>
      </w:r>
      <w:r>
        <w:rPr>
          <w:spacing w:val="14"/>
        </w:rPr>
        <w:t> </w:t>
      </w:r>
      <w:r>
        <w:rPr/>
        <w:t>of</w:t>
      </w:r>
      <w:r>
        <w:rPr>
          <w:spacing w:val="14"/>
        </w:rPr>
        <w:t> </w:t>
      </w:r>
      <w:r>
        <w:rPr/>
        <w:t>CCS</w:t>
      </w:r>
      <w:r>
        <w:rPr>
          <w:spacing w:val="14"/>
        </w:rPr>
        <w:t> </w:t>
      </w:r>
      <w:r>
        <w:rPr>
          <w:spacing w:val="-3"/>
        </w:rPr>
        <w:t>energy</w:t>
      </w:r>
    </w:p>
    <w:p>
      <w:pPr>
        <w:pStyle w:val="BodyText"/>
        <w:spacing w:line="240" w:lineRule="exact"/>
        <w:ind w:left="513"/>
        <w:jc w:val="both"/>
      </w:pPr>
      <w:r>
        <w:rPr/>
        <w:t>requirements</w:t>
      </w:r>
      <w:r>
        <w:rPr>
          <w:spacing w:val="-16"/>
        </w:rPr>
        <w:t> </w:t>
      </w:r>
      <w:r>
        <w:rPr/>
        <w:t>for</w:t>
      </w:r>
      <w:r>
        <w:rPr>
          <w:spacing w:val="-15"/>
        </w:rPr>
        <w:t> </w:t>
      </w:r>
      <w:r>
        <w:rPr/>
        <w:t>a</w:t>
      </w:r>
      <w:r>
        <w:rPr>
          <w:spacing w:val="-15"/>
        </w:rPr>
        <w:t> </w:t>
      </w:r>
      <w:r>
        <w:rPr/>
        <w:t>range</w:t>
      </w:r>
      <w:r>
        <w:rPr>
          <w:spacing w:val="-16"/>
        </w:rPr>
        <w:t> </w:t>
      </w:r>
      <w:r>
        <w:rPr/>
        <w:t>of</w:t>
      </w:r>
      <w:r>
        <w:rPr>
          <w:spacing w:val="-15"/>
        </w:rPr>
        <w:t> </w:t>
      </w:r>
      <w:r>
        <w:rPr/>
        <w:t>proposed</w:t>
      </w:r>
      <w:r>
        <w:rPr>
          <w:spacing w:val="-15"/>
        </w:rPr>
        <w:t> </w:t>
      </w:r>
      <w:r>
        <w:rPr/>
        <w:t>new</w:t>
      </w:r>
      <w:r>
        <w:rPr>
          <w:spacing w:val="-16"/>
        </w:rPr>
        <w:t> </w:t>
      </w:r>
      <w:r>
        <w:rPr/>
        <w:t>plant</w:t>
      </w:r>
      <w:r>
        <w:rPr>
          <w:spacing w:val="-15"/>
        </w:rPr>
        <w:t> </w:t>
      </w:r>
      <w:r>
        <w:rPr/>
        <w:t>designs</w:t>
      </w:r>
      <w:r>
        <w:rPr>
          <w:spacing w:val="-15"/>
        </w:rPr>
        <w:t> </w:t>
      </w:r>
      <w:r>
        <w:rPr/>
        <w:t>with</w:t>
      </w:r>
      <w:r>
        <w:rPr>
          <w:spacing w:val="-15"/>
        </w:rPr>
        <w:t> </w:t>
      </w:r>
      <w:r>
        <w:rPr/>
        <w:t>and without CO</w:t>
      </w:r>
      <w:r>
        <w:rPr>
          <w:position w:val="-6"/>
          <w:sz w:val="11"/>
        </w:rPr>
        <w:t>2  </w:t>
      </w:r>
      <w:r>
        <w:rPr/>
        <w:t>capture. As elaborated later in Section 3.7</w:t>
      </w:r>
      <w:r>
        <w:rPr>
          <w:spacing w:val="-31"/>
        </w:rPr>
        <w:t> </w:t>
      </w:r>
      <w:r>
        <w:rPr/>
        <w:t>(Tables</w:t>
      </w:r>
    </w:p>
    <w:p>
      <w:pPr>
        <w:pStyle w:val="ListParagraph"/>
        <w:numPr>
          <w:ilvl w:val="1"/>
          <w:numId w:val="23"/>
        </w:numPr>
        <w:tabs>
          <w:tab w:pos="827" w:val="left" w:leader="none"/>
        </w:tabs>
        <w:spacing w:line="247" w:lineRule="auto" w:before="0" w:after="0"/>
        <w:ind w:left="513" w:right="1" w:firstLine="0"/>
        <w:jc w:val="both"/>
        <w:rPr>
          <w:sz w:val="20"/>
        </w:rPr>
      </w:pPr>
      <w:r>
        <w:rPr>
          <w:sz w:val="20"/>
        </w:rPr>
        <w:t>to </w:t>
      </w:r>
      <w:hyperlink w:history="true" w:anchor="_bookmark61">
        <w:r>
          <w:rPr>
            <w:sz w:val="20"/>
          </w:rPr>
          <w:t>3.15), </w:t>
        </w:r>
      </w:hyperlink>
      <w:r>
        <w:rPr>
          <w:sz w:val="20"/>
        </w:rPr>
        <w:t>those data reveal a wide range of </w:t>
      </w:r>
      <w:r>
        <w:rPr>
          <w:rFonts w:ascii="Symbol" w:hAnsi="Symbol"/>
          <w:sz w:val="20"/>
        </w:rPr>
        <w:t></w:t>
      </w:r>
      <w:r>
        <w:rPr>
          <w:i/>
          <w:sz w:val="20"/>
        </w:rPr>
        <w:t>E </w:t>
      </w:r>
      <w:r>
        <w:rPr>
          <w:sz w:val="20"/>
        </w:rPr>
        <w:t>values. For new supercritical pulverized coal (PC) plants using current technology, these </w:t>
      </w:r>
      <w:r>
        <w:rPr>
          <w:rFonts w:ascii="Symbol" w:hAnsi="Symbol"/>
          <w:sz w:val="20"/>
        </w:rPr>
        <w:t></w:t>
      </w:r>
      <w:r>
        <w:rPr>
          <w:i/>
          <w:sz w:val="20"/>
        </w:rPr>
        <w:t>E </w:t>
      </w:r>
      <w:r>
        <w:rPr>
          <w:sz w:val="20"/>
        </w:rPr>
        <w:t>values range from 24-40%, while for natural</w:t>
      </w:r>
      <w:r>
        <w:rPr>
          <w:spacing w:val="-7"/>
          <w:sz w:val="20"/>
        </w:rPr>
        <w:t> </w:t>
      </w:r>
      <w:r>
        <w:rPr>
          <w:sz w:val="20"/>
        </w:rPr>
        <w:t>gas</w:t>
      </w:r>
      <w:r>
        <w:rPr>
          <w:spacing w:val="-7"/>
          <w:sz w:val="20"/>
        </w:rPr>
        <w:t> </w:t>
      </w:r>
      <w:r>
        <w:rPr>
          <w:sz w:val="20"/>
        </w:rPr>
        <w:t>combined</w:t>
      </w:r>
      <w:r>
        <w:rPr>
          <w:spacing w:val="-6"/>
          <w:sz w:val="20"/>
        </w:rPr>
        <w:t> </w:t>
      </w:r>
      <w:r>
        <w:rPr>
          <w:sz w:val="20"/>
        </w:rPr>
        <w:t>cycle</w:t>
      </w:r>
      <w:r>
        <w:rPr>
          <w:spacing w:val="-7"/>
          <w:sz w:val="20"/>
        </w:rPr>
        <w:t> </w:t>
      </w:r>
      <w:r>
        <w:rPr>
          <w:sz w:val="20"/>
        </w:rPr>
        <w:t>(NGCC)</w:t>
      </w:r>
      <w:r>
        <w:rPr>
          <w:spacing w:val="-6"/>
          <w:sz w:val="20"/>
        </w:rPr>
        <w:t> </w:t>
      </w:r>
      <w:r>
        <w:rPr>
          <w:sz w:val="20"/>
        </w:rPr>
        <w:t>systems</w:t>
      </w:r>
      <w:r>
        <w:rPr>
          <w:spacing w:val="-7"/>
          <w:sz w:val="20"/>
        </w:rPr>
        <w:t> </w:t>
      </w:r>
      <w:r>
        <w:rPr>
          <w:sz w:val="20"/>
        </w:rPr>
        <w:t>the</w:t>
      </w:r>
      <w:r>
        <w:rPr>
          <w:spacing w:val="-6"/>
          <w:sz w:val="20"/>
        </w:rPr>
        <w:t> </w:t>
      </w:r>
      <w:r>
        <w:rPr>
          <w:sz w:val="20"/>
        </w:rPr>
        <w:t>range</w:t>
      </w:r>
      <w:r>
        <w:rPr>
          <w:spacing w:val="-7"/>
          <w:sz w:val="20"/>
        </w:rPr>
        <w:t> </w:t>
      </w:r>
      <w:r>
        <w:rPr>
          <w:sz w:val="20"/>
        </w:rPr>
        <w:t>is</w:t>
      </w:r>
      <w:r>
        <w:rPr>
          <w:spacing w:val="-6"/>
          <w:sz w:val="20"/>
        </w:rPr>
        <w:t> </w:t>
      </w:r>
      <w:r>
        <w:rPr>
          <w:sz w:val="20"/>
        </w:rPr>
        <w:t>11%– 22% and for coal-based gasification combined cycle </w:t>
      </w:r>
      <w:r>
        <w:rPr>
          <w:spacing w:val="-3"/>
          <w:sz w:val="20"/>
        </w:rPr>
        <w:t>(IGCC) </w:t>
      </w:r>
      <w:r>
        <w:rPr>
          <w:sz w:val="20"/>
        </w:rPr>
        <w:t>systems it is 14%–25%. These ranges reflect the combined effects of the base plant efficiency and capture system energy requirements for the same plant type with and without</w:t>
      </w:r>
      <w:r>
        <w:rPr>
          <w:spacing w:val="-15"/>
          <w:sz w:val="20"/>
        </w:rPr>
        <w:t> </w:t>
      </w:r>
      <w:r>
        <w:rPr>
          <w:sz w:val="20"/>
        </w:rPr>
        <w:t>capture.</w:t>
      </w:r>
    </w:p>
    <w:p>
      <w:pPr>
        <w:pStyle w:val="BodyText"/>
        <w:spacing w:before="2"/>
      </w:pPr>
    </w:p>
    <w:p>
      <w:pPr>
        <w:pStyle w:val="ListParagraph"/>
        <w:numPr>
          <w:ilvl w:val="3"/>
          <w:numId w:val="23"/>
        </w:numPr>
        <w:tabs>
          <w:tab w:pos="1333" w:val="left" w:leader="none"/>
          <w:tab w:pos="1334" w:val="left" w:leader="none"/>
        </w:tabs>
        <w:spacing w:line="240" w:lineRule="exact" w:before="0" w:after="0"/>
        <w:ind w:left="513" w:right="0" w:firstLine="0"/>
        <w:jc w:val="left"/>
        <w:rPr>
          <w:sz w:val="20"/>
        </w:rPr>
      </w:pPr>
      <w:r>
        <w:rPr>
          <w:i/>
          <w:sz w:val="20"/>
        </w:rPr>
        <w:t>Resource and emission impacts for current systems </w:t>
      </w:r>
      <w:r>
        <w:rPr>
          <w:sz w:val="20"/>
        </w:rPr>
        <w:t>Only</w:t>
      </w:r>
      <w:r>
        <w:rPr>
          <w:spacing w:val="-11"/>
          <w:sz w:val="20"/>
        </w:rPr>
        <w:t> </w:t>
      </w:r>
      <w:r>
        <w:rPr>
          <w:sz w:val="20"/>
        </w:rPr>
        <w:t>recently</w:t>
      </w:r>
      <w:r>
        <w:rPr>
          <w:spacing w:val="-11"/>
          <w:sz w:val="20"/>
        </w:rPr>
        <w:t> </w:t>
      </w:r>
      <w:r>
        <w:rPr>
          <w:sz w:val="20"/>
        </w:rPr>
        <w:t>have</w:t>
      </w:r>
      <w:r>
        <w:rPr>
          <w:spacing w:val="-11"/>
          <w:sz w:val="20"/>
        </w:rPr>
        <w:t> </w:t>
      </w:r>
      <w:r>
        <w:rPr>
          <w:sz w:val="20"/>
        </w:rPr>
        <w:t>the</w:t>
      </w:r>
      <w:r>
        <w:rPr>
          <w:spacing w:val="-11"/>
          <w:sz w:val="20"/>
        </w:rPr>
        <w:t> </w:t>
      </w:r>
      <w:r>
        <w:rPr>
          <w:sz w:val="20"/>
        </w:rPr>
        <w:t>environmental</w:t>
      </w:r>
      <w:r>
        <w:rPr>
          <w:spacing w:val="-12"/>
          <w:sz w:val="20"/>
        </w:rPr>
        <w:t> </w:t>
      </w:r>
      <w:r>
        <w:rPr>
          <w:sz w:val="20"/>
        </w:rPr>
        <w:t>and</w:t>
      </w:r>
      <w:r>
        <w:rPr>
          <w:spacing w:val="-11"/>
          <w:sz w:val="20"/>
        </w:rPr>
        <w:t> </w:t>
      </w:r>
      <w:r>
        <w:rPr>
          <w:sz w:val="20"/>
        </w:rPr>
        <w:t>resource</w:t>
      </w:r>
      <w:r>
        <w:rPr>
          <w:spacing w:val="-11"/>
          <w:sz w:val="20"/>
        </w:rPr>
        <w:t> </w:t>
      </w:r>
      <w:r>
        <w:rPr>
          <w:spacing w:val="-2"/>
          <w:sz w:val="20"/>
        </w:rPr>
        <w:t>implications </w:t>
      </w:r>
      <w:r>
        <w:rPr>
          <w:sz w:val="20"/>
        </w:rPr>
        <w:t>of CCS energy requirements been discussed and quantified  for a variety of current CCS systems. </w:t>
      </w:r>
      <w:hyperlink w:history="true" w:anchor="_bookmark25">
        <w:r>
          <w:rPr>
            <w:spacing w:val="-3"/>
            <w:sz w:val="20"/>
          </w:rPr>
          <w:t>Table </w:t>
        </w:r>
        <w:r>
          <w:rPr>
            <w:sz w:val="20"/>
          </w:rPr>
          <w:t>3.5</w:t>
        </w:r>
      </w:hyperlink>
      <w:r>
        <w:rPr>
          <w:sz w:val="20"/>
        </w:rPr>
        <w:t> displays the assumptions and results from a recent comparison of</w:t>
      </w:r>
      <w:r>
        <w:rPr>
          <w:spacing w:val="29"/>
          <w:sz w:val="20"/>
        </w:rPr>
        <w:t> </w:t>
      </w:r>
      <w:r>
        <w:rPr>
          <w:spacing w:val="-4"/>
          <w:sz w:val="20"/>
        </w:rPr>
        <w:t>three </w:t>
      </w:r>
      <w:r>
        <w:rPr>
          <w:sz w:val="20"/>
        </w:rPr>
        <w:t>common</w:t>
      </w:r>
      <w:r>
        <w:rPr>
          <w:spacing w:val="-8"/>
          <w:sz w:val="20"/>
        </w:rPr>
        <w:t> </w:t>
      </w:r>
      <w:r>
        <w:rPr>
          <w:sz w:val="20"/>
        </w:rPr>
        <w:t>fossil</w:t>
      </w:r>
      <w:r>
        <w:rPr>
          <w:spacing w:val="-9"/>
          <w:sz w:val="20"/>
        </w:rPr>
        <w:t> </w:t>
      </w:r>
      <w:r>
        <w:rPr>
          <w:sz w:val="20"/>
        </w:rPr>
        <w:t>fuel</w:t>
      </w:r>
      <w:r>
        <w:rPr>
          <w:spacing w:val="-8"/>
          <w:sz w:val="20"/>
        </w:rPr>
        <w:t> </w:t>
      </w:r>
      <w:r>
        <w:rPr>
          <w:sz w:val="20"/>
        </w:rPr>
        <w:t>power</w:t>
      </w:r>
      <w:r>
        <w:rPr>
          <w:spacing w:val="-8"/>
          <w:sz w:val="20"/>
        </w:rPr>
        <w:t> </w:t>
      </w:r>
      <w:r>
        <w:rPr>
          <w:sz w:val="20"/>
        </w:rPr>
        <w:t>plants</w:t>
      </w:r>
      <w:r>
        <w:rPr>
          <w:spacing w:val="-8"/>
          <w:sz w:val="20"/>
        </w:rPr>
        <w:t> </w:t>
      </w:r>
      <w:r>
        <w:rPr>
          <w:sz w:val="20"/>
        </w:rPr>
        <w:t>employing</w:t>
      </w:r>
      <w:r>
        <w:rPr>
          <w:spacing w:val="-8"/>
          <w:sz w:val="20"/>
        </w:rPr>
        <w:t> </w:t>
      </w:r>
      <w:r>
        <w:rPr>
          <w:sz w:val="20"/>
        </w:rPr>
        <w:t>current</w:t>
      </w:r>
      <w:r>
        <w:rPr>
          <w:spacing w:val="-8"/>
          <w:sz w:val="20"/>
        </w:rPr>
        <w:t> </w:t>
      </w:r>
      <w:r>
        <w:rPr>
          <w:sz w:val="20"/>
        </w:rPr>
        <w:t>technology to capture 90% of the CO</w:t>
      </w:r>
      <w:r>
        <w:rPr>
          <w:position w:val="-6"/>
          <w:sz w:val="11"/>
        </w:rPr>
        <w:t>2 </w:t>
      </w:r>
      <w:r>
        <w:rPr>
          <w:sz w:val="20"/>
        </w:rPr>
        <w:t>produced (Rubin </w:t>
      </w:r>
      <w:r>
        <w:rPr>
          <w:i/>
          <w:sz w:val="20"/>
        </w:rPr>
        <w:t>et al.</w:t>
      </w:r>
      <w:r>
        <w:rPr>
          <w:sz w:val="20"/>
        </w:rPr>
        <w:t>, 2005). Increases in specific fuel consumption relative to the</w:t>
      </w:r>
      <w:r>
        <w:rPr>
          <w:spacing w:val="22"/>
          <w:sz w:val="20"/>
        </w:rPr>
        <w:t> </w:t>
      </w:r>
      <w:r>
        <w:rPr>
          <w:sz w:val="20"/>
        </w:rPr>
        <w:t>reference</w:t>
      </w:r>
    </w:p>
    <w:p>
      <w:pPr>
        <w:pStyle w:val="BodyText"/>
        <w:spacing w:line="194" w:lineRule="exact"/>
        <w:ind w:left="241"/>
      </w:pPr>
      <w:r>
        <w:rPr/>
        <w:br w:type="column"/>
      </w:r>
      <w:r>
        <w:rPr/>
        <w:t>insignificant, tend to be small relative to plant-level impacts</w:t>
      </w:r>
    </w:p>
    <w:p>
      <w:pPr>
        <w:spacing w:before="10"/>
        <w:ind w:left="241" w:right="0" w:firstLine="0"/>
        <w:jc w:val="left"/>
        <w:rPr>
          <w:sz w:val="20"/>
        </w:rPr>
      </w:pPr>
      <w:r>
        <w:rPr>
          <w:sz w:val="20"/>
        </w:rPr>
        <w:t>(Bock </w:t>
      </w:r>
      <w:r>
        <w:rPr>
          <w:i/>
          <w:sz w:val="20"/>
        </w:rPr>
        <w:t>et al.</w:t>
      </w:r>
      <w:r>
        <w:rPr>
          <w:sz w:val="20"/>
        </w:rPr>
        <w:t>, 2003).</w:t>
      </w:r>
    </w:p>
    <w:p>
      <w:pPr>
        <w:pStyle w:val="BodyText"/>
        <w:spacing w:before="10"/>
        <w:ind w:left="241"/>
      </w:pPr>
      <w:r>
        <w:rPr/>
        <w:t>For the most part, the magnitude of impacts noted above</w:t>
      </w:r>
    </w:p>
    <w:p>
      <w:pPr>
        <w:pStyle w:val="ListParagraph"/>
        <w:numPr>
          <w:ilvl w:val="0"/>
          <w:numId w:val="24"/>
        </w:numPr>
        <w:tabs>
          <w:tab w:pos="395" w:val="left" w:leader="none"/>
        </w:tabs>
        <w:spacing w:line="240" w:lineRule="auto" w:before="10" w:after="0"/>
        <w:ind w:left="394" w:right="0" w:hanging="154"/>
        <w:jc w:val="left"/>
        <w:rPr>
          <w:sz w:val="20"/>
        </w:rPr>
      </w:pPr>
      <w:r>
        <w:rPr>
          <w:sz w:val="20"/>
        </w:rPr>
        <w:t>especially</w:t>
      </w:r>
      <w:r>
        <w:rPr>
          <w:spacing w:val="35"/>
          <w:sz w:val="20"/>
        </w:rPr>
        <w:t> </w:t>
      </w:r>
      <w:r>
        <w:rPr>
          <w:sz w:val="20"/>
        </w:rPr>
        <w:t>impacts</w:t>
      </w:r>
      <w:r>
        <w:rPr>
          <w:spacing w:val="36"/>
          <w:sz w:val="20"/>
        </w:rPr>
        <w:t> </w:t>
      </w:r>
      <w:r>
        <w:rPr>
          <w:sz w:val="20"/>
        </w:rPr>
        <w:t>on</w:t>
      </w:r>
      <w:r>
        <w:rPr>
          <w:spacing w:val="35"/>
          <w:sz w:val="20"/>
        </w:rPr>
        <w:t> </w:t>
      </w:r>
      <w:r>
        <w:rPr>
          <w:sz w:val="20"/>
        </w:rPr>
        <w:t>fuel</w:t>
      </w:r>
      <w:r>
        <w:rPr>
          <w:spacing w:val="36"/>
          <w:sz w:val="20"/>
        </w:rPr>
        <w:t> </w:t>
      </w:r>
      <w:r>
        <w:rPr>
          <w:sz w:val="20"/>
        </w:rPr>
        <w:t>use</w:t>
      </w:r>
      <w:r>
        <w:rPr>
          <w:spacing w:val="35"/>
          <w:sz w:val="20"/>
        </w:rPr>
        <w:t> </w:t>
      </w:r>
      <w:r>
        <w:rPr>
          <w:sz w:val="20"/>
        </w:rPr>
        <w:t>and</w:t>
      </w:r>
      <w:r>
        <w:rPr>
          <w:spacing w:val="36"/>
          <w:sz w:val="20"/>
        </w:rPr>
        <w:t> </w:t>
      </w:r>
      <w:r>
        <w:rPr>
          <w:sz w:val="20"/>
        </w:rPr>
        <w:t>solid</w:t>
      </w:r>
      <w:r>
        <w:rPr>
          <w:spacing w:val="35"/>
          <w:sz w:val="20"/>
        </w:rPr>
        <w:t> </w:t>
      </w:r>
      <w:r>
        <w:rPr>
          <w:sz w:val="20"/>
        </w:rPr>
        <w:t>waste</w:t>
      </w:r>
      <w:r>
        <w:rPr>
          <w:spacing w:val="36"/>
          <w:sz w:val="20"/>
        </w:rPr>
        <w:t> </w:t>
      </w:r>
      <w:r>
        <w:rPr>
          <w:sz w:val="20"/>
        </w:rPr>
        <w:t>production</w:t>
      </w:r>
    </w:p>
    <w:p>
      <w:pPr>
        <w:pStyle w:val="ListParagraph"/>
        <w:numPr>
          <w:ilvl w:val="0"/>
          <w:numId w:val="24"/>
        </w:numPr>
        <w:tabs>
          <w:tab w:pos="409" w:val="left" w:leader="none"/>
        </w:tabs>
        <w:spacing w:line="249" w:lineRule="auto" w:before="10" w:after="0"/>
        <w:ind w:left="241" w:right="733" w:firstLine="0"/>
        <w:jc w:val="both"/>
        <w:rPr>
          <w:sz w:val="20"/>
        </w:rPr>
      </w:pPr>
      <w:r>
        <w:rPr>
          <w:sz w:val="20"/>
        </w:rPr>
        <w:t>is directly proportional to the increased energy per </w:t>
      </w:r>
      <w:r>
        <w:rPr>
          <w:spacing w:val="-4"/>
          <w:sz w:val="20"/>
        </w:rPr>
        <w:t>kWh </w:t>
      </w:r>
      <w:r>
        <w:rPr>
          <w:sz w:val="20"/>
        </w:rPr>
        <w:t>resulting from the reduction in plant efficiency, as indicated  by Equation (6). Because CCS energy requirements are </w:t>
      </w:r>
      <w:r>
        <w:rPr>
          <w:spacing w:val="-4"/>
          <w:sz w:val="20"/>
        </w:rPr>
        <w:t>one   </w:t>
      </w:r>
      <w:r>
        <w:rPr>
          <w:sz w:val="20"/>
        </w:rPr>
        <w:t>to two orders of magnitude greater than for other power </w:t>
      </w:r>
      <w:r>
        <w:rPr>
          <w:spacing w:val="-3"/>
          <w:sz w:val="20"/>
        </w:rPr>
        <w:t>plant </w:t>
      </w:r>
      <w:r>
        <w:rPr>
          <w:sz w:val="20"/>
        </w:rPr>
        <w:t>emission control technologies (such as particulate collectors and flue gas desulphurization systems), the illustrative results above emphasize the importance of maximizing overall </w:t>
      </w:r>
      <w:r>
        <w:rPr>
          <w:spacing w:val="-3"/>
          <w:sz w:val="20"/>
        </w:rPr>
        <w:t>plant </w:t>
      </w:r>
      <w:r>
        <w:rPr>
          <w:sz w:val="20"/>
        </w:rPr>
        <w:t>efficiency while controlling environmental</w:t>
      </w:r>
      <w:r>
        <w:rPr>
          <w:spacing w:val="-5"/>
          <w:sz w:val="20"/>
        </w:rPr>
        <w:t> </w:t>
      </w:r>
      <w:r>
        <w:rPr>
          <w:sz w:val="20"/>
        </w:rPr>
        <w:t>emissions.</w:t>
      </w:r>
    </w:p>
    <w:p>
      <w:pPr>
        <w:pStyle w:val="BodyText"/>
        <w:spacing w:before="11"/>
      </w:pPr>
    </w:p>
    <w:p>
      <w:pPr>
        <w:pStyle w:val="ListParagraph"/>
        <w:numPr>
          <w:ilvl w:val="3"/>
          <w:numId w:val="23"/>
        </w:numPr>
        <w:tabs>
          <w:tab w:pos="1061" w:val="left" w:leader="none"/>
          <w:tab w:pos="1062" w:val="left" w:leader="none"/>
        </w:tabs>
        <w:spacing w:line="240" w:lineRule="exact" w:before="0" w:after="0"/>
        <w:ind w:left="241" w:right="733" w:firstLine="0"/>
        <w:jc w:val="left"/>
        <w:rPr>
          <w:sz w:val="20"/>
        </w:rPr>
      </w:pPr>
      <w:r>
        <w:rPr>
          <w:i/>
          <w:sz w:val="20"/>
        </w:rPr>
        <w:t>Resource and emission impacts of future systems </w:t>
      </w:r>
      <w:r>
        <w:rPr>
          <w:sz w:val="20"/>
        </w:rPr>
        <w:t>The analysis above compared the impacts of CO</w:t>
      </w:r>
      <w:r>
        <w:rPr>
          <w:position w:val="-6"/>
          <w:sz w:val="11"/>
        </w:rPr>
        <w:t>2 </w:t>
      </w:r>
      <w:r>
        <w:rPr>
          <w:sz w:val="20"/>
        </w:rPr>
        <w:t>capture for a given</w:t>
      </w:r>
      <w:r>
        <w:rPr>
          <w:spacing w:val="-9"/>
          <w:sz w:val="20"/>
        </w:rPr>
        <w:t> </w:t>
      </w:r>
      <w:r>
        <w:rPr>
          <w:sz w:val="20"/>
        </w:rPr>
        <w:t>plant</w:t>
      </w:r>
      <w:r>
        <w:rPr>
          <w:spacing w:val="-8"/>
          <w:sz w:val="20"/>
        </w:rPr>
        <w:t> </w:t>
      </w:r>
      <w:r>
        <w:rPr>
          <w:sz w:val="20"/>
        </w:rPr>
        <w:t>type</w:t>
      </w:r>
      <w:r>
        <w:rPr>
          <w:spacing w:val="-9"/>
          <w:sz w:val="20"/>
        </w:rPr>
        <w:t> </w:t>
      </w:r>
      <w:r>
        <w:rPr>
          <w:sz w:val="20"/>
        </w:rPr>
        <w:t>based</w:t>
      </w:r>
      <w:r>
        <w:rPr>
          <w:spacing w:val="-8"/>
          <w:sz w:val="20"/>
        </w:rPr>
        <w:t> </w:t>
      </w:r>
      <w:r>
        <w:rPr>
          <w:sz w:val="20"/>
        </w:rPr>
        <w:t>on</w:t>
      </w:r>
      <w:r>
        <w:rPr>
          <w:spacing w:val="-9"/>
          <w:sz w:val="20"/>
        </w:rPr>
        <w:t> </w:t>
      </w:r>
      <w:r>
        <w:rPr>
          <w:sz w:val="20"/>
        </w:rPr>
        <w:t>current</w:t>
      </w:r>
      <w:r>
        <w:rPr>
          <w:spacing w:val="-8"/>
          <w:sz w:val="20"/>
        </w:rPr>
        <w:t> </w:t>
      </w:r>
      <w:r>
        <w:rPr>
          <w:sz w:val="20"/>
        </w:rPr>
        <w:t>technology.</w:t>
      </w:r>
      <w:r>
        <w:rPr>
          <w:spacing w:val="-13"/>
          <w:sz w:val="20"/>
        </w:rPr>
        <w:t> </w:t>
      </w:r>
      <w:r>
        <w:rPr>
          <w:sz w:val="20"/>
        </w:rPr>
        <w:t>The</w:t>
      </w:r>
      <w:r>
        <w:rPr>
          <w:spacing w:val="-8"/>
          <w:sz w:val="20"/>
        </w:rPr>
        <w:t> </w:t>
      </w:r>
      <w:r>
        <w:rPr>
          <w:sz w:val="20"/>
        </w:rPr>
        <w:t>magnitude</w:t>
      </w:r>
      <w:r>
        <w:rPr>
          <w:spacing w:val="-9"/>
          <w:sz w:val="20"/>
        </w:rPr>
        <w:t> </w:t>
      </w:r>
      <w:r>
        <w:rPr>
          <w:spacing w:val="-6"/>
          <w:sz w:val="20"/>
        </w:rPr>
        <w:t>of </w:t>
      </w:r>
      <w:r>
        <w:rPr>
          <w:sz w:val="20"/>
        </w:rPr>
        <w:t>actual future impacts, however, will depend on four important factors:</w:t>
      </w:r>
      <w:r>
        <w:rPr>
          <w:spacing w:val="-16"/>
          <w:sz w:val="20"/>
        </w:rPr>
        <w:t> </w:t>
      </w:r>
      <w:r>
        <w:rPr>
          <w:sz w:val="20"/>
        </w:rPr>
        <w:t>(1)</w:t>
      </w:r>
      <w:r>
        <w:rPr>
          <w:spacing w:val="-16"/>
          <w:sz w:val="20"/>
        </w:rPr>
        <w:t> </w:t>
      </w:r>
      <w:r>
        <w:rPr>
          <w:sz w:val="20"/>
        </w:rPr>
        <w:t>the</w:t>
      </w:r>
      <w:r>
        <w:rPr>
          <w:spacing w:val="-16"/>
          <w:sz w:val="20"/>
        </w:rPr>
        <w:t> </w:t>
      </w:r>
      <w:r>
        <w:rPr>
          <w:sz w:val="20"/>
        </w:rPr>
        <w:t>performance</w:t>
      </w:r>
      <w:r>
        <w:rPr>
          <w:spacing w:val="-16"/>
          <w:sz w:val="20"/>
        </w:rPr>
        <w:t> </w:t>
      </w:r>
      <w:r>
        <w:rPr>
          <w:sz w:val="20"/>
        </w:rPr>
        <w:t>of</w:t>
      </w:r>
      <w:r>
        <w:rPr>
          <w:spacing w:val="-16"/>
          <w:sz w:val="20"/>
        </w:rPr>
        <w:t> </w:t>
      </w:r>
      <w:r>
        <w:rPr>
          <w:sz w:val="20"/>
        </w:rPr>
        <w:t>technologies</w:t>
      </w:r>
      <w:r>
        <w:rPr>
          <w:spacing w:val="-16"/>
          <w:sz w:val="20"/>
        </w:rPr>
        <w:t> </w:t>
      </w:r>
      <w:r>
        <w:rPr>
          <w:sz w:val="20"/>
        </w:rPr>
        <w:t>available</w:t>
      </w:r>
      <w:r>
        <w:rPr>
          <w:spacing w:val="-16"/>
          <w:sz w:val="20"/>
        </w:rPr>
        <w:t> </w:t>
      </w:r>
      <w:r>
        <w:rPr>
          <w:sz w:val="20"/>
        </w:rPr>
        <w:t>at</w:t>
      </w:r>
      <w:r>
        <w:rPr>
          <w:spacing w:val="-16"/>
          <w:sz w:val="20"/>
        </w:rPr>
        <w:t> </w:t>
      </w:r>
      <w:r>
        <w:rPr>
          <w:sz w:val="20"/>
        </w:rPr>
        <w:t>the</w:t>
      </w:r>
      <w:r>
        <w:rPr>
          <w:spacing w:val="-16"/>
          <w:sz w:val="20"/>
        </w:rPr>
        <w:t> </w:t>
      </w:r>
      <w:r>
        <w:rPr>
          <w:sz w:val="20"/>
        </w:rPr>
        <w:t>time capture systems are deployed; (2) the type of power plants and capture systems actually put into service; (3) the total capacity of</w:t>
      </w:r>
      <w:r>
        <w:rPr>
          <w:spacing w:val="6"/>
          <w:sz w:val="20"/>
        </w:rPr>
        <w:t> </w:t>
      </w:r>
      <w:r>
        <w:rPr>
          <w:sz w:val="20"/>
        </w:rPr>
        <w:t>each</w:t>
      </w:r>
      <w:r>
        <w:rPr>
          <w:spacing w:val="7"/>
          <w:sz w:val="20"/>
        </w:rPr>
        <w:t> </w:t>
      </w:r>
      <w:r>
        <w:rPr>
          <w:sz w:val="20"/>
        </w:rPr>
        <w:t>plant</w:t>
      </w:r>
      <w:r>
        <w:rPr>
          <w:spacing w:val="7"/>
          <w:sz w:val="20"/>
        </w:rPr>
        <w:t> </w:t>
      </w:r>
      <w:r>
        <w:rPr>
          <w:sz w:val="20"/>
        </w:rPr>
        <w:t>type</w:t>
      </w:r>
      <w:r>
        <w:rPr>
          <w:spacing w:val="7"/>
          <w:sz w:val="20"/>
        </w:rPr>
        <w:t> </w:t>
      </w:r>
      <w:r>
        <w:rPr>
          <w:sz w:val="20"/>
        </w:rPr>
        <w:t>that</w:t>
      </w:r>
      <w:r>
        <w:rPr>
          <w:spacing w:val="7"/>
          <w:sz w:val="20"/>
        </w:rPr>
        <w:t> </w:t>
      </w:r>
      <w:r>
        <w:rPr>
          <w:sz w:val="20"/>
        </w:rPr>
        <w:t>is</w:t>
      </w:r>
      <w:r>
        <w:rPr>
          <w:spacing w:val="7"/>
          <w:sz w:val="20"/>
        </w:rPr>
        <w:t> </w:t>
      </w:r>
      <w:r>
        <w:rPr>
          <w:sz w:val="20"/>
        </w:rPr>
        <w:t>deployed;</w:t>
      </w:r>
      <w:r>
        <w:rPr>
          <w:spacing w:val="7"/>
          <w:sz w:val="20"/>
        </w:rPr>
        <w:t> </w:t>
      </w:r>
      <w:r>
        <w:rPr>
          <w:sz w:val="20"/>
        </w:rPr>
        <w:t>and,</w:t>
      </w:r>
      <w:r>
        <w:rPr>
          <w:spacing w:val="7"/>
          <w:sz w:val="20"/>
        </w:rPr>
        <w:t> </w:t>
      </w:r>
      <w:r>
        <w:rPr>
          <w:sz w:val="20"/>
        </w:rPr>
        <w:t>(4)</w:t>
      </w:r>
      <w:r>
        <w:rPr>
          <w:spacing w:val="7"/>
          <w:sz w:val="20"/>
        </w:rPr>
        <w:t> </w:t>
      </w:r>
      <w:r>
        <w:rPr>
          <w:sz w:val="20"/>
        </w:rPr>
        <w:t>the</w:t>
      </w:r>
      <w:r>
        <w:rPr>
          <w:spacing w:val="6"/>
          <w:sz w:val="20"/>
        </w:rPr>
        <w:t> </w:t>
      </w:r>
      <w:r>
        <w:rPr>
          <w:sz w:val="20"/>
        </w:rPr>
        <w:t>characteristics</w:t>
      </w:r>
    </w:p>
    <w:p>
      <w:pPr>
        <w:spacing w:after="0" w:line="240" w:lineRule="exact"/>
        <w:jc w:val="left"/>
        <w:rPr>
          <w:sz w:val="20"/>
        </w:rPr>
        <w:sectPr>
          <w:type w:val="continuous"/>
          <w:pgSz w:w="12240" w:h="15840"/>
          <w:pgMar w:top="480" w:bottom="280" w:left="620" w:right="0"/>
          <w:cols w:num="2" w:equalWidth="0">
            <w:col w:w="5559" w:space="40"/>
            <w:col w:w="6021"/>
          </w:cols>
        </w:sectPr>
      </w:pPr>
    </w:p>
    <w:p>
      <w:pPr>
        <w:pStyle w:val="BodyText"/>
        <w:spacing w:line="277" w:lineRule="exact" w:before="5"/>
        <w:ind w:left="513"/>
        <w:rPr>
          <w:sz w:val="11"/>
        </w:rPr>
      </w:pPr>
      <w:r>
        <w:rPr/>
        <w:t>plant without CO</w:t>
      </w:r>
      <w:r>
        <w:rPr>
          <w:position w:val="-6"/>
          <w:sz w:val="11"/>
        </w:rPr>
        <w:t>2</w:t>
      </w:r>
    </w:p>
    <w:p>
      <w:pPr>
        <w:pStyle w:val="BodyText"/>
        <w:spacing w:line="236" w:lineRule="exact"/>
        <w:ind w:left="80"/>
        <w:rPr>
          <w:i/>
        </w:rPr>
      </w:pPr>
      <w:r>
        <w:rPr/>
        <w:br w:type="column"/>
      </w:r>
      <w:r>
        <w:rPr/>
        <w:t>capture correspond directly to the </w:t>
      </w:r>
      <w:r>
        <w:rPr>
          <w:rFonts w:ascii="Symbol" w:hAnsi="Symbol"/>
        </w:rPr>
        <w:t></w:t>
      </w:r>
      <w:r>
        <w:rPr>
          <w:i/>
        </w:rPr>
        <w:t>E</w:t>
      </w:r>
    </w:p>
    <w:p>
      <w:pPr>
        <w:pStyle w:val="BodyText"/>
        <w:spacing w:before="5"/>
        <w:ind w:left="243"/>
      </w:pPr>
      <w:r>
        <w:rPr/>
        <w:br w:type="column"/>
      </w:r>
      <w:r>
        <w:rPr/>
        <w:t>and capacity of plants they may be replacing.</w:t>
      </w:r>
    </w:p>
    <w:p>
      <w:pPr>
        <w:spacing w:after="0"/>
        <w:sectPr>
          <w:type w:val="continuous"/>
          <w:pgSz w:w="12240" w:h="15840"/>
          <w:pgMar w:top="480" w:bottom="280" w:left="620" w:right="0"/>
          <w:cols w:num="3" w:equalWidth="0">
            <w:col w:w="2102" w:space="40"/>
            <w:col w:w="3416" w:space="39"/>
            <w:col w:w="6023"/>
          </w:cols>
        </w:sectPr>
      </w:pPr>
    </w:p>
    <w:p>
      <w:pPr>
        <w:pStyle w:val="BodyText"/>
        <w:spacing w:line="194" w:lineRule="exact"/>
        <w:ind w:left="513"/>
        <w:jc w:val="both"/>
      </w:pPr>
      <w:r>
        <w:rPr/>
        <w:t>values</w:t>
      </w:r>
      <w:r>
        <w:rPr>
          <w:spacing w:val="22"/>
        </w:rPr>
        <w:t> </w:t>
      </w:r>
      <w:r>
        <w:rPr/>
        <w:t>defined</w:t>
      </w:r>
      <w:r>
        <w:rPr>
          <w:spacing w:val="23"/>
        </w:rPr>
        <w:t> </w:t>
      </w:r>
      <w:r>
        <w:rPr/>
        <w:t>above.</w:t>
      </w:r>
      <w:r>
        <w:rPr>
          <w:spacing w:val="23"/>
        </w:rPr>
        <w:t> </w:t>
      </w:r>
      <w:r>
        <w:rPr/>
        <w:t>For</w:t>
      </w:r>
      <w:r>
        <w:rPr>
          <w:spacing w:val="23"/>
        </w:rPr>
        <w:t> </w:t>
      </w:r>
      <w:r>
        <w:rPr/>
        <w:t>these</w:t>
      </w:r>
      <w:r>
        <w:rPr>
          <w:spacing w:val="23"/>
        </w:rPr>
        <w:t> </w:t>
      </w:r>
      <w:r>
        <w:rPr/>
        <w:t>three</w:t>
      </w:r>
      <w:r>
        <w:rPr>
          <w:spacing w:val="23"/>
        </w:rPr>
        <w:t> </w:t>
      </w:r>
      <w:r>
        <w:rPr/>
        <w:t>cases,</w:t>
      </w:r>
      <w:r>
        <w:rPr>
          <w:spacing w:val="23"/>
        </w:rPr>
        <w:t> </w:t>
      </w:r>
      <w:r>
        <w:rPr/>
        <w:t>the</w:t>
      </w:r>
      <w:r>
        <w:rPr>
          <w:spacing w:val="23"/>
        </w:rPr>
        <w:t> </w:t>
      </w:r>
      <w:r>
        <w:rPr/>
        <w:t>plant</w:t>
      </w:r>
      <w:r>
        <w:rPr>
          <w:spacing w:val="23"/>
        </w:rPr>
        <w:t> </w:t>
      </w:r>
      <w:r>
        <w:rPr>
          <w:spacing w:val="-3"/>
        </w:rPr>
        <w:t>energy</w:t>
      </w:r>
    </w:p>
    <w:p>
      <w:pPr>
        <w:pStyle w:val="BodyText"/>
        <w:spacing w:line="249" w:lineRule="auto" w:before="10"/>
        <w:ind w:left="513"/>
        <w:jc w:val="both"/>
      </w:pPr>
      <w:r>
        <w:rPr/>
        <w:t>requirement per kWh increases by 31% for the PC plant, </w:t>
      </w:r>
      <w:r>
        <w:rPr>
          <w:spacing w:val="-4"/>
        </w:rPr>
        <w:t>16% </w:t>
      </w:r>
      <w:r>
        <w:rPr/>
        <w:t>for</w:t>
      </w:r>
      <w:r>
        <w:rPr>
          <w:spacing w:val="-14"/>
        </w:rPr>
        <w:t> </w:t>
      </w:r>
      <w:r>
        <w:rPr/>
        <w:t>the</w:t>
      </w:r>
      <w:r>
        <w:rPr>
          <w:spacing w:val="-14"/>
        </w:rPr>
        <w:t> </w:t>
      </w:r>
      <w:r>
        <w:rPr/>
        <w:t>coal-based</w:t>
      </w:r>
      <w:r>
        <w:rPr>
          <w:spacing w:val="-13"/>
        </w:rPr>
        <w:t> </w:t>
      </w:r>
      <w:r>
        <w:rPr/>
        <w:t>IGCC</w:t>
      </w:r>
      <w:r>
        <w:rPr>
          <w:spacing w:val="-14"/>
        </w:rPr>
        <w:t> </w:t>
      </w:r>
      <w:r>
        <w:rPr/>
        <w:t>plant</w:t>
      </w:r>
      <w:r>
        <w:rPr>
          <w:spacing w:val="-13"/>
        </w:rPr>
        <w:t> </w:t>
      </w:r>
      <w:r>
        <w:rPr/>
        <w:t>and</w:t>
      </w:r>
      <w:r>
        <w:rPr>
          <w:spacing w:val="-14"/>
        </w:rPr>
        <w:t> </w:t>
      </w:r>
      <w:r>
        <w:rPr/>
        <w:t>17%</w:t>
      </w:r>
      <w:r>
        <w:rPr>
          <w:spacing w:val="-13"/>
        </w:rPr>
        <w:t> </w:t>
      </w:r>
      <w:r>
        <w:rPr/>
        <w:t>for</w:t>
      </w:r>
      <w:r>
        <w:rPr>
          <w:spacing w:val="-14"/>
        </w:rPr>
        <w:t> </w:t>
      </w:r>
      <w:r>
        <w:rPr/>
        <w:t>the</w:t>
      </w:r>
      <w:r>
        <w:rPr>
          <w:spacing w:val="-13"/>
        </w:rPr>
        <w:t> </w:t>
      </w:r>
      <w:r>
        <w:rPr/>
        <w:t>NGCC</w:t>
      </w:r>
      <w:r>
        <w:rPr>
          <w:spacing w:val="-14"/>
        </w:rPr>
        <w:t> </w:t>
      </w:r>
      <w:r>
        <w:rPr/>
        <w:t>plant.</w:t>
      </w:r>
      <w:r>
        <w:rPr>
          <w:spacing w:val="-13"/>
        </w:rPr>
        <w:t> </w:t>
      </w:r>
      <w:r>
        <w:rPr/>
        <w:t>For the specific examples used in </w:t>
      </w:r>
      <w:hyperlink w:history="true" w:anchor="_bookmark25">
        <w:r>
          <w:rPr>
            <w:spacing w:val="-3"/>
          </w:rPr>
          <w:t>Table </w:t>
        </w:r>
        <w:r>
          <w:rPr/>
          <w:t>3.5, </w:t>
        </w:r>
      </w:hyperlink>
      <w:r>
        <w:rPr/>
        <w:t>the increase in energy consumption for the PC and NGCC plants are in the mid-range </w:t>
      </w:r>
      <w:hyperlink w:history="true" w:anchor="_bookmark61">
        <w:r>
          <w:rPr/>
          <w:t>of</w:t>
        </w:r>
        <w:r>
          <w:rPr>
            <w:spacing w:val="16"/>
          </w:rPr>
          <w:t> </w:t>
        </w:r>
      </w:hyperlink>
      <w:r>
        <w:rPr/>
        <w:t>the</w:t>
      </w:r>
      <w:r>
        <w:rPr>
          <w:spacing w:val="17"/>
        </w:rPr>
        <w:t> </w:t>
      </w:r>
      <w:r>
        <w:rPr/>
        <w:t>values</w:t>
      </w:r>
      <w:r>
        <w:rPr>
          <w:spacing w:val="17"/>
        </w:rPr>
        <w:t> </w:t>
      </w:r>
      <w:r>
        <w:rPr/>
        <w:t>for</w:t>
      </w:r>
      <w:r>
        <w:rPr>
          <w:spacing w:val="17"/>
        </w:rPr>
        <w:t> </w:t>
      </w:r>
      <w:r>
        <w:rPr/>
        <w:t>these</w:t>
      </w:r>
      <w:r>
        <w:rPr>
          <w:spacing w:val="17"/>
        </w:rPr>
        <w:t> </w:t>
      </w:r>
      <w:r>
        <w:rPr/>
        <w:t>systems</w:t>
      </w:r>
      <w:r>
        <w:rPr>
          <w:spacing w:val="16"/>
        </w:rPr>
        <w:t> </w:t>
      </w:r>
      <w:r>
        <w:rPr/>
        <w:t>reported</w:t>
      </w:r>
      <w:r>
        <w:rPr>
          <w:spacing w:val="17"/>
        </w:rPr>
        <w:t> </w:t>
      </w:r>
      <w:r>
        <w:rPr/>
        <w:t>later</w:t>
      </w:r>
      <w:r>
        <w:rPr>
          <w:spacing w:val="17"/>
        </w:rPr>
        <w:t> </w:t>
      </w:r>
      <w:r>
        <w:rPr/>
        <w:t>in</w:t>
      </w:r>
      <w:r>
        <w:rPr>
          <w:spacing w:val="14"/>
        </w:rPr>
        <w:t> </w:t>
      </w:r>
      <w:hyperlink w:history="true" w:anchor="_bookmark31">
        <w:r>
          <w:rPr>
            <w:spacing w:val="-3"/>
          </w:rPr>
          <w:t>Tables</w:t>
        </w:r>
        <w:r>
          <w:rPr>
            <w:spacing w:val="17"/>
          </w:rPr>
          <w:t> </w:t>
        </w:r>
        <w:r>
          <w:rPr/>
          <w:t>3.7</w:t>
        </w:r>
        <w:r>
          <w:rPr>
            <w:spacing w:val="17"/>
          </w:rPr>
          <w:t> </w:t>
        </w:r>
      </w:hyperlink>
      <w:r>
        <w:rPr/>
        <w:t>to</w:t>
      </w:r>
    </w:p>
    <w:p>
      <w:pPr>
        <w:pStyle w:val="BodyText"/>
        <w:spacing w:line="249" w:lineRule="auto" w:before="4"/>
        <w:ind w:left="513"/>
        <w:jc w:val="both"/>
      </w:pPr>
      <w:hyperlink w:history="true" w:anchor="_bookmark61">
        <w:r>
          <w:rPr/>
          <w:t>3.15</w:t>
        </w:r>
        <w:r>
          <w:rPr>
            <w:spacing w:val="-10"/>
          </w:rPr>
          <w:t> </w:t>
        </w:r>
      </w:hyperlink>
      <w:r>
        <w:rPr/>
        <w:t>(see</w:t>
      </w:r>
      <w:r>
        <w:rPr>
          <w:spacing w:val="-9"/>
        </w:rPr>
        <w:t> </w:t>
      </w:r>
      <w:r>
        <w:rPr/>
        <w:t>also</w:t>
      </w:r>
      <w:r>
        <w:rPr>
          <w:spacing w:val="-9"/>
        </w:rPr>
        <w:t> </w:t>
      </w:r>
      <w:r>
        <w:rPr/>
        <w:t>Section</w:t>
      </w:r>
      <w:r>
        <w:rPr>
          <w:spacing w:val="-9"/>
        </w:rPr>
        <w:t> </w:t>
      </w:r>
      <w:r>
        <w:rPr/>
        <w:t>3.6.1.2),</w:t>
      </w:r>
      <w:r>
        <w:rPr>
          <w:spacing w:val="-9"/>
        </w:rPr>
        <w:t> </w:t>
      </w:r>
      <w:r>
        <w:rPr/>
        <w:t>whereas</w:t>
      </w:r>
      <w:r>
        <w:rPr>
          <w:spacing w:val="-9"/>
        </w:rPr>
        <w:t> </w:t>
      </w:r>
      <w:r>
        <w:rPr/>
        <w:t>the</w:t>
      </w:r>
      <w:r>
        <w:rPr>
          <w:spacing w:val="-9"/>
        </w:rPr>
        <w:t> </w:t>
      </w:r>
      <w:r>
        <w:rPr/>
        <w:t>IGCC</w:t>
      </w:r>
      <w:r>
        <w:rPr>
          <w:spacing w:val="-10"/>
        </w:rPr>
        <w:t> </w:t>
      </w:r>
      <w:r>
        <w:rPr/>
        <w:t>case</w:t>
      </w:r>
      <w:r>
        <w:rPr>
          <w:spacing w:val="-9"/>
        </w:rPr>
        <w:t> </w:t>
      </w:r>
      <w:r>
        <w:rPr/>
        <w:t>is</w:t>
      </w:r>
      <w:r>
        <w:rPr>
          <w:spacing w:val="-9"/>
        </w:rPr>
        <w:t> </w:t>
      </w:r>
      <w:r>
        <w:rPr/>
        <w:t>nearer the low end of the reported range for such systems. As a result of the increased energy input per kWh of output, additional resource requirements for the PC plant include proportionally greater amounts of coal, as well as limestone (consumed by the</w:t>
      </w:r>
      <w:r>
        <w:rPr>
          <w:spacing w:val="10"/>
        </w:rPr>
        <w:t> </w:t>
      </w:r>
      <w:r>
        <w:rPr/>
        <w:t>FGD</w:t>
      </w:r>
      <w:r>
        <w:rPr>
          <w:spacing w:val="10"/>
        </w:rPr>
        <w:t> </w:t>
      </w:r>
      <w:r>
        <w:rPr/>
        <w:t>system</w:t>
      </w:r>
      <w:r>
        <w:rPr>
          <w:spacing w:val="11"/>
        </w:rPr>
        <w:t> </w:t>
      </w:r>
      <w:r>
        <w:rPr/>
        <w:t>for</w:t>
      </w:r>
      <w:r>
        <w:rPr>
          <w:spacing w:val="10"/>
        </w:rPr>
        <w:t> </w:t>
      </w:r>
      <w:r>
        <w:rPr/>
        <w:t>SO</w:t>
      </w:r>
      <w:r>
        <w:rPr>
          <w:position w:val="-6"/>
          <w:sz w:val="11"/>
        </w:rPr>
        <w:t>2 </w:t>
      </w:r>
      <w:r>
        <w:rPr>
          <w:spacing w:val="6"/>
          <w:position w:val="-6"/>
          <w:sz w:val="11"/>
        </w:rPr>
        <w:t> </w:t>
      </w:r>
      <w:r>
        <w:rPr/>
        <w:t>control)</w:t>
      </w:r>
      <w:r>
        <w:rPr>
          <w:spacing w:val="10"/>
        </w:rPr>
        <w:t> </w:t>
      </w:r>
      <w:r>
        <w:rPr/>
        <w:t>and</w:t>
      </w:r>
      <w:r>
        <w:rPr>
          <w:spacing w:val="11"/>
        </w:rPr>
        <w:t> </w:t>
      </w:r>
      <w:r>
        <w:rPr/>
        <w:t>ammonia</w:t>
      </w:r>
      <w:r>
        <w:rPr>
          <w:spacing w:val="10"/>
        </w:rPr>
        <w:t> </w:t>
      </w:r>
      <w:r>
        <w:rPr/>
        <w:t>(consumed</w:t>
      </w:r>
      <w:r>
        <w:rPr>
          <w:spacing w:val="11"/>
        </w:rPr>
        <w:t> </w:t>
      </w:r>
      <w:r>
        <w:rPr/>
        <w:t>by</w:t>
      </w:r>
    </w:p>
    <w:p>
      <w:pPr>
        <w:pStyle w:val="BodyText"/>
        <w:spacing w:line="180" w:lineRule="auto"/>
        <w:ind w:left="513"/>
        <w:jc w:val="both"/>
      </w:pPr>
      <w:r>
        <w:rPr/>
        <w:t>the SCR system for NO</w:t>
      </w:r>
      <w:r>
        <w:rPr>
          <w:position w:val="-6"/>
          <w:sz w:val="11"/>
        </w:rPr>
        <w:t>x  </w:t>
      </w:r>
      <w:r>
        <w:rPr/>
        <w:t>control). All three plants</w:t>
      </w:r>
      <w:r>
        <w:rPr>
          <w:spacing w:val="49"/>
        </w:rPr>
        <w:t> </w:t>
      </w:r>
      <w:r>
        <w:rPr/>
        <w:t>additionally</w:t>
      </w:r>
    </w:p>
    <w:p>
      <w:pPr>
        <w:pStyle w:val="BodyText"/>
        <w:spacing w:line="242" w:lineRule="exact"/>
        <w:ind w:left="513"/>
        <w:jc w:val="both"/>
      </w:pPr>
      <w:r>
        <w:rPr/>
        <w:t>require more sorbent make-up for the CO</w:t>
      </w:r>
      <w:r>
        <w:rPr>
          <w:position w:val="-6"/>
          <w:sz w:val="11"/>
        </w:rPr>
        <w:t>2  </w:t>
      </w:r>
      <w:r>
        <w:rPr/>
        <w:t>capture units.</w:t>
      </w:r>
      <w:r>
        <w:rPr>
          <w:spacing w:val="33"/>
        </w:rPr>
        <w:t> </w:t>
      </w:r>
      <w:hyperlink w:history="true" w:anchor="_bookmark25">
        <w:r>
          <w:rPr>
            <w:spacing w:val="-3"/>
          </w:rPr>
          <w:t>Table</w:t>
        </w:r>
      </w:hyperlink>
    </w:p>
    <w:p>
      <w:pPr>
        <w:pStyle w:val="BodyText"/>
        <w:spacing w:line="210" w:lineRule="exact"/>
        <w:ind w:left="513"/>
        <w:jc w:val="both"/>
      </w:pPr>
      <w:hyperlink w:history="true" w:anchor="_bookmark25">
        <w:r>
          <w:rPr/>
          <w:t>3.5</w:t>
        </w:r>
      </w:hyperlink>
      <w:r>
        <w:rPr/>
        <w:t>  also  shows  the  resulting  increases  in  solid  residues</w:t>
      </w:r>
      <w:r>
        <w:rPr>
          <w:spacing w:val="-3"/>
        </w:rPr>
        <w:t> </w:t>
      </w:r>
      <w:r>
        <w:rPr/>
        <w:t>for</w:t>
      </w:r>
    </w:p>
    <w:p>
      <w:pPr>
        <w:pStyle w:val="BodyText"/>
        <w:spacing w:line="240" w:lineRule="exact"/>
        <w:ind w:left="513"/>
        <w:jc w:val="both"/>
      </w:pPr>
      <w:r>
        <w:rPr/>
        <w:t>these three cases. In contrast, atmospheric emissions of </w:t>
      </w:r>
      <w:r>
        <w:rPr>
          <w:spacing w:val="-6"/>
        </w:rPr>
        <w:t>CO</w:t>
      </w:r>
      <w:r>
        <w:rPr>
          <w:spacing w:val="-6"/>
          <w:position w:val="-6"/>
          <w:sz w:val="11"/>
        </w:rPr>
        <w:t>2 </w:t>
      </w:r>
      <w:r>
        <w:rPr/>
        <w:t>decrease sharply as a result of the CCS systems, which also remove residual amounts of other acid gases, especially </w:t>
      </w:r>
      <w:r>
        <w:rPr>
          <w:spacing w:val="-6"/>
        </w:rPr>
        <w:t>SO</w:t>
      </w:r>
      <w:r>
        <w:rPr>
          <w:spacing w:val="-6"/>
          <w:position w:val="-6"/>
          <w:sz w:val="11"/>
        </w:rPr>
        <w:t>2     </w:t>
      </w:r>
      <w:r>
        <w:rPr/>
        <w:t>in flue gas streams. Thus, the coal combustion system shows a net reduction in SO</w:t>
      </w:r>
      <w:r>
        <w:rPr>
          <w:position w:val="-6"/>
          <w:sz w:val="11"/>
        </w:rPr>
        <w:t>2 </w:t>
      </w:r>
      <w:r>
        <w:rPr/>
        <w:t>emission rate as a result of CO</w:t>
      </w:r>
      <w:r>
        <w:rPr>
          <w:position w:val="-6"/>
          <w:sz w:val="11"/>
        </w:rPr>
        <w:t>2 </w:t>
      </w:r>
      <w:r>
        <w:rPr/>
        <w:t>capture. However, because of the reduction in plant efficiency, other</w:t>
      </w:r>
      <w:r>
        <w:rPr>
          <w:spacing w:val="-29"/>
        </w:rPr>
        <w:t> </w:t>
      </w:r>
      <w:r>
        <w:rPr/>
        <w:t>air emission rates per kWh increase relative to the reference </w:t>
      </w:r>
      <w:r>
        <w:rPr>
          <w:spacing w:val="-3"/>
        </w:rPr>
        <w:t>plants </w:t>
      </w:r>
      <w:r>
        <w:rPr/>
        <w:t>without capture. For the PC and NGCC systems, the increased emissions of ammonia are a result of chemical reactions in   the amine-based capture process. Not included in this analysis are the incremental impacts of upstream operations such </w:t>
      </w:r>
      <w:r>
        <w:rPr>
          <w:spacing w:val="-6"/>
        </w:rPr>
        <w:t>as </w:t>
      </w:r>
      <w:r>
        <w:rPr/>
        <w:t>mining,</w:t>
      </w:r>
      <w:r>
        <w:rPr>
          <w:spacing w:val="11"/>
        </w:rPr>
        <w:t> </w:t>
      </w:r>
      <w:r>
        <w:rPr/>
        <w:t>processing</w:t>
      </w:r>
      <w:r>
        <w:rPr>
          <w:spacing w:val="12"/>
        </w:rPr>
        <w:t> </w:t>
      </w:r>
      <w:r>
        <w:rPr/>
        <w:t>and</w:t>
      </w:r>
      <w:r>
        <w:rPr>
          <w:spacing w:val="12"/>
        </w:rPr>
        <w:t> </w:t>
      </w:r>
      <w:r>
        <w:rPr/>
        <w:t>transport</w:t>
      </w:r>
      <w:r>
        <w:rPr>
          <w:spacing w:val="11"/>
        </w:rPr>
        <w:t> </w:t>
      </w:r>
      <w:r>
        <w:rPr/>
        <w:t>of</w:t>
      </w:r>
      <w:r>
        <w:rPr>
          <w:spacing w:val="12"/>
        </w:rPr>
        <w:t> </w:t>
      </w:r>
      <w:r>
        <w:rPr/>
        <w:t>fuels</w:t>
      </w:r>
      <w:r>
        <w:rPr>
          <w:spacing w:val="12"/>
        </w:rPr>
        <w:t> </w:t>
      </w:r>
      <w:r>
        <w:rPr/>
        <w:t>and</w:t>
      </w:r>
      <w:r>
        <w:rPr>
          <w:spacing w:val="11"/>
        </w:rPr>
        <w:t> </w:t>
      </w:r>
      <w:r>
        <w:rPr/>
        <w:t>other</w:t>
      </w:r>
      <w:r>
        <w:rPr>
          <w:spacing w:val="12"/>
        </w:rPr>
        <w:t> </w:t>
      </w:r>
      <w:r>
        <w:rPr/>
        <w:t>resources.</w:t>
      </w:r>
    </w:p>
    <w:p>
      <w:pPr>
        <w:pStyle w:val="BodyText"/>
        <w:spacing w:line="194" w:lineRule="exact"/>
        <w:ind w:left="525"/>
        <w:jc w:val="both"/>
      </w:pPr>
      <w:r>
        <w:rPr/>
        <w:br w:type="column"/>
      </w:r>
      <w:r>
        <w:rPr/>
        <w:t>Analyses of both current and near-future </w:t>
      </w:r>
      <w:r>
        <w:rPr>
          <w:spacing w:val="17"/>
        </w:rPr>
        <w:t> </w:t>
      </w:r>
      <w:r>
        <w:rPr/>
        <w:t>post-combustion,</w:t>
      </w:r>
    </w:p>
    <w:p>
      <w:pPr>
        <w:pStyle w:val="BodyText"/>
        <w:spacing w:line="249" w:lineRule="auto" w:before="10"/>
        <w:ind w:left="241" w:right="733"/>
        <w:jc w:val="both"/>
      </w:pPr>
      <w:r>
        <w:rPr/>
        <w:t>pre-combustion and oxy-fuel combustion capture technology options reveal that some of the advanced systems currently under development promise to significantly reduce the capture energy requirements - and associated impacts - while still reducing</w:t>
      </w:r>
      <w:r>
        <w:rPr>
          <w:spacing w:val="14"/>
        </w:rPr>
        <w:t> </w:t>
      </w:r>
      <w:r>
        <w:rPr/>
        <w:t>CO</w:t>
      </w:r>
      <w:r>
        <w:rPr>
          <w:position w:val="-6"/>
          <w:sz w:val="11"/>
        </w:rPr>
        <w:t>2 </w:t>
      </w:r>
      <w:r>
        <w:rPr>
          <w:spacing w:val="9"/>
          <w:position w:val="-6"/>
          <w:sz w:val="11"/>
        </w:rPr>
        <w:t> </w:t>
      </w:r>
      <w:r>
        <w:rPr/>
        <w:t>emissions</w:t>
      </w:r>
      <w:r>
        <w:rPr>
          <w:spacing w:val="14"/>
        </w:rPr>
        <w:t> </w:t>
      </w:r>
      <w:r>
        <w:rPr/>
        <w:t>by</w:t>
      </w:r>
      <w:r>
        <w:rPr>
          <w:spacing w:val="15"/>
        </w:rPr>
        <w:t> </w:t>
      </w:r>
      <w:r>
        <w:rPr/>
        <w:t>90%</w:t>
      </w:r>
      <w:r>
        <w:rPr>
          <w:spacing w:val="14"/>
        </w:rPr>
        <w:t> </w:t>
      </w:r>
      <w:r>
        <w:rPr/>
        <w:t>or</w:t>
      </w:r>
      <w:r>
        <w:rPr>
          <w:spacing w:val="14"/>
        </w:rPr>
        <w:t> </w:t>
      </w:r>
      <w:r>
        <w:rPr/>
        <w:t>more,</w:t>
      </w:r>
      <w:r>
        <w:rPr>
          <w:spacing w:val="15"/>
        </w:rPr>
        <w:t> </w:t>
      </w:r>
      <w:r>
        <w:rPr/>
        <w:t>as</w:t>
      </w:r>
      <w:r>
        <w:rPr>
          <w:spacing w:val="14"/>
        </w:rPr>
        <w:t> </w:t>
      </w:r>
      <w:r>
        <w:rPr/>
        <w:t>shown</w:t>
      </w:r>
      <w:r>
        <w:rPr>
          <w:spacing w:val="14"/>
        </w:rPr>
        <w:t> </w:t>
      </w:r>
      <w:r>
        <w:rPr/>
        <w:t>in</w:t>
      </w:r>
      <w:r>
        <w:rPr>
          <w:spacing w:val="15"/>
        </w:rPr>
        <w:t> </w:t>
      </w:r>
      <w:r>
        <w:rPr/>
        <w:t>Figure</w:t>
      </w:r>
    </w:p>
    <w:p>
      <w:pPr>
        <w:pStyle w:val="BodyText"/>
        <w:spacing w:line="184" w:lineRule="exact"/>
        <w:ind w:left="241"/>
        <w:jc w:val="both"/>
      </w:pPr>
      <w:r>
        <w:rPr/>
        <w:t>3.19.</w:t>
      </w:r>
      <w:r>
        <w:rPr>
          <w:spacing w:val="-12"/>
        </w:rPr>
        <w:t> </w:t>
      </w:r>
      <w:r>
        <w:rPr/>
        <w:t>Data</w:t>
      </w:r>
      <w:r>
        <w:rPr>
          <w:spacing w:val="-12"/>
        </w:rPr>
        <w:t> </w:t>
      </w:r>
      <w:r>
        <w:rPr/>
        <w:t>in</w:t>
      </w:r>
      <w:r>
        <w:rPr>
          <w:spacing w:val="-12"/>
        </w:rPr>
        <w:t> </w:t>
      </w:r>
      <w:r>
        <w:rPr/>
        <w:t>this</w:t>
      </w:r>
      <w:r>
        <w:rPr>
          <w:spacing w:val="-12"/>
        </w:rPr>
        <w:t> </w:t>
      </w:r>
      <w:r>
        <w:rPr/>
        <w:t>figure</w:t>
      </w:r>
      <w:r>
        <w:rPr>
          <w:spacing w:val="-12"/>
        </w:rPr>
        <w:t> </w:t>
      </w:r>
      <w:r>
        <w:rPr/>
        <w:t>was</w:t>
      </w:r>
      <w:r>
        <w:rPr>
          <w:spacing w:val="-12"/>
        </w:rPr>
        <w:t> </w:t>
      </w:r>
      <w:r>
        <w:rPr/>
        <w:t>derived</w:t>
      </w:r>
      <w:r>
        <w:rPr>
          <w:spacing w:val="-11"/>
        </w:rPr>
        <w:t> </w:t>
      </w:r>
      <w:r>
        <w:rPr/>
        <w:t>from</w:t>
      </w:r>
      <w:r>
        <w:rPr>
          <w:spacing w:val="-12"/>
        </w:rPr>
        <w:t> </w:t>
      </w:r>
      <w:r>
        <w:rPr/>
        <w:t>the</w:t>
      </w:r>
      <w:r>
        <w:rPr>
          <w:spacing w:val="-12"/>
        </w:rPr>
        <w:t> </w:t>
      </w:r>
      <w:r>
        <w:rPr/>
        <w:t>studies</w:t>
      </w:r>
      <w:r>
        <w:rPr>
          <w:spacing w:val="-11"/>
        </w:rPr>
        <w:t> </w:t>
      </w:r>
      <w:r>
        <w:rPr/>
        <w:t>previously</w:t>
      </w:r>
    </w:p>
    <w:p>
      <w:pPr>
        <w:pStyle w:val="BodyText"/>
        <w:spacing w:before="10"/>
        <w:ind w:left="241"/>
        <w:jc w:val="both"/>
      </w:pPr>
      <w:r>
        <w:rPr/>
        <w:t>reported in </w:t>
      </w:r>
      <w:hyperlink w:history="true" w:anchor="_bookmark10">
        <w:r>
          <w:rPr/>
          <w:t>Figures 3.6</w:t>
        </w:r>
      </w:hyperlink>
      <w:r>
        <w:rPr/>
        <w:t> and </w:t>
      </w:r>
      <w:hyperlink w:history="true" w:anchor="_bookmark12">
        <w:r>
          <w:rPr/>
          <w:t>3.7.</w:t>
        </w:r>
      </w:hyperlink>
    </w:p>
    <w:p>
      <w:pPr>
        <w:pStyle w:val="BodyText"/>
        <w:spacing w:line="240" w:lineRule="exact" w:before="4"/>
        <w:ind w:left="241" w:right="734" w:firstLine="284"/>
        <w:jc w:val="both"/>
      </w:pPr>
      <w:r>
        <w:rPr/>
        <w:pict>
          <v:group style="position:absolute;margin-left:323.541992pt;margin-top:93.800003pt;width:249.9pt;height:166.85pt;mso-position-horizontal-relative:page;mso-position-vertical-relative:paragraph;z-index:251718656" coordorigin="6471,1876" coordsize="4998,3337">
            <v:shape style="position:absolute;left:6734;top:1996;width:4628;height:3154" type="#_x0000_t75" stroked="false">
              <v:imagedata r:id="rId177" o:title=""/>
            </v:shape>
            <v:rect style="position:absolute;left:6475;top:1881;width:4988;height:3327" filled="false" stroked="true" strokeweight=".5pt" strokecolor="#000000">
              <v:stroke dashstyle="solid"/>
            </v:rect>
            <w10:wrap type="none"/>
          </v:group>
        </w:pict>
      </w:r>
      <w:r>
        <w:rPr/>
        <w:t>The timetable for deploying more efficient plants with CO</w:t>
      </w:r>
      <w:r>
        <w:rPr>
          <w:position w:val="-6"/>
          <w:sz w:val="11"/>
        </w:rPr>
        <w:t>2 </w:t>
      </w:r>
      <w:r>
        <w:rPr/>
        <w:t>capture will be the key determinant of actual environmental changes. If a new plant with capture replaces an older, </w:t>
      </w:r>
      <w:r>
        <w:rPr>
          <w:spacing w:val="-3"/>
        </w:rPr>
        <w:t>less </w:t>
      </w:r>
      <w:r>
        <w:rPr/>
        <w:t>efficient and higher-emitting plant currently in  service,  the net change in plant-level emission impacts and resource requirements would be much smaller than the values given earlier (which compared identical new plants with and</w:t>
      </w:r>
      <w:r>
        <w:rPr>
          <w:spacing w:val="22"/>
        </w:rPr>
        <w:t> </w:t>
      </w:r>
      <w:r>
        <w:rPr/>
        <w:t>without</w:t>
      </w:r>
    </w:p>
    <w:p>
      <w:pPr>
        <w:spacing w:after="0" w:line="240" w:lineRule="exact"/>
        <w:jc w:val="both"/>
        <w:sectPr>
          <w:type w:val="continuous"/>
          <w:pgSz w:w="12240" w:h="15840"/>
          <w:pgMar w:top="480" w:bottom="280" w:left="620" w:right="0"/>
          <w:cols w:num="2" w:equalWidth="0">
            <w:col w:w="5559" w:space="40"/>
            <w:col w:w="6021"/>
          </w:cols>
        </w:sectPr>
      </w:pPr>
    </w:p>
    <w:p>
      <w:pPr>
        <w:pStyle w:val="BodyText"/>
        <w:spacing w:before="10"/>
      </w:pPr>
    </w:p>
    <w:p>
      <w:pPr>
        <w:pStyle w:val="BodyText"/>
        <w:spacing w:line="20" w:lineRule="exact"/>
        <w:ind w:left="503"/>
        <w:rPr>
          <w:sz w:val="2"/>
        </w:rPr>
      </w:pPr>
      <w:r>
        <w:rPr>
          <w:sz w:val="2"/>
        </w:rPr>
        <w:pict>
          <v:group style="width:72pt;height:1pt;mso-position-horizontal-relative:char;mso-position-vertical-relative:line" coordorigin="0,0" coordsize="1440,20">
            <v:line style="position:absolute" from="0,10" to="1440,10" stroked="true" strokeweight="1pt" strokecolor="#000000">
              <v:stroke dashstyle="solid"/>
            </v:line>
          </v:group>
        </w:pict>
      </w:r>
      <w:r>
        <w:rPr>
          <w:sz w:val="2"/>
        </w:rPr>
      </w:r>
    </w:p>
    <w:p>
      <w:pPr>
        <w:spacing w:after="0" w:line="20" w:lineRule="exact"/>
        <w:rPr>
          <w:sz w:val="2"/>
        </w:rPr>
        <w:sectPr>
          <w:type w:val="continuous"/>
          <w:pgSz w:w="12240" w:h="15840"/>
          <w:pgMar w:top="480" w:bottom="280" w:left="620" w:right="0"/>
        </w:sectPr>
      </w:pPr>
    </w:p>
    <w:p>
      <w:pPr>
        <w:spacing w:line="261" w:lineRule="auto" w:before="40"/>
        <w:ind w:left="513" w:right="0" w:firstLine="0"/>
        <w:jc w:val="both"/>
        <w:rPr>
          <w:sz w:val="16"/>
        </w:rPr>
      </w:pPr>
      <w:r>
        <w:rPr>
          <w:position w:val="5"/>
          <w:sz w:val="9"/>
        </w:rPr>
        <w:t>2 </w:t>
      </w:r>
      <w:r>
        <w:rPr>
          <w:sz w:val="16"/>
        </w:rPr>
        <w:t>Those additional energy requirements, if quantified, could be included by </w:t>
      </w:r>
      <w:r>
        <w:rPr>
          <w:spacing w:val="-5"/>
          <w:sz w:val="16"/>
        </w:rPr>
        <w:t>re- </w:t>
      </w:r>
      <w:r>
        <w:rPr>
          <w:sz w:val="16"/>
        </w:rPr>
        <w:t>defining the system boundary and system efficiency terms in Equation (6) to apply to the full life cycle, rather than only the power plant. Such an analysis would require additional assumptions about the methods of fuel extraction, processing,</w:t>
      </w:r>
      <w:r>
        <w:rPr>
          <w:spacing w:val="-10"/>
          <w:sz w:val="16"/>
        </w:rPr>
        <w:t> </w:t>
      </w:r>
      <w:r>
        <w:rPr>
          <w:sz w:val="16"/>
        </w:rPr>
        <w:t>transport</w:t>
      </w:r>
      <w:r>
        <w:rPr>
          <w:spacing w:val="-9"/>
          <w:sz w:val="16"/>
        </w:rPr>
        <w:t> </w:t>
      </w:r>
      <w:r>
        <w:rPr>
          <w:sz w:val="16"/>
        </w:rPr>
        <w:t>to</w:t>
      </w:r>
      <w:r>
        <w:rPr>
          <w:spacing w:val="-9"/>
          <w:sz w:val="16"/>
        </w:rPr>
        <w:t> </w:t>
      </w:r>
      <w:r>
        <w:rPr>
          <w:sz w:val="16"/>
        </w:rPr>
        <w:t>the</w:t>
      </w:r>
      <w:r>
        <w:rPr>
          <w:spacing w:val="-10"/>
          <w:sz w:val="16"/>
        </w:rPr>
        <w:t> </w:t>
      </w:r>
      <w:r>
        <w:rPr>
          <w:sz w:val="16"/>
        </w:rPr>
        <w:t>power</w:t>
      </w:r>
      <w:r>
        <w:rPr>
          <w:spacing w:val="-9"/>
          <w:sz w:val="16"/>
        </w:rPr>
        <w:t> </w:t>
      </w:r>
      <w:r>
        <w:rPr>
          <w:sz w:val="16"/>
        </w:rPr>
        <w:t>plant,</w:t>
      </w:r>
      <w:r>
        <w:rPr>
          <w:spacing w:val="-9"/>
          <w:sz w:val="16"/>
        </w:rPr>
        <w:t> </w:t>
      </w:r>
      <w:r>
        <w:rPr>
          <w:sz w:val="16"/>
        </w:rPr>
        <w:t>and</w:t>
      </w:r>
      <w:r>
        <w:rPr>
          <w:spacing w:val="-10"/>
          <w:sz w:val="16"/>
        </w:rPr>
        <w:t> </w:t>
      </w:r>
      <w:r>
        <w:rPr>
          <w:sz w:val="16"/>
        </w:rPr>
        <w:t>the</w:t>
      </w:r>
      <w:r>
        <w:rPr>
          <w:spacing w:val="-9"/>
          <w:sz w:val="16"/>
        </w:rPr>
        <w:t> </w:t>
      </w:r>
      <w:r>
        <w:rPr>
          <w:sz w:val="16"/>
        </w:rPr>
        <w:t>associated</w:t>
      </w:r>
      <w:r>
        <w:rPr>
          <w:spacing w:val="-9"/>
          <w:sz w:val="16"/>
        </w:rPr>
        <w:t> </w:t>
      </w:r>
      <w:r>
        <w:rPr>
          <w:sz w:val="16"/>
        </w:rPr>
        <w:t>energy</w:t>
      </w:r>
      <w:r>
        <w:rPr>
          <w:spacing w:val="-9"/>
          <w:sz w:val="16"/>
        </w:rPr>
        <w:t> </w:t>
      </w:r>
      <w:r>
        <w:rPr>
          <w:sz w:val="16"/>
        </w:rPr>
        <w:t>requirements of those activities; as well as the CO</w:t>
      </w:r>
      <w:r>
        <w:rPr>
          <w:position w:val="-4"/>
          <w:sz w:val="9"/>
        </w:rPr>
        <w:t>2 </w:t>
      </w:r>
      <w:r>
        <w:rPr>
          <w:sz w:val="16"/>
        </w:rPr>
        <w:t>losses incurred during</w:t>
      </w:r>
      <w:r>
        <w:rPr>
          <w:spacing w:val="-11"/>
          <w:sz w:val="16"/>
        </w:rPr>
        <w:t> </w:t>
      </w:r>
      <w:r>
        <w:rPr>
          <w:sz w:val="16"/>
        </w:rPr>
        <w:t>storage.</w:t>
      </w:r>
    </w:p>
    <w:p>
      <w:pPr>
        <w:pStyle w:val="BodyText"/>
        <w:rPr>
          <w:sz w:val="18"/>
        </w:rPr>
      </w:pPr>
      <w:r>
        <w:rPr/>
        <w:br w:type="column"/>
      </w:r>
      <w:r>
        <w:rPr>
          <w:sz w:val="18"/>
        </w:rPr>
      </w:r>
    </w:p>
    <w:p>
      <w:pPr>
        <w:pStyle w:val="BodyText"/>
        <w:rPr>
          <w:sz w:val="18"/>
        </w:rPr>
      </w:pPr>
    </w:p>
    <w:p>
      <w:pPr>
        <w:spacing w:line="230" w:lineRule="auto" w:before="161"/>
        <w:ind w:left="242" w:right="734" w:firstLine="0"/>
        <w:jc w:val="both"/>
        <w:rPr>
          <w:sz w:val="18"/>
        </w:rPr>
      </w:pPr>
      <w:r>
        <w:rPr>
          <w:b/>
          <w:sz w:val="18"/>
        </w:rPr>
        <w:t>Figure 3.19 </w:t>
      </w:r>
      <w:r>
        <w:rPr>
          <w:sz w:val="18"/>
        </w:rPr>
        <w:t>Fuel use for a reduction of CO</w:t>
      </w:r>
      <w:r>
        <w:rPr>
          <w:position w:val="-5"/>
          <w:sz w:val="10"/>
        </w:rPr>
        <w:t>2 </w:t>
      </w:r>
      <w:r>
        <w:rPr>
          <w:sz w:val="18"/>
        </w:rPr>
        <w:t>emissions from capture plants (data presented from design studies for power plants with and without capture shown in </w:t>
      </w:r>
      <w:hyperlink w:history="true" w:anchor="_bookmark10">
        <w:r>
          <w:rPr>
            <w:sz w:val="18"/>
          </w:rPr>
          <w:t>Figures 3.6</w:t>
        </w:r>
      </w:hyperlink>
      <w:r>
        <w:rPr>
          <w:sz w:val="18"/>
        </w:rPr>
        <w:t> and </w:t>
      </w:r>
      <w:hyperlink w:history="true" w:anchor="_bookmark12">
        <w:r>
          <w:rPr>
            <w:sz w:val="18"/>
          </w:rPr>
          <w:t>3.7).</w:t>
        </w:r>
      </w:hyperlink>
    </w:p>
    <w:p>
      <w:pPr>
        <w:spacing w:after="0" w:line="230" w:lineRule="auto"/>
        <w:jc w:val="both"/>
        <w:rPr>
          <w:sz w:val="18"/>
        </w:rPr>
        <w:sectPr>
          <w:type w:val="continuous"/>
          <w:pgSz w:w="12240" w:h="15840"/>
          <w:pgMar w:top="480" w:bottom="280" w:left="620" w:right="0"/>
          <w:cols w:num="2" w:equalWidth="0">
            <w:col w:w="5559" w:space="40"/>
            <w:col w:w="6021"/>
          </w:cols>
        </w:sectPr>
      </w:pPr>
    </w:p>
    <w:p>
      <w:pPr>
        <w:pStyle w:val="BodyText"/>
      </w:pPr>
      <w:r>
        <w:rPr/>
        <w:pict>
          <v:shape style="position:absolute;margin-left:752.653625pt;margin-top:35.850399pt;width:12pt;height:17pt;mso-position-horizontal-relative:page;mso-position-vertical-relative:page;z-index:251719680" type="#_x0000_t202" filled="false" stroked="false">
            <v:textbox inset="0,0,0,0" style="layout-flow:vertical">
              <w:txbxContent>
                <w:p>
                  <w:pPr>
                    <w:spacing w:line="213" w:lineRule="exact" w:before="0"/>
                    <w:ind w:left="20" w:right="0" w:firstLine="0"/>
                    <w:jc w:val="left"/>
                    <w:rPr>
                      <w:b/>
                      <w:sz w:val="20"/>
                    </w:rPr>
                  </w:pPr>
                  <w:r>
                    <w:rPr>
                      <w:b/>
                      <w:sz w:val="20"/>
                    </w:rPr>
                    <w:t>144</w:t>
                  </w:r>
                </w:p>
              </w:txbxContent>
            </v:textbox>
            <w10:wrap type="none"/>
          </v:shape>
        </w:pict>
      </w:r>
      <w:r>
        <w:rPr/>
        <w:pict>
          <v:shape style="position:absolute;margin-left:752.653625pt;margin-top:306.362793pt;width:12pt;height:250pt;mso-position-horizontal-relative:page;mso-position-vertical-relative:page;z-index:251720704" type="#_x0000_t202" filled="false" stroked="false">
            <v:textbox inset="0,0,0,0" style="layout-flow:vertical">
              <w:txbxContent>
                <w:p>
                  <w:pPr>
                    <w:spacing w:line="213" w:lineRule="exact" w:before="0"/>
                    <w:ind w:left="20" w:right="0" w:firstLine="0"/>
                    <w:jc w:val="left"/>
                    <w:rPr>
                      <w:i/>
                      <w:sz w:val="20"/>
                    </w:rPr>
                  </w:pPr>
                  <w:r>
                    <w:rPr>
                      <w:i/>
                      <w:sz w:val="20"/>
                    </w:rPr>
                    <w:t>IPCC Special Report on Carbon dioxide Capture and Storage</w:t>
                  </w:r>
                </w:p>
              </w:txbxContent>
            </v:textbox>
            <w10:wrap type="none"/>
          </v:shape>
        </w:pict>
      </w:r>
    </w:p>
    <w:p>
      <w:pPr>
        <w:pStyle w:val="BodyText"/>
      </w:pPr>
    </w:p>
    <w:p>
      <w:pPr>
        <w:pStyle w:val="BodyText"/>
      </w:pPr>
    </w:p>
    <w:p>
      <w:pPr>
        <w:pStyle w:val="BodyText"/>
        <w:spacing w:before="7"/>
        <w:rPr>
          <w:sz w:val="21"/>
        </w:rPr>
      </w:pPr>
    </w:p>
    <w:p>
      <w:pPr>
        <w:spacing w:line="211" w:lineRule="auto" w:before="0" w:after="47"/>
        <w:ind w:left="553" w:right="0" w:firstLine="0"/>
        <w:jc w:val="left"/>
        <w:rPr>
          <w:sz w:val="18"/>
        </w:rPr>
      </w:pPr>
      <w:r>
        <w:rPr>
          <w:b/>
          <w:w w:val="200"/>
          <w:sz w:val="18"/>
        </w:rPr>
        <w:t>t</w:t>
      </w:r>
      <w:r>
        <w:rPr>
          <w:b/>
          <w:sz w:val="18"/>
        </w:rPr>
        <w:t>able 3.5 </w:t>
      </w:r>
      <w:r>
        <w:rPr>
          <w:sz w:val="18"/>
        </w:rPr>
        <w:t>Illustrative impacts of CCS energy requirements on plant-level resource consumption and non-CO</w:t>
      </w:r>
      <w:r>
        <w:rPr>
          <w:w w:val="104"/>
          <w:position w:val="-5"/>
          <w:sz w:val="10"/>
        </w:rPr>
        <w:t>2</w:t>
      </w:r>
      <w:r>
        <w:rPr>
          <w:position w:val="-5"/>
          <w:sz w:val="10"/>
        </w:rPr>
        <w:t>  </w:t>
      </w:r>
      <w:bookmarkStart w:name="_bookmark24" w:id="61"/>
      <w:bookmarkEnd w:id="61"/>
      <w:r>
        <w:rPr>
          <w:position w:val="-5"/>
          <w:sz w:val="10"/>
        </w:rPr>
      </w:r>
      <w:r>
        <w:rPr>
          <w:sz w:val="18"/>
        </w:rPr>
        <w:t>emission rates for three current power plant systems. Values </w:t>
      </w:r>
      <w:bookmarkStart w:name="_bookmark25" w:id="62"/>
      <w:bookmarkEnd w:id="62"/>
      <w:r>
        <w:rPr>
          <w:sz w:val="18"/>
        </w:rPr>
        <w:t>show</w:t>
      </w:r>
      <w:r>
        <w:rPr>
          <w:sz w:val="18"/>
        </w:rPr>
        <w:t>n are mass flow rates in kg per MWh for the capture plant, plus increases over the reference plant rates for the same plant type. See footnotes for additional details. (Source: Rubin </w:t>
      </w:r>
      <w:r>
        <w:rPr>
          <w:i/>
          <w:sz w:val="18"/>
        </w:rPr>
        <w:t>et al.</w:t>
      </w:r>
      <w:r>
        <w:rPr>
          <w:sz w:val="18"/>
        </w:rPr>
        <w:t>, 2005)</w:t>
      </w:r>
    </w:p>
    <w:tbl>
      <w:tblPr>
        <w:tblW w:w="0" w:type="auto"/>
        <w:jc w:val="left"/>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0"/>
        <w:gridCol w:w="1578"/>
        <w:gridCol w:w="1578"/>
        <w:gridCol w:w="1578"/>
        <w:gridCol w:w="1578"/>
        <w:gridCol w:w="1578"/>
        <w:gridCol w:w="2220"/>
      </w:tblGrid>
      <w:tr>
        <w:trPr>
          <w:trHeight w:val="285" w:hRule="atLeast"/>
        </w:trPr>
        <w:tc>
          <w:tcPr>
            <w:tcW w:w="3440" w:type="dxa"/>
            <w:vMerge w:val="restart"/>
            <w:shd w:val="clear" w:color="auto" w:fill="E0EEE0"/>
          </w:tcPr>
          <w:p>
            <w:pPr>
              <w:pStyle w:val="TableParagraph"/>
              <w:spacing w:before="5"/>
              <w:jc w:val="left"/>
              <w:rPr>
                <w:sz w:val="16"/>
              </w:rPr>
            </w:pPr>
          </w:p>
          <w:p>
            <w:pPr>
              <w:pStyle w:val="TableParagraph"/>
              <w:ind w:left="686"/>
              <w:jc w:val="left"/>
              <w:rPr>
                <w:b/>
                <w:sz w:val="10"/>
              </w:rPr>
            </w:pPr>
            <w:r>
              <w:rPr>
                <w:b/>
                <w:sz w:val="18"/>
              </w:rPr>
              <w:t>Capture Plant Parameter </w:t>
            </w:r>
            <w:r>
              <w:rPr>
                <w:b/>
                <w:position w:val="6"/>
                <w:sz w:val="10"/>
              </w:rPr>
              <w:t>a</w:t>
            </w:r>
          </w:p>
        </w:tc>
        <w:tc>
          <w:tcPr>
            <w:tcW w:w="3156" w:type="dxa"/>
            <w:gridSpan w:val="2"/>
            <w:shd w:val="clear" w:color="auto" w:fill="E0EEE0"/>
          </w:tcPr>
          <w:p>
            <w:pPr>
              <w:pStyle w:val="TableParagraph"/>
              <w:spacing w:before="42"/>
              <w:ind w:left="1272" w:right="1218"/>
              <w:rPr>
                <w:b/>
                <w:sz w:val="10"/>
              </w:rPr>
            </w:pPr>
            <w:r>
              <w:rPr>
                <w:b/>
                <w:sz w:val="18"/>
              </w:rPr>
              <w:t>PC </w:t>
            </w:r>
            <w:r>
              <w:rPr>
                <w:b/>
                <w:position w:val="6"/>
                <w:sz w:val="10"/>
              </w:rPr>
              <w:t>b</w:t>
            </w:r>
          </w:p>
        </w:tc>
        <w:tc>
          <w:tcPr>
            <w:tcW w:w="3156" w:type="dxa"/>
            <w:gridSpan w:val="2"/>
            <w:shd w:val="clear" w:color="auto" w:fill="E0EEE0"/>
          </w:tcPr>
          <w:p>
            <w:pPr>
              <w:pStyle w:val="TableParagraph"/>
              <w:spacing w:before="42"/>
              <w:ind w:left="1321" w:right="1218"/>
              <w:rPr>
                <w:b/>
                <w:sz w:val="10"/>
              </w:rPr>
            </w:pPr>
            <w:r>
              <w:rPr>
                <w:b/>
                <w:w w:val="105"/>
                <w:sz w:val="18"/>
              </w:rPr>
              <w:t>iGCC </w:t>
            </w:r>
            <w:r>
              <w:rPr>
                <w:b/>
                <w:w w:val="105"/>
                <w:position w:val="6"/>
                <w:sz w:val="10"/>
              </w:rPr>
              <w:t>c</w:t>
            </w:r>
          </w:p>
        </w:tc>
        <w:tc>
          <w:tcPr>
            <w:tcW w:w="3798" w:type="dxa"/>
            <w:gridSpan w:val="2"/>
            <w:shd w:val="clear" w:color="auto" w:fill="E0EEE0"/>
          </w:tcPr>
          <w:p>
            <w:pPr>
              <w:pStyle w:val="TableParagraph"/>
              <w:spacing w:before="42"/>
              <w:ind w:left="1560" w:right="1556"/>
              <w:rPr>
                <w:b/>
                <w:sz w:val="10"/>
              </w:rPr>
            </w:pPr>
            <w:r>
              <w:rPr>
                <w:b/>
                <w:sz w:val="18"/>
              </w:rPr>
              <w:t>NGCC </w:t>
            </w:r>
            <w:r>
              <w:rPr>
                <w:b/>
                <w:position w:val="6"/>
                <w:sz w:val="10"/>
              </w:rPr>
              <w:t>d</w:t>
            </w:r>
          </w:p>
        </w:tc>
      </w:tr>
      <w:tr>
        <w:trPr>
          <w:trHeight w:val="285" w:hRule="atLeast"/>
        </w:trPr>
        <w:tc>
          <w:tcPr>
            <w:tcW w:w="3440" w:type="dxa"/>
            <w:vMerge/>
            <w:tcBorders>
              <w:top w:val="nil"/>
            </w:tcBorders>
            <w:shd w:val="clear" w:color="auto" w:fill="E0EEE0"/>
          </w:tcPr>
          <w:p>
            <w:pPr>
              <w:rPr>
                <w:sz w:val="2"/>
                <w:szCs w:val="2"/>
              </w:rPr>
            </w:pPr>
          </w:p>
        </w:tc>
        <w:tc>
          <w:tcPr>
            <w:tcW w:w="1578" w:type="dxa"/>
            <w:shd w:val="clear" w:color="auto" w:fill="E0EEE0"/>
          </w:tcPr>
          <w:p>
            <w:pPr>
              <w:pStyle w:val="TableParagraph"/>
              <w:spacing w:before="42"/>
              <w:ind w:left="435" w:right="430"/>
              <w:rPr>
                <w:b/>
                <w:sz w:val="18"/>
              </w:rPr>
            </w:pPr>
            <w:r>
              <w:rPr>
                <w:b/>
                <w:sz w:val="18"/>
              </w:rPr>
              <w:t>Rate</w:t>
            </w:r>
          </w:p>
        </w:tc>
        <w:tc>
          <w:tcPr>
            <w:tcW w:w="1578" w:type="dxa"/>
            <w:shd w:val="clear" w:color="auto" w:fill="E0EEE0"/>
          </w:tcPr>
          <w:p>
            <w:pPr>
              <w:pStyle w:val="TableParagraph"/>
              <w:spacing w:before="42"/>
              <w:ind w:left="435" w:right="430"/>
              <w:rPr>
                <w:b/>
                <w:sz w:val="18"/>
              </w:rPr>
            </w:pPr>
            <w:r>
              <w:rPr>
                <w:b/>
                <w:w w:val="105"/>
                <w:sz w:val="18"/>
              </w:rPr>
              <w:t>increase</w:t>
            </w:r>
          </w:p>
        </w:tc>
        <w:tc>
          <w:tcPr>
            <w:tcW w:w="1578" w:type="dxa"/>
            <w:shd w:val="clear" w:color="auto" w:fill="E0EEE0"/>
          </w:tcPr>
          <w:p>
            <w:pPr>
              <w:pStyle w:val="TableParagraph"/>
              <w:spacing w:before="42"/>
              <w:ind w:left="434" w:right="430"/>
              <w:rPr>
                <w:b/>
                <w:sz w:val="18"/>
              </w:rPr>
            </w:pPr>
            <w:r>
              <w:rPr>
                <w:b/>
                <w:sz w:val="18"/>
              </w:rPr>
              <w:t>Rate</w:t>
            </w:r>
          </w:p>
        </w:tc>
        <w:tc>
          <w:tcPr>
            <w:tcW w:w="1578" w:type="dxa"/>
            <w:shd w:val="clear" w:color="auto" w:fill="E0EEE0"/>
          </w:tcPr>
          <w:p>
            <w:pPr>
              <w:pStyle w:val="TableParagraph"/>
              <w:spacing w:before="42"/>
              <w:ind w:left="434" w:right="430"/>
              <w:rPr>
                <w:b/>
                <w:sz w:val="18"/>
              </w:rPr>
            </w:pPr>
            <w:r>
              <w:rPr>
                <w:b/>
                <w:w w:val="105"/>
                <w:sz w:val="18"/>
              </w:rPr>
              <w:t>increase</w:t>
            </w:r>
          </w:p>
        </w:tc>
        <w:tc>
          <w:tcPr>
            <w:tcW w:w="1578" w:type="dxa"/>
            <w:shd w:val="clear" w:color="auto" w:fill="E0EEE0"/>
          </w:tcPr>
          <w:p>
            <w:pPr>
              <w:pStyle w:val="TableParagraph"/>
              <w:spacing w:before="42"/>
              <w:ind w:left="434" w:right="430"/>
              <w:rPr>
                <w:b/>
                <w:sz w:val="18"/>
              </w:rPr>
            </w:pPr>
            <w:r>
              <w:rPr>
                <w:b/>
                <w:sz w:val="18"/>
              </w:rPr>
              <w:t>Rate</w:t>
            </w:r>
          </w:p>
        </w:tc>
        <w:tc>
          <w:tcPr>
            <w:tcW w:w="2220" w:type="dxa"/>
            <w:shd w:val="clear" w:color="auto" w:fill="E0EEE0"/>
          </w:tcPr>
          <w:p>
            <w:pPr>
              <w:pStyle w:val="TableParagraph"/>
              <w:spacing w:before="42"/>
              <w:ind w:left="756" w:right="752"/>
              <w:rPr>
                <w:b/>
                <w:sz w:val="18"/>
              </w:rPr>
            </w:pPr>
            <w:r>
              <w:rPr>
                <w:b/>
                <w:w w:val="105"/>
                <w:sz w:val="18"/>
              </w:rPr>
              <w:t>increase</w:t>
            </w:r>
          </w:p>
        </w:tc>
      </w:tr>
      <w:tr>
        <w:trPr>
          <w:trHeight w:val="285" w:hRule="atLeast"/>
        </w:trPr>
        <w:tc>
          <w:tcPr>
            <w:tcW w:w="3440" w:type="dxa"/>
            <w:shd w:val="clear" w:color="auto" w:fill="E0EEE0"/>
          </w:tcPr>
          <w:p>
            <w:pPr>
              <w:pStyle w:val="TableParagraph"/>
              <w:spacing w:before="42"/>
              <w:ind w:left="77"/>
              <w:jc w:val="left"/>
              <w:rPr>
                <w:b/>
                <w:sz w:val="18"/>
              </w:rPr>
            </w:pPr>
            <w:r>
              <w:rPr>
                <w:b/>
                <w:sz w:val="18"/>
              </w:rPr>
              <w:t>Resource consumption</w:t>
            </w:r>
          </w:p>
        </w:tc>
        <w:tc>
          <w:tcPr>
            <w:tcW w:w="10110" w:type="dxa"/>
            <w:gridSpan w:val="6"/>
            <w:shd w:val="clear" w:color="auto" w:fill="E0EEE0"/>
          </w:tcPr>
          <w:p>
            <w:pPr>
              <w:pStyle w:val="TableParagraph"/>
              <w:spacing w:before="42"/>
              <w:ind w:left="4100" w:right="4095"/>
              <w:rPr>
                <w:b/>
                <w:sz w:val="18"/>
              </w:rPr>
            </w:pPr>
            <w:r>
              <w:rPr>
                <w:b/>
                <w:sz w:val="18"/>
              </w:rPr>
              <w:t>(All values in kg mWh</w:t>
            </w:r>
            <w:r>
              <w:rPr>
                <w:b/>
                <w:position w:val="6"/>
                <w:sz w:val="10"/>
              </w:rPr>
              <w:t>-1</w:t>
            </w:r>
            <w:r>
              <w:rPr>
                <w:b/>
                <w:sz w:val="18"/>
              </w:rPr>
              <w:t>)</w:t>
            </w:r>
          </w:p>
        </w:tc>
      </w:tr>
      <w:tr>
        <w:trPr>
          <w:trHeight w:val="312" w:hRule="atLeast"/>
        </w:trPr>
        <w:tc>
          <w:tcPr>
            <w:tcW w:w="3440" w:type="dxa"/>
            <w:tcBorders>
              <w:bottom w:val="nil"/>
            </w:tcBorders>
            <w:shd w:val="clear" w:color="auto" w:fill="F9FCF9"/>
          </w:tcPr>
          <w:p>
            <w:pPr>
              <w:pStyle w:val="TableParagraph"/>
              <w:spacing w:before="42"/>
              <w:ind w:right="70"/>
              <w:jc w:val="right"/>
              <w:rPr>
                <w:sz w:val="18"/>
              </w:rPr>
            </w:pPr>
            <w:r>
              <w:rPr>
                <w:sz w:val="18"/>
              </w:rPr>
              <w:t>Fuel</w:t>
            </w:r>
          </w:p>
        </w:tc>
        <w:tc>
          <w:tcPr>
            <w:tcW w:w="1578" w:type="dxa"/>
            <w:tcBorders>
              <w:bottom w:val="nil"/>
            </w:tcBorders>
            <w:shd w:val="clear" w:color="auto" w:fill="F9FCF9"/>
          </w:tcPr>
          <w:p>
            <w:pPr>
              <w:pStyle w:val="TableParagraph"/>
              <w:spacing w:before="42"/>
              <w:ind w:left="435" w:right="430"/>
              <w:rPr>
                <w:sz w:val="18"/>
              </w:rPr>
            </w:pPr>
            <w:r>
              <w:rPr>
                <w:sz w:val="18"/>
              </w:rPr>
              <w:t>390</w:t>
            </w:r>
          </w:p>
        </w:tc>
        <w:tc>
          <w:tcPr>
            <w:tcW w:w="1578" w:type="dxa"/>
            <w:tcBorders>
              <w:bottom w:val="nil"/>
            </w:tcBorders>
            <w:shd w:val="clear" w:color="auto" w:fill="F9FCF9"/>
          </w:tcPr>
          <w:p>
            <w:pPr>
              <w:pStyle w:val="TableParagraph"/>
              <w:spacing w:before="42"/>
              <w:ind w:left="435" w:right="430"/>
              <w:rPr>
                <w:sz w:val="18"/>
              </w:rPr>
            </w:pPr>
            <w:r>
              <w:rPr>
                <w:sz w:val="18"/>
              </w:rPr>
              <w:t>93</w:t>
            </w:r>
          </w:p>
        </w:tc>
        <w:tc>
          <w:tcPr>
            <w:tcW w:w="1578" w:type="dxa"/>
            <w:tcBorders>
              <w:bottom w:val="nil"/>
            </w:tcBorders>
            <w:shd w:val="clear" w:color="auto" w:fill="F9FCF9"/>
          </w:tcPr>
          <w:p>
            <w:pPr>
              <w:pStyle w:val="TableParagraph"/>
              <w:spacing w:before="42"/>
              <w:ind w:left="434" w:right="430"/>
              <w:rPr>
                <w:sz w:val="18"/>
              </w:rPr>
            </w:pPr>
            <w:r>
              <w:rPr>
                <w:sz w:val="18"/>
              </w:rPr>
              <w:t>361</w:t>
            </w:r>
          </w:p>
        </w:tc>
        <w:tc>
          <w:tcPr>
            <w:tcW w:w="1578" w:type="dxa"/>
            <w:tcBorders>
              <w:bottom w:val="nil"/>
            </w:tcBorders>
            <w:shd w:val="clear" w:color="auto" w:fill="F9FCF9"/>
          </w:tcPr>
          <w:p>
            <w:pPr>
              <w:pStyle w:val="TableParagraph"/>
              <w:spacing w:before="42"/>
              <w:ind w:left="434" w:right="430"/>
              <w:rPr>
                <w:sz w:val="18"/>
              </w:rPr>
            </w:pPr>
            <w:r>
              <w:rPr>
                <w:sz w:val="18"/>
              </w:rPr>
              <w:t>49</w:t>
            </w:r>
          </w:p>
        </w:tc>
        <w:tc>
          <w:tcPr>
            <w:tcW w:w="1578" w:type="dxa"/>
            <w:tcBorders>
              <w:bottom w:val="nil"/>
            </w:tcBorders>
            <w:shd w:val="clear" w:color="auto" w:fill="F9FCF9"/>
          </w:tcPr>
          <w:p>
            <w:pPr>
              <w:pStyle w:val="TableParagraph"/>
              <w:spacing w:before="42"/>
              <w:ind w:left="434" w:right="430"/>
              <w:rPr>
                <w:sz w:val="18"/>
              </w:rPr>
            </w:pPr>
            <w:r>
              <w:rPr>
                <w:sz w:val="18"/>
              </w:rPr>
              <w:t>156</w:t>
            </w:r>
          </w:p>
        </w:tc>
        <w:tc>
          <w:tcPr>
            <w:tcW w:w="2220" w:type="dxa"/>
            <w:tcBorders>
              <w:bottom w:val="nil"/>
            </w:tcBorders>
            <w:shd w:val="clear" w:color="auto" w:fill="F9FCF9"/>
          </w:tcPr>
          <w:p>
            <w:pPr>
              <w:pStyle w:val="TableParagraph"/>
              <w:spacing w:before="42"/>
              <w:ind w:left="756" w:right="752"/>
              <w:rPr>
                <w:sz w:val="18"/>
              </w:rPr>
            </w:pPr>
            <w:r>
              <w:rPr>
                <w:sz w:val="18"/>
              </w:rPr>
              <w:t>23</w:t>
            </w:r>
          </w:p>
        </w:tc>
      </w:tr>
      <w:tr>
        <w:trPr>
          <w:trHeight w:val="295" w:hRule="atLeast"/>
        </w:trPr>
        <w:tc>
          <w:tcPr>
            <w:tcW w:w="3440" w:type="dxa"/>
            <w:tcBorders>
              <w:top w:val="nil"/>
              <w:bottom w:val="nil"/>
            </w:tcBorders>
            <w:shd w:val="clear" w:color="auto" w:fill="F9FCF9"/>
          </w:tcPr>
          <w:p>
            <w:pPr>
              <w:pStyle w:val="TableParagraph"/>
              <w:spacing w:before="24"/>
              <w:ind w:right="69"/>
              <w:jc w:val="right"/>
              <w:rPr>
                <w:sz w:val="18"/>
              </w:rPr>
            </w:pPr>
            <w:r>
              <w:rPr>
                <w:sz w:val="18"/>
              </w:rPr>
              <w:t>Limestone</w:t>
            </w:r>
          </w:p>
        </w:tc>
        <w:tc>
          <w:tcPr>
            <w:tcW w:w="1578" w:type="dxa"/>
            <w:tcBorders>
              <w:top w:val="nil"/>
              <w:bottom w:val="nil"/>
            </w:tcBorders>
            <w:shd w:val="clear" w:color="auto" w:fill="F9FCF9"/>
          </w:tcPr>
          <w:p>
            <w:pPr>
              <w:pStyle w:val="TableParagraph"/>
              <w:spacing w:before="24"/>
              <w:ind w:left="435" w:right="430"/>
              <w:rPr>
                <w:sz w:val="18"/>
              </w:rPr>
            </w:pPr>
            <w:r>
              <w:rPr>
                <w:sz w:val="18"/>
              </w:rPr>
              <w:t>27.5</w:t>
            </w:r>
          </w:p>
        </w:tc>
        <w:tc>
          <w:tcPr>
            <w:tcW w:w="1578" w:type="dxa"/>
            <w:tcBorders>
              <w:top w:val="nil"/>
              <w:bottom w:val="nil"/>
            </w:tcBorders>
            <w:shd w:val="clear" w:color="auto" w:fill="F9FCF9"/>
          </w:tcPr>
          <w:p>
            <w:pPr>
              <w:pStyle w:val="TableParagraph"/>
              <w:spacing w:before="24"/>
              <w:ind w:left="435" w:right="430"/>
              <w:rPr>
                <w:sz w:val="18"/>
              </w:rPr>
            </w:pPr>
            <w:r>
              <w:rPr>
                <w:sz w:val="18"/>
              </w:rPr>
              <w:t>6.8</w:t>
            </w:r>
          </w:p>
        </w:tc>
        <w:tc>
          <w:tcPr>
            <w:tcW w:w="1578" w:type="dxa"/>
            <w:tcBorders>
              <w:top w:val="nil"/>
              <w:bottom w:val="nil"/>
            </w:tcBorders>
            <w:shd w:val="clear" w:color="auto" w:fill="F9FCF9"/>
          </w:tcPr>
          <w:p>
            <w:pPr>
              <w:pStyle w:val="TableParagraph"/>
              <w:spacing w:before="24"/>
              <w:ind w:left="4"/>
              <w:rPr>
                <w:sz w:val="18"/>
              </w:rPr>
            </w:pPr>
            <w:r>
              <w:rPr>
                <w:sz w:val="18"/>
              </w:rPr>
              <w:t>-</w:t>
            </w:r>
          </w:p>
        </w:tc>
        <w:tc>
          <w:tcPr>
            <w:tcW w:w="1578" w:type="dxa"/>
            <w:tcBorders>
              <w:top w:val="nil"/>
              <w:bottom w:val="nil"/>
            </w:tcBorders>
            <w:shd w:val="clear" w:color="auto" w:fill="F9FCF9"/>
          </w:tcPr>
          <w:p>
            <w:pPr>
              <w:pStyle w:val="TableParagraph"/>
              <w:spacing w:before="24"/>
              <w:ind w:left="4"/>
              <w:rPr>
                <w:sz w:val="18"/>
              </w:rPr>
            </w:pPr>
            <w:r>
              <w:rPr>
                <w:sz w:val="18"/>
              </w:rPr>
              <w:t>-</w:t>
            </w:r>
          </w:p>
        </w:tc>
        <w:tc>
          <w:tcPr>
            <w:tcW w:w="1578" w:type="dxa"/>
            <w:tcBorders>
              <w:top w:val="nil"/>
              <w:bottom w:val="nil"/>
            </w:tcBorders>
            <w:shd w:val="clear" w:color="auto" w:fill="F9FCF9"/>
          </w:tcPr>
          <w:p>
            <w:pPr>
              <w:pStyle w:val="TableParagraph"/>
              <w:spacing w:before="24"/>
              <w:ind w:left="4"/>
              <w:rPr>
                <w:sz w:val="18"/>
              </w:rPr>
            </w:pPr>
            <w:r>
              <w:rPr>
                <w:sz w:val="18"/>
              </w:rPr>
              <w:t>-</w:t>
            </w:r>
          </w:p>
        </w:tc>
        <w:tc>
          <w:tcPr>
            <w:tcW w:w="2220" w:type="dxa"/>
            <w:tcBorders>
              <w:top w:val="nil"/>
              <w:bottom w:val="nil"/>
            </w:tcBorders>
            <w:shd w:val="clear" w:color="auto" w:fill="F9FCF9"/>
          </w:tcPr>
          <w:p>
            <w:pPr>
              <w:pStyle w:val="TableParagraph"/>
              <w:spacing w:before="24"/>
              <w:ind w:left="4"/>
              <w:rPr>
                <w:sz w:val="18"/>
              </w:rPr>
            </w:pPr>
            <w:r>
              <w:rPr>
                <w:sz w:val="18"/>
              </w:rPr>
              <w:t>-</w:t>
            </w:r>
          </w:p>
        </w:tc>
      </w:tr>
      <w:tr>
        <w:trPr>
          <w:trHeight w:val="295" w:hRule="atLeast"/>
        </w:trPr>
        <w:tc>
          <w:tcPr>
            <w:tcW w:w="3440" w:type="dxa"/>
            <w:tcBorders>
              <w:top w:val="nil"/>
              <w:bottom w:val="nil"/>
            </w:tcBorders>
            <w:shd w:val="clear" w:color="auto" w:fill="F9FCF9"/>
          </w:tcPr>
          <w:p>
            <w:pPr>
              <w:pStyle w:val="TableParagraph"/>
              <w:spacing w:before="24"/>
              <w:ind w:right="70"/>
              <w:jc w:val="right"/>
              <w:rPr>
                <w:sz w:val="18"/>
              </w:rPr>
            </w:pPr>
            <w:r>
              <w:rPr>
                <w:sz w:val="18"/>
              </w:rPr>
              <w:t>Ammonia</w:t>
            </w:r>
          </w:p>
        </w:tc>
        <w:tc>
          <w:tcPr>
            <w:tcW w:w="1578" w:type="dxa"/>
            <w:tcBorders>
              <w:top w:val="nil"/>
              <w:bottom w:val="nil"/>
            </w:tcBorders>
            <w:shd w:val="clear" w:color="auto" w:fill="F9FCF9"/>
          </w:tcPr>
          <w:p>
            <w:pPr>
              <w:pStyle w:val="TableParagraph"/>
              <w:spacing w:before="24"/>
              <w:ind w:left="435" w:right="430"/>
              <w:rPr>
                <w:sz w:val="18"/>
              </w:rPr>
            </w:pPr>
            <w:r>
              <w:rPr>
                <w:sz w:val="18"/>
              </w:rPr>
              <w:t>0.80</w:t>
            </w:r>
          </w:p>
        </w:tc>
        <w:tc>
          <w:tcPr>
            <w:tcW w:w="1578" w:type="dxa"/>
            <w:tcBorders>
              <w:top w:val="nil"/>
              <w:bottom w:val="nil"/>
            </w:tcBorders>
            <w:shd w:val="clear" w:color="auto" w:fill="F9FCF9"/>
          </w:tcPr>
          <w:p>
            <w:pPr>
              <w:pStyle w:val="TableParagraph"/>
              <w:spacing w:before="24"/>
              <w:ind w:left="435" w:right="430"/>
              <w:rPr>
                <w:sz w:val="18"/>
              </w:rPr>
            </w:pPr>
            <w:r>
              <w:rPr>
                <w:sz w:val="18"/>
              </w:rPr>
              <w:t>0.19</w:t>
            </w:r>
          </w:p>
        </w:tc>
        <w:tc>
          <w:tcPr>
            <w:tcW w:w="1578" w:type="dxa"/>
            <w:tcBorders>
              <w:top w:val="nil"/>
              <w:bottom w:val="nil"/>
            </w:tcBorders>
            <w:shd w:val="clear" w:color="auto" w:fill="F9FCF9"/>
          </w:tcPr>
          <w:p>
            <w:pPr>
              <w:pStyle w:val="TableParagraph"/>
              <w:spacing w:before="24"/>
              <w:ind w:left="4"/>
              <w:rPr>
                <w:sz w:val="18"/>
              </w:rPr>
            </w:pPr>
            <w:r>
              <w:rPr>
                <w:sz w:val="18"/>
              </w:rPr>
              <w:t>-</w:t>
            </w:r>
          </w:p>
        </w:tc>
        <w:tc>
          <w:tcPr>
            <w:tcW w:w="1578" w:type="dxa"/>
            <w:tcBorders>
              <w:top w:val="nil"/>
              <w:bottom w:val="nil"/>
            </w:tcBorders>
            <w:shd w:val="clear" w:color="auto" w:fill="F9FCF9"/>
          </w:tcPr>
          <w:p>
            <w:pPr>
              <w:pStyle w:val="TableParagraph"/>
              <w:spacing w:before="24"/>
              <w:ind w:left="4"/>
              <w:rPr>
                <w:sz w:val="18"/>
              </w:rPr>
            </w:pPr>
            <w:r>
              <w:rPr>
                <w:sz w:val="18"/>
              </w:rPr>
              <w:t>-</w:t>
            </w:r>
          </w:p>
        </w:tc>
        <w:tc>
          <w:tcPr>
            <w:tcW w:w="1578" w:type="dxa"/>
            <w:tcBorders>
              <w:top w:val="nil"/>
              <w:bottom w:val="nil"/>
            </w:tcBorders>
            <w:shd w:val="clear" w:color="auto" w:fill="F9FCF9"/>
          </w:tcPr>
          <w:p>
            <w:pPr>
              <w:pStyle w:val="TableParagraph"/>
              <w:spacing w:before="24"/>
              <w:ind w:left="4"/>
              <w:rPr>
                <w:sz w:val="18"/>
              </w:rPr>
            </w:pPr>
            <w:r>
              <w:rPr>
                <w:sz w:val="18"/>
              </w:rPr>
              <w:t>-</w:t>
            </w:r>
          </w:p>
        </w:tc>
        <w:tc>
          <w:tcPr>
            <w:tcW w:w="2220" w:type="dxa"/>
            <w:tcBorders>
              <w:top w:val="nil"/>
              <w:bottom w:val="nil"/>
            </w:tcBorders>
            <w:shd w:val="clear" w:color="auto" w:fill="F9FCF9"/>
          </w:tcPr>
          <w:p>
            <w:pPr>
              <w:pStyle w:val="TableParagraph"/>
              <w:spacing w:before="24"/>
              <w:ind w:left="4"/>
              <w:rPr>
                <w:sz w:val="18"/>
              </w:rPr>
            </w:pPr>
            <w:r>
              <w:rPr>
                <w:sz w:val="18"/>
              </w:rPr>
              <w:t>-</w:t>
            </w:r>
          </w:p>
        </w:tc>
      </w:tr>
      <w:tr>
        <w:trPr>
          <w:trHeight w:val="267" w:hRule="atLeast"/>
        </w:trPr>
        <w:tc>
          <w:tcPr>
            <w:tcW w:w="3440" w:type="dxa"/>
            <w:tcBorders>
              <w:top w:val="nil"/>
            </w:tcBorders>
            <w:shd w:val="clear" w:color="auto" w:fill="F9FCF9"/>
          </w:tcPr>
          <w:p>
            <w:pPr>
              <w:pStyle w:val="TableParagraph"/>
              <w:spacing w:before="24"/>
              <w:ind w:right="70"/>
              <w:jc w:val="right"/>
              <w:rPr>
                <w:sz w:val="18"/>
              </w:rPr>
            </w:pPr>
            <w:r>
              <w:rPr>
                <w:sz w:val="18"/>
              </w:rPr>
              <w:t>CCS Reagents</w:t>
            </w:r>
          </w:p>
        </w:tc>
        <w:tc>
          <w:tcPr>
            <w:tcW w:w="1578" w:type="dxa"/>
            <w:tcBorders>
              <w:top w:val="nil"/>
            </w:tcBorders>
            <w:shd w:val="clear" w:color="auto" w:fill="F9FCF9"/>
          </w:tcPr>
          <w:p>
            <w:pPr>
              <w:pStyle w:val="TableParagraph"/>
              <w:spacing w:before="24"/>
              <w:ind w:left="435" w:right="430"/>
              <w:rPr>
                <w:sz w:val="18"/>
              </w:rPr>
            </w:pPr>
            <w:r>
              <w:rPr>
                <w:sz w:val="18"/>
              </w:rPr>
              <w:t>2.76</w:t>
            </w:r>
          </w:p>
        </w:tc>
        <w:tc>
          <w:tcPr>
            <w:tcW w:w="1578" w:type="dxa"/>
            <w:tcBorders>
              <w:top w:val="nil"/>
            </w:tcBorders>
            <w:shd w:val="clear" w:color="auto" w:fill="F9FCF9"/>
          </w:tcPr>
          <w:p>
            <w:pPr>
              <w:pStyle w:val="TableParagraph"/>
              <w:spacing w:before="24"/>
              <w:ind w:left="435" w:right="430"/>
              <w:rPr>
                <w:sz w:val="18"/>
              </w:rPr>
            </w:pPr>
            <w:r>
              <w:rPr>
                <w:sz w:val="18"/>
              </w:rPr>
              <w:t>2.76</w:t>
            </w:r>
          </w:p>
        </w:tc>
        <w:tc>
          <w:tcPr>
            <w:tcW w:w="1578" w:type="dxa"/>
            <w:tcBorders>
              <w:top w:val="nil"/>
            </w:tcBorders>
            <w:shd w:val="clear" w:color="auto" w:fill="F9FCF9"/>
          </w:tcPr>
          <w:p>
            <w:pPr>
              <w:pStyle w:val="TableParagraph"/>
              <w:spacing w:before="24"/>
              <w:ind w:left="434" w:right="430"/>
              <w:rPr>
                <w:sz w:val="18"/>
              </w:rPr>
            </w:pPr>
            <w:r>
              <w:rPr>
                <w:sz w:val="18"/>
              </w:rPr>
              <w:t>0.005</w:t>
            </w:r>
          </w:p>
        </w:tc>
        <w:tc>
          <w:tcPr>
            <w:tcW w:w="1578" w:type="dxa"/>
            <w:tcBorders>
              <w:top w:val="nil"/>
            </w:tcBorders>
            <w:shd w:val="clear" w:color="auto" w:fill="F9FCF9"/>
          </w:tcPr>
          <w:p>
            <w:pPr>
              <w:pStyle w:val="TableParagraph"/>
              <w:spacing w:before="24"/>
              <w:ind w:left="434" w:right="430"/>
              <w:rPr>
                <w:sz w:val="18"/>
              </w:rPr>
            </w:pPr>
            <w:r>
              <w:rPr>
                <w:sz w:val="18"/>
              </w:rPr>
              <w:t>0.005</w:t>
            </w:r>
          </w:p>
        </w:tc>
        <w:tc>
          <w:tcPr>
            <w:tcW w:w="1578" w:type="dxa"/>
            <w:tcBorders>
              <w:top w:val="nil"/>
            </w:tcBorders>
            <w:shd w:val="clear" w:color="auto" w:fill="F9FCF9"/>
          </w:tcPr>
          <w:p>
            <w:pPr>
              <w:pStyle w:val="TableParagraph"/>
              <w:spacing w:before="24"/>
              <w:ind w:left="434" w:right="430"/>
              <w:rPr>
                <w:sz w:val="18"/>
              </w:rPr>
            </w:pPr>
            <w:r>
              <w:rPr>
                <w:sz w:val="18"/>
              </w:rPr>
              <w:t>0.80</w:t>
            </w:r>
          </w:p>
        </w:tc>
        <w:tc>
          <w:tcPr>
            <w:tcW w:w="2220" w:type="dxa"/>
            <w:tcBorders>
              <w:top w:val="nil"/>
            </w:tcBorders>
            <w:shd w:val="clear" w:color="auto" w:fill="F9FCF9"/>
          </w:tcPr>
          <w:p>
            <w:pPr>
              <w:pStyle w:val="TableParagraph"/>
              <w:spacing w:before="24"/>
              <w:ind w:left="756" w:right="752"/>
              <w:rPr>
                <w:sz w:val="18"/>
              </w:rPr>
            </w:pPr>
            <w:r>
              <w:rPr>
                <w:sz w:val="18"/>
              </w:rPr>
              <w:t>0.80</w:t>
            </w:r>
          </w:p>
        </w:tc>
      </w:tr>
      <w:tr>
        <w:trPr>
          <w:trHeight w:val="295" w:hRule="atLeast"/>
        </w:trPr>
        <w:tc>
          <w:tcPr>
            <w:tcW w:w="3440" w:type="dxa"/>
            <w:tcBorders>
              <w:bottom w:val="nil"/>
            </w:tcBorders>
            <w:shd w:val="clear" w:color="auto" w:fill="EBF4EA"/>
          </w:tcPr>
          <w:p>
            <w:pPr>
              <w:pStyle w:val="TableParagraph"/>
              <w:spacing w:before="42"/>
              <w:ind w:left="77"/>
              <w:jc w:val="left"/>
              <w:rPr>
                <w:sz w:val="18"/>
              </w:rPr>
            </w:pPr>
            <w:r>
              <w:rPr>
                <w:sz w:val="18"/>
              </w:rPr>
              <w:t>Solid Wastes/byproduct</w:t>
            </w:r>
          </w:p>
        </w:tc>
        <w:tc>
          <w:tcPr>
            <w:tcW w:w="1578" w:type="dxa"/>
            <w:tcBorders>
              <w:bottom w:val="nil"/>
            </w:tcBorders>
            <w:shd w:val="clear" w:color="auto" w:fill="EBF4EA"/>
          </w:tcPr>
          <w:p>
            <w:pPr>
              <w:pStyle w:val="TableParagraph"/>
              <w:jc w:val="left"/>
              <w:rPr>
                <w:sz w:val="16"/>
              </w:rPr>
            </w:pPr>
          </w:p>
        </w:tc>
        <w:tc>
          <w:tcPr>
            <w:tcW w:w="1578" w:type="dxa"/>
            <w:tcBorders>
              <w:bottom w:val="nil"/>
            </w:tcBorders>
            <w:shd w:val="clear" w:color="auto" w:fill="EBF4EA"/>
          </w:tcPr>
          <w:p>
            <w:pPr>
              <w:pStyle w:val="TableParagraph"/>
              <w:jc w:val="left"/>
              <w:rPr>
                <w:sz w:val="16"/>
              </w:rPr>
            </w:pPr>
          </w:p>
        </w:tc>
        <w:tc>
          <w:tcPr>
            <w:tcW w:w="1578" w:type="dxa"/>
            <w:tcBorders>
              <w:bottom w:val="nil"/>
            </w:tcBorders>
            <w:shd w:val="clear" w:color="auto" w:fill="EBF4EA"/>
          </w:tcPr>
          <w:p>
            <w:pPr>
              <w:pStyle w:val="TableParagraph"/>
              <w:jc w:val="left"/>
              <w:rPr>
                <w:sz w:val="16"/>
              </w:rPr>
            </w:pPr>
          </w:p>
        </w:tc>
        <w:tc>
          <w:tcPr>
            <w:tcW w:w="1578" w:type="dxa"/>
            <w:tcBorders>
              <w:bottom w:val="nil"/>
            </w:tcBorders>
            <w:shd w:val="clear" w:color="auto" w:fill="EBF4EA"/>
          </w:tcPr>
          <w:p>
            <w:pPr>
              <w:pStyle w:val="TableParagraph"/>
              <w:jc w:val="left"/>
              <w:rPr>
                <w:sz w:val="16"/>
              </w:rPr>
            </w:pPr>
          </w:p>
        </w:tc>
        <w:tc>
          <w:tcPr>
            <w:tcW w:w="1578" w:type="dxa"/>
            <w:tcBorders>
              <w:bottom w:val="nil"/>
            </w:tcBorders>
            <w:shd w:val="clear" w:color="auto" w:fill="EBF4EA"/>
          </w:tcPr>
          <w:p>
            <w:pPr>
              <w:pStyle w:val="TableParagraph"/>
              <w:jc w:val="left"/>
              <w:rPr>
                <w:sz w:val="16"/>
              </w:rPr>
            </w:pPr>
          </w:p>
        </w:tc>
        <w:tc>
          <w:tcPr>
            <w:tcW w:w="2220" w:type="dxa"/>
            <w:tcBorders>
              <w:bottom w:val="nil"/>
            </w:tcBorders>
            <w:shd w:val="clear" w:color="auto" w:fill="EBF4EA"/>
          </w:tcPr>
          <w:p>
            <w:pPr>
              <w:pStyle w:val="TableParagraph"/>
              <w:jc w:val="left"/>
              <w:rPr>
                <w:sz w:val="16"/>
              </w:rPr>
            </w:pPr>
          </w:p>
        </w:tc>
      </w:tr>
      <w:tr>
        <w:trPr>
          <w:trHeight w:val="317" w:hRule="atLeast"/>
        </w:trPr>
        <w:tc>
          <w:tcPr>
            <w:tcW w:w="3440" w:type="dxa"/>
            <w:tcBorders>
              <w:top w:val="nil"/>
              <w:bottom w:val="nil"/>
            </w:tcBorders>
            <w:shd w:val="clear" w:color="auto" w:fill="F9FCF9"/>
          </w:tcPr>
          <w:p>
            <w:pPr>
              <w:pStyle w:val="TableParagraph"/>
              <w:spacing w:before="47"/>
              <w:ind w:right="70"/>
              <w:jc w:val="right"/>
              <w:rPr>
                <w:sz w:val="18"/>
              </w:rPr>
            </w:pPr>
            <w:r>
              <w:rPr>
                <w:sz w:val="18"/>
              </w:rPr>
              <w:t>Ash/slag</w:t>
            </w:r>
          </w:p>
        </w:tc>
        <w:tc>
          <w:tcPr>
            <w:tcW w:w="1578" w:type="dxa"/>
            <w:tcBorders>
              <w:top w:val="nil"/>
              <w:bottom w:val="nil"/>
            </w:tcBorders>
            <w:shd w:val="clear" w:color="auto" w:fill="F9FCF9"/>
          </w:tcPr>
          <w:p>
            <w:pPr>
              <w:pStyle w:val="TableParagraph"/>
              <w:spacing w:before="47"/>
              <w:ind w:left="435" w:right="430"/>
              <w:rPr>
                <w:sz w:val="18"/>
              </w:rPr>
            </w:pPr>
            <w:r>
              <w:rPr>
                <w:sz w:val="18"/>
              </w:rPr>
              <w:t>28.1</w:t>
            </w:r>
          </w:p>
        </w:tc>
        <w:tc>
          <w:tcPr>
            <w:tcW w:w="1578" w:type="dxa"/>
            <w:tcBorders>
              <w:top w:val="nil"/>
              <w:bottom w:val="nil"/>
            </w:tcBorders>
            <w:shd w:val="clear" w:color="auto" w:fill="F9FCF9"/>
          </w:tcPr>
          <w:p>
            <w:pPr>
              <w:pStyle w:val="TableParagraph"/>
              <w:spacing w:before="47"/>
              <w:ind w:left="435" w:right="430"/>
              <w:rPr>
                <w:sz w:val="18"/>
              </w:rPr>
            </w:pPr>
            <w:r>
              <w:rPr>
                <w:sz w:val="18"/>
              </w:rPr>
              <w:t>6.7</w:t>
            </w:r>
          </w:p>
        </w:tc>
        <w:tc>
          <w:tcPr>
            <w:tcW w:w="1578" w:type="dxa"/>
            <w:tcBorders>
              <w:top w:val="nil"/>
              <w:bottom w:val="nil"/>
            </w:tcBorders>
            <w:shd w:val="clear" w:color="auto" w:fill="F9FCF9"/>
          </w:tcPr>
          <w:p>
            <w:pPr>
              <w:pStyle w:val="TableParagraph"/>
              <w:spacing w:before="47"/>
              <w:ind w:left="434" w:right="430"/>
              <w:rPr>
                <w:sz w:val="18"/>
              </w:rPr>
            </w:pPr>
            <w:r>
              <w:rPr>
                <w:sz w:val="18"/>
              </w:rPr>
              <w:t>34.2</w:t>
            </w:r>
          </w:p>
        </w:tc>
        <w:tc>
          <w:tcPr>
            <w:tcW w:w="1578" w:type="dxa"/>
            <w:tcBorders>
              <w:top w:val="nil"/>
              <w:bottom w:val="nil"/>
            </w:tcBorders>
            <w:shd w:val="clear" w:color="auto" w:fill="F9FCF9"/>
          </w:tcPr>
          <w:p>
            <w:pPr>
              <w:pStyle w:val="TableParagraph"/>
              <w:spacing w:before="47"/>
              <w:ind w:left="434" w:right="430"/>
              <w:rPr>
                <w:sz w:val="18"/>
              </w:rPr>
            </w:pPr>
            <w:r>
              <w:rPr>
                <w:sz w:val="18"/>
              </w:rPr>
              <w:t>4.7</w:t>
            </w:r>
          </w:p>
        </w:tc>
        <w:tc>
          <w:tcPr>
            <w:tcW w:w="1578" w:type="dxa"/>
            <w:tcBorders>
              <w:top w:val="nil"/>
              <w:bottom w:val="nil"/>
            </w:tcBorders>
            <w:shd w:val="clear" w:color="auto" w:fill="F9FCF9"/>
          </w:tcPr>
          <w:p>
            <w:pPr>
              <w:pStyle w:val="TableParagraph"/>
              <w:spacing w:before="47"/>
              <w:ind w:left="4"/>
              <w:rPr>
                <w:sz w:val="18"/>
              </w:rPr>
            </w:pPr>
            <w:r>
              <w:rPr>
                <w:sz w:val="18"/>
              </w:rPr>
              <w:t>-</w:t>
            </w:r>
          </w:p>
        </w:tc>
        <w:tc>
          <w:tcPr>
            <w:tcW w:w="2220" w:type="dxa"/>
            <w:tcBorders>
              <w:top w:val="nil"/>
              <w:bottom w:val="nil"/>
            </w:tcBorders>
            <w:shd w:val="clear" w:color="auto" w:fill="F9FCF9"/>
          </w:tcPr>
          <w:p>
            <w:pPr>
              <w:pStyle w:val="TableParagraph"/>
              <w:spacing w:before="47"/>
              <w:ind w:left="4"/>
              <w:rPr>
                <w:sz w:val="18"/>
              </w:rPr>
            </w:pPr>
            <w:r>
              <w:rPr>
                <w:sz w:val="18"/>
              </w:rPr>
              <w:t>-</w:t>
            </w:r>
          </w:p>
        </w:tc>
      </w:tr>
      <w:tr>
        <w:trPr>
          <w:trHeight w:val="295" w:hRule="atLeast"/>
        </w:trPr>
        <w:tc>
          <w:tcPr>
            <w:tcW w:w="3440" w:type="dxa"/>
            <w:tcBorders>
              <w:top w:val="nil"/>
              <w:bottom w:val="nil"/>
            </w:tcBorders>
            <w:shd w:val="clear" w:color="auto" w:fill="F9FCF9"/>
          </w:tcPr>
          <w:p>
            <w:pPr>
              <w:pStyle w:val="TableParagraph"/>
              <w:spacing w:before="24"/>
              <w:ind w:right="70"/>
              <w:jc w:val="right"/>
              <w:rPr>
                <w:sz w:val="18"/>
              </w:rPr>
            </w:pPr>
            <w:r>
              <w:rPr>
                <w:sz w:val="18"/>
              </w:rPr>
              <w:t>FGD residues</w:t>
            </w:r>
          </w:p>
        </w:tc>
        <w:tc>
          <w:tcPr>
            <w:tcW w:w="1578" w:type="dxa"/>
            <w:tcBorders>
              <w:top w:val="nil"/>
              <w:bottom w:val="nil"/>
            </w:tcBorders>
            <w:shd w:val="clear" w:color="auto" w:fill="F9FCF9"/>
          </w:tcPr>
          <w:p>
            <w:pPr>
              <w:pStyle w:val="TableParagraph"/>
              <w:spacing w:before="24"/>
              <w:ind w:left="435" w:right="430"/>
              <w:rPr>
                <w:sz w:val="18"/>
              </w:rPr>
            </w:pPr>
            <w:r>
              <w:rPr>
                <w:sz w:val="18"/>
              </w:rPr>
              <w:t>49.6</w:t>
            </w:r>
          </w:p>
        </w:tc>
        <w:tc>
          <w:tcPr>
            <w:tcW w:w="1578" w:type="dxa"/>
            <w:tcBorders>
              <w:top w:val="nil"/>
              <w:bottom w:val="nil"/>
            </w:tcBorders>
            <w:shd w:val="clear" w:color="auto" w:fill="F9FCF9"/>
          </w:tcPr>
          <w:p>
            <w:pPr>
              <w:pStyle w:val="TableParagraph"/>
              <w:spacing w:before="24"/>
              <w:ind w:left="435" w:right="430"/>
              <w:rPr>
                <w:sz w:val="18"/>
              </w:rPr>
            </w:pPr>
            <w:r>
              <w:rPr>
                <w:sz w:val="18"/>
              </w:rPr>
              <w:t>12.2</w:t>
            </w:r>
          </w:p>
        </w:tc>
        <w:tc>
          <w:tcPr>
            <w:tcW w:w="1578" w:type="dxa"/>
            <w:tcBorders>
              <w:top w:val="nil"/>
              <w:bottom w:val="nil"/>
            </w:tcBorders>
            <w:shd w:val="clear" w:color="auto" w:fill="F9FCF9"/>
          </w:tcPr>
          <w:p>
            <w:pPr>
              <w:pStyle w:val="TableParagraph"/>
              <w:spacing w:before="24"/>
              <w:ind w:left="4"/>
              <w:rPr>
                <w:sz w:val="18"/>
              </w:rPr>
            </w:pPr>
            <w:r>
              <w:rPr>
                <w:sz w:val="18"/>
              </w:rPr>
              <w:t>-</w:t>
            </w:r>
          </w:p>
        </w:tc>
        <w:tc>
          <w:tcPr>
            <w:tcW w:w="1578" w:type="dxa"/>
            <w:tcBorders>
              <w:top w:val="nil"/>
              <w:bottom w:val="nil"/>
            </w:tcBorders>
            <w:shd w:val="clear" w:color="auto" w:fill="F9FCF9"/>
          </w:tcPr>
          <w:p>
            <w:pPr>
              <w:pStyle w:val="TableParagraph"/>
              <w:spacing w:before="24"/>
              <w:ind w:left="4"/>
              <w:rPr>
                <w:sz w:val="18"/>
              </w:rPr>
            </w:pPr>
            <w:r>
              <w:rPr>
                <w:sz w:val="18"/>
              </w:rPr>
              <w:t>-</w:t>
            </w:r>
          </w:p>
        </w:tc>
        <w:tc>
          <w:tcPr>
            <w:tcW w:w="1578" w:type="dxa"/>
            <w:tcBorders>
              <w:top w:val="nil"/>
              <w:bottom w:val="nil"/>
            </w:tcBorders>
            <w:shd w:val="clear" w:color="auto" w:fill="F9FCF9"/>
          </w:tcPr>
          <w:p>
            <w:pPr>
              <w:pStyle w:val="TableParagraph"/>
              <w:spacing w:before="24"/>
              <w:ind w:left="4"/>
              <w:rPr>
                <w:sz w:val="18"/>
              </w:rPr>
            </w:pPr>
            <w:r>
              <w:rPr>
                <w:sz w:val="18"/>
              </w:rPr>
              <w:t>-</w:t>
            </w:r>
          </w:p>
        </w:tc>
        <w:tc>
          <w:tcPr>
            <w:tcW w:w="2220" w:type="dxa"/>
            <w:tcBorders>
              <w:top w:val="nil"/>
              <w:bottom w:val="nil"/>
            </w:tcBorders>
            <w:shd w:val="clear" w:color="auto" w:fill="F9FCF9"/>
          </w:tcPr>
          <w:p>
            <w:pPr>
              <w:pStyle w:val="TableParagraph"/>
              <w:spacing w:before="24"/>
              <w:ind w:left="4"/>
              <w:rPr>
                <w:sz w:val="18"/>
              </w:rPr>
            </w:pPr>
            <w:r>
              <w:rPr>
                <w:sz w:val="18"/>
              </w:rPr>
              <w:t>-</w:t>
            </w:r>
          </w:p>
        </w:tc>
      </w:tr>
      <w:tr>
        <w:trPr>
          <w:trHeight w:val="295" w:hRule="atLeast"/>
        </w:trPr>
        <w:tc>
          <w:tcPr>
            <w:tcW w:w="3440" w:type="dxa"/>
            <w:tcBorders>
              <w:top w:val="nil"/>
              <w:bottom w:val="nil"/>
            </w:tcBorders>
            <w:shd w:val="clear" w:color="auto" w:fill="F9FCF9"/>
          </w:tcPr>
          <w:p>
            <w:pPr>
              <w:pStyle w:val="TableParagraph"/>
              <w:spacing w:before="24"/>
              <w:ind w:right="70"/>
              <w:jc w:val="right"/>
              <w:rPr>
                <w:sz w:val="18"/>
              </w:rPr>
            </w:pPr>
            <w:r>
              <w:rPr>
                <w:sz w:val="18"/>
              </w:rPr>
              <w:t>Sulfur</w:t>
            </w:r>
          </w:p>
        </w:tc>
        <w:tc>
          <w:tcPr>
            <w:tcW w:w="1578" w:type="dxa"/>
            <w:tcBorders>
              <w:top w:val="nil"/>
              <w:bottom w:val="nil"/>
            </w:tcBorders>
            <w:shd w:val="clear" w:color="auto" w:fill="F9FCF9"/>
          </w:tcPr>
          <w:p>
            <w:pPr>
              <w:pStyle w:val="TableParagraph"/>
              <w:spacing w:before="24"/>
              <w:ind w:left="5"/>
              <w:rPr>
                <w:sz w:val="18"/>
              </w:rPr>
            </w:pPr>
            <w:r>
              <w:rPr>
                <w:sz w:val="18"/>
              </w:rPr>
              <w:t>-</w:t>
            </w:r>
          </w:p>
        </w:tc>
        <w:tc>
          <w:tcPr>
            <w:tcW w:w="1578" w:type="dxa"/>
            <w:tcBorders>
              <w:top w:val="nil"/>
              <w:bottom w:val="nil"/>
            </w:tcBorders>
            <w:shd w:val="clear" w:color="auto" w:fill="F9FCF9"/>
          </w:tcPr>
          <w:p>
            <w:pPr>
              <w:pStyle w:val="TableParagraph"/>
              <w:spacing w:before="24"/>
              <w:ind w:left="5"/>
              <w:rPr>
                <w:sz w:val="18"/>
              </w:rPr>
            </w:pPr>
            <w:r>
              <w:rPr>
                <w:sz w:val="18"/>
              </w:rPr>
              <w:t>-</w:t>
            </w:r>
          </w:p>
        </w:tc>
        <w:tc>
          <w:tcPr>
            <w:tcW w:w="1578" w:type="dxa"/>
            <w:tcBorders>
              <w:top w:val="nil"/>
              <w:bottom w:val="nil"/>
            </w:tcBorders>
            <w:shd w:val="clear" w:color="auto" w:fill="F9FCF9"/>
          </w:tcPr>
          <w:p>
            <w:pPr>
              <w:pStyle w:val="TableParagraph"/>
              <w:spacing w:before="24"/>
              <w:ind w:left="434" w:right="430"/>
              <w:rPr>
                <w:sz w:val="18"/>
              </w:rPr>
            </w:pPr>
            <w:r>
              <w:rPr>
                <w:sz w:val="18"/>
              </w:rPr>
              <w:t>7.53</w:t>
            </w:r>
          </w:p>
        </w:tc>
        <w:tc>
          <w:tcPr>
            <w:tcW w:w="1578" w:type="dxa"/>
            <w:tcBorders>
              <w:top w:val="nil"/>
              <w:bottom w:val="nil"/>
            </w:tcBorders>
            <w:shd w:val="clear" w:color="auto" w:fill="F9FCF9"/>
          </w:tcPr>
          <w:p>
            <w:pPr>
              <w:pStyle w:val="TableParagraph"/>
              <w:spacing w:before="24"/>
              <w:ind w:left="434" w:right="430"/>
              <w:rPr>
                <w:sz w:val="18"/>
              </w:rPr>
            </w:pPr>
            <w:r>
              <w:rPr>
                <w:sz w:val="18"/>
              </w:rPr>
              <w:t>1.04</w:t>
            </w:r>
          </w:p>
        </w:tc>
        <w:tc>
          <w:tcPr>
            <w:tcW w:w="1578" w:type="dxa"/>
            <w:tcBorders>
              <w:top w:val="nil"/>
              <w:bottom w:val="nil"/>
            </w:tcBorders>
            <w:shd w:val="clear" w:color="auto" w:fill="F9FCF9"/>
          </w:tcPr>
          <w:p>
            <w:pPr>
              <w:pStyle w:val="TableParagraph"/>
              <w:spacing w:before="24"/>
              <w:ind w:left="4"/>
              <w:rPr>
                <w:sz w:val="18"/>
              </w:rPr>
            </w:pPr>
            <w:r>
              <w:rPr>
                <w:sz w:val="18"/>
              </w:rPr>
              <w:t>-</w:t>
            </w:r>
          </w:p>
        </w:tc>
        <w:tc>
          <w:tcPr>
            <w:tcW w:w="2220" w:type="dxa"/>
            <w:tcBorders>
              <w:top w:val="nil"/>
              <w:bottom w:val="nil"/>
            </w:tcBorders>
            <w:shd w:val="clear" w:color="auto" w:fill="F9FCF9"/>
          </w:tcPr>
          <w:p>
            <w:pPr>
              <w:pStyle w:val="TableParagraph"/>
              <w:spacing w:before="24"/>
              <w:ind w:left="4"/>
              <w:rPr>
                <w:sz w:val="18"/>
              </w:rPr>
            </w:pPr>
            <w:r>
              <w:rPr>
                <w:sz w:val="18"/>
              </w:rPr>
              <w:t>-</w:t>
            </w:r>
          </w:p>
        </w:tc>
      </w:tr>
      <w:tr>
        <w:trPr>
          <w:trHeight w:val="267" w:hRule="atLeast"/>
        </w:trPr>
        <w:tc>
          <w:tcPr>
            <w:tcW w:w="3440" w:type="dxa"/>
            <w:tcBorders>
              <w:top w:val="nil"/>
            </w:tcBorders>
            <w:shd w:val="clear" w:color="auto" w:fill="F9FCF9"/>
          </w:tcPr>
          <w:p>
            <w:pPr>
              <w:pStyle w:val="TableParagraph"/>
              <w:spacing w:before="24"/>
              <w:ind w:right="70"/>
              <w:jc w:val="right"/>
              <w:rPr>
                <w:sz w:val="18"/>
              </w:rPr>
            </w:pPr>
            <w:r>
              <w:rPr>
                <w:sz w:val="18"/>
              </w:rPr>
              <w:t>Spent CCS sorbent</w:t>
            </w:r>
          </w:p>
        </w:tc>
        <w:tc>
          <w:tcPr>
            <w:tcW w:w="1578" w:type="dxa"/>
            <w:tcBorders>
              <w:top w:val="nil"/>
            </w:tcBorders>
            <w:shd w:val="clear" w:color="auto" w:fill="F9FCF9"/>
          </w:tcPr>
          <w:p>
            <w:pPr>
              <w:pStyle w:val="TableParagraph"/>
              <w:spacing w:before="24"/>
              <w:ind w:left="435" w:right="430"/>
              <w:rPr>
                <w:sz w:val="18"/>
              </w:rPr>
            </w:pPr>
            <w:r>
              <w:rPr>
                <w:sz w:val="18"/>
              </w:rPr>
              <w:t>4.05</w:t>
            </w:r>
          </w:p>
        </w:tc>
        <w:tc>
          <w:tcPr>
            <w:tcW w:w="1578" w:type="dxa"/>
            <w:tcBorders>
              <w:top w:val="nil"/>
            </w:tcBorders>
            <w:shd w:val="clear" w:color="auto" w:fill="F9FCF9"/>
          </w:tcPr>
          <w:p>
            <w:pPr>
              <w:pStyle w:val="TableParagraph"/>
              <w:spacing w:before="24"/>
              <w:ind w:left="435" w:right="430"/>
              <w:rPr>
                <w:sz w:val="18"/>
              </w:rPr>
            </w:pPr>
            <w:r>
              <w:rPr>
                <w:sz w:val="18"/>
              </w:rPr>
              <w:t>4.05</w:t>
            </w:r>
          </w:p>
        </w:tc>
        <w:tc>
          <w:tcPr>
            <w:tcW w:w="1578" w:type="dxa"/>
            <w:tcBorders>
              <w:top w:val="nil"/>
            </w:tcBorders>
            <w:shd w:val="clear" w:color="auto" w:fill="F9FCF9"/>
          </w:tcPr>
          <w:p>
            <w:pPr>
              <w:pStyle w:val="TableParagraph"/>
              <w:spacing w:before="24"/>
              <w:ind w:left="434" w:right="430"/>
              <w:rPr>
                <w:sz w:val="18"/>
              </w:rPr>
            </w:pPr>
            <w:r>
              <w:rPr>
                <w:sz w:val="18"/>
              </w:rPr>
              <w:t>0.005</w:t>
            </w:r>
          </w:p>
        </w:tc>
        <w:tc>
          <w:tcPr>
            <w:tcW w:w="1578" w:type="dxa"/>
            <w:tcBorders>
              <w:top w:val="nil"/>
            </w:tcBorders>
            <w:shd w:val="clear" w:color="auto" w:fill="F9FCF9"/>
          </w:tcPr>
          <w:p>
            <w:pPr>
              <w:pStyle w:val="TableParagraph"/>
              <w:spacing w:before="24"/>
              <w:ind w:left="434" w:right="430"/>
              <w:rPr>
                <w:sz w:val="18"/>
              </w:rPr>
            </w:pPr>
            <w:r>
              <w:rPr>
                <w:sz w:val="18"/>
              </w:rPr>
              <w:t>0.005</w:t>
            </w:r>
          </w:p>
        </w:tc>
        <w:tc>
          <w:tcPr>
            <w:tcW w:w="1578" w:type="dxa"/>
            <w:tcBorders>
              <w:top w:val="nil"/>
            </w:tcBorders>
            <w:shd w:val="clear" w:color="auto" w:fill="F9FCF9"/>
          </w:tcPr>
          <w:p>
            <w:pPr>
              <w:pStyle w:val="TableParagraph"/>
              <w:spacing w:before="24"/>
              <w:ind w:left="434" w:right="430"/>
              <w:rPr>
                <w:sz w:val="18"/>
              </w:rPr>
            </w:pPr>
            <w:r>
              <w:rPr>
                <w:sz w:val="18"/>
              </w:rPr>
              <w:t>0.94</w:t>
            </w:r>
          </w:p>
        </w:tc>
        <w:tc>
          <w:tcPr>
            <w:tcW w:w="2220" w:type="dxa"/>
            <w:tcBorders>
              <w:top w:val="nil"/>
            </w:tcBorders>
            <w:shd w:val="clear" w:color="auto" w:fill="F9FCF9"/>
          </w:tcPr>
          <w:p>
            <w:pPr>
              <w:pStyle w:val="TableParagraph"/>
              <w:spacing w:before="24"/>
              <w:ind w:left="756" w:right="752"/>
              <w:rPr>
                <w:sz w:val="18"/>
              </w:rPr>
            </w:pPr>
            <w:r>
              <w:rPr>
                <w:sz w:val="18"/>
              </w:rPr>
              <w:t>0.94</w:t>
            </w:r>
          </w:p>
        </w:tc>
      </w:tr>
      <w:tr>
        <w:trPr>
          <w:trHeight w:val="289" w:hRule="atLeast"/>
        </w:trPr>
        <w:tc>
          <w:tcPr>
            <w:tcW w:w="3440" w:type="dxa"/>
            <w:tcBorders>
              <w:bottom w:val="nil"/>
            </w:tcBorders>
            <w:shd w:val="clear" w:color="auto" w:fill="EBF4EA"/>
          </w:tcPr>
          <w:p>
            <w:pPr>
              <w:pStyle w:val="TableParagraph"/>
              <w:spacing w:before="42"/>
              <w:ind w:left="77"/>
              <w:jc w:val="left"/>
              <w:rPr>
                <w:sz w:val="18"/>
              </w:rPr>
            </w:pPr>
            <w:r>
              <w:rPr>
                <w:sz w:val="18"/>
              </w:rPr>
              <w:t>Atmospheric emissions</w:t>
            </w:r>
          </w:p>
        </w:tc>
        <w:tc>
          <w:tcPr>
            <w:tcW w:w="1578" w:type="dxa"/>
            <w:tcBorders>
              <w:bottom w:val="nil"/>
            </w:tcBorders>
            <w:shd w:val="clear" w:color="auto" w:fill="EBF4EA"/>
          </w:tcPr>
          <w:p>
            <w:pPr>
              <w:pStyle w:val="TableParagraph"/>
              <w:jc w:val="left"/>
              <w:rPr>
                <w:sz w:val="16"/>
              </w:rPr>
            </w:pPr>
          </w:p>
        </w:tc>
        <w:tc>
          <w:tcPr>
            <w:tcW w:w="1578" w:type="dxa"/>
            <w:tcBorders>
              <w:bottom w:val="nil"/>
            </w:tcBorders>
            <w:shd w:val="clear" w:color="auto" w:fill="EBF4EA"/>
          </w:tcPr>
          <w:p>
            <w:pPr>
              <w:pStyle w:val="TableParagraph"/>
              <w:jc w:val="left"/>
              <w:rPr>
                <w:sz w:val="16"/>
              </w:rPr>
            </w:pPr>
          </w:p>
        </w:tc>
        <w:tc>
          <w:tcPr>
            <w:tcW w:w="1578" w:type="dxa"/>
            <w:tcBorders>
              <w:bottom w:val="nil"/>
            </w:tcBorders>
            <w:shd w:val="clear" w:color="auto" w:fill="EBF4EA"/>
          </w:tcPr>
          <w:p>
            <w:pPr>
              <w:pStyle w:val="TableParagraph"/>
              <w:jc w:val="left"/>
              <w:rPr>
                <w:sz w:val="16"/>
              </w:rPr>
            </w:pPr>
          </w:p>
        </w:tc>
        <w:tc>
          <w:tcPr>
            <w:tcW w:w="1578" w:type="dxa"/>
            <w:tcBorders>
              <w:bottom w:val="nil"/>
            </w:tcBorders>
            <w:shd w:val="clear" w:color="auto" w:fill="EBF4EA"/>
          </w:tcPr>
          <w:p>
            <w:pPr>
              <w:pStyle w:val="TableParagraph"/>
              <w:jc w:val="left"/>
              <w:rPr>
                <w:sz w:val="16"/>
              </w:rPr>
            </w:pPr>
          </w:p>
        </w:tc>
        <w:tc>
          <w:tcPr>
            <w:tcW w:w="1578" w:type="dxa"/>
            <w:tcBorders>
              <w:bottom w:val="nil"/>
            </w:tcBorders>
            <w:shd w:val="clear" w:color="auto" w:fill="EBF4EA"/>
          </w:tcPr>
          <w:p>
            <w:pPr>
              <w:pStyle w:val="TableParagraph"/>
              <w:jc w:val="left"/>
              <w:rPr>
                <w:sz w:val="16"/>
              </w:rPr>
            </w:pPr>
          </w:p>
        </w:tc>
        <w:tc>
          <w:tcPr>
            <w:tcW w:w="2220" w:type="dxa"/>
            <w:tcBorders>
              <w:bottom w:val="nil"/>
            </w:tcBorders>
            <w:shd w:val="clear" w:color="auto" w:fill="EBF4EA"/>
          </w:tcPr>
          <w:p>
            <w:pPr>
              <w:pStyle w:val="TableParagraph"/>
              <w:jc w:val="left"/>
              <w:rPr>
                <w:sz w:val="16"/>
              </w:rPr>
            </w:pPr>
          </w:p>
        </w:tc>
      </w:tr>
      <w:tr>
        <w:trPr>
          <w:trHeight w:val="317" w:hRule="atLeast"/>
        </w:trPr>
        <w:tc>
          <w:tcPr>
            <w:tcW w:w="3440" w:type="dxa"/>
            <w:tcBorders>
              <w:top w:val="nil"/>
              <w:bottom w:val="nil"/>
            </w:tcBorders>
            <w:shd w:val="clear" w:color="auto" w:fill="F9FCF9"/>
          </w:tcPr>
          <w:p>
            <w:pPr>
              <w:pStyle w:val="TableParagraph"/>
              <w:spacing w:before="47"/>
              <w:ind w:right="70"/>
              <w:jc w:val="right"/>
              <w:rPr>
                <w:sz w:val="10"/>
              </w:rPr>
            </w:pPr>
            <w:r>
              <w:rPr>
                <w:sz w:val="18"/>
              </w:rPr>
              <w:t>CO</w:t>
            </w:r>
            <w:r>
              <w:rPr>
                <w:position w:val="-5"/>
                <w:sz w:val="10"/>
              </w:rPr>
              <w:t>2</w:t>
            </w:r>
          </w:p>
        </w:tc>
        <w:tc>
          <w:tcPr>
            <w:tcW w:w="1578" w:type="dxa"/>
            <w:tcBorders>
              <w:top w:val="nil"/>
              <w:bottom w:val="nil"/>
            </w:tcBorders>
            <w:shd w:val="clear" w:color="auto" w:fill="F9FCF9"/>
          </w:tcPr>
          <w:p>
            <w:pPr>
              <w:pStyle w:val="TableParagraph"/>
              <w:spacing w:before="47"/>
              <w:ind w:left="435" w:right="430"/>
              <w:rPr>
                <w:sz w:val="18"/>
              </w:rPr>
            </w:pPr>
            <w:r>
              <w:rPr>
                <w:sz w:val="18"/>
              </w:rPr>
              <w:t>107</w:t>
            </w:r>
          </w:p>
        </w:tc>
        <w:tc>
          <w:tcPr>
            <w:tcW w:w="1578" w:type="dxa"/>
            <w:tcBorders>
              <w:top w:val="nil"/>
              <w:bottom w:val="nil"/>
            </w:tcBorders>
            <w:shd w:val="clear" w:color="auto" w:fill="F9FCF9"/>
          </w:tcPr>
          <w:p>
            <w:pPr>
              <w:pStyle w:val="TableParagraph"/>
              <w:spacing w:before="47"/>
              <w:ind w:left="435" w:right="430"/>
              <w:rPr>
                <w:i/>
                <w:sz w:val="18"/>
              </w:rPr>
            </w:pPr>
            <w:r>
              <w:rPr>
                <w:i/>
                <w:sz w:val="18"/>
              </w:rPr>
              <w:t>–704</w:t>
            </w:r>
          </w:p>
        </w:tc>
        <w:tc>
          <w:tcPr>
            <w:tcW w:w="1578" w:type="dxa"/>
            <w:tcBorders>
              <w:top w:val="nil"/>
              <w:bottom w:val="nil"/>
            </w:tcBorders>
            <w:shd w:val="clear" w:color="auto" w:fill="F9FCF9"/>
          </w:tcPr>
          <w:p>
            <w:pPr>
              <w:pStyle w:val="TableParagraph"/>
              <w:spacing w:before="47"/>
              <w:ind w:left="434" w:right="430"/>
              <w:rPr>
                <w:sz w:val="18"/>
              </w:rPr>
            </w:pPr>
            <w:r>
              <w:rPr>
                <w:sz w:val="18"/>
              </w:rPr>
              <w:t>97</w:t>
            </w:r>
          </w:p>
        </w:tc>
        <w:tc>
          <w:tcPr>
            <w:tcW w:w="1578" w:type="dxa"/>
            <w:tcBorders>
              <w:top w:val="nil"/>
              <w:bottom w:val="nil"/>
            </w:tcBorders>
            <w:shd w:val="clear" w:color="auto" w:fill="F9FCF9"/>
          </w:tcPr>
          <w:p>
            <w:pPr>
              <w:pStyle w:val="TableParagraph"/>
              <w:spacing w:before="47"/>
              <w:ind w:left="434" w:right="430"/>
              <w:rPr>
                <w:i/>
                <w:sz w:val="18"/>
              </w:rPr>
            </w:pPr>
            <w:r>
              <w:rPr>
                <w:i/>
                <w:sz w:val="18"/>
              </w:rPr>
              <w:t>-720</w:t>
            </w:r>
          </w:p>
        </w:tc>
        <w:tc>
          <w:tcPr>
            <w:tcW w:w="1578" w:type="dxa"/>
            <w:tcBorders>
              <w:top w:val="nil"/>
              <w:bottom w:val="nil"/>
            </w:tcBorders>
            <w:shd w:val="clear" w:color="auto" w:fill="F9FCF9"/>
          </w:tcPr>
          <w:p>
            <w:pPr>
              <w:pStyle w:val="TableParagraph"/>
              <w:spacing w:before="47"/>
              <w:ind w:left="434" w:right="430"/>
              <w:rPr>
                <w:sz w:val="18"/>
              </w:rPr>
            </w:pPr>
            <w:r>
              <w:rPr>
                <w:sz w:val="18"/>
              </w:rPr>
              <w:t>43</w:t>
            </w:r>
          </w:p>
        </w:tc>
        <w:tc>
          <w:tcPr>
            <w:tcW w:w="2220" w:type="dxa"/>
            <w:tcBorders>
              <w:top w:val="nil"/>
              <w:bottom w:val="nil"/>
            </w:tcBorders>
            <w:shd w:val="clear" w:color="auto" w:fill="F9FCF9"/>
          </w:tcPr>
          <w:p>
            <w:pPr>
              <w:pStyle w:val="TableParagraph"/>
              <w:spacing w:before="47"/>
              <w:ind w:left="756" w:right="752"/>
              <w:rPr>
                <w:i/>
                <w:sz w:val="18"/>
              </w:rPr>
            </w:pPr>
            <w:r>
              <w:rPr>
                <w:i/>
                <w:sz w:val="18"/>
              </w:rPr>
              <w:t>–342</w:t>
            </w:r>
          </w:p>
        </w:tc>
      </w:tr>
      <w:tr>
        <w:trPr>
          <w:trHeight w:val="295" w:hRule="atLeast"/>
        </w:trPr>
        <w:tc>
          <w:tcPr>
            <w:tcW w:w="3440" w:type="dxa"/>
            <w:tcBorders>
              <w:top w:val="nil"/>
              <w:bottom w:val="nil"/>
            </w:tcBorders>
            <w:shd w:val="clear" w:color="auto" w:fill="F9FCF9"/>
          </w:tcPr>
          <w:p>
            <w:pPr>
              <w:pStyle w:val="TableParagraph"/>
              <w:spacing w:before="24"/>
              <w:ind w:right="70"/>
              <w:jc w:val="right"/>
              <w:rPr>
                <w:sz w:val="10"/>
              </w:rPr>
            </w:pPr>
            <w:r>
              <w:rPr>
                <w:sz w:val="18"/>
              </w:rPr>
              <w:t>SO</w:t>
            </w:r>
            <w:r>
              <w:rPr>
                <w:position w:val="-5"/>
                <w:sz w:val="10"/>
              </w:rPr>
              <w:t>x</w:t>
            </w:r>
          </w:p>
        </w:tc>
        <w:tc>
          <w:tcPr>
            <w:tcW w:w="1578" w:type="dxa"/>
            <w:tcBorders>
              <w:top w:val="nil"/>
              <w:bottom w:val="nil"/>
            </w:tcBorders>
            <w:shd w:val="clear" w:color="auto" w:fill="F9FCF9"/>
          </w:tcPr>
          <w:p>
            <w:pPr>
              <w:pStyle w:val="TableParagraph"/>
              <w:spacing w:before="24"/>
              <w:ind w:left="435" w:right="430"/>
              <w:rPr>
                <w:sz w:val="18"/>
              </w:rPr>
            </w:pPr>
            <w:r>
              <w:rPr>
                <w:sz w:val="18"/>
              </w:rPr>
              <w:t>0.001</w:t>
            </w:r>
          </w:p>
        </w:tc>
        <w:tc>
          <w:tcPr>
            <w:tcW w:w="1578" w:type="dxa"/>
            <w:tcBorders>
              <w:top w:val="nil"/>
              <w:bottom w:val="nil"/>
            </w:tcBorders>
            <w:shd w:val="clear" w:color="auto" w:fill="F9FCF9"/>
          </w:tcPr>
          <w:p>
            <w:pPr>
              <w:pStyle w:val="TableParagraph"/>
              <w:spacing w:before="24"/>
              <w:ind w:left="435" w:right="430"/>
              <w:rPr>
                <w:i/>
                <w:sz w:val="18"/>
              </w:rPr>
            </w:pPr>
            <w:r>
              <w:rPr>
                <w:i/>
                <w:sz w:val="18"/>
              </w:rPr>
              <w:t>–0.29</w:t>
            </w:r>
          </w:p>
        </w:tc>
        <w:tc>
          <w:tcPr>
            <w:tcW w:w="1578" w:type="dxa"/>
            <w:tcBorders>
              <w:top w:val="nil"/>
              <w:bottom w:val="nil"/>
            </w:tcBorders>
            <w:shd w:val="clear" w:color="auto" w:fill="F9FCF9"/>
          </w:tcPr>
          <w:p>
            <w:pPr>
              <w:pStyle w:val="TableParagraph"/>
              <w:spacing w:before="24"/>
              <w:ind w:left="434" w:right="430"/>
              <w:rPr>
                <w:sz w:val="18"/>
              </w:rPr>
            </w:pPr>
            <w:r>
              <w:rPr>
                <w:sz w:val="18"/>
              </w:rPr>
              <w:t>0.33</w:t>
            </w:r>
          </w:p>
        </w:tc>
        <w:tc>
          <w:tcPr>
            <w:tcW w:w="1578" w:type="dxa"/>
            <w:tcBorders>
              <w:top w:val="nil"/>
              <w:bottom w:val="nil"/>
            </w:tcBorders>
            <w:shd w:val="clear" w:color="auto" w:fill="F9FCF9"/>
          </w:tcPr>
          <w:p>
            <w:pPr>
              <w:pStyle w:val="TableParagraph"/>
              <w:spacing w:before="24"/>
              <w:ind w:left="434" w:right="430"/>
              <w:rPr>
                <w:sz w:val="18"/>
              </w:rPr>
            </w:pPr>
            <w:r>
              <w:rPr>
                <w:sz w:val="18"/>
              </w:rPr>
              <w:t>0.05</w:t>
            </w:r>
          </w:p>
        </w:tc>
        <w:tc>
          <w:tcPr>
            <w:tcW w:w="1578" w:type="dxa"/>
            <w:tcBorders>
              <w:top w:val="nil"/>
              <w:bottom w:val="nil"/>
            </w:tcBorders>
            <w:shd w:val="clear" w:color="auto" w:fill="F9FCF9"/>
          </w:tcPr>
          <w:p>
            <w:pPr>
              <w:pStyle w:val="TableParagraph"/>
              <w:spacing w:before="24"/>
              <w:ind w:left="4"/>
              <w:rPr>
                <w:sz w:val="18"/>
              </w:rPr>
            </w:pPr>
            <w:r>
              <w:rPr>
                <w:sz w:val="18"/>
              </w:rPr>
              <w:t>-</w:t>
            </w:r>
          </w:p>
        </w:tc>
        <w:tc>
          <w:tcPr>
            <w:tcW w:w="2220" w:type="dxa"/>
            <w:tcBorders>
              <w:top w:val="nil"/>
              <w:bottom w:val="nil"/>
            </w:tcBorders>
            <w:shd w:val="clear" w:color="auto" w:fill="F9FCF9"/>
          </w:tcPr>
          <w:p>
            <w:pPr>
              <w:pStyle w:val="TableParagraph"/>
              <w:spacing w:before="24"/>
              <w:ind w:left="4"/>
              <w:rPr>
                <w:sz w:val="18"/>
              </w:rPr>
            </w:pPr>
            <w:r>
              <w:rPr>
                <w:sz w:val="18"/>
              </w:rPr>
              <w:t>-</w:t>
            </w:r>
          </w:p>
        </w:tc>
      </w:tr>
      <w:tr>
        <w:trPr>
          <w:trHeight w:val="295" w:hRule="atLeast"/>
        </w:trPr>
        <w:tc>
          <w:tcPr>
            <w:tcW w:w="3440" w:type="dxa"/>
            <w:tcBorders>
              <w:top w:val="nil"/>
              <w:bottom w:val="nil"/>
            </w:tcBorders>
            <w:shd w:val="clear" w:color="auto" w:fill="F9FCF9"/>
          </w:tcPr>
          <w:p>
            <w:pPr>
              <w:pStyle w:val="TableParagraph"/>
              <w:spacing w:before="24"/>
              <w:ind w:right="70"/>
              <w:jc w:val="right"/>
              <w:rPr>
                <w:sz w:val="10"/>
              </w:rPr>
            </w:pPr>
            <w:r>
              <w:rPr>
                <w:sz w:val="18"/>
              </w:rPr>
              <w:t>NO</w:t>
            </w:r>
            <w:r>
              <w:rPr>
                <w:position w:val="-5"/>
                <w:sz w:val="10"/>
              </w:rPr>
              <w:t>x</w:t>
            </w:r>
          </w:p>
        </w:tc>
        <w:tc>
          <w:tcPr>
            <w:tcW w:w="1578" w:type="dxa"/>
            <w:tcBorders>
              <w:top w:val="nil"/>
              <w:bottom w:val="nil"/>
            </w:tcBorders>
            <w:shd w:val="clear" w:color="auto" w:fill="F9FCF9"/>
          </w:tcPr>
          <w:p>
            <w:pPr>
              <w:pStyle w:val="TableParagraph"/>
              <w:spacing w:before="24"/>
              <w:ind w:left="435" w:right="430"/>
              <w:rPr>
                <w:sz w:val="18"/>
              </w:rPr>
            </w:pPr>
            <w:r>
              <w:rPr>
                <w:sz w:val="18"/>
              </w:rPr>
              <w:t>0.77</w:t>
            </w:r>
          </w:p>
        </w:tc>
        <w:tc>
          <w:tcPr>
            <w:tcW w:w="1578" w:type="dxa"/>
            <w:tcBorders>
              <w:top w:val="nil"/>
              <w:bottom w:val="nil"/>
            </w:tcBorders>
            <w:shd w:val="clear" w:color="auto" w:fill="F9FCF9"/>
          </w:tcPr>
          <w:p>
            <w:pPr>
              <w:pStyle w:val="TableParagraph"/>
              <w:spacing w:before="24"/>
              <w:ind w:left="435" w:right="430"/>
              <w:rPr>
                <w:sz w:val="18"/>
              </w:rPr>
            </w:pPr>
            <w:r>
              <w:rPr>
                <w:sz w:val="18"/>
              </w:rPr>
              <w:t>0.18</w:t>
            </w:r>
          </w:p>
        </w:tc>
        <w:tc>
          <w:tcPr>
            <w:tcW w:w="1578" w:type="dxa"/>
            <w:tcBorders>
              <w:top w:val="nil"/>
              <w:bottom w:val="nil"/>
            </w:tcBorders>
            <w:shd w:val="clear" w:color="auto" w:fill="F9FCF9"/>
          </w:tcPr>
          <w:p>
            <w:pPr>
              <w:pStyle w:val="TableParagraph"/>
              <w:spacing w:before="24"/>
              <w:ind w:left="434" w:right="430"/>
              <w:rPr>
                <w:sz w:val="18"/>
              </w:rPr>
            </w:pPr>
            <w:r>
              <w:rPr>
                <w:sz w:val="18"/>
              </w:rPr>
              <w:t>0.10</w:t>
            </w:r>
          </w:p>
        </w:tc>
        <w:tc>
          <w:tcPr>
            <w:tcW w:w="1578" w:type="dxa"/>
            <w:tcBorders>
              <w:top w:val="nil"/>
              <w:bottom w:val="nil"/>
            </w:tcBorders>
            <w:shd w:val="clear" w:color="auto" w:fill="F9FCF9"/>
          </w:tcPr>
          <w:p>
            <w:pPr>
              <w:pStyle w:val="TableParagraph"/>
              <w:spacing w:before="24"/>
              <w:ind w:left="434" w:right="430"/>
              <w:rPr>
                <w:sz w:val="18"/>
              </w:rPr>
            </w:pPr>
            <w:r>
              <w:rPr>
                <w:sz w:val="18"/>
              </w:rPr>
              <w:t>0.01</w:t>
            </w:r>
          </w:p>
        </w:tc>
        <w:tc>
          <w:tcPr>
            <w:tcW w:w="1578" w:type="dxa"/>
            <w:tcBorders>
              <w:top w:val="nil"/>
              <w:bottom w:val="nil"/>
            </w:tcBorders>
            <w:shd w:val="clear" w:color="auto" w:fill="F9FCF9"/>
          </w:tcPr>
          <w:p>
            <w:pPr>
              <w:pStyle w:val="TableParagraph"/>
              <w:spacing w:before="24"/>
              <w:ind w:left="434" w:right="430"/>
              <w:rPr>
                <w:sz w:val="18"/>
              </w:rPr>
            </w:pPr>
            <w:r>
              <w:rPr>
                <w:sz w:val="18"/>
              </w:rPr>
              <w:t>0.11</w:t>
            </w:r>
          </w:p>
        </w:tc>
        <w:tc>
          <w:tcPr>
            <w:tcW w:w="2220" w:type="dxa"/>
            <w:tcBorders>
              <w:top w:val="nil"/>
              <w:bottom w:val="nil"/>
            </w:tcBorders>
            <w:shd w:val="clear" w:color="auto" w:fill="F9FCF9"/>
          </w:tcPr>
          <w:p>
            <w:pPr>
              <w:pStyle w:val="TableParagraph"/>
              <w:spacing w:before="24"/>
              <w:ind w:left="756" w:right="752"/>
              <w:rPr>
                <w:sz w:val="18"/>
              </w:rPr>
            </w:pPr>
            <w:r>
              <w:rPr>
                <w:sz w:val="18"/>
              </w:rPr>
              <w:t>0.02</w:t>
            </w:r>
          </w:p>
        </w:tc>
      </w:tr>
      <w:tr>
        <w:trPr>
          <w:trHeight w:val="267" w:hRule="atLeast"/>
        </w:trPr>
        <w:tc>
          <w:tcPr>
            <w:tcW w:w="3440" w:type="dxa"/>
            <w:tcBorders>
              <w:top w:val="nil"/>
            </w:tcBorders>
            <w:shd w:val="clear" w:color="auto" w:fill="F9FCF9"/>
          </w:tcPr>
          <w:p>
            <w:pPr>
              <w:pStyle w:val="TableParagraph"/>
              <w:spacing w:line="223" w:lineRule="exact" w:before="24"/>
              <w:ind w:right="70"/>
              <w:jc w:val="right"/>
              <w:rPr>
                <w:sz w:val="10"/>
              </w:rPr>
            </w:pPr>
            <w:r>
              <w:rPr>
                <w:sz w:val="18"/>
              </w:rPr>
              <w:t>NH</w:t>
            </w:r>
            <w:r>
              <w:rPr>
                <w:position w:val="-5"/>
                <w:sz w:val="10"/>
              </w:rPr>
              <w:t>3</w:t>
            </w:r>
          </w:p>
        </w:tc>
        <w:tc>
          <w:tcPr>
            <w:tcW w:w="1578" w:type="dxa"/>
            <w:tcBorders>
              <w:top w:val="nil"/>
            </w:tcBorders>
            <w:shd w:val="clear" w:color="auto" w:fill="F9FCF9"/>
          </w:tcPr>
          <w:p>
            <w:pPr>
              <w:pStyle w:val="TableParagraph"/>
              <w:spacing w:before="24"/>
              <w:ind w:left="435" w:right="430"/>
              <w:rPr>
                <w:sz w:val="18"/>
              </w:rPr>
            </w:pPr>
            <w:r>
              <w:rPr>
                <w:sz w:val="18"/>
              </w:rPr>
              <w:t>0.23</w:t>
            </w:r>
          </w:p>
        </w:tc>
        <w:tc>
          <w:tcPr>
            <w:tcW w:w="1578" w:type="dxa"/>
            <w:tcBorders>
              <w:top w:val="nil"/>
            </w:tcBorders>
            <w:shd w:val="clear" w:color="auto" w:fill="F9FCF9"/>
          </w:tcPr>
          <w:p>
            <w:pPr>
              <w:pStyle w:val="TableParagraph"/>
              <w:spacing w:before="24"/>
              <w:ind w:left="435" w:right="430"/>
              <w:rPr>
                <w:sz w:val="18"/>
              </w:rPr>
            </w:pPr>
            <w:r>
              <w:rPr>
                <w:sz w:val="18"/>
              </w:rPr>
              <w:t>0.22</w:t>
            </w:r>
          </w:p>
        </w:tc>
        <w:tc>
          <w:tcPr>
            <w:tcW w:w="1578" w:type="dxa"/>
            <w:tcBorders>
              <w:top w:val="nil"/>
            </w:tcBorders>
            <w:shd w:val="clear" w:color="auto" w:fill="F9FCF9"/>
          </w:tcPr>
          <w:p>
            <w:pPr>
              <w:pStyle w:val="TableParagraph"/>
              <w:spacing w:before="24"/>
              <w:ind w:left="4"/>
              <w:rPr>
                <w:sz w:val="18"/>
              </w:rPr>
            </w:pPr>
            <w:r>
              <w:rPr>
                <w:sz w:val="18"/>
              </w:rPr>
              <w:t>-</w:t>
            </w:r>
          </w:p>
        </w:tc>
        <w:tc>
          <w:tcPr>
            <w:tcW w:w="1578" w:type="dxa"/>
            <w:tcBorders>
              <w:top w:val="nil"/>
            </w:tcBorders>
            <w:shd w:val="clear" w:color="auto" w:fill="F9FCF9"/>
          </w:tcPr>
          <w:p>
            <w:pPr>
              <w:pStyle w:val="TableParagraph"/>
              <w:spacing w:before="24"/>
              <w:ind w:left="4"/>
              <w:rPr>
                <w:sz w:val="18"/>
              </w:rPr>
            </w:pPr>
            <w:r>
              <w:rPr>
                <w:sz w:val="18"/>
              </w:rPr>
              <w:t>-</w:t>
            </w:r>
          </w:p>
        </w:tc>
        <w:tc>
          <w:tcPr>
            <w:tcW w:w="1578" w:type="dxa"/>
            <w:tcBorders>
              <w:top w:val="nil"/>
            </w:tcBorders>
            <w:shd w:val="clear" w:color="auto" w:fill="F9FCF9"/>
          </w:tcPr>
          <w:p>
            <w:pPr>
              <w:pStyle w:val="TableParagraph"/>
              <w:spacing w:before="24"/>
              <w:ind w:left="434" w:right="430"/>
              <w:rPr>
                <w:sz w:val="18"/>
              </w:rPr>
            </w:pPr>
            <w:r>
              <w:rPr>
                <w:sz w:val="18"/>
              </w:rPr>
              <w:t>0.002</w:t>
            </w:r>
          </w:p>
        </w:tc>
        <w:tc>
          <w:tcPr>
            <w:tcW w:w="2220" w:type="dxa"/>
            <w:tcBorders>
              <w:top w:val="nil"/>
            </w:tcBorders>
            <w:shd w:val="clear" w:color="auto" w:fill="F9FCF9"/>
          </w:tcPr>
          <w:p>
            <w:pPr>
              <w:pStyle w:val="TableParagraph"/>
              <w:spacing w:before="24"/>
              <w:ind w:left="756" w:right="752"/>
              <w:rPr>
                <w:sz w:val="18"/>
              </w:rPr>
            </w:pPr>
            <w:r>
              <w:rPr>
                <w:sz w:val="18"/>
              </w:rPr>
              <w:t>0.002</w:t>
            </w:r>
          </w:p>
        </w:tc>
      </w:tr>
    </w:tbl>
    <w:p>
      <w:pPr>
        <w:pStyle w:val="BodyText"/>
        <w:spacing w:before="7"/>
        <w:rPr>
          <w:sz w:val="16"/>
        </w:rPr>
      </w:pPr>
    </w:p>
    <w:p>
      <w:pPr>
        <w:spacing w:line="254" w:lineRule="auto" w:before="1"/>
        <w:ind w:left="760" w:right="802" w:hanging="151"/>
        <w:jc w:val="left"/>
        <w:rPr>
          <w:sz w:val="18"/>
        </w:rPr>
      </w:pPr>
      <w:r>
        <w:rPr>
          <w:position w:val="6"/>
          <w:sz w:val="10"/>
        </w:rPr>
        <w:t>a </w:t>
      </w:r>
      <w:r>
        <w:rPr>
          <w:sz w:val="18"/>
        </w:rPr>
        <w:t>Net power output of all plants is approximately 500 MW. Coal plants use Pittsburgh #8 coal with 2.1%S, 7.2% ash, 5.1% moisture and 303.2 MJ kg</w:t>
      </w:r>
      <w:r>
        <w:rPr>
          <w:position w:val="6"/>
          <w:sz w:val="10"/>
        </w:rPr>
        <w:t>-1 </w:t>
      </w:r>
      <w:r>
        <w:rPr>
          <w:sz w:val="18"/>
        </w:rPr>
        <w:t>lower heating value basis (LHV). Natural gas LHV = 59.9 MJ kg</w:t>
      </w:r>
      <w:r>
        <w:rPr>
          <w:position w:val="6"/>
          <w:sz w:val="10"/>
        </w:rPr>
        <w:t>-1</w:t>
      </w:r>
      <w:r>
        <w:rPr>
          <w:sz w:val="18"/>
        </w:rPr>
        <w:t>. All plants capture 90% of potential CO</w:t>
      </w:r>
      <w:r>
        <w:rPr>
          <w:position w:val="-5"/>
          <w:sz w:val="10"/>
        </w:rPr>
        <w:t>2 </w:t>
      </w:r>
      <w:r>
        <w:rPr>
          <w:sz w:val="18"/>
        </w:rPr>
        <w:t>emissions and compress to 13.7 MPa.</w:t>
      </w:r>
    </w:p>
    <w:p>
      <w:pPr>
        <w:spacing w:line="165" w:lineRule="exact" w:before="0"/>
        <w:ind w:left="610" w:right="0" w:firstLine="0"/>
        <w:jc w:val="left"/>
        <w:rPr>
          <w:sz w:val="18"/>
        </w:rPr>
      </w:pPr>
      <w:r>
        <w:rPr/>
        <w:pict>
          <v:shape style="position:absolute;margin-left:553.681213pt;margin-top:5.382445pt;width:2.65pt;height:5.25pt;mso-position-horizontal-relative:page;mso-position-vertical-relative:paragraph;z-index:-272408576"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position w:val="6"/>
          <w:sz w:val="10"/>
        </w:rPr>
        <w:t>b </w:t>
      </w:r>
      <w:r>
        <w:rPr>
          <w:sz w:val="18"/>
        </w:rPr>
        <w:t>PC= Pulverized coal-fired plant; based on a supercritical unit with SCR, ESP and FGD systems, followed by an amine system for CO capture. SCR system assumes 2 ppmv</w:t>
      </w:r>
    </w:p>
    <w:p>
      <w:pPr>
        <w:spacing w:line="235" w:lineRule="exact" w:before="13"/>
        <w:ind w:left="760" w:right="0" w:firstLine="0"/>
        <w:jc w:val="left"/>
        <w:rPr>
          <w:sz w:val="18"/>
        </w:rPr>
      </w:pPr>
      <w:r>
        <w:rPr>
          <w:sz w:val="18"/>
        </w:rPr>
        <w:t>ammonia slip. SO</w:t>
      </w:r>
      <w:r>
        <w:rPr>
          <w:position w:val="-5"/>
          <w:sz w:val="10"/>
        </w:rPr>
        <w:t>2 </w:t>
      </w:r>
      <w:r>
        <w:rPr>
          <w:sz w:val="18"/>
        </w:rPr>
        <w:t>removal efficiency is 98% for reference plant and 99% for capture plant. Net plant efficiency (LHV basis) is 40.9% without CCS and 31.2% with CCS.</w:t>
      </w:r>
    </w:p>
    <w:p>
      <w:pPr>
        <w:spacing w:line="192" w:lineRule="exact" w:before="0"/>
        <w:ind w:left="610" w:right="0" w:firstLine="0"/>
        <w:jc w:val="left"/>
        <w:rPr>
          <w:sz w:val="18"/>
        </w:rPr>
      </w:pPr>
      <w:r>
        <w:rPr>
          <w:position w:val="6"/>
          <w:sz w:val="10"/>
        </w:rPr>
        <w:t>c </w:t>
      </w:r>
      <w:r>
        <w:rPr>
          <w:sz w:val="18"/>
        </w:rPr>
        <w:t>IGCC=integrated gasification combined cycle system based on Texaco quench gasifiers (2 + 1 spare), two GE 7FA gas turbines, 3-pressure reheat HRSG. Sulfur removal</w:t>
      </w:r>
    </w:p>
    <w:p>
      <w:pPr>
        <w:spacing w:line="254" w:lineRule="auto" w:before="13"/>
        <w:ind w:left="760" w:right="802" w:firstLine="0"/>
        <w:jc w:val="left"/>
        <w:rPr>
          <w:sz w:val="18"/>
        </w:rPr>
      </w:pPr>
      <w:r>
        <w:rPr>
          <w:sz w:val="18"/>
        </w:rPr>
        <w:t>efficiency is 98% via hydrolyzer plus Selexol system; Sulfur recovery via Claus plant and Beavon-Stretford tailgas unit. Net plant efficiency (LHV basis) is 39.1% without CCS and 33.8% with CCS.</w:t>
      </w:r>
    </w:p>
    <w:p>
      <w:pPr>
        <w:spacing w:line="211" w:lineRule="auto" w:before="16"/>
        <w:ind w:left="760" w:right="1120" w:hanging="151"/>
        <w:jc w:val="left"/>
        <w:rPr>
          <w:sz w:val="18"/>
        </w:rPr>
      </w:pPr>
      <w:r>
        <w:rPr>
          <w:position w:val="6"/>
          <w:sz w:val="10"/>
        </w:rPr>
        <w:t>d </w:t>
      </w:r>
      <w:r>
        <w:rPr>
          <w:sz w:val="18"/>
        </w:rPr>
        <w:t>NGCC=natural gas combined cycle plant using two GE 7FA gas turbines and 3-pressure reheat HRSG, with an amine system for CO</w:t>
      </w:r>
      <w:r>
        <w:rPr>
          <w:position w:val="-5"/>
          <w:sz w:val="10"/>
        </w:rPr>
        <w:t>2 </w:t>
      </w:r>
      <w:r>
        <w:rPr>
          <w:sz w:val="18"/>
        </w:rPr>
        <w:t>capture. Net plant efficiency (LHV basis) is 55.8% without CCS and 47.6% with CCS.</w:t>
      </w:r>
    </w:p>
    <w:p>
      <w:pPr>
        <w:spacing w:after="0" w:line="211" w:lineRule="auto"/>
        <w:jc w:val="left"/>
        <w:rPr>
          <w:sz w:val="18"/>
        </w:rPr>
        <w:sectPr>
          <w:headerReference w:type="even" r:id="rId178"/>
          <w:pgSz w:w="15840" w:h="12240" w:orient="landscape"/>
          <w:pgMar w:header="0" w:footer="0" w:top="0" w:bottom="280" w:left="600" w:right="1020"/>
        </w:sectPr>
      </w:pPr>
    </w:p>
    <w:p>
      <w:pPr>
        <w:pStyle w:val="BodyText"/>
        <w:spacing w:line="240" w:lineRule="exact" w:before="51"/>
        <w:ind w:left="513"/>
        <w:jc w:val="both"/>
      </w:pPr>
      <w:bookmarkStart w:name="3.6.2 Issues related to the classificati" w:id="63"/>
      <w:bookmarkEnd w:id="63"/>
      <w:r>
        <w:rPr/>
      </w:r>
      <w:bookmarkStart w:name="3.6.3 Health and safety risks associated" w:id="64"/>
      <w:bookmarkEnd w:id="64"/>
      <w:r>
        <w:rPr/>
      </w:r>
      <w:r>
        <w:rPr/>
        <w:t>capture). For example, the efficiency of a modern coal-based plant with capture is close to many older coal-burning plants currently in service. Replacing the latter with the former  would thus reduce CO</w:t>
      </w:r>
      <w:r>
        <w:rPr>
          <w:position w:val="-6"/>
          <w:sz w:val="11"/>
        </w:rPr>
        <w:t>2  </w:t>
      </w:r>
      <w:r>
        <w:rPr/>
        <w:t>emissions significantly with little or  no net change in plant coal consumption or related solid waste impacts. In some cases, there could in fact be net reductions in other</w:t>
      </w:r>
      <w:r>
        <w:rPr>
          <w:spacing w:val="-7"/>
        </w:rPr>
        <w:t> </w:t>
      </w:r>
      <w:r>
        <w:rPr/>
        <w:t>plant</w:t>
      </w:r>
      <w:r>
        <w:rPr>
          <w:spacing w:val="-6"/>
        </w:rPr>
        <w:t> </w:t>
      </w:r>
      <w:r>
        <w:rPr/>
        <w:t>emissions,</w:t>
      </w:r>
      <w:r>
        <w:rPr>
          <w:spacing w:val="-6"/>
        </w:rPr>
        <w:t> </w:t>
      </w:r>
      <w:r>
        <w:rPr/>
        <w:t>in</w:t>
      </w:r>
      <w:r>
        <w:rPr>
          <w:spacing w:val="-7"/>
        </w:rPr>
        <w:t> </w:t>
      </w:r>
      <w:r>
        <w:rPr/>
        <w:t>support</w:t>
      </w:r>
      <w:r>
        <w:rPr>
          <w:spacing w:val="-6"/>
        </w:rPr>
        <w:t> </w:t>
      </w:r>
      <w:r>
        <w:rPr/>
        <w:t>of</w:t>
      </w:r>
      <w:r>
        <w:rPr>
          <w:spacing w:val="-6"/>
        </w:rPr>
        <w:t> </w:t>
      </w:r>
      <w:r>
        <w:rPr/>
        <w:t>clean</w:t>
      </w:r>
      <w:r>
        <w:rPr>
          <w:spacing w:val="-7"/>
        </w:rPr>
        <w:t> </w:t>
      </w:r>
      <w:r>
        <w:rPr/>
        <w:t>air</w:t>
      </w:r>
      <w:r>
        <w:rPr>
          <w:spacing w:val="-6"/>
        </w:rPr>
        <w:t> </w:t>
      </w:r>
      <w:r>
        <w:rPr/>
        <w:t>goals.</w:t>
      </w:r>
      <w:r>
        <w:rPr>
          <w:spacing w:val="-6"/>
        </w:rPr>
        <w:t> </w:t>
      </w:r>
      <w:r>
        <w:rPr/>
        <w:t>If,</w:t>
      </w:r>
      <w:r>
        <w:rPr>
          <w:spacing w:val="-7"/>
        </w:rPr>
        <w:t> </w:t>
      </w:r>
      <w:r>
        <w:rPr/>
        <w:t>however, the deployment of new CCS plants is delayed significantly,</w:t>
      </w:r>
      <w:bookmarkStart w:name="3.6.4 Plant design principles and guidel" w:id="65"/>
      <w:bookmarkEnd w:id="65"/>
      <w:r>
        <w:rPr/>
      </w:r>
      <w:r>
        <w:rPr/>
        <w:t> older existing plants could well be replaced by modern high- efficiency plants without capture.  Such  plants  also  would  be built to provide additional capacity in regions with high electricity growth rates, such as in China and other parts of Asia </w:t>
      </w:r>
      <w:r>
        <w:rPr>
          <w:spacing w:val="-3"/>
        </w:rPr>
        <w:t>today. </w:t>
      </w:r>
      <w:r>
        <w:rPr/>
        <w:t>A decade or two from </w:t>
      </w:r>
      <w:r>
        <w:rPr>
          <w:spacing w:val="-4"/>
        </w:rPr>
        <w:t>now, </w:t>
      </w:r>
      <w:r>
        <w:rPr/>
        <w:t>the fleet of ‘existing’ plants in those regions would thus look very different from the present. Accordingly, the environmental and resource impacts of additional new plants with CO</w:t>
      </w:r>
      <w:r>
        <w:rPr>
          <w:position w:val="-6"/>
          <w:sz w:val="11"/>
        </w:rPr>
        <w:t>2 </w:t>
      </w:r>
      <w:r>
        <w:rPr/>
        <w:t>capture would have to be assessed in the context of the future</w:t>
      </w:r>
      <w:r>
        <w:rPr>
          <w:spacing w:val="-2"/>
        </w:rPr>
        <w:t> </w:t>
      </w:r>
      <w:r>
        <w:rPr/>
        <w:t>situation.</w:t>
      </w:r>
    </w:p>
    <w:p>
      <w:pPr>
        <w:pStyle w:val="BodyText"/>
        <w:spacing w:line="240" w:lineRule="exact"/>
        <w:ind w:left="513" w:right="10" w:firstLine="284"/>
        <w:jc w:val="both"/>
      </w:pPr>
      <w:r>
        <w:rPr/>
        <w:t>Because comparisons of different plant types require a specific context (or scenario) to be meaningful, this chapter has only focused on characterizing the effects of CO</w:t>
      </w:r>
      <w:r>
        <w:rPr>
          <w:position w:val="-6"/>
          <w:sz w:val="11"/>
        </w:rPr>
        <w:t>2 </w:t>
      </w:r>
      <w:r>
        <w:rPr/>
        <w:t>capture systems relative to the same type of power plant and not the type of infrastructure it would replace (either currently, or in a future carbon-constrained world). If other systems such as the use</w:t>
      </w:r>
      <w:r>
        <w:rPr>
          <w:spacing w:val="-11"/>
        </w:rPr>
        <w:t> </w:t>
      </w:r>
      <w:r>
        <w:rPr/>
        <w:t>of</w:t>
      </w:r>
      <w:r>
        <w:rPr>
          <w:spacing w:val="-10"/>
        </w:rPr>
        <w:t> </w:t>
      </w:r>
      <w:r>
        <w:rPr/>
        <w:t>renewable</w:t>
      </w:r>
      <w:r>
        <w:rPr>
          <w:spacing w:val="-11"/>
        </w:rPr>
        <w:t> </w:t>
      </w:r>
      <w:r>
        <w:rPr>
          <w:spacing w:val="-3"/>
        </w:rPr>
        <w:t>energy,</w:t>
      </w:r>
      <w:r>
        <w:rPr>
          <w:spacing w:val="-10"/>
        </w:rPr>
        <w:t> </w:t>
      </w:r>
      <w:r>
        <w:rPr/>
        <w:t>or</w:t>
      </w:r>
      <w:r>
        <w:rPr>
          <w:spacing w:val="-10"/>
        </w:rPr>
        <w:t> </w:t>
      </w:r>
      <w:r>
        <w:rPr/>
        <w:t>electricity</w:t>
      </w:r>
      <w:r>
        <w:rPr>
          <w:spacing w:val="-11"/>
        </w:rPr>
        <w:t> </w:t>
      </w:r>
      <w:r>
        <w:rPr/>
        <w:t>and</w:t>
      </w:r>
      <w:r>
        <w:rPr>
          <w:spacing w:val="-10"/>
        </w:rPr>
        <w:t> </w:t>
      </w:r>
      <w:r>
        <w:rPr/>
        <w:t>synfuels</w:t>
      </w:r>
      <w:r>
        <w:rPr>
          <w:spacing w:val="-10"/>
        </w:rPr>
        <w:t> </w:t>
      </w:r>
      <w:r>
        <w:rPr/>
        <w:t>cogenerated from</w:t>
      </w:r>
      <w:r>
        <w:rPr>
          <w:spacing w:val="-19"/>
        </w:rPr>
        <w:t> </w:t>
      </w:r>
      <w:r>
        <w:rPr/>
        <w:t>coal,</w:t>
      </w:r>
      <w:r>
        <w:rPr>
          <w:spacing w:val="-18"/>
        </w:rPr>
        <w:t> </w:t>
      </w:r>
      <w:r>
        <w:rPr/>
        <w:t>find</w:t>
      </w:r>
      <w:r>
        <w:rPr>
          <w:spacing w:val="-18"/>
        </w:rPr>
        <w:t> </w:t>
      </w:r>
      <w:r>
        <w:rPr/>
        <w:t>significant</w:t>
      </w:r>
      <w:r>
        <w:rPr>
          <w:spacing w:val="-18"/>
        </w:rPr>
        <w:t> </w:t>
      </w:r>
      <w:r>
        <w:rPr/>
        <w:t>applications,</w:t>
      </w:r>
      <w:r>
        <w:rPr>
          <w:spacing w:val="-18"/>
        </w:rPr>
        <w:t> </w:t>
      </w:r>
      <w:r>
        <w:rPr/>
        <w:t>those</w:t>
      </w:r>
      <w:r>
        <w:rPr>
          <w:spacing w:val="-18"/>
        </w:rPr>
        <w:t> </w:t>
      </w:r>
      <w:r>
        <w:rPr/>
        <w:t>systems</w:t>
      </w:r>
      <w:r>
        <w:rPr>
          <w:spacing w:val="-19"/>
        </w:rPr>
        <w:t> </w:t>
      </w:r>
      <w:r>
        <w:rPr/>
        <w:t>too</w:t>
      </w:r>
      <w:r>
        <w:rPr>
          <w:spacing w:val="-18"/>
        </w:rPr>
        <w:t> </w:t>
      </w:r>
      <w:r>
        <w:rPr/>
        <w:t>would require</w:t>
      </w:r>
      <w:r>
        <w:rPr>
          <w:spacing w:val="-24"/>
        </w:rPr>
        <w:t> </w:t>
      </w:r>
      <w:r>
        <w:rPr/>
        <w:t>more</w:t>
      </w:r>
      <w:r>
        <w:rPr>
          <w:spacing w:val="-23"/>
        </w:rPr>
        <w:t> </w:t>
      </w:r>
      <w:r>
        <w:rPr/>
        <w:t>comprehensive</w:t>
      </w:r>
      <w:r>
        <w:rPr>
          <w:spacing w:val="-24"/>
        </w:rPr>
        <w:t> </w:t>
      </w:r>
      <w:r>
        <w:rPr/>
        <w:t>comparative</w:t>
      </w:r>
      <w:r>
        <w:rPr>
          <w:spacing w:val="-24"/>
        </w:rPr>
        <w:t> </w:t>
      </w:r>
      <w:r>
        <w:rPr/>
        <w:t>life-cycle</w:t>
      </w:r>
      <w:r>
        <w:rPr>
          <w:spacing w:val="-23"/>
        </w:rPr>
        <w:t> </w:t>
      </w:r>
      <w:r>
        <w:rPr/>
        <w:t>assessments of resource use and impacts that are not currently available. Chapter 8, however, assesses overall energy use impacts </w:t>
      </w:r>
      <w:r>
        <w:rPr>
          <w:spacing w:val="-4"/>
        </w:rPr>
        <w:t>for </w:t>
      </w:r>
      <w:r>
        <w:rPr/>
        <w:t>illustrative scenarios of CCS deployment in competition with other carbon mitigation options.</w:t>
      </w:r>
    </w:p>
    <w:p>
      <w:pPr>
        <w:pStyle w:val="BodyText"/>
        <w:spacing w:before="3"/>
        <w:rPr>
          <w:sz w:val="21"/>
        </w:rPr>
      </w:pPr>
    </w:p>
    <w:p>
      <w:pPr>
        <w:pStyle w:val="Heading2"/>
        <w:numPr>
          <w:ilvl w:val="2"/>
          <w:numId w:val="25"/>
        </w:numPr>
        <w:tabs>
          <w:tab w:pos="1333" w:val="left" w:leader="none"/>
          <w:tab w:pos="1334" w:val="left" w:leader="none"/>
        </w:tabs>
        <w:spacing w:line="240" w:lineRule="auto" w:before="1" w:after="0"/>
        <w:ind w:left="1333" w:right="0" w:hanging="821"/>
        <w:jc w:val="left"/>
        <w:rPr>
          <w:i/>
        </w:rPr>
      </w:pPr>
      <w:r>
        <w:rPr>
          <w:i/>
        </w:rPr>
        <w:t>Issues related to the classification of</w:t>
      </w:r>
      <w:r>
        <w:rPr>
          <w:i/>
          <w:spacing w:val="-9"/>
        </w:rPr>
        <w:t> </w:t>
      </w:r>
      <w:r>
        <w:rPr>
          <w:i/>
        </w:rPr>
        <w:t>carbon</w:t>
      </w:r>
    </w:p>
    <w:p>
      <w:pPr>
        <w:spacing w:before="10"/>
        <w:ind w:left="1333" w:right="0" w:firstLine="0"/>
        <w:jc w:val="left"/>
        <w:rPr>
          <w:b/>
          <w:i/>
          <w:sz w:val="20"/>
        </w:rPr>
      </w:pPr>
      <w:r>
        <w:rPr>
          <w:b/>
          <w:i/>
          <w:sz w:val="20"/>
        </w:rPr>
        <w:t>dioxide as a product</w:t>
      </w:r>
    </w:p>
    <w:p>
      <w:pPr>
        <w:pStyle w:val="BodyText"/>
        <w:spacing w:before="8"/>
        <w:rPr>
          <w:b/>
          <w:i/>
          <w:sz w:val="21"/>
        </w:rPr>
      </w:pPr>
    </w:p>
    <w:p>
      <w:pPr>
        <w:pStyle w:val="BodyText"/>
        <w:spacing w:line="249" w:lineRule="auto"/>
        <w:ind w:left="513" w:right="11"/>
        <w:jc w:val="both"/>
      </w:pPr>
      <w:r>
        <w:rPr/>
        <w:t>As a current commercial product, carbon dioxide is subject    to classification and regulations. The classification of carbon dioxide is dependent on its physical state (gas, liquid or  solid), its concentration, impurities present and other criteria established by national legislative classification in </w:t>
      </w:r>
      <w:r>
        <w:rPr>
          <w:spacing w:val="-3"/>
        </w:rPr>
        <w:t>different </w:t>
      </w:r>
      <w:r>
        <w:rPr/>
        <w:t>regions of the world. During the capture and concentration process, the quality properties can change the classification of the</w:t>
      </w:r>
      <w:r>
        <w:rPr>
          <w:spacing w:val="-9"/>
        </w:rPr>
        <w:t> </w:t>
      </w:r>
      <w:r>
        <w:rPr/>
        <w:t>substance.</w:t>
      </w:r>
      <w:r>
        <w:rPr>
          <w:spacing w:val="-18"/>
        </w:rPr>
        <w:t> </w:t>
      </w:r>
      <w:r>
        <w:rPr/>
        <w:t>A</w:t>
      </w:r>
      <w:r>
        <w:rPr>
          <w:spacing w:val="-19"/>
        </w:rPr>
        <w:t> </w:t>
      </w:r>
      <w:r>
        <w:rPr/>
        <w:t>detailed</w:t>
      </w:r>
      <w:r>
        <w:rPr>
          <w:spacing w:val="-8"/>
        </w:rPr>
        <w:t> </w:t>
      </w:r>
      <w:r>
        <w:rPr/>
        <w:t>assessment</w:t>
      </w:r>
      <w:r>
        <w:rPr>
          <w:spacing w:val="-9"/>
        </w:rPr>
        <w:t> </w:t>
      </w:r>
      <w:r>
        <w:rPr/>
        <w:t>of</w:t>
      </w:r>
      <w:r>
        <w:rPr>
          <w:spacing w:val="-8"/>
        </w:rPr>
        <w:t> </w:t>
      </w:r>
      <w:r>
        <w:rPr/>
        <w:t>carbon</w:t>
      </w:r>
      <w:r>
        <w:rPr>
          <w:spacing w:val="-8"/>
        </w:rPr>
        <w:t> </w:t>
      </w:r>
      <w:r>
        <w:rPr/>
        <w:t>dioxide</w:t>
      </w:r>
      <w:r>
        <w:rPr>
          <w:spacing w:val="-8"/>
        </w:rPr>
        <w:t> </w:t>
      </w:r>
      <w:r>
        <w:rPr/>
        <w:t>physical and chemical properties is provided in Annex</w:t>
      </w:r>
      <w:r>
        <w:rPr>
          <w:spacing w:val="-14"/>
        </w:rPr>
        <w:t> </w:t>
      </w:r>
      <w:r>
        <w:rPr/>
        <w:t>I.</w:t>
      </w:r>
    </w:p>
    <w:p>
      <w:pPr>
        <w:pStyle w:val="BodyText"/>
        <w:spacing w:line="249" w:lineRule="auto" w:before="7"/>
        <w:ind w:left="513" w:right="11" w:firstLine="284"/>
        <w:jc w:val="both"/>
      </w:pPr>
      <w:r>
        <w:rPr/>
        <w:t>The environmental, monitoring, risk and legal aspects associated with carbon dioxide handling and storage are well established in the processing industry. However, much larger volumes</w:t>
      </w:r>
      <w:r>
        <w:rPr>
          <w:spacing w:val="-14"/>
        </w:rPr>
        <w:t> </w:t>
      </w:r>
      <w:r>
        <w:rPr/>
        <w:t>are</w:t>
      </w:r>
      <w:r>
        <w:rPr>
          <w:spacing w:val="-13"/>
        </w:rPr>
        <w:t> </w:t>
      </w:r>
      <w:r>
        <w:rPr/>
        <w:t>targeted</w:t>
      </w:r>
      <w:r>
        <w:rPr>
          <w:spacing w:val="-14"/>
        </w:rPr>
        <w:t> </w:t>
      </w:r>
      <w:r>
        <w:rPr/>
        <w:t>for</w:t>
      </w:r>
      <w:r>
        <w:rPr>
          <w:spacing w:val="-12"/>
        </w:rPr>
        <w:t> </w:t>
      </w:r>
      <w:r>
        <w:rPr/>
        <w:t>carbon</w:t>
      </w:r>
      <w:r>
        <w:rPr>
          <w:spacing w:val="-14"/>
        </w:rPr>
        <w:t> </w:t>
      </w:r>
      <w:r>
        <w:rPr/>
        <w:t>dioxide</w:t>
      </w:r>
      <w:r>
        <w:rPr>
          <w:spacing w:val="-13"/>
        </w:rPr>
        <w:t> </w:t>
      </w:r>
      <w:r>
        <w:rPr/>
        <w:t>processing</w:t>
      </w:r>
      <w:r>
        <w:rPr>
          <w:spacing w:val="-14"/>
        </w:rPr>
        <w:t> </w:t>
      </w:r>
      <w:r>
        <w:rPr/>
        <w:t>for</w:t>
      </w:r>
      <w:r>
        <w:rPr>
          <w:spacing w:val="-12"/>
        </w:rPr>
        <w:t> </w:t>
      </w:r>
      <w:r>
        <w:rPr/>
        <w:t>purposes of CCS than the volumes handled at present. On a local </w:t>
      </w:r>
      <w:r>
        <w:rPr>
          <w:spacing w:val="-4"/>
        </w:rPr>
        <w:t>and </w:t>
      </w:r>
      <w:r>
        <w:rPr/>
        <w:t>regional level, additional emergency response and </w:t>
      </w:r>
      <w:r>
        <w:rPr>
          <w:spacing w:val="-3"/>
        </w:rPr>
        <w:t>other </w:t>
      </w:r>
      <w:r>
        <w:rPr/>
        <w:t>regulatory measures can be expected in the future, depending on the rate of development of CCS. It is anticipated that</w:t>
      </w:r>
      <w:r>
        <w:rPr>
          <w:spacing w:val="-23"/>
        </w:rPr>
        <w:t> </w:t>
      </w:r>
      <w:r>
        <w:rPr>
          <w:spacing w:val="-3"/>
        </w:rPr>
        <w:t>human </w:t>
      </w:r>
      <w:r>
        <w:rPr/>
        <w:t>capacity will be developed to assess the monitoring, risk and legal aspects as required by the market.</w:t>
      </w:r>
    </w:p>
    <w:p>
      <w:pPr>
        <w:pStyle w:val="BodyText"/>
        <w:spacing w:line="249" w:lineRule="auto" w:before="9"/>
        <w:ind w:left="513" w:right="12" w:firstLine="284"/>
        <w:jc w:val="both"/>
      </w:pPr>
      <w:r>
        <w:rPr/>
        <w:t>At present, carbon dioxide typically occurs and is mainly traded</w:t>
      </w:r>
      <w:r>
        <w:rPr>
          <w:spacing w:val="-28"/>
        </w:rPr>
        <w:t> </w:t>
      </w:r>
      <w:r>
        <w:rPr/>
        <w:t>as</w:t>
      </w:r>
      <w:r>
        <w:rPr>
          <w:spacing w:val="-27"/>
        </w:rPr>
        <w:t> </w:t>
      </w:r>
      <w:r>
        <w:rPr/>
        <w:t>a</w:t>
      </w:r>
      <w:r>
        <w:rPr>
          <w:spacing w:val="-27"/>
        </w:rPr>
        <w:t> </w:t>
      </w:r>
      <w:r>
        <w:rPr/>
        <w:t>non-flammable</w:t>
      </w:r>
      <w:r>
        <w:rPr>
          <w:spacing w:val="-27"/>
        </w:rPr>
        <w:t> </w:t>
      </w:r>
      <w:r>
        <w:rPr/>
        <w:t>gas</w:t>
      </w:r>
      <w:r>
        <w:rPr>
          <w:spacing w:val="-27"/>
        </w:rPr>
        <w:t> </w:t>
      </w:r>
      <w:r>
        <w:rPr/>
        <w:t>(US</w:t>
      </w:r>
      <w:r>
        <w:rPr>
          <w:spacing w:val="-28"/>
        </w:rPr>
        <w:t> </w:t>
      </w:r>
      <w:r>
        <w:rPr/>
        <w:t>Department</w:t>
      </w:r>
      <w:r>
        <w:rPr>
          <w:spacing w:val="-27"/>
        </w:rPr>
        <w:t> </w:t>
      </w:r>
      <w:r>
        <w:rPr/>
        <w:t>of</w:t>
      </w:r>
      <w:r>
        <w:rPr>
          <w:spacing w:val="-30"/>
        </w:rPr>
        <w:t> </w:t>
      </w:r>
      <w:r>
        <w:rPr/>
        <w:t>Transportation classification class 2.2). The classification system of</w:t>
      </w:r>
      <w:r>
        <w:rPr>
          <w:spacing w:val="10"/>
        </w:rPr>
        <w:t> </w:t>
      </w:r>
      <w:r>
        <w:rPr/>
        <w:t>Transport</w:t>
      </w:r>
    </w:p>
    <w:p>
      <w:pPr>
        <w:pStyle w:val="BodyText"/>
        <w:spacing w:line="249" w:lineRule="auto" w:before="56"/>
        <w:ind w:left="228" w:right="114"/>
        <w:jc w:val="both"/>
      </w:pPr>
      <w:r>
        <w:rPr/>
        <w:br w:type="column"/>
      </w:r>
      <w:r>
        <w:rPr/>
        <w:t>Dangerous Goods, International Maritime Organization/ International</w:t>
      </w:r>
      <w:r>
        <w:rPr>
          <w:spacing w:val="-24"/>
        </w:rPr>
        <w:t> </w:t>
      </w:r>
      <w:r>
        <w:rPr/>
        <w:t>Maritime</w:t>
      </w:r>
      <w:r>
        <w:rPr>
          <w:spacing w:val="-24"/>
        </w:rPr>
        <w:t> </w:t>
      </w:r>
      <w:r>
        <w:rPr/>
        <w:t>Dangerous</w:t>
      </w:r>
      <w:r>
        <w:rPr>
          <w:spacing w:val="-24"/>
        </w:rPr>
        <w:t> </w:t>
      </w:r>
      <w:r>
        <w:rPr/>
        <w:t>Goods</w:t>
      </w:r>
      <w:r>
        <w:rPr>
          <w:spacing w:val="-24"/>
        </w:rPr>
        <w:t> </w:t>
      </w:r>
      <w:r>
        <w:rPr/>
        <w:t>and</w:t>
      </w:r>
      <w:r>
        <w:rPr>
          <w:spacing w:val="-23"/>
        </w:rPr>
        <w:t> </w:t>
      </w:r>
      <w:r>
        <w:rPr/>
        <w:t>International</w:t>
      </w:r>
      <w:r>
        <w:rPr>
          <w:spacing w:val="-24"/>
        </w:rPr>
        <w:t> </w:t>
      </w:r>
      <w:r>
        <w:rPr/>
        <w:t>Civil Aviation</w:t>
      </w:r>
      <w:r>
        <w:rPr>
          <w:spacing w:val="-19"/>
        </w:rPr>
        <w:t> </w:t>
      </w:r>
      <w:r>
        <w:rPr/>
        <w:t>Organization</w:t>
      </w:r>
      <w:r>
        <w:rPr>
          <w:spacing w:val="-19"/>
        </w:rPr>
        <w:t> </w:t>
      </w:r>
      <w:r>
        <w:rPr/>
        <w:t>/</w:t>
      </w:r>
      <w:r>
        <w:rPr>
          <w:spacing w:val="-18"/>
        </w:rPr>
        <w:t> </w:t>
      </w:r>
      <w:r>
        <w:rPr/>
        <w:t>International</w:t>
      </w:r>
      <w:r>
        <w:rPr>
          <w:spacing w:val="-28"/>
        </w:rPr>
        <w:t> </w:t>
      </w:r>
      <w:r>
        <w:rPr/>
        <w:t>Air</w:t>
      </w:r>
      <w:r>
        <w:rPr>
          <w:spacing w:val="-21"/>
        </w:rPr>
        <w:t> </w:t>
      </w:r>
      <w:r>
        <w:rPr/>
        <w:t>Transport</w:t>
      </w:r>
      <w:r>
        <w:rPr>
          <w:spacing w:val="-27"/>
        </w:rPr>
        <w:t> </w:t>
      </w:r>
      <w:r>
        <w:rPr/>
        <w:t>Association, all classify carbon dioxide in class 2.2, non-flammable, </w:t>
      </w:r>
      <w:r>
        <w:rPr>
          <w:spacing w:val="-4"/>
        </w:rPr>
        <w:t>non- </w:t>
      </w:r>
      <w:r>
        <w:rPr/>
        <w:t>corrosive and non-poisonous gases. In US federal regulations, carbon dioxide is not listed as a product in the Clean </w:t>
      </w:r>
      <w:r>
        <w:rPr>
          <w:spacing w:val="-4"/>
        </w:rPr>
        <w:t>Water</w:t>
      </w:r>
      <w:r>
        <w:rPr>
          <w:spacing w:val="-26"/>
        </w:rPr>
        <w:t> </w:t>
      </w:r>
      <w:r>
        <w:rPr/>
        <w:t>Act </w:t>
      </w:r>
      <w:r>
        <w:rPr>
          <w:spacing w:val="-6"/>
        </w:rPr>
        <w:t>(CWA </w:t>
      </w:r>
      <w:r>
        <w:rPr/>
        <w:t>307 and 311), Clean Air Act (CAA 112) or the </w:t>
      </w:r>
      <w:r>
        <w:rPr>
          <w:spacing w:val="-3"/>
        </w:rPr>
        <w:t>Toxics </w:t>
      </w:r>
      <w:r>
        <w:rPr/>
        <w:t>Release Inventory. In other international regulations </w:t>
      </w:r>
      <w:r>
        <w:rPr>
          <w:spacing w:val="-3"/>
        </w:rPr>
        <w:t>carbon </w:t>
      </w:r>
      <w:r>
        <w:rPr/>
        <w:t>dioxide is not classified in the European Inventory of Existing Commercial Chemical Substance or other international lists, but in Canada is classified as a compressed gas (class</w:t>
      </w:r>
      <w:r>
        <w:rPr>
          <w:spacing w:val="-38"/>
        </w:rPr>
        <w:t> </w:t>
      </w:r>
      <w:r>
        <w:rPr/>
        <w:t>A) on </w:t>
      </w:r>
      <w:r>
        <w:rPr>
          <w:spacing w:val="-4"/>
        </w:rPr>
        <w:t>the </w:t>
      </w:r>
      <w:r>
        <w:rPr/>
        <w:t>Canadian Energy Pipeline Association Dangerous Substances List (Hazardous Substances Data Bank,</w:t>
      </w:r>
      <w:r>
        <w:rPr>
          <w:spacing w:val="-4"/>
        </w:rPr>
        <w:t> </w:t>
      </w:r>
      <w:r>
        <w:rPr/>
        <w:t>2002).</w:t>
      </w:r>
    </w:p>
    <w:p>
      <w:pPr>
        <w:pStyle w:val="BodyText"/>
        <w:spacing w:before="9"/>
        <w:rPr>
          <w:sz w:val="21"/>
        </w:rPr>
      </w:pPr>
    </w:p>
    <w:p>
      <w:pPr>
        <w:pStyle w:val="Heading2"/>
        <w:numPr>
          <w:ilvl w:val="2"/>
          <w:numId w:val="25"/>
        </w:numPr>
        <w:tabs>
          <w:tab w:pos="1048" w:val="left" w:leader="none"/>
          <w:tab w:pos="1049" w:val="left" w:leader="none"/>
        </w:tabs>
        <w:spacing w:line="249" w:lineRule="auto" w:before="0" w:after="0"/>
        <w:ind w:left="1048" w:right="515" w:hanging="820"/>
        <w:jc w:val="left"/>
      </w:pPr>
      <w:r>
        <w:rPr>
          <w:i/>
        </w:rPr>
        <w:t>Health and safety risks associated with carbon </w:t>
      </w:r>
      <w:r>
        <w:rPr/>
        <w:t>dioxide processing</w:t>
      </w:r>
    </w:p>
    <w:p>
      <w:pPr>
        <w:pStyle w:val="BodyText"/>
        <w:rPr>
          <w:b/>
          <w:i/>
          <w:sz w:val="21"/>
        </w:rPr>
      </w:pPr>
    </w:p>
    <w:p>
      <w:pPr>
        <w:pStyle w:val="BodyText"/>
        <w:ind w:left="228"/>
        <w:jc w:val="both"/>
      </w:pPr>
      <w:r>
        <w:rPr/>
        <w:t>The</w:t>
      </w:r>
      <w:r>
        <w:rPr>
          <w:spacing w:val="-19"/>
        </w:rPr>
        <w:t> </w:t>
      </w:r>
      <w:r>
        <w:rPr/>
        <w:t>effects</w:t>
      </w:r>
      <w:r>
        <w:rPr>
          <w:spacing w:val="-19"/>
        </w:rPr>
        <w:t> </w:t>
      </w:r>
      <w:r>
        <w:rPr/>
        <w:t>of</w:t>
      </w:r>
      <w:r>
        <w:rPr>
          <w:spacing w:val="-18"/>
        </w:rPr>
        <w:t> </w:t>
      </w:r>
      <w:r>
        <w:rPr/>
        <w:t>exposure</w:t>
      </w:r>
      <w:r>
        <w:rPr>
          <w:spacing w:val="-19"/>
        </w:rPr>
        <w:t> </w:t>
      </w:r>
      <w:r>
        <w:rPr/>
        <w:t>to</w:t>
      </w:r>
      <w:r>
        <w:rPr>
          <w:spacing w:val="-19"/>
        </w:rPr>
        <w:t> </w:t>
      </w:r>
      <w:r>
        <w:rPr/>
        <w:t>carbon</w:t>
      </w:r>
      <w:r>
        <w:rPr>
          <w:spacing w:val="-18"/>
        </w:rPr>
        <w:t> </w:t>
      </w:r>
      <w:r>
        <w:rPr/>
        <w:t>dioxide</w:t>
      </w:r>
      <w:r>
        <w:rPr>
          <w:spacing w:val="-19"/>
        </w:rPr>
        <w:t> </w:t>
      </w:r>
      <w:r>
        <w:rPr/>
        <w:t>are</w:t>
      </w:r>
      <w:r>
        <w:rPr>
          <w:spacing w:val="-19"/>
        </w:rPr>
        <w:t> </w:t>
      </w:r>
      <w:r>
        <w:rPr/>
        <w:t>described</w:t>
      </w:r>
      <w:r>
        <w:rPr>
          <w:spacing w:val="-18"/>
        </w:rPr>
        <w:t> </w:t>
      </w:r>
      <w:r>
        <w:rPr/>
        <w:t>in</w:t>
      </w:r>
      <w:r>
        <w:rPr>
          <w:spacing w:val="-30"/>
        </w:rPr>
        <w:t> </w:t>
      </w:r>
      <w:r>
        <w:rPr/>
        <w:t>Annex</w:t>
      </w:r>
    </w:p>
    <w:p>
      <w:pPr>
        <w:pStyle w:val="BodyText"/>
        <w:spacing w:line="249" w:lineRule="auto" w:before="10"/>
        <w:ind w:left="228" w:right="113"/>
        <w:jc w:val="both"/>
      </w:pPr>
      <w:r>
        <w:rPr/>
        <w:t>I.</w:t>
      </w:r>
      <w:r>
        <w:rPr>
          <w:spacing w:val="-6"/>
        </w:rPr>
        <w:t> </w:t>
      </w:r>
      <w:r>
        <w:rPr/>
        <w:t>However,</w:t>
      </w:r>
      <w:r>
        <w:rPr>
          <w:spacing w:val="-6"/>
        </w:rPr>
        <w:t> </w:t>
      </w:r>
      <w:r>
        <w:rPr/>
        <w:t>a</w:t>
      </w:r>
      <w:r>
        <w:rPr>
          <w:spacing w:val="-5"/>
        </w:rPr>
        <w:t> </w:t>
      </w:r>
      <w:r>
        <w:rPr/>
        <w:t>risk</w:t>
      </w:r>
      <w:r>
        <w:rPr>
          <w:spacing w:val="-6"/>
        </w:rPr>
        <w:t> </w:t>
      </w:r>
      <w:r>
        <w:rPr/>
        <w:t>assessment</w:t>
      </w:r>
      <w:r>
        <w:rPr>
          <w:spacing w:val="-6"/>
        </w:rPr>
        <w:t> </w:t>
      </w:r>
      <w:r>
        <w:rPr/>
        <w:t>that</w:t>
      </w:r>
      <w:r>
        <w:rPr>
          <w:spacing w:val="-5"/>
        </w:rPr>
        <w:t> </w:t>
      </w:r>
      <w:r>
        <w:rPr/>
        <w:t>includes</w:t>
      </w:r>
      <w:r>
        <w:rPr>
          <w:spacing w:val="-6"/>
        </w:rPr>
        <w:t> </w:t>
      </w:r>
      <w:r>
        <w:rPr/>
        <w:t>an</w:t>
      </w:r>
      <w:r>
        <w:rPr>
          <w:spacing w:val="-5"/>
        </w:rPr>
        <w:t> </w:t>
      </w:r>
      <w:r>
        <w:rPr/>
        <w:t>understanding</w:t>
      </w:r>
      <w:r>
        <w:rPr>
          <w:spacing w:val="-6"/>
        </w:rPr>
        <w:t> </w:t>
      </w:r>
      <w:r>
        <w:rPr/>
        <w:t>of both</w:t>
      </w:r>
      <w:r>
        <w:rPr>
          <w:spacing w:val="-7"/>
        </w:rPr>
        <w:t> </w:t>
      </w:r>
      <w:r>
        <w:rPr/>
        <w:t>exposure</w:t>
      </w:r>
      <w:r>
        <w:rPr>
          <w:spacing w:val="-6"/>
        </w:rPr>
        <w:t> </w:t>
      </w:r>
      <w:r>
        <w:rPr/>
        <w:t>and</w:t>
      </w:r>
      <w:r>
        <w:rPr>
          <w:spacing w:val="-7"/>
        </w:rPr>
        <w:t> </w:t>
      </w:r>
      <w:r>
        <w:rPr/>
        <w:t>effects</w:t>
      </w:r>
      <w:r>
        <w:rPr>
          <w:spacing w:val="-6"/>
        </w:rPr>
        <w:t> </w:t>
      </w:r>
      <w:r>
        <w:rPr/>
        <w:t>is</w:t>
      </w:r>
      <w:r>
        <w:rPr>
          <w:spacing w:val="-6"/>
        </w:rPr>
        <w:t> </w:t>
      </w:r>
      <w:r>
        <w:rPr/>
        <w:t>required</w:t>
      </w:r>
      <w:r>
        <w:rPr>
          <w:spacing w:val="-7"/>
        </w:rPr>
        <w:t> </w:t>
      </w:r>
      <w:r>
        <w:rPr/>
        <w:t>to</w:t>
      </w:r>
      <w:r>
        <w:rPr>
          <w:spacing w:val="-6"/>
        </w:rPr>
        <w:t> </w:t>
      </w:r>
      <w:r>
        <w:rPr/>
        <w:t>characterize</w:t>
      </w:r>
      <w:r>
        <w:rPr>
          <w:spacing w:val="-7"/>
        </w:rPr>
        <w:t> </w:t>
      </w:r>
      <w:r>
        <w:rPr/>
        <w:t>the</w:t>
      </w:r>
      <w:r>
        <w:rPr>
          <w:spacing w:val="-6"/>
        </w:rPr>
        <w:t> </w:t>
      </w:r>
      <w:r>
        <w:rPr/>
        <w:t>risk</w:t>
      </w:r>
      <w:r>
        <w:rPr>
          <w:spacing w:val="-6"/>
        </w:rPr>
        <w:t> </w:t>
      </w:r>
      <w:r>
        <w:rPr/>
        <w:t>for various situations associated with carbon dioxide processing (European Chemicals Bureau, 2003); see the following </w:t>
      </w:r>
      <w:r>
        <w:rPr>
          <w:spacing w:val="-5"/>
        </w:rPr>
        <w:t>two </w:t>
      </w:r>
      <w:r>
        <w:rPr/>
        <w:t>sections for established risk management practices. The most probable routes of human exposure to carbon dioxide are inhalation or skin contact. The need for a risk-based approach is clear from the following two descriptions. Carbon dioxide and its products of degradation are not legally classified as </w:t>
      </w:r>
      <w:r>
        <w:rPr>
          <w:spacing w:val="-13"/>
        </w:rPr>
        <w:t>a </w:t>
      </w:r>
      <w:r>
        <w:rPr/>
        <w:t>toxic</w:t>
      </w:r>
      <w:r>
        <w:rPr>
          <w:spacing w:val="-13"/>
        </w:rPr>
        <w:t> </w:t>
      </w:r>
      <w:r>
        <w:rPr/>
        <w:t>substance;</w:t>
      </w:r>
      <w:r>
        <w:rPr>
          <w:spacing w:val="-12"/>
        </w:rPr>
        <w:t> </w:t>
      </w:r>
      <w:r>
        <w:rPr/>
        <w:t>is</w:t>
      </w:r>
      <w:r>
        <w:rPr>
          <w:spacing w:val="-12"/>
        </w:rPr>
        <w:t> </w:t>
      </w:r>
      <w:r>
        <w:rPr/>
        <w:t>non-hazardous</w:t>
      </w:r>
      <w:r>
        <w:rPr>
          <w:spacing w:val="-12"/>
        </w:rPr>
        <w:t> </w:t>
      </w:r>
      <w:r>
        <w:rPr/>
        <w:t>on</w:t>
      </w:r>
      <w:r>
        <w:rPr>
          <w:spacing w:val="-12"/>
        </w:rPr>
        <w:t> </w:t>
      </w:r>
      <w:r>
        <w:rPr/>
        <w:t>inhalation,</w:t>
      </w:r>
      <w:r>
        <w:rPr>
          <w:spacing w:val="-12"/>
        </w:rPr>
        <w:t> </w:t>
      </w:r>
      <w:r>
        <w:rPr/>
        <w:t>is</w:t>
      </w:r>
      <w:r>
        <w:rPr>
          <w:spacing w:val="-12"/>
        </w:rPr>
        <w:t> </w:t>
      </w:r>
      <w:r>
        <w:rPr/>
        <w:t>a</w:t>
      </w:r>
      <w:r>
        <w:rPr>
          <w:spacing w:val="-12"/>
        </w:rPr>
        <w:t> </w:t>
      </w:r>
      <w:r>
        <w:rPr/>
        <w:t>non-irritant and does not sensitize or permeate the skin. However, chronic effects on humans follow from long-term exposure to airborne carbon dioxide concentrations of between 0.5 and 1%</w:t>
      </w:r>
      <w:r>
        <w:rPr>
          <w:spacing w:val="-21"/>
        </w:rPr>
        <w:t> </w:t>
      </w:r>
      <w:r>
        <w:rPr/>
        <w:t>resulting in metabolic acidosis and increased calcium deposits in soft tissues.</w:t>
      </w:r>
      <w:r>
        <w:rPr>
          <w:spacing w:val="-8"/>
        </w:rPr>
        <w:t> </w:t>
      </w:r>
      <w:r>
        <w:rPr/>
        <w:t>The</w:t>
      </w:r>
      <w:r>
        <w:rPr>
          <w:spacing w:val="-4"/>
        </w:rPr>
        <w:t> </w:t>
      </w:r>
      <w:r>
        <w:rPr/>
        <w:t>substance</w:t>
      </w:r>
      <w:r>
        <w:rPr>
          <w:spacing w:val="-5"/>
        </w:rPr>
        <w:t> </w:t>
      </w:r>
      <w:r>
        <w:rPr/>
        <w:t>is</w:t>
      </w:r>
      <w:r>
        <w:rPr>
          <w:spacing w:val="-4"/>
        </w:rPr>
        <w:t> </w:t>
      </w:r>
      <w:r>
        <w:rPr/>
        <w:t>toxic</w:t>
      </w:r>
      <w:r>
        <w:rPr>
          <w:spacing w:val="-4"/>
        </w:rPr>
        <w:t> </w:t>
      </w:r>
      <w:r>
        <w:rPr/>
        <w:t>to</w:t>
      </w:r>
      <w:r>
        <w:rPr>
          <w:spacing w:val="-5"/>
        </w:rPr>
        <w:t> </w:t>
      </w:r>
      <w:r>
        <w:rPr/>
        <w:t>the</w:t>
      </w:r>
      <w:r>
        <w:rPr>
          <w:spacing w:val="-4"/>
        </w:rPr>
        <w:t> </w:t>
      </w:r>
      <w:r>
        <w:rPr/>
        <w:t>cardiovascular</w:t>
      </w:r>
      <w:r>
        <w:rPr>
          <w:spacing w:val="-4"/>
        </w:rPr>
        <w:t> </w:t>
      </w:r>
      <w:r>
        <w:rPr/>
        <w:t>system</w:t>
      </w:r>
      <w:r>
        <w:rPr>
          <w:spacing w:val="-5"/>
        </w:rPr>
        <w:t> </w:t>
      </w:r>
      <w:r>
        <w:rPr/>
        <w:t>and upper respiratory tract at concentrations above 3%. Sensitive populations to elevated carbon dioxide levels are described    in Annex I. The product risk assessment process is therefore necessary as with any other chemical use to determine the risk and establish the necessary risk management processes.</w:t>
      </w:r>
    </w:p>
    <w:p>
      <w:pPr>
        <w:pStyle w:val="BodyText"/>
        <w:spacing w:line="249" w:lineRule="auto" w:before="17"/>
        <w:ind w:left="228" w:right="113" w:firstLine="284"/>
        <w:jc w:val="both"/>
      </w:pPr>
      <w:r>
        <w:rPr/>
        <w:t>As an asphyxiate carbon dioxide presents the greatest danger. If atmospheric oxygen is displaced such that oxygen concentration is 15-16%, signs of asphyxia will be noted. Skin contact with dry ice has caused serious frostbites and blisters (Hazardous</w:t>
      </w:r>
      <w:r>
        <w:rPr>
          <w:spacing w:val="-19"/>
        </w:rPr>
        <w:t> </w:t>
      </w:r>
      <w:r>
        <w:rPr/>
        <w:t>Substances</w:t>
      </w:r>
      <w:r>
        <w:rPr>
          <w:spacing w:val="-18"/>
        </w:rPr>
        <w:t> </w:t>
      </w:r>
      <w:r>
        <w:rPr/>
        <w:t>Data</w:t>
      </w:r>
      <w:r>
        <w:rPr>
          <w:spacing w:val="-19"/>
        </w:rPr>
        <w:t> </w:t>
      </w:r>
      <w:r>
        <w:rPr/>
        <w:t>Bank,</w:t>
      </w:r>
      <w:r>
        <w:rPr>
          <w:spacing w:val="-18"/>
        </w:rPr>
        <w:t> </w:t>
      </w:r>
      <w:r>
        <w:rPr/>
        <w:t>2002).</w:t>
      </w:r>
      <w:r>
        <w:rPr>
          <w:spacing w:val="-18"/>
        </w:rPr>
        <w:t> </w:t>
      </w:r>
      <w:r>
        <w:rPr/>
        <w:t>Protective</w:t>
      </w:r>
      <w:r>
        <w:rPr>
          <w:spacing w:val="-19"/>
        </w:rPr>
        <w:t> </w:t>
      </w:r>
      <w:r>
        <w:rPr/>
        <w:t>equipment and clothing required in the processing industries include </w:t>
      </w:r>
      <w:r>
        <w:rPr>
          <w:spacing w:val="-3"/>
        </w:rPr>
        <w:t>full </w:t>
      </w:r>
      <w:r>
        <w:rPr/>
        <w:t>face-piece respirators to prevent eye contact and appropriate personal protective clothing to protect the skin from becoming frozen by the liquid.</w:t>
      </w:r>
    </w:p>
    <w:p>
      <w:pPr>
        <w:pStyle w:val="BodyText"/>
        <w:spacing w:before="5"/>
        <w:rPr>
          <w:sz w:val="21"/>
        </w:rPr>
      </w:pPr>
    </w:p>
    <w:p>
      <w:pPr>
        <w:pStyle w:val="Heading2"/>
        <w:numPr>
          <w:ilvl w:val="2"/>
          <w:numId w:val="25"/>
        </w:numPr>
        <w:tabs>
          <w:tab w:pos="1049" w:val="left" w:leader="none"/>
        </w:tabs>
        <w:spacing w:line="240" w:lineRule="auto" w:before="1" w:after="0"/>
        <w:ind w:left="1048" w:right="0" w:hanging="821"/>
        <w:jc w:val="both"/>
        <w:rPr>
          <w:i/>
        </w:rPr>
      </w:pPr>
      <w:r>
        <w:rPr>
          <w:i/>
        </w:rPr>
        <w:t>Plant design principles and guidelines used</w:t>
      </w:r>
      <w:r>
        <w:rPr>
          <w:i/>
          <w:spacing w:val="-3"/>
        </w:rPr>
        <w:t> </w:t>
      </w:r>
      <w:r>
        <w:rPr>
          <w:i/>
        </w:rPr>
        <w:t>by</w:t>
      </w:r>
    </w:p>
    <w:p>
      <w:pPr>
        <w:spacing w:before="10"/>
        <w:ind w:left="1048" w:right="0" w:firstLine="0"/>
        <w:jc w:val="left"/>
        <w:rPr>
          <w:b/>
          <w:i/>
          <w:sz w:val="20"/>
        </w:rPr>
      </w:pPr>
      <w:r>
        <w:rPr>
          <w:b/>
          <w:i/>
          <w:sz w:val="20"/>
        </w:rPr>
        <w:t>governments, industries and financiers</w:t>
      </w:r>
    </w:p>
    <w:p>
      <w:pPr>
        <w:pStyle w:val="BodyText"/>
        <w:spacing w:before="8"/>
        <w:rPr>
          <w:b/>
          <w:i/>
          <w:sz w:val="21"/>
        </w:rPr>
      </w:pPr>
    </w:p>
    <w:p>
      <w:pPr>
        <w:pStyle w:val="BodyText"/>
        <w:spacing w:line="249" w:lineRule="auto"/>
        <w:ind w:left="228" w:right="114"/>
        <w:jc w:val="both"/>
      </w:pPr>
      <w:r>
        <w:rPr/>
        <w:t>New plant facilities like those envisioned for carbon dioxide are subject to design guidelines for the petrochemical industry as determined by relevant authorities. One example is the European Unions’ Integrated Pollution Prevention and Control (IPPC) directive requiring the application of the principles</w:t>
      </w:r>
    </w:p>
    <w:p>
      <w:pPr>
        <w:spacing w:after="0" w:line="249" w:lineRule="auto"/>
        <w:jc w:val="both"/>
        <w:sectPr>
          <w:headerReference w:type="default" r:id="rId179"/>
          <w:headerReference w:type="even" r:id="rId180"/>
          <w:pgSz w:w="12240" w:h="15840"/>
          <w:pgMar w:header="567" w:footer="0" w:top="1180" w:bottom="280" w:left="620" w:right="620"/>
          <w:pgNumType w:start="145"/>
          <w:cols w:num="2" w:equalWidth="0">
            <w:col w:w="5572" w:space="40"/>
            <w:col w:w="5388"/>
          </w:cols>
        </w:sectPr>
      </w:pPr>
    </w:p>
    <w:p>
      <w:pPr>
        <w:pStyle w:val="BodyText"/>
        <w:spacing w:line="249" w:lineRule="auto" w:before="56"/>
        <w:ind w:left="117" w:right="38"/>
        <w:jc w:val="both"/>
      </w:pPr>
      <w:bookmarkStart w:name="3.6.5 Commissioning, good practice durin" w:id="66"/>
      <w:bookmarkEnd w:id="66"/>
      <w:r>
        <w:rPr/>
      </w:r>
      <w:bookmarkStart w:name="3.6.6 Site closure and remediation" w:id="67"/>
      <w:bookmarkEnd w:id="67"/>
      <w:r>
        <w:rPr/>
      </w:r>
      <w:bookmarkStart w:name="3.7 Cost of CO2 capture" w:id="68"/>
      <w:bookmarkEnd w:id="68"/>
      <w:r>
        <w:rPr/>
      </w:r>
      <w:bookmarkStart w:name="3.7.1 Factors affecting CO2 capture cost" w:id="69"/>
      <w:bookmarkEnd w:id="69"/>
      <w:r>
        <w:rPr/>
      </w:r>
      <w:r>
        <w:rPr/>
        <w:t>of Best Available Technology Not Entailing Excessive </w:t>
      </w:r>
      <w:r>
        <w:rPr>
          <w:spacing w:val="-3"/>
        </w:rPr>
        <w:t>Cost (BATNEEC). </w:t>
      </w:r>
      <w:r>
        <w:rPr/>
        <w:t>Carbon dioxide capture and compression processes are listed in several guidelines as gas-processing facilities. Typically the </w:t>
      </w:r>
      <w:r>
        <w:rPr>
          <w:spacing w:val="-4"/>
        </w:rPr>
        <w:t>World </w:t>
      </w:r>
      <w:r>
        <w:rPr/>
        <w:t>Bank guidelines and </w:t>
      </w:r>
      <w:r>
        <w:rPr>
          <w:spacing w:val="-3"/>
        </w:rPr>
        <w:t>other </w:t>
      </w:r>
      <w:r>
        <w:rPr/>
        <w:t>financial institutions have specific requirements to reduce risk and these require monitoring </w:t>
      </w:r>
      <w:r>
        <w:rPr>
          <w:spacing w:val="-3"/>
        </w:rPr>
        <w:t>(World </w:t>
      </w:r>
      <w:r>
        <w:rPr/>
        <w:t>Bank, 1999) which is part of</w:t>
      </w:r>
      <w:r>
        <w:rPr>
          <w:spacing w:val="-21"/>
        </w:rPr>
        <w:t> </w:t>
      </w:r>
      <w:r>
        <w:rPr/>
        <w:t>routine</w:t>
      </w:r>
      <w:r>
        <w:rPr>
          <w:spacing w:val="-21"/>
        </w:rPr>
        <w:t> </w:t>
      </w:r>
      <w:r>
        <w:rPr/>
        <w:t>plant</w:t>
      </w:r>
      <w:r>
        <w:rPr>
          <w:spacing w:val="-21"/>
        </w:rPr>
        <w:t> </w:t>
      </w:r>
      <w:r>
        <w:rPr/>
        <w:t>monitoring</w:t>
      </w:r>
      <w:r>
        <w:rPr>
          <w:spacing w:val="-21"/>
        </w:rPr>
        <w:t> </w:t>
      </w:r>
      <w:r>
        <w:rPr/>
        <w:t>to</w:t>
      </w:r>
      <w:r>
        <w:rPr>
          <w:spacing w:val="-21"/>
        </w:rPr>
        <w:t> </w:t>
      </w:r>
      <w:r>
        <w:rPr/>
        <w:t>detect</w:t>
      </w:r>
      <w:r>
        <w:rPr>
          <w:spacing w:val="-21"/>
        </w:rPr>
        <w:t> </w:t>
      </w:r>
      <w:r>
        <w:rPr/>
        <w:t>accidental</w:t>
      </w:r>
      <w:r>
        <w:rPr>
          <w:spacing w:val="-21"/>
        </w:rPr>
        <w:t> </w:t>
      </w:r>
      <w:r>
        <w:rPr/>
        <w:t>releases.</w:t>
      </w:r>
      <w:r>
        <w:rPr>
          <w:spacing w:val="-21"/>
        </w:rPr>
        <w:t> </w:t>
      </w:r>
      <w:r>
        <w:rPr/>
        <w:t>Investor guidelines like the </w:t>
      </w:r>
      <w:r>
        <w:rPr>
          <w:spacing w:val="-4"/>
        </w:rPr>
        <w:t>World </w:t>
      </w:r>
      <w:r>
        <w:rPr/>
        <w:t>Bank guidelines are particularly important</w:t>
      </w:r>
      <w:r>
        <w:rPr>
          <w:spacing w:val="-9"/>
        </w:rPr>
        <w:t> </w:t>
      </w:r>
      <w:r>
        <w:rPr/>
        <w:t>for</w:t>
      </w:r>
      <w:r>
        <w:rPr>
          <w:spacing w:val="-7"/>
        </w:rPr>
        <w:t> </w:t>
      </w:r>
      <w:r>
        <w:rPr/>
        <w:t>developing</w:t>
      </w:r>
      <w:r>
        <w:rPr>
          <w:spacing w:val="-9"/>
        </w:rPr>
        <w:t> </w:t>
      </w:r>
      <w:r>
        <w:rPr/>
        <w:t>countries</w:t>
      </w:r>
      <w:r>
        <w:rPr>
          <w:spacing w:val="-7"/>
        </w:rPr>
        <w:t> </w:t>
      </w:r>
      <w:r>
        <w:rPr/>
        <w:t>where</w:t>
      </w:r>
      <w:r>
        <w:rPr>
          <w:spacing w:val="-9"/>
        </w:rPr>
        <w:t> </w:t>
      </w:r>
      <w:r>
        <w:rPr/>
        <w:t>there</w:t>
      </w:r>
      <w:r>
        <w:rPr>
          <w:spacing w:val="-7"/>
        </w:rPr>
        <w:t> </w:t>
      </w:r>
      <w:r>
        <w:rPr/>
        <w:t>is</w:t>
      </w:r>
      <w:r>
        <w:rPr>
          <w:spacing w:val="-8"/>
        </w:rPr>
        <w:t> </w:t>
      </w:r>
      <w:r>
        <w:rPr/>
        <w:t>less</w:t>
      </w:r>
      <w:r>
        <w:rPr>
          <w:spacing w:val="-7"/>
        </w:rPr>
        <w:t> </w:t>
      </w:r>
      <w:r>
        <w:rPr/>
        <w:t>emphasis on</w:t>
      </w:r>
      <w:r>
        <w:rPr>
          <w:spacing w:val="-6"/>
        </w:rPr>
        <w:t> </w:t>
      </w:r>
      <w:r>
        <w:rPr/>
        <w:t>monitoring</w:t>
      </w:r>
      <w:r>
        <w:rPr>
          <w:spacing w:val="-6"/>
        </w:rPr>
        <w:t> </w:t>
      </w:r>
      <w:r>
        <w:rPr/>
        <w:t>and</w:t>
      </w:r>
      <w:r>
        <w:rPr>
          <w:spacing w:val="-6"/>
        </w:rPr>
        <w:t> </w:t>
      </w:r>
      <w:r>
        <w:rPr/>
        <w:t>legislation.</w:t>
      </w:r>
      <w:r>
        <w:rPr>
          <w:spacing w:val="-7"/>
        </w:rPr>
        <w:t> </w:t>
      </w:r>
      <w:r>
        <w:rPr/>
        <w:t>National</w:t>
      </w:r>
      <w:r>
        <w:rPr>
          <w:spacing w:val="-7"/>
        </w:rPr>
        <w:t> </w:t>
      </w:r>
      <w:r>
        <w:rPr/>
        <w:t>and</w:t>
      </w:r>
      <w:r>
        <w:rPr>
          <w:spacing w:val="-6"/>
        </w:rPr>
        <w:t> </w:t>
      </w:r>
      <w:r>
        <w:rPr/>
        <w:t>regional</w:t>
      </w:r>
      <w:r>
        <w:rPr>
          <w:spacing w:val="-6"/>
        </w:rPr>
        <w:t> </w:t>
      </w:r>
      <w:r>
        <w:rPr/>
        <w:t>legislation for plant design and specifications from organizations like the US</w:t>
      </w:r>
      <w:r>
        <w:rPr>
          <w:spacing w:val="-8"/>
        </w:rPr>
        <w:t> </w:t>
      </w:r>
      <w:r>
        <w:rPr/>
        <w:t>Environmental</w:t>
      </w:r>
      <w:r>
        <w:rPr>
          <w:spacing w:val="-8"/>
        </w:rPr>
        <w:t> </w:t>
      </w:r>
      <w:r>
        <w:rPr/>
        <w:t>Protection</w:t>
      </w:r>
      <w:r>
        <w:rPr>
          <w:spacing w:val="-18"/>
        </w:rPr>
        <w:t> </w:t>
      </w:r>
      <w:r>
        <w:rPr/>
        <w:t>Agency</w:t>
      </w:r>
      <w:r>
        <w:rPr>
          <w:spacing w:val="-8"/>
        </w:rPr>
        <w:t> </w:t>
      </w:r>
      <w:r>
        <w:rPr/>
        <w:t>are</w:t>
      </w:r>
      <w:r>
        <w:rPr>
          <w:spacing w:val="-8"/>
        </w:rPr>
        <w:t> </w:t>
      </w:r>
      <w:r>
        <w:rPr/>
        <w:t>available</w:t>
      </w:r>
      <w:r>
        <w:rPr>
          <w:spacing w:val="-8"/>
        </w:rPr>
        <w:t> </w:t>
      </w:r>
      <w:r>
        <w:rPr/>
        <w:t>to</w:t>
      </w:r>
      <w:r>
        <w:rPr>
          <w:spacing w:val="-8"/>
        </w:rPr>
        <w:t> </w:t>
      </w:r>
      <w:r>
        <w:rPr/>
        <w:t>guide</w:t>
      </w:r>
      <w:r>
        <w:rPr>
          <w:spacing w:val="-8"/>
        </w:rPr>
        <w:t> </w:t>
      </w:r>
      <w:r>
        <w:rPr/>
        <w:t>the development of</w:t>
      </w:r>
      <w:r>
        <w:rPr>
          <w:spacing w:val="-1"/>
        </w:rPr>
        <w:t> </w:t>
      </w:r>
      <w:r>
        <w:rPr/>
        <w:t>technology.</w:t>
      </w:r>
    </w:p>
    <w:p>
      <w:pPr>
        <w:pStyle w:val="BodyText"/>
        <w:spacing w:before="9"/>
        <w:rPr>
          <w:sz w:val="21"/>
        </w:rPr>
      </w:pPr>
    </w:p>
    <w:p>
      <w:pPr>
        <w:pStyle w:val="Heading2"/>
        <w:numPr>
          <w:ilvl w:val="2"/>
          <w:numId w:val="25"/>
        </w:numPr>
        <w:tabs>
          <w:tab w:pos="936" w:val="left" w:leader="none"/>
          <w:tab w:pos="937" w:val="left" w:leader="none"/>
        </w:tabs>
        <w:spacing w:line="249" w:lineRule="auto" w:before="0" w:after="0"/>
        <w:ind w:left="937" w:right="245" w:hanging="820"/>
        <w:jc w:val="left"/>
      </w:pPr>
      <w:r>
        <w:rPr>
          <w:i/>
        </w:rPr>
        <w:t>Commissioning, good practice during operations </w:t>
      </w:r>
      <w:r>
        <w:rPr/>
        <w:t>and sound management of</w:t>
      </w:r>
      <w:r>
        <w:rPr>
          <w:spacing w:val="-2"/>
        </w:rPr>
        <w:t> </w:t>
      </w:r>
      <w:r>
        <w:rPr/>
        <w:t>chemicals</w:t>
      </w:r>
    </w:p>
    <w:p>
      <w:pPr>
        <w:pStyle w:val="BodyText"/>
        <w:rPr>
          <w:b/>
          <w:i/>
          <w:sz w:val="21"/>
        </w:rPr>
      </w:pPr>
    </w:p>
    <w:p>
      <w:pPr>
        <w:pStyle w:val="BodyText"/>
        <w:spacing w:line="249" w:lineRule="auto"/>
        <w:ind w:left="117" w:right="38"/>
        <w:jc w:val="both"/>
      </w:pPr>
      <w:r>
        <w:rPr/>
        <w:t>The routine engineering design, commissioning and start-up activities</w:t>
      </w:r>
      <w:r>
        <w:rPr>
          <w:spacing w:val="-9"/>
        </w:rPr>
        <w:t> </w:t>
      </w:r>
      <w:r>
        <w:rPr/>
        <w:t>associated</w:t>
      </w:r>
      <w:r>
        <w:rPr>
          <w:spacing w:val="-8"/>
        </w:rPr>
        <w:t> </w:t>
      </w:r>
      <w:r>
        <w:rPr/>
        <w:t>with</w:t>
      </w:r>
      <w:r>
        <w:rPr>
          <w:spacing w:val="-9"/>
        </w:rPr>
        <w:t> </w:t>
      </w:r>
      <w:r>
        <w:rPr/>
        <w:t>petrochemical</w:t>
      </w:r>
      <w:r>
        <w:rPr>
          <w:spacing w:val="-8"/>
        </w:rPr>
        <w:t> </w:t>
      </w:r>
      <w:r>
        <w:rPr/>
        <w:t>facilities</w:t>
      </w:r>
      <w:r>
        <w:rPr>
          <w:spacing w:val="-9"/>
        </w:rPr>
        <w:t> </w:t>
      </w:r>
      <w:r>
        <w:rPr/>
        <w:t>are</w:t>
      </w:r>
      <w:r>
        <w:rPr>
          <w:spacing w:val="-8"/>
        </w:rPr>
        <w:t> </w:t>
      </w:r>
      <w:r>
        <w:rPr/>
        <w:t>applicable to the capture and compression of carbon dioxide; for </w:t>
      </w:r>
      <w:r>
        <w:rPr>
          <w:spacing w:val="-3"/>
        </w:rPr>
        <w:t>example </w:t>
      </w:r>
      <w:r>
        <w:rPr/>
        <w:t>Hazard Operability studies are conducted on a routine basis</w:t>
      </w:r>
      <w:r>
        <w:rPr>
          <w:spacing w:val="-29"/>
        </w:rPr>
        <w:t> </w:t>
      </w:r>
      <w:r>
        <w:rPr/>
        <w:t>for new facilities (Sikdar and Diwekar,</w:t>
      </w:r>
      <w:r>
        <w:rPr>
          <w:spacing w:val="-2"/>
        </w:rPr>
        <w:t> </w:t>
      </w:r>
      <w:r>
        <w:rPr/>
        <w:t>1999).</w:t>
      </w:r>
    </w:p>
    <w:p>
      <w:pPr>
        <w:pStyle w:val="BodyText"/>
        <w:spacing w:line="249" w:lineRule="auto" w:before="4"/>
        <w:ind w:left="117" w:right="38" w:firstLine="284"/>
        <w:jc w:val="both"/>
      </w:pPr>
      <w:r>
        <w:rPr/>
        <w:t>The management of carbon dioxide and reagents </w:t>
      </w:r>
      <w:r>
        <w:rPr>
          <w:spacing w:val="-3"/>
        </w:rPr>
        <w:t>inside </w:t>
      </w:r>
      <w:r>
        <w:rPr/>
        <w:t>factory battery limits will be in accordance with the relevant practices in use for carbon dioxide. For carbon dioxide, US Occupational Health and Safety Act standards and National Institute for Occupational Safety and Health recommendations exist,</w:t>
      </w:r>
      <w:r>
        <w:rPr>
          <w:spacing w:val="-21"/>
        </w:rPr>
        <w:t> </w:t>
      </w:r>
      <w:r>
        <w:rPr/>
        <w:t>which</w:t>
      </w:r>
      <w:r>
        <w:rPr>
          <w:spacing w:val="-20"/>
        </w:rPr>
        <w:t> </w:t>
      </w:r>
      <w:r>
        <w:rPr/>
        <w:t>are</w:t>
      </w:r>
      <w:r>
        <w:rPr>
          <w:spacing w:val="-20"/>
        </w:rPr>
        <w:t> </w:t>
      </w:r>
      <w:r>
        <w:rPr/>
        <w:t>applied</w:t>
      </w:r>
      <w:r>
        <w:rPr>
          <w:spacing w:val="-20"/>
        </w:rPr>
        <w:t> </w:t>
      </w:r>
      <w:r>
        <w:rPr/>
        <w:t>widely</w:t>
      </w:r>
      <w:r>
        <w:rPr>
          <w:spacing w:val="-20"/>
        </w:rPr>
        <w:t> </w:t>
      </w:r>
      <w:r>
        <w:rPr/>
        <w:t>in</w:t>
      </w:r>
      <w:r>
        <w:rPr>
          <w:spacing w:val="-20"/>
        </w:rPr>
        <w:t> </w:t>
      </w:r>
      <w:r>
        <w:rPr/>
        <w:t>industry</w:t>
      </w:r>
      <w:r>
        <w:rPr>
          <w:spacing w:val="-20"/>
        </w:rPr>
        <w:t> </w:t>
      </w:r>
      <w:r>
        <w:rPr/>
        <w:t>to</w:t>
      </w:r>
      <w:r>
        <w:rPr>
          <w:spacing w:val="-20"/>
        </w:rPr>
        <w:t> </w:t>
      </w:r>
      <w:r>
        <w:rPr/>
        <w:t>guide</w:t>
      </w:r>
      <w:r>
        <w:rPr>
          <w:spacing w:val="-21"/>
        </w:rPr>
        <w:t> </w:t>
      </w:r>
      <w:r>
        <w:rPr/>
        <w:t>safe</w:t>
      </w:r>
      <w:r>
        <w:rPr>
          <w:spacing w:val="-20"/>
        </w:rPr>
        <w:t> </w:t>
      </w:r>
      <w:r>
        <w:rPr/>
        <w:t>handling of</w:t>
      </w:r>
      <w:r>
        <w:rPr>
          <w:spacing w:val="-10"/>
        </w:rPr>
        <w:t> </w:t>
      </w:r>
      <w:r>
        <w:rPr/>
        <w:t>carbon</w:t>
      </w:r>
      <w:r>
        <w:rPr>
          <w:spacing w:val="-9"/>
        </w:rPr>
        <w:t> </w:t>
      </w:r>
      <w:r>
        <w:rPr/>
        <w:t>dioxide</w:t>
      </w:r>
      <w:r>
        <w:rPr>
          <w:spacing w:val="-9"/>
        </w:rPr>
        <w:t> </w:t>
      </w:r>
      <w:r>
        <w:rPr/>
        <w:t>and</w:t>
      </w:r>
      <w:r>
        <w:rPr>
          <w:spacing w:val="-10"/>
        </w:rPr>
        <w:t> </w:t>
      </w:r>
      <w:r>
        <w:rPr/>
        <w:t>the</w:t>
      </w:r>
      <w:r>
        <w:rPr>
          <w:spacing w:val="-9"/>
        </w:rPr>
        <w:t> </w:t>
      </w:r>
      <w:r>
        <w:rPr/>
        <w:t>same</w:t>
      </w:r>
      <w:r>
        <w:rPr>
          <w:spacing w:val="-9"/>
        </w:rPr>
        <w:t> </w:t>
      </w:r>
      <w:r>
        <w:rPr/>
        <w:t>applies</w:t>
      </w:r>
      <w:r>
        <w:rPr>
          <w:spacing w:val="-9"/>
        </w:rPr>
        <w:t> </w:t>
      </w:r>
      <w:r>
        <w:rPr/>
        <w:t>to</w:t>
      </w:r>
      <w:r>
        <w:rPr>
          <w:spacing w:val="-10"/>
        </w:rPr>
        <w:t> </w:t>
      </w:r>
      <w:r>
        <w:rPr/>
        <w:t>reagents</w:t>
      </w:r>
      <w:r>
        <w:rPr>
          <w:spacing w:val="-9"/>
        </w:rPr>
        <w:t> </w:t>
      </w:r>
      <w:r>
        <w:rPr/>
        <w:t>and</w:t>
      </w:r>
      <w:r>
        <w:rPr>
          <w:spacing w:val="-9"/>
        </w:rPr>
        <w:t> </w:t>
      </w:r>
      <w:r>
        <w:rPr/>
        <w:t>catalysts used. </w:t>
      </w:r>
      <w:r>
        <w:rPr>
          <w:spacing w:val="-4"/>
        </w:rPr>
        <w:t>Well </w:t>
      </w:r>
      <w:r>
        <w:rPr/>
        <w:t>established and externally audited management systems such as International Standards Organization’s ISO 14001 (environment) and ISO 9001 (quality) and</w:t>
      </w:r>
      <w:r>
        <w:rPr>
          <w:spacing w:val="-19"/>
        </w:rPr>
        <w:t> </w:t>
      </w:r>
      <w:r>
        <w:rPr/>
        <w:t>Occupational Health and Safety (OHSAS 18000) exist to provide assurance that environment, </w:t>
      </w:r>
      <w:r>
        <w:rPr>
          <w:spacing w:val="-3"/>
        </w:rPr>
        <w:t>safety, </w:t>
      </w:r>
      <w:r>
        <w:rPr/>
        <w:t>health and quality management systems</w:t>
      </w:r>
      <w:r>
        <w:rPr>
          <w:spacing w:val="-15"/>
        </w:rPr>
        <w:t> </w:t>
      </w:r>
      <w:r>
        <w:rPr/>
        <w:t>are</w:t>
      </w:r>
      <w:r>
        <w:rPr>
          <w:spacing w:val="-15"/>
        </w:rPr>
        <w:t> </w:t>
      </w:r>
      <w:r>
        <w:rPr/>
        <w:t>in</w:t>
      </w:r>
      <w:r>
        <w:rPr>
          <w:spacing w:val="-15"/>
        </w:rPr>
        <w:t> </w:t>
      </w:r>
      <w:r>
        <w:rPr/>
        <w:t>place</w:t>
      </w:r>
      <w:r>
        <w:rPr>
          <w:spacing w:val="-14"/>
        </w:rPr>
        <w:t> </w:t>
      </w:r>
      <w:r>
        <w:rPr/>
        <w:t>(American</w:t>
      </w:r>
      <w:r>
        <w:rPr>
          <w:spacing w:val="-15"/>
        </w:rPr>
        <w:t> </w:t>
      </w:r>
      <w:r>
        <w:rPr/>
        <w:t>Institute</w:t>
      </w:r>
      <w:r>
        <w:rPr>
          <w:spacing w:val="-15"/>
        </w:rPr>
        <w:t> </w:t>
      </w:r>
      <w:r>
        <w:rPr/>
        <w:t>of</w:t>
      </w:r>
      <w:r>
        <w:rPr>
          <w:spacing w:val="-14"/>
        </w:rPr>
        <w:t> </w:t>
      </w:r>
      <w:r>
        <w:rPr/>
        <w:t>Chemical</w:t>
      </w:r>
      <w:r>
        <w:rPr>
          <w:spacing w:val="-15"/>
        </w:rPr>
        <w:t> </w:t>
      </w:r>
      <w:r>
        <w:rPr/>
        <w:t>Engineers, 1995). </w:t>
      </w:r>
      <w:r>
        <w:rPr>
          <w:spacing w:val="-3"/>
        </w:rPr>
        <w:t>Tools </w:t>
      </w:r>
      <w:r>
        <w:rPr/>
        <w:t>like life-cycle assessment (ISO 14040 series)</w:t>
      </w:r>
      <w:r>
        <w:rPr>
          <w:spacing w:val="-34"/>
        </w:rPr>
        <w:t> </w:t>
      </w:r>
      <w:r>
        <w:rPr/>
        <w:t>with the necessary boundary expansion methodology are useful </w:t>
      </w:r>
      <w:r>
        <w:rPr>
          <w:spacing w:val="-8"/>
        </w:rPr>
        <w:t>to </w:t>
      </w:r>
      <w:r>
        <w:rPr/>
        <w:t>determine</w:t>
      </w:r>
      <w:r>
        <w:rPr>
          <w:spacing w:val="-6"/>
        </w:rPr>
        <w:t> </w:t>
      </w:r>
      <w:r>
        <w:rPr/>
        <w:t>the</w:t>
      </w:r>
      <w:r>
        <w:rPr>
          <w:spacing w:val="-5"/>
        </w:rPr>
        <w:t> </w:t>
      </w:r>
      <w:r>
        <w:rPr/>
        <w:t>overall</w:t>
      </w:r>
      <w:r>
        <w:rPr>
          <w:spacing w:val="-5"/>
        </w:rPr>
        <w:t> </w:t>
      </w:r>
      <w:r>
        <w:rPr/>
        <w:t>issues</w:t>
      </w:r>
      <w:r>
        <w:rPr>
          <w:spacing w:val="-6"/>
        </w:rPr>
        <w:t> </w:t>
      </w:r>
      <w:r>
        <w:rPr/>
        <w:t>associated</w:t>
      </w:r>
      <w:r>
        <w:rPr>
          <w:spacing w:val="-5"/>
        </w:rPr>
        <w:t> </w:t>
      </w:r>
      <w:r>
        <w:rPr/>
        <w:t>with</w:t>
      </w:r>
      <w:r>
        <w:rPr>
          <w:spacing w:val="-5"/>
        </w:rPr>
        <w:t> </w:t>
      </w:r>
      <w:r>
        <w:rPr/>
        <w:t>a</w:t>
      </w:r>
      <w:r>
        <w:rPr>
          <w:spacing w:val="-6"/>
        </w:rPr>
        <w:t> </w:t>
      </w:r>
      <w:r>
        <w:rPr/>
        <w:t>facility</w:t>
      </w:r>
      <w:r>
        <w:rPr>
          <w:spacing w:val="-5"/>
        </w:rPr>
        <w:t> </w:t>
      </w:r>
      <w:r>
        <w:rPr/>
        <w:t>and</w:t>
      </w:r>
      <w:r>
        <w:rPr>
          <w:spacing w:val="-5"/>
        </w:rPr>
        <w:t> </w:t>
      </w:r>
      <w:r>
        <w:rPr/>
        <w:t>assist with</w:t>
      </w:r>
      <w:r>
        <w:rPr>
          <w:spacing w:val="-15"/>
        </w:rPr>
        <w:t> </w:t>
      </w:r>
      <w:r>
        <w:rPr/>
        <w:t>selection</w:t>
      </w:r>
      <w:r>
        <w:rPr>
          <w:spacing w:val="-14"/>
        </w:rPr>
        <w:t> </w:t>
      </w:r>
      <w:r>
        <w:rPr/>
        <w:t>of</w:t>
      </w:r>
      <w:r>
        <w:rPr>
          <w:spacing w:val="-14"/>
        </w:rPr>
        <w:t> </w:t>
      </w:r>
      <w:r>
        <w:rPr/>
        <w:t>parameters</w:t>
      </w:r>
      <w:r>
        <w:rPr>
          <w:spacing w:val="-14"/>
        </w:rPr>
        <w:t> </w:t>
      </w:r>
      <w:r>
        <w:rPr/>
        <w:t>such</w:t>
      </w:r>
      <w:r>
        <w:rPr>
          <w:spacing w:val="-14"/>
        </w:rPr>
        <w:t> </w:t>
      </w:r>
      <w:r>
        <w:rPr/>
        <w:t>as</w:t>
      </w:r>
      <w:r>
        <w:rPr>
          <w:spacing w:val="-14"/>
        </w:rPr>
        <w:t> </w:t>
      </w:r>
      <w:r>
        <w:rPr/>
        <w:t>energy</w:t>
      </w:r>
      <w:r>
        <w:rPr>
          <w:spacing w:val="-14"/>
        </w:rPr>
        <w:t> </w:t>
      </w:r>
      <w:r>
        <w:rPr/>
        <w:t>carriers,</w:t>
      </w:r>
      <w:r>
        <w:rPr>
          <w:spacing w:val="-14"/>
        </w:rPr>
        <w:t> </w:t>
      </w:r>
      <w:r>
        <w:rPr/>
        <w:t>operational conditions and materials used in the process. The life-cycle assessment will also indicate if a trouble-free capture system does</w:t>
      </w:r>
      <w:r>
        <w:rPr>
          <w:spacing w:val="-6"/>
        </w:rPr>
        <w:t> </w:t>
      </w:r>
      <w:r>
        <w:rPr/>
        <w:t>generate</w:t>
      </w:r>
      <w:r>
        <w:rPr>
          <w:spacing w:val="-6"/>
        </w:rPr>
        <w:t> </w:t>
      </w:r>
      <w:r>
        <w:rPr/>
        <w:t>environmental</w:t>
      </w:r>
      <w:r>
        <w:rPr>
          <w:spacing w:val="-7"/>
        </w:rPr>
        <w:t> </w:t>
      </w:r>
      <w:r>
        <w:rPr/>
        <w:t>concerns</w:t>
      </w:r>
      <w:r>
        <w:rPr>
          <w:spacing w:val="-6"/>
        </w:rPr>
        <w:t> </w:t>
      </w:r>
      <w:r>
        <w:rPr/>
        <w:t>elsewhere</w:t>
      </w:r>
      <w:r>
        <w:rPr>
          <w:spacing w:val="-6"/>
        </w:rPr>
        <w:t> </w:t>
      </w:r>
      <w:r>
        <w:rPr/>
        <w:t>in</w:t>
      </w:r>
      <w:r>
        <w:rPr>
          <w:spacing w:val="-6"/>
        </w:rPr>
        <w:t> </w:t>
      </w:r>
      <w:r>
        <w:rPr/>
        <w:t>the</w:t>
      </w:r>
      <w:r>
        <w:rPr>
          <w:spacing w:val="-6"/>
        </w:rPr>
        <w:t> </w:t>
      </w:r>
      <w:r>
        <w:rPr/>
        <w:t>product life cycle.</w:t>
      </w:r>
    </w:p>
    <w:p>
      <w:pPr>
        <w:pStyle w:val="BodyText"/>
        <w:spacing w:before="4"/>
        <w:rPr>
          <w:sz w:val="22"/>
        </w:rPr>
      </w:pPr>
    </w:p>
    <w:p>
      <w:pPr>
        <w:pStyle w:val="Heading2"/>
        <w:numPr>
          <w:ilvl w:val="2"/>
          <w:numId w:val="25"/>
        </w:numPr>
        <w:tabs>
          <w:tab w:pos="936" w:val="left" w:leader="none"/>
          <w:tab w:pos="937" w:val="left" w:leader="none"/>
        </w:tabs>
        <w:spacing w:line="240" w:lineRule="auto" w:before="1" w:after="0"/>
        <w:ind w:left="937" w:right="0" w:hanging="820"/>
        <w:jc w:val="left"/>
        <w:rPr>
          <w:i/>
        </w:rPr>
      </w:pPr>
      <w:r>
        <w:rPr>
          <w:i/>
        </w:rPr>
        <w:t>Site closure and</w:t>
      </w:r>
      <w:r>
        <w:rPr>
          <w:i/>
          <w:spacing w:val="-2"/>
        </w:rPr>
        <w:t> </w:t>
      </w:r>
      <w:r>
        <w:rPr>
          <w:i/>
        </w:rPr>
        <w:t>remediation</w:t>
      </w:r>
    </w:p>
    <w:p>
      <w:pPr>
        <w:pStyle w:val="BodyText"/>
        <w:spacing w:before="8"/>
        <w:rPr>
          <w:b/>
          <w:i/>
          <w:sz w:val="21"/>
        </w:rPr>
      </w:pPr>
    </w:p>
    <w:p>
      <w:pPr>
        <w:pStyle w:val="BodyText"/>
        <w:spacing w:line="249" w:lineRule="auto"/>
        <w:ind w:left="117" w:right="39"/>
        <w:jc w:val="both"/>
      </w:pPr>
      <w:r>
        <w:rPr/>
        <w:t>It is not anticipated that carbon dioxide capture will result </w:t>
      </w:r>
      <w:r>
        <w:rPr>
          <w:spacing w:val="-6"/>
        </w:rPr>
        <w:t>in    </w:t>
      </w:r>
      <w:r>
        <w:rPr/>
        <w:t>a legacy of polluted sites requiring remediation after plant closure, assuming that standard operating procedures and management practices in the previous section are followed. However, depending on the technology used and the</w:t>
      </w:r>
      <w:r>
        <w:rPr>
          <w:spacing w:val="49"/>
        </w:rPr>
        <w:t> </w:t>
      </w:r>
      <w:r>
        <w:rPr/>
        <w:t>materials</w:t>
      </w:r>
    </w:p>
    <w:p>
      <w:pPr>
        <w:pStyle w:val="Heading1"/>
        <w:numPr>
          <w:ilvl w:val="1"/>
          <w:numId w:val="26"/>
        </w:numPr>
        <w:tabs>
          <w:tab w:pos="826" w:val="left" w:leader="none"/>
        </w:tabs>
        <w:spacing w:line="240" w:lineRule="auto" w:before="56" w:after="0"/>
        <w:ind w:left="826" w:right="0" w:hanging="709"/>
        <w:jc w:val="both"/>
      </w:pPr>
      <w:r>
        <w:rPr>
          <w:spacing w:val="-1"/>
        </w:rPr>
        <w:br w:type="column"/>
      </w:r>
      <w:r>
        <w:rPr/>
        <w:t>Cost of CO</w:t>
      </w:r>
      <w:r>
        <w:rPr>
          <w:position w:val="-6"/>
          <w:sz w:val="11"/>
        </w:rPr>
        <w:t>2</w:t>
      </w:r>
      <w:r>
        <w:rPr>
          <w:spacing w:val="21"/>
          <w:position w:val="-6"/>
          <w:sz w:val="11"/>
        </w:rPr>
        <w:t> </w:t>
      </w:r>
      <w:r>
        <w:rPr/>
        <w:t>capture</w:t>
      </w:r>
    </w:p>
    <w:p>
      <w:pPr>
        <w:pStyle w:val="BodyText"/>
        <w:spacing w:line="240" w:lineRule="exact" w:before="194"/>
        <w:ind w:left="117" w:right="509"/>
        <w:jc w:val="both"/>
      </w:pPr>
      <w:r>
        <w:rPr/>
        <w:t>This section of the report deals with the critical issue of CO</w:t>
      </w:r>
      <w:r>
        <w:rPr>
          <w:position w:val="-6"/>
          <w:sz w:val="11"/>
        </w:rPr>
        <w:t>2 </w:t>
      </w:r>
      <w:r>
        <w:rPr/>
        <w:t>capture costs. We begin with an overview of the many factors that affect costs and the ability to compare published estimates on a consistent basis. Different measures of CO</w:t>
      </w:r>
      <w:r>
        <w:rPr>
          <w:position w:val="-6"/>
          <w:sz w:val="11"/>
        </w:rPr>
        <w:t>2 </w:t>
      </w:r>
      <w:r>
        <w:rPr/>
        <w:t>capture cost also are presented and discussed. The literature on CO</w:t>
      </w:r>
      <w:r>
        <w:rPr>
          <w:position w:val="-6"/>
          <w:sz w:val="11"/>
        </w:rPr>
        <w:t>2 </w:t>
      </w:r>
      <w:r>
        <w:rPr/>
        <w:t>capture costs for currently available technologies is then reviewed, along with the outlook for future costs over the next several decades.</w:t>
      </w:r>
    </w:p>
    <w:p>
      <w:pPr>
        <w:pStyle w:val="BodyText"/>
        <w:spacing w:before="4"/>
        <w:rPr>
          <w:sz w:val="21"/>
        </w:rPr>
      </w:pPr>
    </w:p>
    <w:p>
      <w:pPr>
        <w:pStyle w:val="Heading2"/>
        <w:numPr>
          <w:ilvl w:val="2"/>
          <w:numId w:val="26"/>
        </w:numPr>
        <w:tabs>
          <w:tab w:pos="938" w:val="left" w:leader="none"/>
        </w:tabs>
        <w:spacing w:line="240" w:lineRule="auto" w:before="0" w:after="0"/>
        <w:ind w:left="937" w:right="0" w:hanging="821"/>
        <w:jc w:val="both"/>
        <w:rPr>
          <w:i/>
        </w:rPr>
      </w:pPr>
      <w:r>
        <w:rPr>
          <w:i/>
        </w:rPr>
        <w:t>Factors affecting CO</w:t>
      </w:r>
      <w:r>
        <w:rPr>
          <w:i/>
          <w:position w:val="-6"/>
          <w:sz w:val="11"/>
        </w:rPr>
        <w:t>2 </w:t>
      </w:r>
      <w:r>
        <w:rPr>
          <w:i/>
        </w:rPr>
        <w:t>capture</w:t>
      </w:r>
      <w:r>
        <w:rPr>
          <w:i/>
          <w:spacing w:val="-6"/>
        </w:rPr>
        <w:t> </w:t>
      </w:r>
      <w:r>
        <w:rPr>
          <w:i/>
        </w:rPr>
        <w:t>cost</w:t>
      </w:r>
    </w:p>
    <w:p>
      <w:pPr>
        <w:pStyle w:val="BodyText"/>
        <w:spacing w:line="240" w:lineRule="exact" w:before="194"/>
        <w:ind w:left="117" w:right="511"/>
        <w:jc w:val="both"/>
      </w:pPr>
      <w:r>
        <w:rPr/>
        <w:t>Published estimates for CO</w:t>
      </w:r>
      <w:r>
        <w:rPr>
          <w:position w:val="-6"/>
          <w:sz w:val="11"/>
        </w:rPr>
        <w:t>2 </w:t>
      </w:r>
      <w:r>
        <w:rPr/>
        <w:t>capture costs vary </w:t>
      </w:r>
      <w:r>
        <w:rPr>
          <w:spacing w:val="-3"/>
        </w:rPr>
        <w:t>widely, </w:t>
      </w:r>
      <w:r>
        <w:rPr/>
        <w:t>mainly as a result of different assumptions regarding  technical  factors related to plant design and operation (e.g., plant </w:t>
      </w:r>
      <w:r>
        <w:rPr>
          <w:spacing w:val="-4"/>
        </w:rPr>
        <w:t>size, </w:t>
      </w:r>
      <w:r>
        <w:rPr/>
        <w:t>net efficiency, fuel properties and load factor), as well as key economic and financial factors such as fuel cost, interest rates and plant lifetime. A number of recent papers have addressed this</w:t>
      </w:r>
      <w:r>
        <w:rPr>
          <w:spacing w:val="-11"/>
        </w:rPr>
        <w:t> </w:t>
      </w:r>
      <w:r>
        <w:rPr/>
        <w:t>issue</w:t>
      </w:r>
      <w:r>
        <w:rPr>
          <w:spacing w:val="-10"/>
        </w:rPr>
        <w:t> </w:t>
      </w:r>
      <w:r>
        <w:rPr/>
        <w:t>and</w:t>
      </w:r>
      <w:r>
        <w:rPr>
          <w:spacing w:val="-10"/>
        </w:rPr>
        <w:t> </w:t>
      </w:r>
      <w:r>
        <w:rPr/>
        <w:t>identified</w:t>
      </w:r>
      <w:r>
        <w:rPr>
          <w:spacing w:val="-11"/>
        </w:rPr>
        <w:t> </w:t>
      </w:r>
      <w:r>
        <w:rPr/>
        <w:t>the</w:t>
      </w:r>
      <w:r>
        <w:rPr>
          <w:spacing w:val="-10"/>
        </w:rPr>
        <w:t> </w:t>
      </w:r>
      <w:r>
        <w:rPr/>
        <w:t>principal</w:t>
      </w:r>
      <w:r>
        <w:rPr>
          <w:spacing w:val="-10"/>
        </w:rPr>
        <w:t> </w:t>
      </w:r>
      <w:r>
        <w:rPr/>
        <w:t>sources</w:t>
      </w:r>
      <w:r>
        <w:rPr>
          <w:spacing w:val="-10"/>
        </w:rPr>
        <w:t> </w:t>
      </w:r>
      <w:r>
        <w:rPr/>
        <w:t>of</w:t>
      </w:r>
      <w:r>
        <w:rPr>
          <w:spacing w:val="-11"/>
        </w:rPr>
        <w:t> </w:t>
      </w:r>
      <w:r>
        <w:rPr/>
        <w:t>cost</w:t>
      </w:r>
      <w:r>
        <w:rPr>
          <w:spacing w:val="-10"/>
        </w:rPr>
        <w:t> </w:t>
      </w:r>
      <w:r>
        <w:rPr/>
        <w:t>differences and variability (Herzog, 1999; Simbeck, 1999; Rubin and Rao, 2003). This section draws heavily on Rubin and Rao (2003) to highlight the major factors affecting the cost of CO</w:t>
      </w:r>
      <w:r>
        <w:rPr>
          <w:position w:val="-6"/>
          <w:sz w:val="11"/>
        </w:rPr>
        <w:t>2</w:t>
      </w:r>
      <w:r>
        <w:rPr>
          <w:spacing w:val="21"/>
          <w:position w:val="-6"/>
          <w:sz w:val="11"/>
        </w:rPr>
        <w:t> </w:t>
      </w:r>
      <w:r>
        <w:rPr/>
        <w:t>capture.</w:t>
      </w:r>
    </w:p>
    <w:p>
      <w:pPr>
        <w:pStyle w:val="BodyText"/>
        <w:spacing w:before="4"/>
        <w:rPr>
          <w:sz w:val="21"/>
        </w:rPr>
      </w:pPr>
    </w:p>
    <w:p>
      <w:pPr>
        <w:pStyle w:val="ListParagraph"/>
        <w:numPr>
          <w:ilvl w:val="3"/>
          <w:numId w:val="26"/>
        </w:numPr>
        <w:tabs>
          <w:tab w:pos="938" w:val="left" w:leader="none"/>
        </w:tabs>
        <w:spacing w:line="240" w:lineRule="auto" w:before="0" w:after="0"/>
        <w:ind w:left="937" w:right="0" w:hanging="821"/>
        <w:jc w:val="both"/>
        <w:rPr>
          <w:i/>
          <w:sz w:val="20"/>
        </w:rPr>
      </w:pPr>
      <w:r>
        <w:rPr>
          <w:i/>
          <w:sz w:val="20"/>
        </w:rPr>
        <w:t>Defining the technology of</w:t>
      </w:r>
      <w:r>
        <w:rPr>
          <w:i/>
          <w:spacing w:val="-4"/>
          <w:sz w:val="20"/>
        </w:rPr>
        <w:t> </w:t>
      </w:r>
      <w:r>
        <w:rPr>
          <w:i/>
          <w:sz w:val="20"/>
        </w:rPr>
        <w:t>interest</w:t>
      </w:r>
    </w:p>
    <w:p>
      <w:pPr>
        <w:pStyle w:val="BodyText"/>
        <w:spacing w:line="240" w:lineRule="exact" w:before="5"/>
        <w:ind w:left="117" w:right="510"/>
        <w:jc w:val="both"/>
      </w:pPr>
      <w:r>
        <w:rPr/>
        <w:t>Costs will vary with the choice of CO</w:t>
      </w:r>
      <w:r>
        <w:rPr>
          <w:position w:val="-6"/>
          <w:sz w:val="11"/>
        </w:rPr>
        <w:t>2 </w:t>
      </w:r>
      <w:r>
        <w:rPr/>
        <w:t>capture technology and the choice of power system or industrial process that generates the CO</w:t>
      </w:r>
      <w:r>
        <w:rPr>
          <w:position w:val="-6"/>
          <w:sz w:val="11"/>
        </w:rPr>
        <w:t>2 </w:t>
      </w:r>
      <w:r>
        <w:rPr/>
        <w:t>emissions. In engineering-economic studies of a single plant or CO</w:t>
      </w:r>
      <w:r>
        <w:rPr>
          <w:position w:val="-6"/>
          <w:sz w:val="11"/>
        </w:rPr>
        <w:t>2 </w:t>
      </w:r>
      <w:r>
        <w:rPr/>
        <w:t>capture technology, such definitions are usually clear. However, where larger systems are being analyzed, such as in regional, national or global studies of CO</w:t>
      </w:r>
      <w:r>
        <w:rPr>
          <w:position w:val="-6"/>
          <w:sz w:val="11"/>
        </w:rPr>
        <w:t>2 </w:t>
      </w:r>
      <w:r>
        <w:rPr/>
        <w:t>mitigation options, the specific technologies assumed for CO</w:t>
      </w:r>
      <w:r>
        <w:rPr>
          <w:position w:val="-6"/>
          <w:sz w:val="11"/>
        </w:rPr>
        <w:t>2 </w:t>
      </w:r>
      <w:r>
        <w:rPr/>
        <w:t>production and capture may be unclear or unspecified. In such cases, the context for reported cost results also may be unclear.</w:t>
      </w:r>
    </w:p>
    <w:p>
      <w:pPr>
        <w:pStyle w:val="BodyText"/>
        <w:spacing w:before="3"/>
        <w:rPr>
          <w:sz w:val="21"/>
        </w:rPr>
      </w:pPr>
    </w:p>
    <w:p>
      <w:pPr>
        <w:pStyle w:val="ListParagraph"/>
        <w:numPr>
          <w:ilvl w:val="3"/>
          <w:numId w:val="26"/>
        </w:numPr>
        <w:tabs>
          <w:tab w:pos="938" w:val="left" w:leader="none"/>
        </w:tabs>
        <w:spacing w:line="240" w:lineRule="auto" w:before="1" w:after="0"/>
        <w:ind w:left="937" w:right="0" w:hanging="821"/>
        <w:jc w:val="both"/>
        <w:rPr>
          <w:i/>
          <w:sz w:val="20"/>
        </w:rPr>
      </w:pPr>
      <w:r>
        <w:rPr>
          <w:i/>
          <w:sz w:val="20"/>
        </w:rPr>
        <w:t>Defining the system</w:t>
      </w:r>
      <w:r>
        <w:rPr>
          <w:i/>
          <w:spacing w:val="-4"/>
          <w:sz w:val="20"/>
        </w:rPr>
        <w:t> </w:t>
      </w:r>
      <w:r>
        <w:rPr>
          <w:i/>
          <w:sz w:val="20"/>
        </w:rPr>
        <w:t>boundary</w:t>
      </w:r>
    </w:p>
    <w:p>
      <w:pPr>
        <w:spacing w:line="223" w:lineRule="auto" w:before="23"/>
        <w:ind w:left="117" w:right="497" w:firstLine="0"/>
        <w:jc w:val="both"/>
        <w:rPr>
          <w:sz w:val="11"/>
        </w:rPr>
      </w:pPr>
      <w:r>
        <w:rPr>
          <w:sz w:val="20"/>
        </w:rPr>
        <w:t>Any economic assessment should clearly define the ‘system’ whose CO</w:t>
      </w:r>
      <w:r>
        <w:rPr>
          <w:position w:val="-6"/>
          <w:sz w:val="11"/>
        </w:rPr>
        <w:t>2 </w:t>
      </w:r>
      <w:r>
        <w:rPr>
          <w:sz w:val="20"/>
        </w:rPr>
        <w:t>emissions and cost is being characterized. The</w:t>
      </w:r>
      <w:r>
        <w:rPr>
          <w:spacing w:val="-28"/>
          <w:sz w:val="20"/>
        </w:rPr>
        <w:t> </w:t>
      </w:r>
      <w:r>
        <w:rPr>
          <w:sz w:val="20"/>
        </w:rPr>
        <w:t>most common</w:t>
      </w:r>
      <w:r>
        <w:rPr>
          <w:spacing w:val="-15"/>
          <w:sz w:val="20"/>
        </w:rPr>
        <w:t> </w:t>
      </w:r>
      <w:r>
        <w:rPr>
          <w:sz w:val="20"/>
        </w:rPr>
        <w:t>assumption</w:t>
      </w:r>
      <w:r>
        <w:rPr>
          <w:spacing w:val="-15"/>
          <w:sz w:val="20"/>
        </w:rPr>
        <w:t> </w:t>
      </w:r>
      <w:r>
        <w:rPr>
          <w:sz w:val="20"/>
        </w:rPr>
        <w:t>in</w:t>
      </w:r>
      <w:r>
        <w:rPr>
          <w:spacing w:val="-15"/>
          <w:sz w:val="20"/>
        </w:rPr>
        <w:t> </w:t>
      </w:r>
      <w:r>
        <w:rPr>
          <w:sz w:val="20"/>
        </w:rPr>
        <w:t>studies</w:t>
      </w:r>
      <w:r>
        <w:rPr>
          <w:spacing w:val="-15"/>
          <w:sz w:val="20"/>
        </w:rPr>
        <w:t> </w:t>
      </w:r>
      <w:r>
        <w:rPr>
          <w:sz w:val="20"/>
        </w:rPr>
        <w:t>of</w:t>
      </w:r>
      <w:r>
        <w:rPr>
          <w:spacing w:val="-15"/>
          <w:sz w:val="20"/>
        </w:rPr>
        <w:t> </w:t>
      </w:r>
      <w:r>
        <w:rPr>
          <w:sz w:val="20"/>
        </w:rPr>
        <w:t>CO</w:t>
      </w:r>
      <w:r>
        <w:rPr>
          <w:position w:val="-6"/>
          <w:sz w:val="11"/>
        </w:rPr>
        <w:t>2</w:t>
      </w:r>
      <w:r>
        <w:rPr>
          <w:spacing w:val="8"/>
          <w:position w:val="-6"/>
          <w:sz w:val="11"/>
        </w:rPr>
        <w:t> </w:t>
      </w:r>
      <w:r>
        <w:rPr>
          <w:sz w:val="20"/>
        </w:rPr>
        <w:t>capture</w:t>
      </w:r>
      <w:r>
        <w:rPr>
          <w:spacing w:val="-15"/>
          <w:sz w:val="20"/>
        </w:rPr>
        <w:t> </w:t>
      </w:r>
      <w:r>
        <w:rPr>
          <w:sz w:val="20"/>
        </w:rPr>
        <w:t>is</w:t>
      </w:r>
      <w:r>
        <w:rPr>
          <w:spacing w:val="-15"/>
          <w:sz w:val="20"/>
        </w:rPr>
        <w:t> </w:t>
      </w:r>
      <w:r>
        <w:rPr>
          <w:sz w:val="20"/>
        </w:rPr>
        <w:t>a</w:t>
      </w:r>
      <w:r>
        <w:rPr>
          <w:spacing w:val="-15"/>
          <w:sz w:val="20"/>
        </w:rPr>
        <w:t> </w:t>
      </w:r>
      <w:r>
        <w:rPr>
          <w:sz w:val="20"/>
        </w:rPr>
        <w:t>single</w:t>
      </w:r>
      <w:r>
        <w:rPr>
          <w:spacing w:val="-15"/>
          <w:sz w:val="20"/>
        </w:rPr>
        <w:t> </w:t>
      </w:r>
      <w:r>
        <w:rPr>
          <w:sz w:val="20"/>
        </w:rPr>
        <w:t>facility (most</w:t>
      </w:r>
      <w:r>
        <w:rPr>
          <w:spacing w:val="-7"/>
          <w:sz w:val="20"/>
        </w:rPr>
        <w:t> </w:t>
      </w:r>
      <w:r>
        <w:rPr>
          <w:sz w:val="20"/>
        </w:rPr>
        <w:t>often</w:t>
      </w:r>
      <w:r>
        <w:rPr>
          <w:spacing w:val="-7"/>
          <w:sz w:val="20"/>
        </w:rPr>
        <w:t> </w:t>
      </w:r>
      <w:r>
        <w:rPr>
          <w:sz w:val="20"/>
        </w:rPr>
        <w:t>a</w:t>
      </w:r>
      <w:r>
        <w:rPr>
          <w:spacing w:val="-7"/>
          <w:sz w:val="20"/>
        </w:rPr>
        <w:t> </w:t>
      </w:r>
      <w:r>
        <w:rPr>
          <w:sz w:val="20"/>
        </w:rPr>
        <w:t>power</w:t>
      </w:r>
      <w:r>
        <w:rPr>
          <w:spacing w:val="-7"/>
          <w:sz w:val="20"/>
        </w:rPr>
        <w:t> </w:t>
      </w:r>
      <w:r>
        <w:rPr>
          <w:sz w:val="20"/>
        </w:rPr>
        <w:t>plant)</w:t>
      </w:r>
      <w:r>
        <w:rPr>
          <w:spacing w:val="-7"/>
          <w:sz w:val="20"/>
        </w:rPr>
        <w:t> </w:t>
      </w:r>
      <w:r>
        <w:rPr>
          <w:sz w:val="20"/>
        </w:rPr>
        <w:t>that</w:t>
      </w:r>
      <w:r>
        <w:rPr>
          <w:spacing w:val="-6"/>
          <w:sz w:val="20"/>
        </w:rPr>
        <w:t> </w:t>
      </w:r>
      <w:r>
        <w:rPr>
          <w:sz w:val="20"/>
        </w:rPr>
        <w:t>captures</w:t>
      </w:r>
      <w:r>
        <w:rPr>
          <w:spacing w:val="-7"/>
          <w:sz w:val="20"/>
        </w:rPr>
        <w:t> </w:t>
      </w:r>
      <w:r>
        <w:rPr>
          <w:sz w:val="20"/>
        </w:rPr>
        <w:t>CO</w:t>
      </w:r>
      <w:r>
        <w:rPr>
          <w:position w:val="-6"/>
          <w:sz w:val="11"/>
        </w:rPr>
        <w:t>2</w:t>
      </w:r>
      <w:r>
        <w:rPr>
          <w:spacing w:val="15"/>
          <w:position w:val="-6"/>
          <w:sz w:val="11"/>
        </w:rPr>
        <w:t> </w:t>
      </w:r>
      <w:r>
        <w:rPr>
          <w:sz w:val="20"/>
        </w:rPr>
        <w:t>and</w:t>
      </w:r>
      <w:r>
        <w:rPr>
          <w:spacing w:val="-6"/>
          <w:sz w:val="20"/>
        </w:rPr>
        <w:t> </w:t>
      </w:r>
      <w:r>
        <w:rPr>
          <w:sz w:val="20"/>
        </w:rPr>
        <w:t>transports</w:t>
      </w:r>
      <w:r>
        <w:rPr>
          <w:spacing w:val="-7"/>
          <w:sz w:val="20"/>
        </w:rPr>
        <w:t> </w:t>
      </w:r>
      <w:r>
        <w:rPr>
          <w:sz w:val="20"/>
        </w:rPr>
        <w:t>it</w:t>
      </w:r>
      <w:r>
        <w:rPr>
          <w:spacing w:val="-7"/>
          <w:sz w:val="20"/>
        </w:rPr>
        <w:t> </w:t>
      </w:r>
      <w:r>
        <w:rPr>
          <w:sz w:val="20"/>
        </w:rPr>
        <w:t>to an off-site storage area such as a geologic formation. The CO</w:t>
      </w:r>
      <w:r>
        <w:rPr>
          <w:position w:val="-6"/>
          <w:sz w:val="11"/>
        </w:rPr>
        <w:t>2 </w:t>
      </w:r>
      <w:r>
        <w:rPr>
          <w:sz w:val="20"/>
        </w:rPr>
        <w:t>emissions considered are those released at the facility before and after capture. Reported costs may or may not include CO</w:t>
      </w:r>
      <w:r>
        <w:rPr>
          <w:position w:val="-6"/>
          <w:sz w:val="11"/>
        </w:rPr>
        <w:t>2 </w:t>
      </w:r>
      <w:r>
        <w:rPr>
          <w:sz w:val="20"/>
        </w:rPr>
        <w:t>transport and storage costs. </w:t>
      </w:r>
      <w:r>
        <w:rPr>
          <w:i/>
          <w:sz w:val="20"/>
        </w:rPr>
        <w:t>The system boundary of interest in </w:t>
      </w:r>
      <w:r>
        <w:rPr>
          <w:i/>
          <w:sz w:val="20"/>
        </w:rPr>
        <w:t>this</w:t>
      </w:r>
      <w:r>
        <w:rPr>
          <w:i/>
          <w:spacing w:val="-4"/>
          <w:sz w:val="20"/>
        </w:rPr>
        <w:t> </w:t>
      </w:r>
      <w:r>
        <w:rPr>
          <w:i/>
          <w:sz w:val="20"/>
        </w:rPr>
        <w:t>section</w:t>
      </w:r>
      <w:r>
        <w:rPr>
          <w:i/>
          <w:spacing w:val="-4"/>
          <w:sz w:val="20"/>
        </w:rPr>
        <w:t> </w:t>
      </w:r>
      <w:r>
        <w:rPr>
          <w:i/>
          <w:sz w:val="20"/>
        </w:rPr>
        <w:t>of</w:t>
      </w:r>
      <w:r>
        <w:rPr>
          <w:i/>
          <w:spacing w:val="-3"/>
          <w:sz w:val="20"/>
        </w:rPr>
        <w:t> </w:t>
      </w:r>
      <w:r>
        <w:rPr>
          <w:i/>
          <w:sz w:val="20"/>
        </w:rPr>
        <w:t>the</w:t>
      </w:r>
      <w:r>
        <w:rPr>
          <w:i/>
          <w:spacing w:val="-3"/>
          <w:sz w:val="20"/>
        </w:rPr>
        <w:t> </w:t>
      </w:r>
      <w:r>
        <w:rPr>
          <w:i/>
          <w:sz w:val="20"/>
        </w:rPr>
        <w:t>report</w:t>
      </w:r>
      <w:r>
        <w:rPr>
          <w:i/>
          <w:spacing w:val="-4"/>
          <w:sz w:val="20"/>
        </w:rPr>
        <w:t> </w:t>
      </w:r>
      <w:r>
        <w:rPr>
          <w:i/>
          <w:sz w:val="20"/>
        </w:rPr>
        <w:t>includes</w:t>
      </w:r>
      <w:r>
        <w:rPr>
          <w:i/>
          <w:spacing w:val="-3"/>
          <w:sz w:val="20"/>
        </w:rPr>
        <w:t> </w:t>
      </w:r>
      <w:r>
        <w:rPr>
          <w:i/>
          <w:sz w:val="20"/>
        </w:rPr>
        <w:t>only</w:t>
      </w:r>
      <w:r>
        <w:rPr>
          <w:i/>
          <w:spacing w:val="-3"/>
          <w:sz w:val="20"/>
        </w:rPr>
        <w:t> </w:t>
      </w:r>
      <w:r>
        <w:rPr>
          <w:i/>
          <w:sz w:val="20"/>
        </w:rPr>
        <w:t>the</w:t>
      </w:r>
      <w:r>
        <w:rPr>
          <w:i/>
          <w:spacing w:val="-3"/>
          <w:sz w:val="20"/>
        </w:rPr>
        <w:t> </w:t>
      </w:r>
      <w:r>
        <w:rPr>
          <w:i/>
          <w:sz w:val="20"/>
        </w:rPr>
        <w:t>power</w:t>
      </w:r>
      <w:r>
        <w:rPr>
          <w:i/>
          <w:spacing w:val="-3"/>
          <w:sz w:val="20"/>
        </w:rPr>
        <w:t> </w:t>
      </w:r>
      <w:r>
        <w:rPr>
          <w:i/>
          <w:sz w:val="20"/>
        </w:rPr>
        <w:t>plant</w:t>
      </w:r>
      <w:r>
        <w:rPr>
          <w:i/>
          <w:spacing w:val="-4"/>
          <w:sz w:val="20"/>
        </w:rPr>
        <w:t> </w:t>
      </w:r>
      <w:r>
        <w:rPr>
          <w:i/>
          <w:sz w:val="20"/>
        </w:rPr>
        <w:t>or</w:t>
      </w:r>
      <w:r>
        <w:rPr>
          <w:i/>
          <w:spacing w:val="-3"/>
          <w:sz w:val="20"/>
        </w:rPr>
        <w:t> </w:t>
      </w:r>
      <w:r>
        <w:rPr>
          <w:i/>
          <w:sz w:val="20"/>
        </w:rPr>
        <w:t>other process of interest and does not include CO</w:t>
      </w:r>
      <w:r>
        <w:rPr>
          <w:i/>
          <w:position w:val="-6"/>
          <w:sz w:val="11"/>
        </w:rPr>
        <w:t>2 </w:t>
      </w:r>
      <w:r>
        <w:rPr>
          <w:i/>
          <w:sz w:val="20"/>
        </w:rPr>
        <w:t>transport and storage systems, whose costs </w:t>
      </w:r>
      <w:r>
        <w:rPr>
          <w:i/>
          <w:spacing w:val="-3"/>
          <w:sz w:val="20"/>
        </w:rPr>
        <w:t>are </w:t>
      </w:r>
      <w:r>
        <w:rPr>
          <w:i/>
          <w:sz w:val="20"/>
        </w:rPr>
        <w:t>presented in later chapters. CO</w:t>
      </w:r>
      <w:r>
        <w:rPr>
          <w:i/>
          <w:position w:val="-6"/>
          <w:sz w:val="11"/>
        </w:rPr>
        <w:t>2 </w:t>
      </w:r>
      <w:r>
        <w:rPr>
          <w:i/>
          <w:sz w:val="20"/>
        </w:rPr>
        <w:t>compression, </w:t>
      </w:r>
      <w:r>
        <w:rPr>
          <w:i/>
          <w:spacing w:val="-3"/>
          <w:sz w:val="20"/>
        </w:rPr>
        <w:t>however, </w:t>
      </w:r>
      <w:r>
        <w:rPr>
          <w:i/>
          <w:sz w:val="20"/>
        </w:rPr>
        <w:t>is assumed to occur within the facility boundary and therefore the cost of compression is included in the cost of</w:t>
      </w:r>
      <w:r>
        <w:rPr>
          <w:i/>
          <w:spacing w:val="-1"/>
          <w:sz w:val="20"/>
        </w:rPr>
        <w:t> </w:t>
      </w:r>
      <w:r>
        <w:rPr>
          <w:i/>
          <w:sz w:val="20"/>
        </w:rPr>
        <w:t>capture.</w:t>
      </w:r>
      <w:r>
        <w:rPr>
          <w:position w:val="7"/>
          <w:sz w:val="11"/>
        </w:rPr>
        <w:t>3</w:t>
      </w:r>
    </w:p>
    <w:p>
      <w:pPr>
        <w:pStyle w:val="BodyText"/>
        <w:spacing w:line="229" w:lineRule="exact"/>
        <w:ind w:left="400"/>
        <w:jc w:val="both"/>
      </w:pPr>
      <w:r>
        <w:rPr/>
        <w:t>In some studies the system boundary includes emissions of</w:t>
      </w:r>
    </w:p>
    <w:p>
      <w:pPr>
        <w:spacing w:after="0" w:line="229" w:lineRule="exact"/>
        <w:jc w:val="both"/>
        <w:sectPr>
          <w:pgSz w:w="12240" w:h="15840"/>
          <w:pgMar w:header="567" w:footer="0" w:top="1180" w:bottom="280" w:left="620" w:right="620"/>
          <w:cols w:num="2" w:equalWidth="0">
            <w:col w:w="5203" w:space="124"/>
            <w:col w:w="5673"/>
          </w:cols>
        </w:sectPr>
      </w:pPr>
    </w:p>
    <w:p>
      <w:pPr>
        <w:pStyle w:val="BodyText"/>
        <w:tabs>
          <w:tab w:pos="5443" w:val="left" w:leader="none"/>
          <w:tab w:pos="6883" w:val="left" w:leader="none"/>
        </w:tabs>
        <w:spacing w:before="4"/>
        <w:ind w:left="117"/>
      </w:pPr>
      <w:r>
        <w:rPr/>
        <w:pict>
          <v:shape style="position:absolute;margin-left:552.987122pt;margin-top:20.003038pt;width:2.35pt;height:4.650pt;mso-position-horizontal-relative:page;mso-position-vertical-relative:paragraph;z-index:-272407552" type="#_x0000_t202" filled="false" stroked="false">
            <v:textbox inset="0,0,0,0">
              <w:txbxContent>
                <w:p>
                  <w:pPr>
                    <w:spacing w:line="89" w:lineRule="exact" w:before="0"/>
                    <w:ind w:left="0" w:right="0" w:firstLine="0"/>
                    <w:jc w:val="left"/>
                    <w:rPr>
                      <w:sz w:val="9"/>
                    </w:rPr>
                  </w:pPr>
                  <w:r>
                    <w:rPr>
                      <w:w w:val="103"/>
                      <w:sz w:val="9"/>
                    </w:rPr>
                    <w:t>2</w:t>
                  </w:r>
                </w:p>
              </w:txbxContent>
            </v:textbox>
            <w10:wrap type="none"/>
          </v:shape>
        </w:pict>
      </w:r>
      <w:r>
        <w:rPr/>
        <w:t>procured  for  operations,  waste  disposal  at  the  facilities</w:t>
      </w:r>
      <w:r>
        <w:rPr>
          <w:spacing w:val="-18"/>
        </w:rPr>
        <w:t> </w:t>
      </w:r>
      <w:r>
        <w:rPr/>
        <w:t>and</w:t>
        <w:tab/>
      </w:r>
      <w:r>
        <w:rPr>
          <w:u w:val="single"/>
        </w:rPr>
        <w:t> </w:t>
        <w:tab/>
      </w:r>
    </w:p>
    <w:p>
      <w:pPr>
        <w:spacing w:after="0"/>
        <w:sectPr>
          <w:type w:val="continuous"/>
          <w:pgSz w:w="12240" w:h="15840"/>
          <w:pgMar w:top="480" w:bottom="280" w:left="620" w:right="620"/>
        </w:sectPr>
      </w:pPr>
    </w:p>
    <w:p>
      <w:pPr>
        <w:pStyle w:val="BodyText"/>
        <w:spacing w:line="249" w:lineRule="auto" w:before="10"/>
        <w:ind w:left="117" w:right="38"/>
        <w:jc w:val="both"/>
      </w:pPr>
      <w:r>
        <w:rPr/>
        <w:t>operation according to a formal management system from construction, operation to the development of site closure</w:t>
      </w:r>
      <w:r>
        <w:rPr>
          <w:spacing w:val="-31"/>
        </w:rPr>
        <w:t> </w:t>
      </w:r>
      <w:r>
        <w:rPr>
          <w:spacing w:val="-3"/>
        </w:rPr>
        <w:t>plans </w:t>
      </w:r>
      <w:r>
        <w:rPr/>
        <w:t>will largely assist to reduce the risk of a polluted site after closure of operations.</w:t>
      </w:r>
    </w:p>
    <w:p>
      <w:pPr>
        <w:spacing w:line="261" w:lineRule="auto" w:before="34"/>
        <w:ind w:left="117" w:right="434" w:firstLine="0"/>
        <w:jc w:val="left"/>
        <w:rPr>
          <w:sz w:val="16"/>
        </w:rPr>
      </w:pPr>
      <w:r>
        <w:rPr/>
        <w:br w:type="column"/>
      </w:r>
      <w:r>
        <w:rPr>
          <w:position w:val="5"/>
          <w:sz w:val="9"/>
        </w:rPr>
        <w:t>3 </w:t>
      </w:r>
      <w:r>
        <w:rPr>
          <w:sz w:val="16"/>
        </w:rPr>
        <w:t>Alternatively, compression costs could be attributed wholly or in part to CO transport and storage. Most studies, however, include compression with capture cost. This also facilitates comparisons of capture technologies that operate at different pressures, and thus incur different costs to achieve a specified final pressure.</w:t>
      </w:r>
    </w:p>
    <w:p>
      <w:pPr>
        <w:spacing w:after="0" w:line="261" w:lineRule="auto"/>
        <w:jc w:val="left"/>
        <w:rPr>
          <w:sz w:val="16"/>
        </w:rPr>
        <w:sectPr>
          <w:type w:val="continuous"/>
          <w:pgSz w:w="12240" w:h="15840"/>
          <w:pgMar w:top="480" w:bottom="280" w:left="620" w:right="620"/>
          <w:cols w:num="2" w:equalWidth="0">
            <w:col w:w="5201" w:space="126"/>
            <w:col w:w="5673"/>
          </w:cols>
        </w:sectPr>
      </w:pPr>
    </w:p>
    <w:p>
      <w:pPr>
        <w:pStyle w:val="BodyText"/>
        <w:spacing w:line="240" w:lineRule="exact" w:before="51"/>
        <w:ind w:left="513" w:right="1"/>
        <w:jc w:val="both"/>
      </w:pPr>
      <w:bookmarkStart w:name="3.7.2 Measures of CO2 capture cost" w:id="70"/>
      <w:bookmarkEnd w:id="70"/>
      <w:r>
        <w:rPr/>
      </w:r>
      <w:r>
        <w:rPr/>
        <w:t>CO</w:t>
      </w:r>
      <w:r>
        <w:rPr>
          <w:position w:val="-6"/>
          <w:sz w:val="11"/>
        </w:rPr>
        <w:t>2 </w:t>
      </w:r>
      <w:r>
        <w:rPr/>
        <w:t>and other greenhouse gases such as methane (expressed  as equivalent CO</w:t>
      </w:r>
      <w:r>
        <w:rPr>
          <w:position w:val="-6"/>
          <w:sz w:val="11"/>
        </w:rPr>
        <w:t>2</w:t>
      </w:r>
      <w:r>
        <w:rPr/>
        <w:t>) over the complete fuel cycle </w:t>
      </w:r>
      <w:r>
        <w:rPr>
          <w:spacing w:val="-2"/>
        </w:rPr>
        <w:t>encompassing </w:t>
      </w:r>
      <w:r>
        <w:rPr/>
        <w:t>not only the power plant or facility in question, but also </w:t>
      </w:r>
      <w:r>
        <w:rPr>
          <w:spacing w:val="-6"/>
        </w:rPr>
        <w:t>the </w:t>
      </w:r>
      <w:r>
        <w:rPr/>
        <w:t>‘upstream’</w:t>
      </w:r>
      <w:r>
        <w:rPr>
          <w:spacing w:val="-28"/>
        </w:rPr>
        <w:t> </w:t>
      </w:r>
      <w:r>
        <w:rPr/>
        <w:t>processes</w:t>
      </w:r>
      <w:r>
        <w:rPr>
          <w:spacing w:val="-13"/>
        </w:rPr>
        <w:t> </w:t>
      </w:r>
      <w:r>
        <w:rPr/>
        <w:t>of</w:t>
      </w:r>
      <w:r>
        <w:rPr>
          <w:spacing w:val="-13"/>
        </w:rPr>
        <w:t> </w:t>
      </w:r>
      <w:r>
        <w:rPr/>
        <w:t>extraction,</w:t>
      </w:r>
      <w:r>
        <w:rPr>
          <w:spacing w:val="-13"/>
        </w:rPr>
        <w:t> </w:t>
      </w:r>
      <w:r>
        <w:rPr/>
        <w:t>refining</w:t>
      </w:r>
      <w:r>
        <w:rPr>
          <w:spacing w:val="-13"/>
        </w:rPr>
        <w:t> </w:t>
      </w:r>
      <w:r>
        <w:rPr/>
        <w:t>and</w:t>
      </w:r>
      <w:r>
        <w:rPr>
          <w:spacing w:val="-12"/>
        </w:rPr>
        <w:t> </w:t>
      </w:r>
      <w:r>
        <w:rPr/>
        <w:t>transport</w:t>
      </w:r>
      <w:r>
        <w:rPr>
          <w:spacing w:val="-13"/>
        </w:rPr>
        <w:t> </w:t>
      </w:r>
      <w:r>
        <w:rPr/>
        <w:t>of</w:t>
      </w:r>
      <w:r>
        <w:rPr>
          <w:spacing w:val="-13"/>
        </w:rPr>
        <w:t> </w:t>
      </w:r>
      <w:r>
        <w:rPr>
          <w:spacing w:val="-4"/>
        </w:rPr>
        <w:t>fuel </w:t>
      </w:r>
      <w:r>
        <w:rPr/>
        <w:t>used at the facility, plus any ‘downstream’ emissions from </w:t>
      </w:r>
      <w:r>
        <w:rPr>
          <w:spacing w:val="-5"/>
        </w:rPr>
        <w:t>the </w:t>
      </w:r>
      <w:r>
        <w:rPr/>
        <w:t>use or storage of captured CO</w:t>
      </w:r>
      <w:r>
        <w:rPr>
          <w:position w:val="-6"/>
          <w:sz w:val="11"/>
        </w:rPr>
        <w:t>2</w:t>
      </w:r>
      <w:r>
        <w:rPr/>
        <w:t>. Still larger system boundaries might include all power plants in a utility company’s system; all plants in a regional or national grid; or a national economy where</w:t>
      </w:r>
      <w:r>
        <w:rPr>
          <w:spacing w:val="-7"/>
        </w:rPr>
        <w:t> </w:t>
      </w:r>
      <w:r>
        <w:rPr/>
        <w:t>power</w:t>
      </w:r>
      <w:r>
        <w:rPr>
          <w:spacing w:val="-6"/>
        </w:rPr>
        <w:t> </w:t>
      </w:r>
      <w:r>
        <w:rPr/>
        <w:t>plant</w:t>
      </w:r>
      <w:r>
        <w:rPr>
          <w:spacing w:val="-7"/>
        </w:rPr>
        <w:t> </w:t>
      </w:r>
      <w:r>
        <w:rPr/>
        <w:t>and</w:t>
      </w:r>
      <w:r>
        <w:rPr>
          <w:spacing w:val="-6"/>
        </w:rPr>
        <w:t> </w:t>
      </w:r>
      <w:r>
        <w:rPr/>
        <w:t>industrial</w:t>
      </w:r>
      <w:r>
        <w:rPr>
          <w:spacing w:val="-7"/>
        </w:rPr>
        <w:t> </w:t>
      </w:r>
      <w:r>
        <w:rPr/>
        <w:t>emissions</w:t>
      </w:r>
      <w:r>
        <w:rPr>
          <w:spacing w:val="-6"/>
        </w:rPr>
        <w:t> </w:t>
      </w:r>
      <w:r>
        <w:rPr/>
        <w:t>are</w:t>
      </w:r>
      <w:r>
        <w:rPr>
          <w:spacing w:val="-7"/>
        </w:rPr>
        <w:t> </w:t>
      </w:r>
      <w:r>
        <w:rPr/>
        <w:t>but</w:t>
      </w:r>
      <w:r>
        <w:rPr>
          <w:spacing w:val="-6"/>
        </w:rPr>
        <w:t> </w:t>
      </w:r>
      <w:r>
        <w:rPr/>
        <w:t>one</w:t>
      </w:r>
      <w:r>
        <w:rPr>
          <w:spacing w:val="-6"/>
        </w:rPr>
        <w:t> </w:t>
      </w:r>
      <w:r>
        <w:rPr/>
        <w:t>element of the overall energy system being modelled. In each of these cases it is possible to derive a mitigation cost for CO</w:t>
      </w:r>
      <w:r>
        <w:rPr>
          <w:position w:val="-6"/>
          <w:sz w:val="11"/>
        </w:rPr>
        <w:t>2</w:t>
      </w:r>
      <w:r>
        <w:rPr/>
        <w:t>, but the results</w:t>
      </w:r>
      <w:r>
        <w:rPr>
          <w:spacing w:val="-12"/>
        </w:rPr>
        <w:t> </w:t>
      </w:r>
      <w:r>
        <w:rPr/>
        <w:t>are</w:t>
      </w:r>
      <w:r>
        <w:rPr>
          <w:spacing w:val="-11"/>
        </w:rPr>
        <w:t> </w:t>
      </w:r>
      <w:r>
        <w:rPr/>
        <w:t>not</w:t>
      </w:r>
      <w:r>
        <w:rPr>
          <w:spacing w:val="-11"/>
        </w:rPr>
        <w:t> </w:t>
      </w:r>
      <w:r>
        <w:rPr/>
        <w:t>directly</w:t>
      </w:r>
      <w:r>
        <w:rPr>
          <w:spacing w:val="-11"/>
        </w:rPr>
        <w:t> </w:t>
      </w:r>
      <w:r>
        <w:rPr/>
        <w:t>comparable</w:t>
      </w:r>
      <w:r>
        <w:rPr>
          <w:spacing w:val="-12"/>
        </w:rPr>
        <w:t> </w:t>
      </w:r>
      <w:r>
        <w:rPr/>
        <w:t>because</w:t>
      </w:r>
      <w:r>
        <w:rPr>
          <w:spacing w:val="-11"/>
        </w:rPr>
        <w:t> </w:t>
      </w:r>
      <w:r>
        <w:rPr/>
        <w:t>they</w:t>
      </w:r>
      <w:r>
        <w:rPr>
          <w:spacing w:val="-11"/>
        </w:rPr>
        <w:t> </w:t>
      </w:r>
      <w:r>
        <w:rPr/>
        <w:t>reflect</w:t>
      </w:r>
      <w:r>
        <w:rPr>
          <w:spacing w:val="-11"/>
        </w:rPr>
        <w:t> </w:t>
      </w:r>
      <w:r>
        <w:rPr>
          <w:spacing w:val="-3"/>
        </w:rPr>
        <w:t>different </w:t>
      </w:r>
      <w:r>
        <w:rPr/>
        <w:t>system</w:t>
      </w:r>
      <w:r>
        <w:rPr>
          <w:spacing w:val="-14"/>
        </w:rPr>
        <w:t> </w:t>
      </w:r>
      <w:r>
        <w:rPr/>
        <w:t>boundaries</w:t>
      </w:r>
      <w:r>
        <w:rPr>
          <w:spacing w:val="-13"/>
        </w:rPr>
        <w:t> </w:t>
      </w:r>
      <w:r>
        <w:rPr/>
        <w:t>and</w:t>
      </w:r>
      <w:r>
        <w:rPr>
          <w:spacing w:val="-13"/>
        </w:rPr>
        <w:t> </w:t>
      </w:r>
      <w:r>
        <w:rPr/>
        <w:t>considerations.</w:t>
      </w:r>
      <w:r>
        <w:rPr>
          <w:spacing w:val="-13"/>
        </w:rPr>
        <w:t> </w:t>
      </w:r>
      <w:r>
        <w:rPr/>
        <w:t>Chapter</w:t>
      </w:r>
      <w:r>
        <w:rPr>
          <w:spacing w:val="-14"/>
        </w:rPr>
        <w:t> </w:t>
      </w:r>
      <w:r>
        <w:rPr/>
        <w:t>8</w:t>
      </w:r>
      <w:r>
        <w:rPr>
          <w:spacing w:val="-13"/>
        </w:rPr>
        <w:t> </w:t>
      </w:r>
      <w:r>
        <w:rPr/>
        <w:t>discusses</w:t>
      </w:r>
      <w:r>
        <w:rPr>
          <w:spacing w:val="-13"/>
        </w:rPr>
        <w:t> </w:t>
      </w:r>
      <w:r>
        <w:rPr/>
        <w:t>such differences in more detail and presents results for alternative systems of</w:t>
      </w:r>
      <w:r>
        <w:rPr>
          <w:spacing w:val="-2"/>
        </w:rPr>
        <w:t> </w:t>
      </w:r>
      <w:r>
        <w:rPr/>
        <w:t>interest.</w:t>
      </w:r>
    </w:p>
    <w:p>
      <w:pPr>
        <w:pStyle w:val="BodyText"/>
        <w:spacing w:before="10"/>
      </w:pPr>
    </w:p>
    <w:p>
      <w:pPr>
        <w:pStyle w:val="ListParagraph"/>
        <w:numPr>
          <w:ilvl w:val="3"/>
          <w:numId w:val="26"/>
        </w:numPr>
        <w:tabs>
          <w:tab w:pos="1364" w:val="left" w:leader="none"/>
          <w:tab w:pos="1365" w:val="left" w:leader="none"/>
        </w:tabs>
        <w:spacing w:line="240" w:lineRule="exact" w:before="0" w:after="0"/>
        <w:ind w:left="513" w:right="0" w:firstLine="0"/>
        <w:jc w:val="left"/>
        <w:rPr>
          <w:sz w:val="20"/>
        </w:rPr>
      </w:pPr>
      <w:r>
        <w:rPr>
          <w:i/>
          <w:sz w:val="20"/>
        </w:rPr>
        <w:t>Defining the technology time frame and maturity </w:t>
      </w:r>
      <w:r>
        <w:rPr>
          <w:sz w:val="20"/>
        </w:rPr>
        <w:t>Another factor that is often unclear in economic evaluations of CO</w:t>
      </w:r>
      <w:r>
        <w:rPr>
          <w:position w:val="-6"/>
          <w:sz w:val="11"/>
        </w:rPr>
        <w:t>2 </w:t>
      </w:r>
      <w:r>
        <w:rPr>
          <w:sz w:val="20"/>
        </w:rPr>
        <w:t>capture is the assumed time frame and/or level of maturity for the technology under </w:t>
      </w:r>
      <w:r>
        <w:rPr>
          <w:spacing w:val="-3"/>
          <w:sz w:val="20"/>
        </w:rPr>
        <w:t>study. </w:t>
      </w:r>
      <w:r>
        <w:rPr>
          <w:sz w:val="20"/>
        </w:rPr>
        <w:t>Does the cost estimate apply to a</w:t>
      </w:r>
      <w:r>
        <w:rPr>
          <w:spacing w:val="-6"/>
          <w:sz w:val="20"/>
        </w:rPr>
        <w:t> </w:t>
      </w:r>
      <w:r>
        <w:rPr>
          <w:sz w:val="20"/>
        </w:rPr>
        <w:t>facility</w:t>
      </w:r>
      <w:r>
        <w:rPr>
          <w:spacing w:val="-5"/>
          <w:sz w:val="20"/>
        </w:rPr>
        <w:t> </w:t>
      </w:r>
      <w:r>
        <w:rPr>
          <w:sz w:val="20"/>
        </w:rPr>
        <w:t>that</w:t>
      </w:r>
      <w:r>
        <w:rPr>
          <w:spacing w:val="-5"/>
          <w:sz w:val="20"/>
        </w:rPr>
        <w:t> </w:t>
      </w:r>
      <w:r>
        <w:rPr>
          <w:sz w:val="20"/>
        </w:rPr>
        <w:t>would</w:t>
      </w:r>
      <w:r>
        <w:rPr>
          <w:spacing w:val="-5"/>
          <w:sz w:val="20"/>
        </w:rPr>
        <w:t> </w:t>
      </w:r>
      <w:r>
        <w:rPr>
          <w:sz w:val="20"/>
        </w:rPr>
        <w:t>be</w:t>
      </w:r>
      <w:r>
        <w:rPr>
          <w:spacing w:val="-5"/>
          <w:sz w:val="20"/>
        </w:rPr>
        <w:t> </w:t>
      </w:r>
      <w:r>
        <w:rPr>
          <w:sz w:val="20"/>
        </w:rPr>
        <w:t>built</w:t>
      </w:r>
      <w:r>
        <w:rPr>
          <w:spacing w:val="-5"/>
          <w:sz w:val="20"/>
        </w:rPr>
        <w:t> </w:t>
      </w:r>
      <w:r>
        <w:rPr>
          <w:spacing w:val="-3"/>
          <w:sz w:val="20"/>
        </w:rPr>
        <w:t>today,</w:t>
      </w:r>
      <w:r>
        <w:rPr>
          <w:spacing w:val="-6"/>
          <w:sz w:val="20"/>
        </w:rPr>
        <w:t> </w:t>
      </w:r>
      <w:r>
        <w:rPr>
          <w:sz w:val="20"/>
        </w:rPr>
        <w:t>or</w:t>
      </w:r>
      <w:r>
        <w:rPr>
          <w:spacing w:val="-5"/>
          <w:sz w:val="20"/>
        </w:rPr>
        <w:t> </w:t>
      </w:r>
      <w:r>
        <w:rPr>
          <w:sz w:val="20"/>
        </w:rPr>
        <w:t>at</w:t>
      </w:r>
      <w:r>
        <w:rPr>
          <w:spacing w:val="-5"/>
          <w:sz w:val="20"/>
        </w:rPr>
        <w:t> </w:t>
      </w:r>
      <w:r>
        <w:rPr>
          <w:sz w:val="20"/>
        </w:rPr>
        <w:t>some</w:t>
      </w:r>
      <w:r>
        <w:rPr>
          <w:spacing w:val="-5"/>
          <w:sz w:val="20"/>
        </w:rPr>
        <w:t> </w:t>
      </w:r>
      <w:r>
        <w:rPr>
          <w:sz w:val="20"/>
        </w:rPr>
        <w:t>future</w:t>
      </w:r>
      <w:r>
        <w:rPr>
          <w:spacing w:val="-5"/>
          <w:sz w:val="20"/>
        </w:rPr>
        <w:t> </w:t>
      </w:r>
      <w:r>
        <w:rPr>
          <w:sz w:val="20"/>
        </w:rPr>
        <w:t>time?</w:t>
      </w:r>
      <w:r>
        <w:rPr>
          <w:spacing w:val="-9"/>
          <w:sz w:val="20"/>
        </w:rPr>
        <w:t> </w:t>
      </w:r>
      <w:r>
        <w:rPr>
          <w:sz w:val="20"/>
        </w:rPr>
        <w:t>This is especially problematic in studies of ‘advanced’ technologies that are still under development and not currently commercial. In most cases, studies of advanced technologies assume that costs apply to an ‘n</w:t>
      </w:r>
      <w:r>
        <w:rPr>
          <w:position w:val="7"/>
          <w:sz w:val="11"/>
        </w:rPr>
        <w:t>th </w:t>
      </w:r>
      <w:r>
        <w:rPr>
          <w:sz w:val="20"/>
        </w:rPr>
        <w:t>plant’ to be built sometime in the future when the technology is mature. Such estimates reflect the expected benefits of technological learning, but may or </w:t>
      </w:r>
      <w:r>
        <w:rPr>
          <w:spacing w:val="-5"/>
          <w:sz w:val="20"/>
        </w:rPr>
        <w:t>may </w:t>
      </w:r>
      <w:r>
        <w:rPr>
          <w:sz w:val="20"/>
        </w:rPr>
        <w:t>not adequately account for the increased costs that typically occur in the early stages of commercialization. The choice of technology time frame and assumed rate of cost improvements and can therefore make a big difference in CO</w:t>
      </w:r>
      <w:r>
        <w:rPr>
          <w:position w:val="-6"/>
          <w:sz w:val="11"/>
        </w:rPr>
        <w:t>2 </w:t>
      </w:r>
      <w:r>
        <w:rPr>
          <w:sz w:val="20"/>
        </w:rPr>
        <w:t>capture cost estimates.</w:t>
      </w:r>
    </w:p>
    <w:p>
      <w:pPr>
        <w:pStyle w:val="BodyText"/>
        <w:spacing w:before="3"/>
        <w:rPr>
          <w:sz w:val="21"/>
        </w:rPr>
      </w:pPr>
    </w:p>
    <w:p>
      <w:pPr>
        <w:pStyle w:val="ListParagraph"/>
        <w:numPr>
          <w:ilvl w:val="3"/>
          <w:numId w:val="26"/>
        </w:numPr>
        <w:tabs>
          <w:tab w:pos="1334" w:val="left" w:leader="none"/>
        </w:tabs>
        <w:spacing w:line="240" w:lineRule="auto" w:before="1" w:after="0"/>
        <w:ind w:left="1333" w:right="0" w:hanging="821"/>
        <w:jc w:val="both"/>
        <w:rPr>
          <w:i/>
          <w:sz w:val="20"/>
        </w:rPr>
      </w:pPr>
      <w:r>
        <w:rPr>
          <w:i/>
          <w:sz w:val="20"/>
        </w:rPr>
        <w:t>Different cost measures and</w:t>
      </w:r>
      <w:r>
        <w:rPr>
          <w:i/>
          <w:spacing w:val="-5"/>
          <w:sz w:val="20"/>
        </w:rPr>
        <w:t> </w:t>
      </w:r>
      <w:r>
        <w:rPr>
          <w:i/>
          <w:sz w:val="20"/>
        </w:rPr>
        <w:t>assumptions</w:t>
      </w:r>
    </w:p>
    <w:p>
      <w:pPr>
        <w:pStyle w:val="BodyText"/>
        <w:spacing w:line="240" w:lineRule="exact" w:before="4"/>
        <w:ind w:left="513"/>
        <w:jc w:val="both"/>
      </w:pPr>
      <w:r>
        <w:rPr/>
        <w:t>The literature reveals a number of different measures used </w:t>
      </w:r>
      <w:r>
        <w:rPr>
          <w:spacing w:val="-6"/>
        </w:rPr>
        <w:t>to </w:t>
      </w:r>
      <w:r>
        <w:rPr/>
        <w:t>characterize CO</w:t>
      </w:r>
      <w:r>
        <w:rPr>
          <w:position w:val="-6"/>
          <w:sz w:val="11"/>
        </w:rPr>
        <w:t>2 </w:t>
      </w:r>
      <w:r>
        <w:rPr/>
        <w:t>capture and storage costs, including capital cost, cost of electricity, cost of CO</w:t>
      </w:r>
      <w:r>
        <w:rPr>
          <w:position w:val="-6"/>
          <w:sz w:val="11"/>
        </w:rPr>
        <w:t>2 </w:t>
      </w:r>
      <w:r>
        <w:rPr/>
        <w:t>avoided and others. Because some of these measures are reported in the same units (e.g., US dollars per tonne of CO</w:t>
      </w:r>
      <w:r>
        <w:rPr>
          <w:position w:val="-6"/>
          <w:sz w:val="11"/>
        </w:rPr>
        <w:t>2</w:t>
      </w:r>
      <w:r>
        <w:rPr/>
        <w:t>) there is great potential for misunderstanding. Furthermore, for any given cost measure, different assumptions about the technical, economic </w:t>
      </w:r>
      <w:r>
        <w:rPr>
          <w:spacing w:val="-5"/>
        </w:rPr>
        <w:t>and </w:t>
      </w:r>
      <w:r>
        <w:rPr/>
        <w:t>financial parameters used in cost calculations can also give rise to large differences in reported capture costs. Section 3.7.2 elaborates on some of the common metrics of cost and the parameters they</w:t>
      </w:r>
      <w:r>
        <w:rPr>
          <w:spacing w:val="-1"/>
        </w:rPr>
        <w:t> </w:t>
      </w:r>
      <w:r>
        <w:rPr/>
        <w:t>employ.</w:t>
      </w:r>
    </w:p>
    <w:p>
      <w:pPr>
        <w:pStyle w:val="BodyText"/>
        <w:spacing w:line="249" w:lineRule="auto" w:before="56"/>
        <w:ind w:left="241" w:right="115"/>
        <w:jc w:val="both"/>
      </w:pPr>
      <w:r>
        <w:rPr/>
        <w:br w:type="column"/>
      </w:r>
      <w:r>
        <w:rPr/>
        <w:t>required to address larger questions such as which options or strategies to pursue - a topic addressed later in Chapter 8.</w:t>
      </w:r>
    </w:p>
    <w:p>
      <w:pPr>
        <w:pStyle w:val="BodyText"/>
        <w:rPr>
          <w:sz w:val="21"/>
        </w:rPr>
      </w:pPr>
    </w:p>
    <w:p>
      <w:pPr>
        <w:pStyle w:val="ListParagraph"/>
        <w:numPr>
          <w:ilvl w:val="3"/>
          <w:numId w:val="27"/>
        </w:numPr>
        <w:tabs>
          <w:tab w:pos="1093" w:val="left" w:leader="none"/>
        </w:tabs>
        <w:spacing w:line="240" w:lineRule="auto" w:before="0" w:after="0"/>
        <w:ind w:left="1092" w:right="0" w:hanging="852"/>
        <w:jc w:val="both"/>
        <w:rPr>
          <w:i/>
          <w:sz w:val="20"/>
        </w:rPr>
      </w:pPr>
      <w:r>
        <w:rPr>
          <w:i/>
          <w:sz w:val="20"/>
        </w:rPr>
        <w:t>Capital cost</w:t>
      </w:r>
    </w:p>
    <w:p>
      <w:pPr>
        <w:pStyle w:val="BodyText"/>
        <w:spacing w:line="240" w:lineRule="exact" w:before="5"/>
        <w:ind w:left="241" w:right="113"/>
        <w:jc w:val="both"/>
      </w:pPr>
      <w:r>
        <w:rPr/>
        <w:t>Capital cost (also known  as  investment  cost  or  first  cost)  is a widely used, albeit incomplete, metric of the cost of a technology.</w:t>
      </w:r>
      <w:r>
        <w:rPr>
          <w:spacing w:val="-6"/>
        </w:rPr>
        <w:t> </w:t>
      </w:r>
      <w:r>
        <w:rPr/>
        <w:t>It</w:t>
      </w:r>
      <w:r>
        <w:rPr>
          <w:spacing w:val="-5"/>
        </w:rPr>
        <w:t> </w:t>
      </w:r>
      <w:r>
        <w:rPr/>
        <w:t>is</w:t>
      </w:r>
      <w:r>
        <w:rPr>
          <w:spacing w:val="-6"/>
        </w:rPr>
        <w:t> </w:t>
      </w:r>
      <w:r>
        <w:rPr/>
        <w:t>often</w:t>
      </w:r>
      <w:r>
        <w:rPr>
          <w:spacing w:val="-5"/>
        </w:rPr>
        <w:t> </w:t>
      </w:r>
      <w:r>
        <w:rPr/>
        <w:t>reported</w:t>
      </w:r>
      <w:r>
        <w:rPr>
          <w:spacing w:val="-5"/>
        </w:rPr>
        <w:t> </w:t>
      </w:r>
      <w:r>
        <w:rPr/>
        <w:t>on</w:t>
      </w:r>
      <w:r>
        <w:rPr>
          <w:spacing w:val="-6"/>
        </w:rPr>
        <w:t> </w:t>
      </w:r>
      <w:r>
        <w:rPr/>
        <w:t>a</w:t>
      </w:r>
      <w:r>
        <w:rPr>
          <w:spacing w:val="-5"/>
        </w:rPr>
        <w:t> </w:t>
      </w:r>
      <w:r>
        <w:rPr/>
        <w:t>normalized</w:t>
      </w:r>
      <w:r>
        <w:rPr>
          <w:spacing w:val="-5"/>
        </w:rPr>
        <w:t> </w:t>
      </w:r>
      <w:r>
        <w:rPr/>
        <w:t>basis</w:t>
      </w:r>
      <w:r>
        <w:rPr>
          <w:spacing w:val="-6"/>
        </w:rPr>
        <w:t> </w:t>
      </w:r>
      <w:r>
        <w:rPr/>
        <w:t>(e.g.,</w:t>
      </w:r>
      <w:r>
        <w:rPr>
          <w:spacing w:val="-5"/>
        </w:rPr>
        <w:t> </w:t>
      </w:r>
      <w:r>
        <w:rPr/>
        <w:t>cost per kW). For CO</w:t>
      </w:r>
      <w:r>
        <w:rPr>
          <w:position w:val="-6"/>
          <w:sz w:val="11"/>
        </w:rPr>
        <w:t>2 </w:t>
      </w:r>
      <w:r>
        <w:rPr/>
        <w:t>capture systems, the capital cost is generally assumed to represent the total expenditure required to design, purchase and install the system of interest. It may also include the additional costs of other plant components not needed </w:t>
      </w:r>
      <w:r>
        <w:rPr>
          <w:spacing w:val="-7"/>
        </w:rPr>
        <w:t>in </w:t>
      </w:r>
      <w:r>
        <w:rPr/>
        <w:t>the absence of a CO</w:t>
      </w:r>
      <w:r>
        <w:rPr>
          <w:position w:val="-6"/>
          <w:sz w:val="11"/>
        </w:rPr>
        <w:t>2 </w:t>
      </w:r>
      <w:r>
        <w:rPr/>
        <w:t>capture device, such as the costs of an upstream gas purification system to protect the capture device. Such costs often arise in complex facilities like a power plant. Thus, the total incremental cost of CO</w:t>
      </w:r>
      <w:r>
        <w:rPr>
          <w:position w:val="-6"/>
          <w:sz w:val="11"/>
        </w:rPr>
        <w:t>2 </w:t>
      </w:r>
      <w:r>
        <w:rPr/>
        <w:t>capture for a </w:t>
      </w:r>
      <w:r>
        <w:rPr>
          <w:spacing w:val="-3"/>
        </w:rPr>
        <w:t>given </w:t>
      </w:r>
      <w:r>
        <w:rPr/>
        <w:t>plant design is best determined as the difference in total </w:t>
      </w:r>
      <w:r>
        <w:rPr>
          <w:spacing w:val="-3"/>
        </w:rPr>
        <w:t>cost </w:t>
      </w:r>
      <w:r>
        <w:rPr/>
        <w:t>between plants with and without CO</w:t>
      </w:r>
      <w:r>
        <w:rPr>
          <w:position w:val="-6"/>
          <w:sz w:val="11"/>
        </w:rPr>
        <w:t>2 </w:t>
      </w:r>
      <w:r>
        <w:rPr/>
        <w:t>capture, producing the same amounts of useful (primary) product, such as</w:t>
      </w:r>
      <w:r>
        <w:rPr>
          <w:spacing w:val="-18"/>
        </w:rPr>
        <w:t> </w:t>
      </w:r>
      <w:r>
        <w:rPr/>
        <w:t>electricity.</w:t>
      </w:r>
    </w:p>
    <w:p>
      <w:pPr>
        <w:pStyle w:val="BodyText"/>
        <w:spacing w:line="249" w:lineRule="auto" w:before="5"/>
        <w:ind w:left="241" w:right="113" w:firstLine="284"/>
        <w:jc w:val="both"/>
      </w:pPr>
      <w:r>
        <w:rPr/>
        <w:t>Different</w:t>
      </w:r>
      <w:r>
        <w:rPr>
          <w:spacing w:val="-26"/>
        </w:rPr>
        <w:t> </w:t>
      </w:r>
      <w:r>
        <w:rPr/>
        <w:t>organizations</w:t>
      </w:r>
      <w:r>
        <w:rPr>
          <w:spacing w:val="-25"/>
        </w:rPr>
        <w:t> </w:t>
      </w:r>
      <w:r>
        <w:rPr/>
        <w:t>employ</w:t>
      </w:r>
      <w:r>
        <w:rPr>
          <w:spacing w:val="-25"/>
        </w:rPr>
        <w:t> </w:t>
      </w:r>
      <w:r>
        <w:rPr/>
        <w:t>different</w:t>
      </w:r>
      <w:r>
        <w:rPr>
          <w:spacing w:val="-25"/>
        </w:rPr>
        <w:t> </w:t>
      </w:r>
      <w:r>
        <w:rPr/>
        <w:t>systems</w:t>
      </w:r>
      <w:r>
        <w:rPr>
          <w:spacing w:val="-25"/>
        </w:rPr>
        <w:t> </w:t>
      </w:r>
      <w:r>
        <w:rPr/>
        <w:t>of</w:t>
      </w:r>
      <w:r>
        <w:rPr>
          <w:spacing w:val="-25"/>
        </w:rPr>
        <w:t> </w:t>
      </w:r>
      <w:r>
        <w:rPr/>
        <w:t>accounts to specify the elements of a capital cost estimate. For electric power plants, one widely used procedure is that defined by  the Electric Power Research Institute (EPRI, 1993). However, because  there  is  no  universally   employed   nomenclature or system of accounts, capital costs reported by different organizations</w:t>
      </w:r>
      <w:r>
        <w:rPr>
          <w:spacing w:val="-15"/>
        </w:rPr>
        <w:t> </w:t>
      </w:r>
      <w:r>
        <w:rPr/>
        <w:t>or</w:t>
      </w:r>
      <w:r>
        <w:rPr>
          <w:spacing w:val="-15"/>
        </w:rPr>
        <w:t> </w:t>
      </w:r>
      <w:r>
        <w:rPr/>
        <w:t>authors</w:t>
      </w:r>
      <w:r>
        <w:rPr>
          <w:spacing w:val="-15"/>
        </w:rPr>
        <w:t> </w:t>
      </w:r>
      <w:r>
        <w:rPr/>
        <w:t>may</w:t>
      </w:r>
      <w:r>
        <w:rPr>
          <w:spacing w:val="-14"/>
        </w:rPr>
        <w:t> </w:t>
      </w:r>
      <w:r>
        <w:rPr/>
        <w:t>not</w:t>
      </w:r>
      <w:r>
        <w:rPr>
          <w:spacing w:val="-15"/>
        </w:rPr>
        <w:t> </w:t>
      </w:r>
      <w:r>
        <w:rPr/>
        <w:t>always</w:t>
      </w:r>
      <w:r>
        <w:rPr>
          <w:spacing w:val="-15"/>
        </w:rPr>
        <w:t> </w:t>
      </w:r>
      <w:r>
        <w:rPr/>
        <w:t>include</w:t>
      </w:r>
      <w:r>
        <w:rPr>
          <w:spacing w:val="-15"/>
        </w:rPr>
        <w:t> </w:t>
      </w:r>
      <w:r>
        <w:rPr/>
        <w:t>the</w:t>
      </w:r>
      <w:r>
        <w:rPr>
          <w:spacing w:val="-14"/>
        </w:rPr>
        <w:t> </w:t>
      </w:r>
      <w:r>
        <w:rPr/>
        <w:t>same</w:t>
      </w:r>
      <w:r>
        <w:rPr>
          <w:spacing w:val="-15"/>
        </w:rPr>
        <w:t> </w:t>
      </w:r>
      <w:r>
        <w:rPr/>
        <w:t>items. The</w:t>
      </w:r>
      <w:r>
        <w:rPr>
          <w:spacing w:val="-7"/>
        </w:rPr>
        <w:t> </w:t>
      </w:r>
      <w:r>
        <w:rPr/>
        <w:t>terms</w:t>
      </w:r>
      <w:r>
        <w:rPr>
          <w:spacing w:val="-6"/>
        </w:rPr>
        <w:t> </w:t>
      </w:r>
      <w:r>
        <w:rPr/>
        <w:t>used</w:t>
      </w:r>
      <w:r>
        <w:rPr>
          <w:spacing w:val="-7"/>
        </w:rPr>
        <w:t> </w:t>
      </w:r>
      <w:r>
        <w:rPr/>
        <w:t>to</w:t>
      </w:r>
      <w:r>
        <w:rPr>
          <w:spacing w:val="-6"/>
        </w:rPr>
        <w:t> </w:t>
      </w:r>
      <w:r>
        <w:rPr/>
        <w:t>report</w:t>
      </w:r>
      <w:r>
        <w:rPr>
          <w:spacing w:val="-6"/>
        </w:rPr>
        <w:t> </w:t>
      </w:r>
      <w:r>
        <w:rPr/>
        <w:t>capital</w:t>
      </w:r>
      <w:r>
        <w:rPr>
          <w:spacing w:val="-7"/>
        </w:rPr>
        <w:t> </w:t>
      </w:r>
      <w:r>
        <w:rPr/>
        <w:t>costs</w:t>
      </w:r>
      <w:r>
        <w:rPr>
          <w:spacing w:val="-6"/>
        </w:rPr>
        <w:t> </w:t>
      </w:r>
      <w:r>
        <w:rPr/>
        <w:t>may</w:t>
      </w:r>
      <w:r>
        <w:rPr>
          <w:spacing w:val="-7"/>
        </w:rPr>
        <w:t> </w:t>
      </w:r>
      <w:r>
        <w:rPr/>
        <w:t>further</w:t>
      </w:r>
      <w:r>
        <w:rPr>
          <w:spacing w:val="-6"/>
        </w:rPr>
        <w:t> </w:t>
      </w:r>
      <w:r>
        <w:rPr/>
        <w:t>disguise</w:t>
      </w:r>
      <w:r>
        <w:rPr>
          <w:spacing w:val="-6"/>
        </w:rPr>
        <w:t> </w:t>
      </w:r>
      <w:r>
        <w:rPr/>
        <w:t>such differences and lead to misunderstandings about what is and is not</w:t>
      </w:r>
      <w:r>
        <w:rPr>
          <w:spacing w:val="-10"/>
        </w:rPr>
        <w:t> </w:t>
      </w:r>
      <w:r>
        <w:rPr/>
        <w:t>included.</w:t>
      </w:r>
      <w:r>
        <w:rPr>
          <w:spacing w:val="-10"/>
        </w:rPr>
        <w:t> </w:t>
      </w:r>
      <w:r>
        <w:rPr/>
        <w:t>For</w:t>
      </w:r>
      <w:r>
        <w:rPr>
          <w:spacing w:val="-10"/>
        </w:rPr>
        <w:t> </w:t>
      </w:r>
      <w:r>
        <w:rPr/>
        <w:t>example,</w:t>
      </w:r>
      <w:r>
        <w:rPr>
          <w:spacing w:val="-10"/>
        </w:rPr>
        <w:t> </w:t>
      </w:r>
      <w:r>
        <w:rPr/>
        <w:t>power</w:t>
      </w:r>
      <w:r>
        <w:rPr>
          <w:spacing w:val="-9"/>
        </w:rPr>
        <w:t> </w:t>
      </w:r>
      <w:r>
        <w:rPr/>
        <w:t>plant</w:t>
      </w:r>
      <w:r>
        <w:rPr>
          <w:spacing w:val="-10"/>
        </w:rPr>
        <w:t> </w:t>
      </w:r>
      <w:r>
        <w:rPr/>
        <w:t>cost</w:t>
      </w:r>
      <w:r>
        <w:rPr>
          <w:spacing w:val="-9"/>
        </w:rPr>
        <w:t> </w:t>
      </w:r>
      <w:r>
        <w:rPr/>
        <w:t>studies</w:t>
      </w:r>
      <w:r>
        <w:rPr>
          <w:spacing w:val="-10"/>
        </w:rPr>
        <w:t> </w:t>
      </w:r>
      <w:r>
        <w:rPr/>
        <w:t>often</w:t>
      </w:r>
      <w:r>
        <w:rPr>
          <w:spacing w:val="-10"/>
        </w:rPr>
        <w:t> </w:t>
      </w:r>
      <w:r>
        <w:rPr/>
        <w:t>report a value of capital cost that does not include the cost of interest during construction or other so-called ‘owners costs’ that typically add at least 10-20% (sometimes substantially more) to the ‘total capital requirement’ of a system. Only if a capital cost breakdown is reported can such omissions be discovered. Studies that fail to report the year of a cost estimate introduce further uncertainty that may affect cost</w:t>
      </w:r>
      <w:r>
        <w:rPr>
          <w:spacing w:val="-2"/>
        </w:rPr>
        <w:t> </w:t>
      </w:r>
      <w:r>
        <w:rPr/>
        <w:t>comparisons.</w:t>
      </w:r>
    </w:p>
    <w:p>
      <w:pPr>
        <w:pStyle w:val="BodyText"/>
        <w:spacing w:before="1"/>
        <w:rPr>
          <w:sz w:val="22"/>
        </w:rPr>
      </w:pPr>
    </w:p>
    <w:p>
      <w:pPr>
        <w:pStyle w:val="ListParagraph"/>
        <w:numPr>
          <w:ilvl w:val="3"/>
          <w:numId w:val="27"/>
        </w:numPr>
        <w:tabs>
          <w:tab w:pos="1062" w:val="left" w:leader="none"/>
        </w:tabs>
        <w:spacing w:line="240" w:lineRule="auto" w:before="0" w:after="0"/>
        <w:ind w:left="1061" w:right="0" w:hanging="821"/>
        <w:jc w:val="both"/>
        <w:rPr>
          <w:i/>
          <w:sz w:val="20"/>
        </w:rPr>
      </w:pPr>
      <w:r>
        <w:rPr>
          <w:i/>
          <w:sz w:val="20"/>
        </w:rPr>
        <w:t>Incremental product</w:t>
      </w:r>
      <w:r>
        <w:rPr>
          <w:i/>
          <w:spacing w:val="-1"/>
          <w:sz w:val="20"/>
        </w:rPr>
        <w:t> </w:t>
      </w:r>
      <w:r>
        <w:rPr>
          <w:i/>
          <w:sz w:val="20"/>
        </w:rPr>
        <w:t>cost</w:t>
      </w:r>
    </w:p>
    <w:p>
      <w:pPr>
        <w:pStyle w:val="BodyText"/>
        <w:spacing w:line="225" w:lineRule="auto" w:before="18"/>
        <w:ind w:left="241" w:right="113"/>
        <w:jc w:val="both"/>
        <w:rPr>
          <w:sz w:val="11"/>
        </w:rPr>
      </w:pPr>
      <w:r>
        <w:rPr/>
        <w:t>The effect of CO</w:t>
      </w:r>
      <w:r>
        <w:rPr>
          <w:position w:val="-6"/>
          <w:sz w:val="11"/>
        </w:rPr>
        <w:t>2 </w:t>
      </w:r>
      <w:r>
        <w:rPr/>
        <w:t>capture on the cost of electricity (or other product) is one of the most important measures of economic impact.</w:t>
      </w:r>
      <w:r>
        <w:rPr>
          <w:spacing w:val="-9"/>
        </w:rPr>
        <w:t> </w:t>
      </w:r>
      <w:r>
        <w:rPr/>
        <w:t>Electric</w:t>
      </w:r>
      <w:r>
        <w:rPr>
          <w:spacing w:val="-8"/>
        </w:rPr>
        <w:t> </w:t>
      </w:r>
      <w:r>
        <w:rPr/>
        <w:t>power</w:t>
      </w:r>
      <w:r>
        <w:rPr>
          <w:spacing w:val="-8"/>
        </w:rPr>
        <w:t> </w:t>
      </w:r>
      <w:r>
        <w:rPr/>
        <w:t>plants,</w:t>
      </w:r>
      <w:r>
        <w:rPr>
          <w:spacing w:val="-9"/>
        </w:rPr>
        <w:t> </w:t>
      </w:r>
      <w:r>
        <w:rPr/>
        <w:t>a</w:t>
      </w:r>
      <w:r>
        <w:rPr>
          <w:spacing w:val="-8"/>
        </w:rPr>
        <w:t> </w:t>
      </w:r>
      <w:r>
        <w:rPr/>
        <w:t>major</w:t>
      </w:r>
      <w:r>
        <w:rPr>
          <w:spacing w:val="-8"/>
        </w:rPr>
        <w:t> </w:t>
      </w:r>
      <w:r>
        <w:rPr/>
        <w:t>source</w:t>
      </w:r>
      <w:r>
        <w:rPr>
          <w:spacing w:val="-9"/>
        </w:rPr>
        <w:t> </w:t>
      </w:r>
      <w:r>
        <w:rPr/>
        <w:t>of</w:t>
      </w:r>
      <w:r>
        <w:rPr>
          <w:spacing w:val="-8"/>
        </w:rPr>
        <w:t> </w:t>
      </w:r>
      <w:r>
        <w:rPr/>
        <w:t>CO</w:t>
      </w:r>
      <w:r>
        <w:rPr>
          <w:position w:val="-6"/>
          <w:sz w:val="11"/>
        </w:rPr>
        <w:t>2</w:t>
      </w:r>
      <w:r>
        <w:rPr>
          <w:spacing w:val="14"/>
          <w:position w:val="-6"/>
          <w:sz w:val="11"/>
        </w:rPr>
        <w:t> </w:t>
      </w:r>
      <w:r>
        <w:rPr/>
        <w:t>emissions, are of particular interest in this regard. The cost electricity (COE) for a power plant can be calculated as:</w:t>
      </w:r>
      <w:r>
        <w:rPr>
          <w:position w:val="7"/>
          <w:sz w:val="11"/>
        </w:rPr>
        <w:t>4</w:t>
      </w:r>
    </w:p>
    <w:p>
      <w:pPr>
        <w:pStyle w:val="BodyText"/>
        <w:spacing w:before="9"/>
        <w:rPr>
          <w:sz w:val="21"/>
        </w:rPr>
      </w:pPr>
    </w:p>
    <w:p>
      <w:pPr>
        <w:pStyle w:val="BodyText"/>
        <w:tabs>
          <w:tab w:pos="4940" w:val="left" w:leader="none"/>
        </w:tabs>
        <w:spacing w:line="249" w:lineRule="auto"/>
        <w:ind w:left="241" w:right="225"/>
      </w:pPr>
      <w:r>
        <w:rPr/>
        <w:t>COE = [(TCR)(FCF) + (FOM)]/[(CF)(8760)(kW)] + VOM + (HR)(FC)</w:t>
        <w:tab/>
      </w:r>
      <w:r>
        <w:rPr>
          <w:spacing w:val="-6"/>
        </w:rPr>
        <w:t>(7)</w:t>
      </w:r>
    </w:p>
    <w:p>
      <w:pPr>
        <w:spacing w:after="0" w:line="249" w:lineRule="auto"/>
        <w:sectPr>
          <w:pgSz w:w="12240" w:h="15840"/>
          <w:pgMar w:header="567" w:footer="0" w:top="1180" w:bottom="280" w:left="620" w:right="620"/>
          <w:cols w:num="2" w:equalWidth="0">
            <w:col w:w="5560" w:space="40"/>
            <w:col w:w="5400"/>
          </w:cols>
        </w:sectPr>
      </w:pPr>
    </w:p>
    <w:p>
      <w:pPr>
        <w:pStyle w:val="BodyText"/>
        <w:spacing w:before="2"/>
        <w:rPr>
          <w:sz w:val="15"/>
        </w:rPr>
      </w:pPr>
    </w:p>
    <w:p>
      <w:pPr>
        <w:spacing w:after="0"/>
        <w:rPr>
          <w:sz w:val="15"/>
        </w:rPr>
        <w:sectPr>
          <w:type w:val="continuous"/>
          <w:pgSz w:w="12240" w:h="15840"/>
          <w:pgMar w:top="480" w:bottom="280" w:left="620" w:right="620"/>
        </w:sectPr>
      </w:pPr>
    </w:p>
    <w:p>
      <w:pPr>
        <w:pStyle w:val="Heading2"/>
        <w:numPr>
          <w:ilvl w:val="2"/>
          <w:numId w:val="28"/>
        </w:numPr>
        <w:tabs>
          <w:tab w:pos="1333" w:val="left" w:leader="none"/>
          <w:tab w:pos="1334" w:val="left" w:leader="none"/>
        </w:tabs>
        <w:spacing w:line="240" w:lineRule="auto" w:before="67" w:after="0"/>
        <w:ind w:left="1333" w:right="0" w:hanging="821"/>
        <w:jc w:val="left"/>
        <w:rPr>
          <w:i/>
        </w:rPr>
      </w:pPr>
      <w:r>
        <w:rPr>
          <w:i/>
        </w:rPr>
        <w:t>Measures of</w:t>
      </w:r>
      <w:r>
        <w:rPr>
          <w:i/>
          <w:spacing w:val="-4"/>
        </w:rPr>
        <w:t> CO</w:t>
      </w:r>
      <w:r>
        <w:rPr>
          <w:i/>
          <w:spacing w:val="-4"/>
          <w:position w:val="-6"/>
          <w:sz w:val="11"/>
        </w:rPr>
        <w:t>2</w:t>
      </w:r>
    </w:p>
    <w:p>
      <w:pPr>
        <w:spacing w:before="67"/>
        <w:ind w:left="9" w:right="0" w:firstLine="0"/>
        <w:jc w:val="left"/>
        <w:rPr>
          <w:b/>
          <w:i/>
          <w:sz w:val="20"/>
        </w:rPr>
      </w:pPr>
      <w:r>
        <w:rPr/>
        <w:br w:type="column"/>
      </w:r>
      <w:r>
        <w:rPr>
          <w:b/>
          <w:i/>
          <w:sz w:val="20"/>
        </w:rPr>
        <w:t>capture cost</w:t>
      </w:r>
    </w:p>
    <w:p>
      <w:pPr>
        <w:pStyle w:val="BodyText"/>
        <w:spacing w:before="67"/>
        <w:ind w:left="513"/>
      </w:pPr>
      <w:r>
        <w:rPr/>
        <w:br w:type="column"/>
      </w:r>
      <w:r>
        <w:rPr/>
        <w:t>where,</w:t>
      </w:r>
      <w:r>
        <w:rPr>
          <w:spacing w:val="12"/>
        </w:rPr>
        <w:t> </w:t>
      </w:r>
      <w:r>
        <w:rPr/>
        <w:t>COE</w:t>
      </w:r>
      <w:r>
        <w:rPr>
          <w:spacing w:val="13"/>
        </w:rPr>
        <w:t> </w:t>
      </w:r>
      <w:r>
        <w:rPr/>
        <w:t>=</w:t>
      </w:r>
      <w:r>
        <w:rPr>
          <w:spacing w:val="13"/>
        </w:rPr>
        <w:t> </w:t>
      </w:r>
      <w:r>
        <w:rPr/>
        <w:t>levelized</w:t>
      </w:r>
      <w:r>
        <w:rPr>
          <w:spacing w:val="13"/>
        </w:rPr>
        <w:t> </w:t>
      </w:r>
      <w:r>
        <w:rPr/>
        <w:t>cost</w:t>
      </w:r>
      <w:r>
        <w:rPr>
          <w:spacing w:val="13"/>
        </w:rPr>
        <w:t> </w:t>
      </w:r>
      <w:r>
        <w:rPr/>
        <w:t>of</w:t>
      </w:r>
      <w:r>
        <w:rPr>
          <w:spacing w:val="13"/>
        </w:rPr>
        <w:t> </w:t>
      </w:r>
      <w:r>
        <w:rPr/>
        <w:t>electricity</w:t>
      </w:r>
      <w:r>
        <w:rPr>
          <w:spacing w:val="13"/>
        </w:rPr>
        <w:t> </w:t>
      </w:r>
      <w:r>
        <w:rPr/>
        <w:t>(US$</w:t>
      </w:r>
      <w:r>
        <w:rPr>
          <w:spacing w:val="13"/>
        </w:rPr>
        <w:t> </w:t>
      </w:r>
      <w:r>
        <w:rPr/>
        <w:t>kWh</w:t>
      </w:r>
      <w:r>
        <w:rPr>
          <w:position w:val="7"/>
          <w:sz w:val="11"/>
        </w:rPr>
        <w:t>-1</w:t>
      </w:r>
      <w:r>
        <w:rPr/>
        <w:t>),</w:t>
      </w:r>
      <w:r>
        <w:rPr>
          <w:spacing w:val="10"/>
        </w:rPr>
        <w:t> </w:t>
      </w:r>
      <w:r>
        <w:rPr/>
        <w:t>TCR</w:t>
      </w:r>
    </w:p>
    <w:p>
      <w:pPr>
        <w:pStyle w:val="BodyText"/>
        <w:spacing w:before="10"/>
        <w:ind w:left="513"/>
      </w:pPr>
      <w:r>
        <w:rPr/>
        <w:t>=</w:t>
      </w:r>
      <w:r>
        <w:rPr>
          <w:spacing w:val="21"/>
        </w:rPr>
        <w:t> </w:t>
      </w:r>
      <w:r>
        <w:rPr/>
        <w:t>total</w:t>
      </w:r>
      <w:r>
        <w:rPr>
          <w:spacing w:val="22"/>
        </w:rPr>
        <w:t> </w:t>
      </w:r>
      <w:r>
        <w:rPr/>
        <w:t>capital</w:t>
      </w:r>
      <w:r>
        <w:rPr>
          <w:spacing w:val="22"/>
        </w:rPr>
        <w:t> </w:t>
      </w:r>
      <w:r>
        <w:rPr/>
        <w:t>requirement</w:t>
      </w:r>
      <w:r>
        <w:rPr>
          <w:spacing w:val="21"/>
        </w:rPr>
        <w:t> </w:t>
      </w:r>
      <w:r>
        <w:rPr/>
        <w:t>(US$),</w:t>
      </w:r>
      <w:r>
        <w:rPr>
          <w:spacing w:val="22"/>
        </w:rPr>
        <w:t> </w:t>
      </w:r>
      <w:r>
        <w:rPr/>
        <w:t>FCF</w:t>
      </w:r>
      <w:r>
        <w:rPr>
          <w:spacing w:val="22"/>
        </w:rPr>
        <w:t> </w:t>
      </w:r>
      <w:r>
        <w:rPr/>
        <w:t>=</w:t>
      </w:r>
      <w:r>
        <w:rPr>
          <w:spacing w:val="21"/>
        </w:rPr>
        <w:t> </w:t>
      </w:r>
      <w:r>
        <w:rPr/>
        <w:t>fixed</w:t>
      </w:r>
      <w:r>
        <w:rPr>
          <w:spacing w:val="22"/>
        </w:rPr>
        <w:t> </w:t>
      </w:r>
      <w:r>
        <w:rPr/>
        <w:t>charge</w:t>
      </w:r>
      <w:r>
        <w:rPr>
          <w:spacing w:val="22"/>
        </w:rPr>
        <w:t> </w:t>
      </w:r>
      <w:r>
        <w:rPr/>
        <w:t>factor</w:t>
      </w:r>
    </w:p>
    <w:p>
      <w:pPr>
        <w:spacing w:after="0"/>
        <w:sectPr>
          <w:type w:val="continuous"/>
          <w:pgSz w:w="12240" w:h="15840"/>
          <w:pgMar w:top="480" w:bottom="280" w:left="620" w:right="620"/>
          <w:cols w:num="3" w:equalWidth="0">
            <w:col w:w="2737" w:space="40"/>
            <w:col w:w="1045" w:space="1504"/>
            <w:col w:w="5674"/>
          </w:cols>
        </w:sectPr>
      </w:pPr>
    </w:p>
    <w:p>
      <w:pPr>
        <w:pStyle w:val="BodyText"/>
        <w:spacing w:line="274" w:lineRule="exact" w:before="10"/>
        <w:ind w:left="513"/>
        <w:rPr>
          <w:sz w:val="11"/>
        </w:rPr>
      </w:pPr>
      <w:r>
        <w:rPr/>
        <w:t>We define four common measures of CO</w:t>
      </w:r>
      <w:r>
        <w:rPr>
          <w:position w:val="-6"/>
          <w:sz w:val="11"/>
        </w:rPr>
        <w:t>2</w:t>
      </w:r>
    </w:p>
    <w:p>
      <w:pPr>
        <w:pStyle w:val="BodyText"/>
        <w:spacing w:before="10"/>
        <w:ind w:left="37"/>
      </w:pPr>
      <w:r>
        <w:rPr/>
        <w:br w:type="column"/>
      </w:r>
      <w:r>
        <w:rPr/>
        <w:t>capture cost here:</w:t>
      </w:r>
    </w:p>
    <w:p>
      <w:pPr>
        <w:pStyle w:val="BodyText"/>
        <w:spacing w:before="10"/>
        <w:ind w:left="242"/>
      </w:pPr>
      <w:r>
        <w:rPr/>
        <w:br w:type="column"/>
      </w:r>
      <w:r>
        <w:rPr/>
        <w:t>(fraction yr</w:t>
      </w:r>
      <w:r>
        <w:rPr>
          <w:position w:val="7"/>
          <w:sz w:val="11"/>
        </w:rPr>
        <w:t>-1</w:t>
      </w:r>
      <w:r>
        <w:rPr/>
        <w:t>), FOM = fixed operating costs (US$ yr</w:t>
      </w:r>
      <w:r>
        <w:rPr>
          <w:position w:val="7"/>
          <w:sz w:val="11"/>
        </w:rPr>
        <w:t>-1</w:t>
      </w:r>
      <w:r>
        <w:rPr/>
        <w:t>), VOM</w:t>
      </w:r>
    </w:p>
    <w:p>
      <w:pPr>
        <w:spacing w:after="0"/>
        <w:sectPr>
          <w:type w:val="continuous"/>
          <w:pgSz w:w="12240" w:h="15840"/>
          <w:pgMar w:top="480" w:bottom="280" w:left="620" w:right="620"/>
          <w:cols w:num="3" w:equalWidth="0">
            <w:col w:w="4013" w:space="40"/>
            <w:col w:w="1506" w:space="39"/>
            <w:col w:w="5402"/>
          </w:cols>
        </w:sectPr>
      </w:pPr>
    </w:p>
    <w:p>
      <w:pPr>
        <w:pStyle w:val="BodyText"/>
        <w:tabs>
          <w:tab w:pos="5840" w:val="left" w:leader="none"/>
        </w:tabs>
        <w:spacing w:line="196" w:lineRule="exact"/>
        <w:ind w:left="513"/>
      </w:pPr>
      <w:r>
        <w:rPr/>
        <w:t>capital  cost,  incremental  product  cost  (such  as  the </w:t>
      </w:r>
      <w:r>
        <w:rPr>
          <w:spacing w:val="22"/>
        </w:rPr>
        <w:t> </w:t>
      </w:r>
      <w:r>
        <w:rPr/>
        <w:t>cost </w:t>
      </w:r>
      <w:r>
        <w:rPr>
          <w:spacing w:val="3"/>
        </w:rPr>
        <w:t> </w:t>
      </w:r>
      <w:r>
        <w:rPr/>
        <w:t>of</w:t>
        <w:tab/>
        <w:t>=</w:t>
      </w:r>
      <w:r>
        <w:rPr>
          <w:spacing w:val="23"/>
        </w:rPr>
        <w:t> </w:t>
      </w:r>
      <w:r>
        <w:rPr/>
        <w:t>variable</w:t>
      </w:r>
      <w:r>
        <w:rPr>
          <w:spacing w:val="23"/>
        </w:rPr>
        <w:t> </w:t>
      </w:r>
      <w:r>
        <w:rPr/>
        <w:t>operating</w:t>
      </w:r>
      <w:r>
        <w:rPr>
          <w:spacing w:val="23"/>
        </w:rPr>
        <w:t> </w:t>
      </w:r>
      <w:r>
        <w:rPr/>
        <w:t>costs</w:t>
      </w:r>
      <w:r>
        <w:rPr>
          <w:spacing w:val="24"/>
        </w:rPr>
        <w:t> </w:t>
      </w:r>
      <w:r>
        <w:rPr/>
        <w:t>(US$</w:t>
      </w:r>
      <w:r>
        <w:rPr>
          <w:spacing w:val="24"/>
        </w:rPr>
        <w:t> </w:t>
      </w:r>
      <w:r>
        <w:rPr/>
        <w:t>kWh</w:t>
      </w:r>
      <w:r>
        <w:rPr>
          <w:position w:val="7"/>
          <w:sz w:val="11"/>
        </w:rPr>
        <w:t>-1</w:t>
      </w:r>
      <w:r>
        <w:rPr/>
        <w:t>),</w:t>
      </w:r>
      <w:r>
        <w:rPr>
          <w:spacing w:val="23"/>
        </w:rPr>
        <w:t> </w:t>
      </w:r>
      <w:r>
        <w:rPr/>
        <w:t>HR</w:t>
      </w:r>
      <w:r>
        <w:rPr>
          <w:spacing w:val="23"/>
        </w:rPr>
        <w:t> </w:t>
      </w:r>
      <w:r>
        <w:rPr/>
        <w:t>=</w:t>
      </w:r>
      <w:r>
        <w:rPr>
          <w:spacing w:val="24"/>
        </w:rPr>
        <w:t> </w:t>
      </w:r>
      <w:r>
        <w:rPr/>
        <w:t>net</w:t>
      </w:r>
      <w:r>
        <w:rPr>
          <w:spacing w:val="23"/>
        </w:rPr>
        <w:t> </w:t>
      </w:r>
      <w:r>
        <w:rPr/>
        <w:t>plant</w:t>
      </w:r>
      <w:r>
        <w:rPr>
          <w:spacing w:val="23"/>
        </w:rPr>
        <w:t> </w:t>
      </w:r>
      <w:r>
        <w:rPr/>
        <w:t>heat</w:t>
      </w:r>
    </w:p>
    <w:p>
      <w:pPr>
        <w:spacing w:after="0" w:line="196" w:lineRule="exact"/>
        <w:sectPr>
          <w:type w:val="continuous"/>
          <w:pgSz w:w="12240" w:h="15840"/>
          <w:pgMar w:top="480" w:bottom="280" w:left="620" w:right="620"/>
        </w:sectPr>
      </w:pPr>
    </w:p>
    <w:p>
      <w:pPr>
        <w:pStyle w:val="BodyText"/>
        <w:spacing w:line="277" w:lineRule="exact" w:before="10"/>
        <w:ind w:left="513"/>
        <w:rPr>
          <w:sz w:val="11"/>
        </w:rPr>
      </w:pPr>
      <w:r>
        <w:rPr/>
        <w:t>electricity), cost of CO</w:t>
      </w:r>
      <w:r>
        <w:rPr>
          <w:position w:val="-6"/>
          <w:sz w:val="11"/>
        </w:rPr>
        <w:t>2</w:t>
      </w:r>
    </w:p>
    <w:p>
      <w:pPr>
        <w:pStyle w:val="BodyText"/>
        <w:spacing w:line="277" w:lineRule="exact" w:before="10"/>
        <w:ind w:left="56"/>
        <w:rPr>
          <w:sz w:val="11"/>
        </w:rPr>
      </w:pPr>
      <w:r>
        <w:rPr/>
        <w:br w:type="column"/>
      </w:r>
      <w:r>
        <w:rPr/>
        <w:t>avoided and cost of CO</w:t>
      </w:r>
      <w:r>
        <w:rPr>
          <w:position w:val="-6"/>
          <w:sz w:val="11"/>
        </w:rPr>
        <w:t>2</w:t>
      </w:r>
    </w:p>
    <w:p>
      <w:pPr>
        <w:pStyle w:val="BodyText"/>
        <w:spacing w:before="10"/>
        <w:ind w:left="56"/>
      </w:pPr>
      <w:r>
        <w:rPr/>
        <w:br w:type="column"/>
      </w:r>
      <w:r>
        <w:rPr/>
        <w:t>captured</w:t>
      </w:r>
    </w:p>
    <w:p>
      <w:pPr>
        <w:pStyle w:val="BodyText"/>
        <w:spacing w:before="10"/>
        <w:ind w:left="242"/>
      </w:pPr>
      <w:r>
        <w:rPr/>
        <w:br w:type="column"/>
      </w:r>
      <w:r>
        <w:rPr/>
        <w:t>rate (kJ kWh</w:t>
      </w:r>
      <w:r>
        <w:rPr>
          <w:position w:val="7"/>
          <w:sz w:val="11"/>
        </w:rPr>
        <w:t>-1</w:t>
      </w:r>
      <w:r>
        <w:rPr/>
        <w:t>), FC = unit fuel cost (US$ kJ</w:t>
      </w:r>
      <w:r>
        <w:rPr>
          <w:position w:val="7"/>
          <w:sz w:val="11"/>
        </w:rPr>
        <w:t>-1</w:t>
      </w:r>
      <w:r>
        <w:rPr/>
        <w:t>), CF = capacity</w:t>
      </w:r>
    </w:p>
    <w:p>
      <w:pPr>
        <w:spacing w:after="0"/>
        <w:sectPr>
          <w:type w:val="continuous"/>
          <w:pgSz w:w="12240" w:h="15840"/>
          <w:pgMar w:top="480" w:bottom="280" w:left="620" w:right="620"/>
          <w:cols w:num="4" w:equalWidth="0">
            <w:col w:w="2544" w:space="40"/>
            <w:col w:w="2189" w:space="39"/>
            <w:col w:w="746" w:space="39"/>
            <w:col w:w="5403"/>
          </w:cols>
        </w:sectPr>
      </w:pPr>
    </w:p>
    <w:p>
      <w:pPr>
        <w:pStyle w:val="BodyText"/>
        <w:tabs>
          <w:tab w:pos="5840" w:val="left" w:leader="none"/>
          <w:tab w:pos="7280" w:val="left" w:leader="none"/>
        </w:tabs>
        <w:spacing w:line="193" w:lineRule="exact"/>
        <w:ind w:left="513"/>
      </w:pPr>
      <w:r>
        <w:rPr/>
        <w:t>or </w:t>
      </w:r>
      <w:r>
        <w:rPr>
          <w:spacing w:val="16"/>
        </w:rPr>
        <w:t> </w:t>
      </w:r>
      <w:r>
        <w:rPr/>
        <w:t>removed. </w:t>
      </w:r>
      <w:r>
        <w:rPr>
          <w:spacing w:val="17"/>
        </w:rPr>
        <w:t> </w:t>
      </w:r>
      <w:r>
        <w:rPr/>
        <w:t>Each </w:t>
      </w:r>
      <w:r>
        <w:rPr>
          <w:spacing w:val="16"/>
        </w:rPr>
        <w:t> </w:t>
      </w:r>
      <w:r>
        <w:rPr/>
        <w:t>of </w:t>
      </w:r>
      <w:r>
        <w:rPr>
          <w:spacing w:val="17"/>
        </w:rPr>
        <w:t> </w:t>
      </w:r>
      <w:r>
        <w:rPr/>
        <w:t>these </w:t>
      </w:r>
      <w:r>
        <w:rPr>
          <w:spacing w:val="16"/>
        </w:rPr>
        <w:t> </w:t>
      </w:r>
      <w:r>
        <w:rPr/>
        <w:t>measures </w:t>
      </w:r>
      <w:r>
        <w:rPr>
          <w:spacing w:val="17"/>
        </w:rPr>
        <w:t> </w:t>
      </w:r>
      <w:r>
        <w:rPr/>
        <w:t>provides </w:t>
      </w:r>
      <w:r>
        <w:rPr>
          <w:spacing w:val="16"/>
        </w:rPr>
        <w:t> </w:t>
      </w:r>
      <w:r>
        <w:rPr/>
        <w:t>a </w:t>
      </w:r>
      <w:r>
        <w:rPr>
          <w:spacing w:val="17"/>
        </w:rPr>
        <w:t> </w:t>
      </w:r>
      <w:r>
        <w:rPr/>
        <w:t>different</w:t>
        <w:tab/>
      </w:r>
      <w:r>
        <w:rPr>
          <w:u w:val="single"/>
        </w:rPr>
        <w:t> </w:t>
        <w:tab/>
      </w:r>
    </w:p>
    <w:p>
      <w:pPr>
        <w:spacing w:after="0" w:line="193" w:lineRule="exact"/>
        <w:sectPr>
          <w:type w:val="continuous"/>
          <w:pgSz w:w="12240" w:h="15840"/>
          <w:pgMar w:top="480" w:bottom="280" w:left="620" w:right="620"/>
        </w:sectPr>
      </w:pPr>
    </w:p>
    <w:p>
      <w:pPr>
        <w:pStyle w:val="BodyText"/>
        <w:spacing w:line="240" w:lineRule="exact" w:before="4"/>
        <w:ind w:left="513"/>
        <w:jc w:val="both"/>
      </w:pPr>
      <w:r>
        <w:rPr/>
        <w:t>perspective on CO</w:t>
      </w:r>
      <w:r>
        <w:rPr>
          <w:position w:val="-6"/>
          <w:sz w:val="11"/>
        </w:rPr>
        <w:t>2  </w:t>
      </w:r>
      <w:r>
        <w:rPr/>
        <w:t>capture cost for a particular technology   or system of interest. All of them, however, represent an ‘engineering economic’ perspective showing the added cost of capturing</w:t>
      </w:r>
      <w:r>
        <w:rPr>
          <w:spacing w:val="25"/>
        </w:rPr>
        <w:t> </w:t>
      </w:r>
      <w:r>
        <w:rPr/>
        <w:t>CO</w:t>
      </w:r>
      <w:r>
        <w:rPr>
          <w:position w:val="-6"/>
          <w:sz w:val="11"/>
        </w:rPr>
        <w:t>2</w:t>
      </w:r>
      <w:r>
        <w:rPr>
          <w:spacing w:val="22"/>
          <w:position w:val="-6"/>
          <w:sz w:val="11"/>
        </w:rPr>
        <w:t> </w:t>
      </w:r>
      <w:r>
        <w:rPr/>
        <w:t>in</w:t>
      </w:r>
      <w:r>
        <w:rPr>
          <w:spacing w:val="26"/>
        </w:rPr>
        <w:t> </w:t>
      </w:r>
      <w:r>
        <w:rPr/>
        <w:t>a</w:t>
      </w:r>
      <w:r>
        <w:rPr>
          <w:spacing w:val="26"/>
        </w:rPr>
        <w:t> </w:t>
      </w:r>
      <w:r>
        <w:rPr/>
        <w:t>particular</w:t>
      </w:r>
      <w:r>
        <w:rPr>
          <w:spacing w:val="25"/>
        </w:rPr>
        <w:t> </w:t>
      </w:r>
      <w:r>
        <w:rPr/>
        <w:t>application.</w:t>
      </w:r>
      <w:r>
        <w:rPr>
          <w:spacing w:val="26"/>
        </w:rPr>
        <w:t> </w:t>
      </w:r>
      <w:r>
        <w:rPr/>
        <w:t>Such</w:t>
      </w:r>
      <w:r>
        <w:rPr>
          <w:spacing w:val="26"/>
        </w:rPr>
        <w:t> </w:t>
      </w:r>
      <w:r>
        <w:rPr/>
        <w:t>measures</w:t>
      </w:r>
      <w:r>
        <w:rPr>
          <w:spacing w:val="26"/>
        </w:rPr>
        <w:t> </w:t>
      </w:r>
      <w:r>
        <w:rPr/>
        <w:t>are</w:t>
      </w:r>
    </w:p>
    <w:p>
      <w:pPr>
        <w:spacing w:line="261" w:lineRule="auto" w:before="33"/>
        <w:ind w:left="242" w:right="113" w:firstLine="0"/>
        <w:jc w:val="both"/>
        <w:rPr>
          <w:sz w:val="16"/>
        </w:rPr>
      </w:pPr>
      <w:r>
        <w:rPr/>
        <w:br w:type="column"/>
      </w:r>
      <w:r>
        <w:rPr>
          <w:position w:val="5"/>
          <w:sz w:val="9"/>
        </w:rPr>
        <w:t>4 </w:t>
      </w:r>
      <w:r>
        <w:rPr>
          <w:sz w:val="16"/>
        </w:rPr>
        <w:t>For simplicity, the value of FCF in Equation (7) is applied to the total capital requirement. More detailed calculations of COE based on a year-by-year analysis apply the FCF to the total capital cost excluding owner’s costs (such as</w:t>
      </w:r>
      <w:r>
        <w:rPr>
          <w:spacing w:val="-5"/>
          <w:sz w:val="16"/>
        </w:rPr>
        <w:t> </w:t>
      </w:r>
      <w:r>
        <w:rPr>
          <w:sz w:val="16"/>
        </w:rPr>
        <w:t>interest</w:t>
      </w:r>
      <w:r>
        <w:rPr>
          <w:spacing w:val="-4"/>
          <w:sz w:val="16"/>
        </w:rPr>
        <w:t> </w:t>
      </w:r>
      <w:r>
        <w:rPr>
          <w:sz w:val="16"/>
        </w:rPr>
        <w:t>during</w:t>
      </w:r>
      <w:r>
        <w:rPr>
          <w:spacing w:val="-4"/>
          <w:sz w:val="16"/>
        </w:rPr>
        <w:t> </w:t>
      </w:r>
      <w:r>
        <w:rPr>
          <w:sz w:val="16"/>
        </w:rPr>
        <w:t>construction),</w:t>
      </w:r>
      <w:r>
        <w:rPr>
          <w:spacing w:val="-4"/>
          <w:sz w:val="16"/>
        </w:rPr>
        <w:t> </w:t>
      </w:r>
      <w:r>
        <w:rPr>
          <w:sz w:val="16"/>
        </w:rPr>
        <w:t>which</w:t>
      </w:r>
      <w:r>
        <w:rPr>
          <w:spacing w:val="-4"/>
          <w:sz w:val="16"/>
        </w:rPr>
        <w:t> </w:t>
      </w:r>
      <w:r>
        <w:rPr>
          <w:sz w:val="16"/>
        </w:rPr>
        <w:t>are</w:t>
      </w:r>
      <w:r>
        <w:rPr>
          <w:spacing w:val="-4"/>
          <w:sz w:val="16"/>
        </w:rPr>
        <w:t> </w:t>
      </w:r>
      <w:r>
        <w:rPr>
          <w:sz w:val="16"/>
        </w:rPr>
        <w:t>separately</w:t>
      </w:r>
      <w:r>
        <w:rPr>
          <w:spacing w:val="-4"/>
          <w:sz w:val="16"/>
        </w:rPr>
        <w:t> </w:t>
      </w:r>
      <w:r>
        <w:rPr>
          <w:sz w:val="16"/>
        </w:rPr>
        <w:t>accounted</w:t>
      </w:r>
      <w:r>
        <w:rPr>
          <w:spacing w:val="-5"/>
          <w:sz w:val="16"/>
        </w:rPr>
        <w:t> </w:t>
      </w:r>
      <w:r>
        <w:rPr>
          <w:sz w:val="16"/>
        </w:rPr>
        <w:t>for</w:t>
      </w:r>
      <w:r>
        <w:rPr>
          <w:spacing w:val="-4"/>
          <w:sz w:val="16"/>
        </w:rPr>
        <w:t> </w:t>
      </w:r>
      <w:r>
        <w:rPr>
          <w:sz w:val="16"/>
        </w:rPr>
        <w:t>in</w:t>
      </w:r>
      <w:r>
        <w:rPr>
          <w:spacing w:val="-4"/>
          <w:sz w:val="16"/>
        </w:rPr>
        <w:t> </w:t>
      </w:r>
      <w:r>
        <w:rPr>
          <w:sz w:val="16"/>
        </w:rPr>
        <w:t>the</w:t>
      </w:r>
      <w:r>
        <w:rPr>
          <w:spacing w:val="-4"/>
          <w:sz w:val="16"/>
        </w:rPr>
        <w:t> </w:t>
      </w:r>
      <w:r>
        <w:rPr>
          <w:sz w:val="16"/>
        </w:rPr>
        <w:t>years prior to plant</w:t>
      </w:r>
      <w:r>
        <w:rPr>
          <w:spacing w:val="-1"/>
          <w:sz w:val="16"/>
        </w:rPr>
        <w:t> </w:t>
      </w:r>
      <w:r>
        <w:rPr>
          <w:sz w:val="16"/>
        </w:rPr>
        <w:t>start-up.</w:t>
      </w:r>
    </w:p>
    <w:p>
      <w:pPr>
        <w:spacing w:after="0" w:line="261" w:lineRule="auto"/>
        <w:jc w:val="both"/>
        <w:rPr>
          <w:sz w:val="16"/>
        </w:rPr>
        <w:sectPr>
          <w:type w:val="continuous"/>
          <w:pgSz w:w="12240" w:h="15840"/>
          <w:pgMar w:top="480" w:bottom="280" w:left="620" w:right="620"/>
          <w:cols w:num="2" w:equalWidth="0">
            <w:col w:w="5558" w:space="40"/>
            <w:col w:w="5402"/>
          </w:cols>
        </w:sectPr>
      </w:pPr>
    </w:p>
    <w:p>
      <w:pPr>
        <w:pStyle w:val="BodyText"/>
        <w:spacing w:before="56"/>
        <w:ind w:left="117"/>
      </w:pPr>
      <w:r>
        <w:rPr/>
        <w:t>factor</w:t>
      </w:r>
      <w:r>
        <w:rPr>
          <w:spacing w:val="18"/>
        </w:rPr>
        <w:t> </w:t>
      </w:r>
      <w:r>
        <w:rPr/>
        <w:t>(fraction),</w:t>
      </w:r>
      <w:r>
        <w:rPr>
          <w:spacing w:val="18"/>
        </w:rPr>
        <w:t> </w:t>
      </w:r>
      <w:r>
        <w:rPr/>
        <w:t>8760</w:t>
      </w:r>
      <w:r>
        <w:rPr>
          <w:spacing w:val="18"/>
        </w:rPr>
        <w:t> </w:t>
      </w:r>
      <w:r>
        <w:rPr/>
        <w:t>=</w:t>
      </w:r>
      <w:r>
        <w:rPr>
          <w:spacing w:val="18"/>
        </w:rPr>
        <w:t> </w:t>
      </w:r>
      <w:r>
        <w:rPr/>
        <w:t>total</w:t>
      </w:r>
      <w:r>
        <w:rPr>
          <w:spacing w:val="18"/>
        </w:rPr>
        <w:t> </w:t>
      </w:r>
      <w:r>
        <w:rPr/>
        <w:t>hours</w:t>
      </w:r>
      <w:r>
        <w:rPr>
          <w:spacing w:val="18"/>
        </w:rPr>
        <w:t> </w:t>
      </w:r>
      <w:r>
        <w:rPr/>
        <w:t>in</w:t>
      </w:r>
      <w:r>
        <w:rPr>
          <w:spacing w:val="18"/>
        </w:rPr>
        <w:t> </w:t>
      </w:r>
      <w:r>
        <w:rPr/>
        <w:t>a</w:t>
      </w:r>
      <w:r>
        <w:rPr>
          <w:spacing w:val="18"/>
        </w:rPr>
        <w:t> </w:t>
      </w:r>
      <w:r>
        <w:rPr/>
        <w:t>typical</w:t>
      </w:r>
      <w:r>
        <w:rPr>
          <w:spacing w:val="18"/>
        </w:rPr>
        <w:t> </w:t>
      </w:r>
      <w:r>
        <w:rPr/>
        <w:t>year</w:t>
      </w:r>
      <w:r>
        <w:rPr>
          <w:spacing w:val="18"/>
        </w:rPr>
        <w:t> </w:t>
      </w:r>
      <w:r>
        <w:rPr/>
        <w:t>and</w:t>
      </w:r>
      <w:r>
        <w:rPr>
          <w:spacing w:val="18"/>
        </w:rPr>
        <w:t> </w:t>
      </w:r>
      <w:r>
        <w:rPr/>
        <w:t>kW</w:t>
      </w:r>
    </w:p>
    <w:p>
      <w:pPr>
        <w:pStyle w:val="BodyText"/>
        <w:spacing w:before="10"/>
        <w:ind w:left="117"/>
      </w:pPr>
      <w:r>
        <w:rPr/>
        <w:t>=</w:t>
      </w:r>
      <w:r>
        <w:rPr>
          <w:spacing w:val="13"/>
        </w:rPr>
        <w:t> </w:t>
      </w:r>
      <w:r>
        <w:rPr/>
        <w:t>net</w:t>
      </w:r>
      <w:r>
        <w:rPr>
          <w:spacing w:val="13"/>
        </w:rPr>
        <w:t> </w:t>
      </w:r>
      <w:r>
        <w:rPr/>
        <w:t>plant</w:t>
      </w:r>
      <w:r>
        <w:rPr>
          <w:spacing w:val="13"/>
        </w:rPr>
        <w:t> </w:t>
      </w:r>
      <w:r>
        <w:rPr/>
        <w:t>power</w:t>
      </w:r>
      <w:r>
        <w:rPr>
          <w:spacing w:val="14"/>
        </w:rPr>
        <w:t> </w:t>
      </w:r>
      <w:r>
        <w:rPr/>
        <w:t>(kW).</w:t>
      </w:r>
      <w:r>
        <w:rPr>
          <w:spacing w:val="13"/>
        </w:rPr>
        <w:t> </w:t>
      </w:r>
      <w:r>
        <w:rPr/>
        <w:t>In</w:t>
      </w:r>
      <w:r>
        <w:rPr>
          <w:spacing w:val="13"/>
        </w:rPr>
        <w:t> </w:t>
      </w:r>
      <w:r>
        <w:rPr/>
        <w:t>this</w:t>
      </w:r>
      <w:r>
        <w:rPr>
          <w:spacing w:val="13"/>
        </w:rPr>
        <w:t> </w:t>
      </w:r>
      <w:r>
        <w:rPr/>
        <w:t>chapter,</w:t>
      </w:r>
      <w:r>
        <w:rPr>
          <w:spacing w:val="14"/>
        </w:rPr>
        <w:t> </w:t>
      </w:r>
      <w:r>
        <w:rPr/>
        <w:t>the</w:t>
      </w:r>
      <w:r>
        <w:rPr>
          <w:spacing w:val="13"/>
        </w:rPr>
        <w:t> </w:t>
      </w:r>
      <w:r>
        <w:rPr/>
        <w:t>costs</w:t>
      </w:r>
      <w:r>
        <w:rPr>
          <w:spacing w:val="13"/>
        </w:rPr>
        <w:t> </w:t>
      </w:r>
      <w:r>
        <w:rPr/>
        <w:t>in</w:t>
      </w:r>
      <w:r>
        <w:rPr>
          <w:spacing w:val="14"/>
        </w:rPr>
        <w:t> </w:t>
      </w:r>
      <w:r>
        <w:rPr/>
        <w:t>Equation</w:t>
      </w:r>
    </w:p>
    <w:p>
      <w:pPr>
        <w:pStyle w:val="BodyText"/>
        <w:spacing w:before="56"/>
        <w:ind w:left="117"/>
      </w:pPr>
      <w:r>
        <w:rPr/>
        <w:br w:type="column"/>
      </w:r>
      <w:r>
        <w:rPr/>
        <w:t>Cost of CO</w:t>
      </w:r>
      <w:r>
        <w:rPr>
          <w:position w:val="-6"/>
          <w:sz w:val="11"/>
        </w:rPr>
        <w:t>2 </w:t>
      </w:r>
      <w:r>
        <w:rPr/>
        <w:t>avoided (US$/tCO</w:t>
      </w:r>
      <w:r>
        <w:rPr>
          <w:position w:val="-6"/>
          <w:sz w:val="11"/>
        </w:rPr>
        <w:t>2</w:t>
      </w:r>
      <w:r>
        <w:rPr/>
        <w:t>) =</w:t>
      </w:r>
    </w:p>
    <w:p>
      <w:pPr>
        <w:spacing w:after="0"/>
        <w:sectPr>
          <w:pgSz w:w="12240" w:h="15840"/>
          <w:pgMar w:header="567" w:footer="0" w:top="1180" w:bottom="280" w:left="620" w:right="620"/>
          <w:cols w:num="2" w:equalWidth="0">
            <w:col w:w="5204" w:space="462"/>
            <w:col w:w="5334"/>
          </w:cols>
        </w:sectPr>
      </w:pPr>
    </w:p>
    <w:p>
      <w:pPr>
        <w:pStyle w:val="BodyText"/>
        <w:spacing w:line="225" w:lineRule="auto" w:before="21"/>
        <w:ind w:left="117" w:right="38"/>
        <w:jc w:val="both"/>
      </w:pPr>
      <w:r>
        <w:rPr/>
        <w:t>(7) include only the power plant and capture technologies and not the additional costs of CO</w:t>
      </w:r>
      <w:r>
        <w:rPr>
          <w:position w:val="-6"/>
          <w:sz w:val="11"/>
        </w:rPr>
        <w:t>2 </w:t>
      </w:r>
      <w:r>
        <w:rPr/>
        <w:t>transport and storage that are required for a complete system with CCS. The incremental</w:t>
      </w:r>
    </w:p>
    <w:p>
      <w:pPr>
        <w:pStyle w:val="BodyText"/>
        <w:spacing w:before="10"/>
        <w:ind w:left="117"/>
      </w:pPr>
      <w:r>
        <w:rPr/>
        <w:br w:type="column"/>
      </w:r>
      <w:r>
        <w:rPr/>
        <w:t>[(COE)</w:t>
      </w:r>
    </w:p>
    <w:p>
      <w:pPr>
        <w:pStyle w:val="BodyText"/>
        <w:spacing w:before="10"/>
        <w:rPr>
          <w:sz w:val="13"/>
        </w:rPr>
      </w:pPr>
      <w:r>
        <w:rPr/>
        <w:br w:type="column"/>
      </w:r>
      <w:r>
        <w:rPr>
          <w:sz w:val="13"/>
        </w:rPr>
      </w:r>
    </w:p>
    <w:p>
      <w:pPr>
        <w:spacing w:before="1"/>
        <w:ind w:left="-40" w:right="0" w:firstLine="0"/>
        <w:jc w:val="left"/>
        <w:rPr>
          <w:sz w:val="11"/>
        </w:rPr>
      </w:pPr>
      <w:r>
        <w:rPr>
          <w:w w:val="105"/>
          <w:sz w:val="11"/>
        </w:rPr>
        <w:t>capture</w:t>
      </w:r>
    </w:p>
    <w:p>
      <w:pPr>
        <w:pStyle w:val="BodyText"/>
        <w:spacing w:before="10"/>
        <w:ind w:left="9"/>
      </w:pPr>
      <w:r>
        <w:rPr/>
        <w:br w:type="column"/>
      </w:r>
      <w:r>
        <w:rPr/>
        <w:t>– (COE)</w:t>
      </w:r>
    </w:p>
    <w:p>
      <w:pPr>
        <w:pStyle w:val="BodyText"/>
        <w:spacing w:before="10"/>
        <w:rPr>
          <w:sz w:val="13"/>
        </w:rPr>
      </w:pPr>
      <w:r>
        <w:rPr/>
        <w:br w:type="column"/>
      </w:r>
      <w:r>
        <w:rPr>
          <w:sz w:val="13"/>
        </w:rPr>
      </w:r>
    </w:p>
    <w:p>
      <w:pPr>
        <w:spacing w:before="1"/>
        <w:ind w:left="-40" w:right="0" w:firstLine="0"/>
        <w:jc w:val="left"/>
        <w:rPr>
          <w:sz w:val="11"/>
        </w:rPr>
      </w:pPr>
      <w:r>
        <w:rPr>
          <w:w w:val="105"/>
          <w:sz w:val="11"/>
        </w:rPr>
        <w:t>ref</w:t>
      </w:r>
    </w:p>
    <w:p>
      <w:pPr>
        <w:pStyle w:val="BodyText"/>
        <w:spacing w:before="10"/>
        <w:ind w:left="-40"/>
        <w:rPr>
          <w:sz w:val="11"/>
        </w:rPr>
      </w:pPr>
      <w:r>
        <w:rPr/>
        <w:br w:type="column"/>
      </w:r>
      <w:r>
        <w:rPr/>
        <w:t>] / [(CO</w:t>
      </w:r>
      <w:r>
        <w:rPr>
          <w:position w:val="-6"/>
          <w:sz w:val="11"/>
        </w:rPr>
        <w:t>2</w:t>
      </w:r>
    </w:p>
    <w:p>
      <w:pPr>
        <w:spacing w:before="10"/>
        <w:ind w:left="9" w:right="0" w:firstLine="0"/>
        <w:jc w:val="left"/>
        <w:rPr>
          <w:sz w:val="20"/>
        </w:rPr>
      </w:pPr>
      <w:r>
        <w:rPr/>
        <w:br w:type="column"/>
      </w:r>
      <w:r>
        <w:rPr>
          <w:sz w:val="20"/>
        </w:rPr>
        <w:t>kWh</w:t>
      </w:r>
      <w:r>
        <w:rPr>
          <w:position w:val="7"/>
          <w:sz w:val="11"/>
        </w:rPr>
        <w:t>-1</w:t>
      </w:r>
      <w:r>
        <w:rPr>
          <w:sz w:val="20"/>
        </w:rPr>
        <w:t>)</w:t>
      </w:r>
    </w:p>
    <w:p>
      <w:pPr>
        <w:pStyle w:val="BodyText"/>
        <w:spacing w:before="10"/>
        <w:rPr>
          <w:sz w:val="13"/>
        </w:rPr>
      </w:pPr>
      <w:r>
        <w:rPr/>
        <w:br w:type="column"/>
      </w:r>
      <w:r>
        <w:rPr>
          <w:sz w:val="13"/>
        </w:rPr>
      </w:r>
    </w:p>
    <w:p>
      <w:pPr>
        <w:spacing w:before="1"/>
        <w:ind w:left="-40" w:right="0" w:firstLine="0"/>
        <w:jc w:val="left"/>
        <w:rPr>
          <w:sz w:val="11"/>
        </w:rPr>
      </w:pPr>
      <w:r>
        <w:rPr>
          <w:w w:val="105"/>
          <w:sz w:val="11"/>
        </w:rPr>
        <w:t>ref</w:t>
      </w:r>
    </w:p>
    <w:p>
      <w:pPr>
        <w:spacing w:before="10"/>
        <w:ind w:left="10" w:right="0" w:firstLine="0"/>
        <w:jc w:val="left"/>
        <w:rPr>
          <w:sz w:val="11"/>
        </w:rPr>
      </w:pPr>
      <w:r>
        <w:rPr/>
        <w:br w:type="column"/>
      </w:r>
      <w:r>
        <w:rPr>
          <w:sz w:val="20"/>
        </w:rPr>
        <w:t>– (CO</w:t>
      </w:r>
      <w:r>
        <w:rPr>
          <w:position w:val="-6"/>
          <w:sz w:val="11"/>
        </w:rPr>
        <w:t>2</w:t>
      </w:r>
    </w:p>
    <w:p>
      <w:pPr>
        <w:spacing w:before="10"/>
        <w:ind w:left="9" w:right="0" w:firstLine="0"/>
        <w:jc w:val="left"/>
        <w:rPr>
          <w:sz w:val="20"/>
        </w:rPr>
      </w:pPr>
      <w:r>
        <w:rPr/>
        <w:br w:type="column"/>
      </w:r>
      <w:r>
        <w:rPr>
          <w:sz w:val="20"/>
        </w:rPr>
        <w:t>kWh</w:t>
      </w:r>
      <w:r>
        <w:rPr>
          <w:position w:val="7"/>
          <w:sz w:val="11"/>
        </w:rPr>
        <w:t>-1</w:t>
      </w:r>
      <w:r>
        <w:rPr>
          <w:sz w:val="20"/>
        </w:rPr>
        <w:t>)</w:t>
      </w:r>
    </w:p>
    <w:p>
      <w:pPr>
        <w:spacing w:line="262" w:lineRule="exact" w:before="6"/>
        <w:ind w:left="-40" w:right="0" w:firstLine="0"/>
        <w:jc w:val="left"/>
        <w:rPr>
          <w:sz w:val="20"/>
        </w:rPr>
      </w:pPr>
      <w:r>
        <w:rPr/>
        <w:br w:type="column"/>
      </w:r>
      <w:r>
        <w:rPr>
          <w:w w:val="105"/>
          <w:sz w:val="11"/>
        </w:rPr>
        <w:t>capture</w:t>
      </w:r>
      <w:r>
        <w:rPr>
          <w:w w:val="105"/>
          <w:position w:val="7"/>
          <w:sz w:val="20"/>
        </w:rPr>
        <w:t>]</w:t>
      </w:r>
    </w:p>
    <w:p>
      <w:pPr>
        <w:pStyle w:val="BodyText"/>
        <w:spacing w:line="212" w:lineRule="exact"/>
        <w:ind w:left="300"/>
      </w:pPr>
      <w:r>
        <w:rPr/>
        <w:t>(8)</w:t>
      </w:r>
    </w:p>
    <w:p>
      <w:pPr>
        <w:spacing w:after="0" w:line="212" w:lineRule="exact"/>
        <w:sectPr>
          <w:type w:val="continuous"/>
          <w:pgSz w:w="12240" w:h="15840"/>
          <w:pgMar w:top="480" w:bottom="280" w:left="620" w:right="620"/>
          <w:cols w:num="11" w:equalWidth="0">
            <w:col w:w="5202" w:space="165"/>
            <w:col w:w="717" w:space="39"/>
            <w:col w:w="302" w:space="40"/>
            <w:col w:w="694" w:space="39"/>
            <w:col w:w="89" w:space="39"/>
            <w:col w:w="652" w:space="40"/>
            <w:col w:w="562" w:space="39"/>
            <w:col w:w="89" w:space="40"/>
            <w:col w:w="563" w:space="40"/>
            <w:col w:w="562" w:space="39"/>
            <w:col w:w="1048"/>
          </w:cols>
        </w:sectPr>
      </w:pPr>
    </w:p>
    <w:p>
      <w:pPr>
        <w:pStyle w:val="BodyText"/>
        <w:spacing w:line="274" w:lineRule="exact" w:before="10"/>
        <w:ind w:left="117"/>
        <w:rPr>
          <w:sz w:val="11"/>
        </w:rPr>
      </w:pPr>
      <w:r>
        <w:rPr/>
        <w:t>COE is the difference in electricity cost with and without CO</w:t>
      </w:r>
      <w:r>
        <w:rPr>
          <w:position w:val="-6"/>
          <w:sz w:val="11"/>
        </w:rPr>
        <w:t>2</w:t>
      </w:r>
    </w:p>
    <w:p>
      <w:pPr>
        <w:pStyle w:val="BodyText"/>
        <w:spacing w:before="10"/>
        <w:ind w:left="117"/>
      </w:pPr>
      <w:r>
        <w:rPr/>
        <w:br w:type="column"/>
      </w:r>
      <w:r>
        <w:rPr/>
        <w:t>where, COE = levelized cost of electricity (US$ kWh</w:t>
      </w:r>
      <w:r>
        <w:rPr>
          <w:position w:val="7"/>
          <w:sz w:val="11"/>
        </w:rPr>
        <w:t>-1</w:t>
      </w:r>
      <w:r>
        <w:rPr/>
        <w:t>) as given</w:t>
      </w:r>
    </w:p>
    <w:p>
      <w:pPr>
        <w:spacing w:after="0"/>
        <w:sectPr>
          <w:type w:val="continuous"/>
          <w:pgSz w:w="12240" w:h="15840"/>
          <w:pgMar w:top="480" w:bottom="280" w:left="620" w:right="620"/>
          <w:cols w:num="2" w:equalWidth="0">
            <w:col w:w="5200" w:space="126"/>
            <w:col w:w="5674"/>
          </w:cols>
        </w:sectPr>
      </w:pPr>
    </w:p>
    <w:p>
      <w:pPr>
        <w:pStyle w:val="BodyText"/>
        <w:spacing w:line="197" w:lineRule="exact"/>
        <w:ind w:left="117"/>
      </w:pPr>
      <w:r>
        <w:rPr/>
        <w:pict>
          <v:shape style="position:absolute;margin-left:458.103485pt;margin-top:6.612158pt;width:2.9pt;height:5.8pt;mso-position-horizontal-relative:page;mso-position-vertical-relative:paragraph;z-index:251726848"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t>capture.</w:t>
      </w:r>
      <w:r>
        <w:rPr>
          <w:position w:val="7"/>
          <w:sz w:val="11"/>
        </w:rPr>
        <w:t>5 </w:t>
      </w:r>
      <w:r>
        <w:rPr/>
        <w:t>Again, the values reported here exclude transport and</w:t>
      </w:r>
    </w:p>
    <w:p>
      <w:pPr>
        <w:pStyle w:val="BodyText"/>
        <w:spacing w:line="196" w:lineRule="auto"/>
        <w:ind w:left="117"/>
        <w:rPr>
          <w:sz w:val="11"/>
        </w:rPr>
      </w:pPr>
      <w:r>
        <w:rPr/>
        <w:br w:type="column"/>
      </w:r>
      <w:r>
        <w:rPr/>
        <w:t>by Equation (7) and CO</w:t>
      </w:r>
      <w:r>
        <w:rPr>
          <w:position w:val="-6"/>
          <w:sz w:val="11"/>
        </w:rPr>
        <w:t>2</w:t>
      </w:r>
    </w:p>
    <w:p>
      <w:pPr>
        <w:spacing w:line="197" w:lineRule="exact" w:before="0"/>
        <w:ind w:left="23" w:right="0" w:firstLine="0"/>
        <w:jc w:val="left"/>
        <w:rPr>
          <w:sz w:val="20"/>
        </w:rPr>
      </w:pPr>
      <w:r>
        <w:rPr/>
        <w:br w:type="column"/>
      </w:r>
      <w:r>
        <w:rPr>
          <w:sz w:val="20"/>
        </w:rPr>
        <w:t>kWh</w:t>
      </w:r>
      <w:r>
        <w:rPr>
          <w:position w:val="7"/>
          <w:sz w:val="11"/>
        </w:rPr>
        <w:t>-1 </w:t>
      </w:r>
      <w:r>
        <w:rPr>
          <w:sz w:val="20"/>
        </w:rPr>
        <w:t>= CO</w:t>
      </w:r>
    </w:p>
    <w:p>
      <w:pPr>
        <w:pStyle w:val="BodyText"/>
        <w:spacing w:line="197" w:lineRule="exact"/>
        <w:ind w:left="23"/>
      </w:pPr>
      <w:r>
        <w:rPr/>
        <w:br w:type="column"/>
      </w:r>
      <w:r>
        <w:rPr/>
        <w:t>mass emission rate (in</w:t>
      </w:r>
    </w:p>
    <w:p>
      <w:pPr>
        <w:spacing w:after="0" w:line="197" w:lineRule="exact"/>
        <w:sectPr>
          <w:type w:val="continuous"/>
          <w:pgSz w:w="12240" w:h="15840"/>
          <w:pgMar w:top="480" w:bottom="280" w:left="620" w:right="620"/>
          <w:cols w:num="4" w:equalWidth="0">
            <w:col w:w="5201" w:space="126"/>
            <w:col w:w="2150" w:space="39"/>
            <w:col w:w="1084" w:space="40"/>
            <w:col w:w="2360"/>
          </w:cols>
        </w:sectPr>
      </w:pPr>
    </w:p>
    <w:p>
      <w:pPr>
        <w:pStyle w:val="BodyText"/>
        <w:spacing w:line="197" w:lineRule="exact"/>
        <w:ind w:left="117"/>
        <w:jc w:val="both"/>
      </w:pPr>
      <w:r>
        <w:rPr/>
        <w:t>storage costs. Full CCS costs are reported in Chapter 8.</w:t>
      </w:r>
    </w:p>
    <w:p>
      <w:pPr>
        <w:pStyle w:val="BodyText"/>
        <w:spacing w:line="249" w:lineRule="auto" w:before="10"/>
        <w:ind w:left="117" w:right="38" w:firstLine="284"/>
        <w:jc w:val="both"/>
      </w:pPr>
      <w:r>
        <w:rPr/>
        <w:t>Equation</w:t>
      </w:r>
      <w:r>
        <w:rPr>
          <w:spacing w:val="-10"/>
        </w:rPr>
        <w:t> </w:t>
      </w:r>
      <w:r>
        <w:rPr/>
        <w:t>(7)</w:t>
      </w:r>
      <w:r>
        <w:rPr>
          <w:spacing w:val="-10"/>
        </w:rPr>
        <w:t> </w:t>
      </w:r>
      <w:r>
        <w:rPr/>
        <w:t>shows</w:t>
      </w:r>
      <w:r>
        <w:rPr>
          <w:spacing w:val="-10"/>
        </w:rPr>
        <w:t> </w:t>
      </w:r>
      <w:r>
        <w:rPr/>
        <w:t>that</w:t>
      </w:r>
      <w:r>
        <w:rPr>
          <w:spacing w:val="-10"/>
        </w:rPr>
        <w:t> </w:t>
      </w:r>
      <w:r>
        <w:rPr/>
        <w:t>many</w:t>
      </w:r>
      <w:r>
        <w:rPr>
          <w:spacing w:val="-10"/>
        </w:rPr>
        <w:t> </w:t>
      </w:r>
      <w:r>
        <w:rPr/>
        <w:t>factors</w:t>
      </w:r>
      <w:r>
        <w:rPr>
          <w:spacing w:val="-10"/>
        </w:rPr>
        <w:t> </w:t>
      </w:r>
      <w:r>
        <w:rPr/>
        <w:t>affect</w:t>
      </w:r>
      <w:r>
        <w:rPr>
          <w:spacing w:val="-10"/>
        </w:rPr>
        <w:t> </w:t>
      </w:r>
      <w:r>
        <w:rPr/>
        <w:t>this</w:t>
      </w:r>
      <w:r>
        <w:rPr>
          <w:spacing w:val="-10"/>
        </w:rPr>
        <w:t> </w:t>
      </w:r>
      <w:r>
        <w:rPr/>
        <w:t>incremental cost. For example, just as the total capital cost includes many different</w:t>
      </w:r>
      <w:r>
        <w:rPr>
          <w:spacing w:val="-8"/>
        </w:rPr>
        <w:t> </w:t>
      </w:r>
      <w:r>
        <w:rPr/>
        <w:t>items,</w:t>
      </w:r>
      <w:r>
        <w:rPr>
          <w:spacing w:val="-8"/>
        </w:rPr>
        <w:t> </w:t>
      </w:r>
      <w:r>
        <w:rPr/>
        <w:t>so</w:t>
      </w:r>
      <w:r>
        <w:rPr>
          <w:spacing w:val="-8"/>
        </w:rPr>
        <w:t> </w:t>
      </w:r>
      <w:r>
        <w:rPr/>
        <w:t>too</w:t>
      </w:r>
      <w:r>
        <w:rPr>
          <w:spacing w:val="-8"/>
        </w:rPr>
        <w:t> </w:t>
      </w:r>
      <w:r>
        <w:rPr/>
        <w:t>do</w:t>
      </w:r>
      <w:r>
        <w:rPr>
          <w:spacing w:val="-8"/>
        </w:rPr>
        <w:t> </w:t>
      </w:r>
      <w:r>
        <w:rPr/>
        <w:t>the</w:t>
      </w:r>
      <w:r>
        <w:rPr>
          <w:spacing w:val="-8"/>
        </w:rPr>
        <w:t> </w:t>
      </w:r>
      <w:r>
        <w:rPr/>
        <w:t>fixed</w:t>
      </w:r>
      <w:r>
        <w:rPr>
          <w:spacing w:val="-8"/>
        </w:rPr>
        <w:t> </w:t>
      </w:r>
      <w:r>
        <w:rPr/>
        <w:t>and</w:t>
      </w:r>
      <w:r>
        <w:rPr>
          <w:spacing w:val="-8"/>
        </w:rPr>
        <w:t> </w:t>
      </w:r>
      <w:r>
        <w:rPr/>
        <w:t>variable</w:t>
      </w:r>
      <w:r>
        <w:rPr>
          <w:spacing w:val="-8"/>
        </w:rPr>
        <w:t> </w:t>
      </w:r>
      <w:r>
        <w:rPr/>
        <w:t>costs</w:t>
      </w:r>
      <w:r>
        <w:rPr>
          <w:spacing w:val="-8"/>
        </w:rPr>
        <w:t> </w:t>
      </w:r>
      <w:r>
        <w:rPr/>
        <w:t>associated with plant operation and maintenance (O&amp;M). </w:t>
      </w:r>
      <w:r>
        <w:rPr>
          <w:spacing w:val="-3"/>
        </w:rPr>
        <w:t>Similarly, </w:t>
      </w:r>
      <w:r>
        <w:rPr/>
        <w:t>the fixed charge factor </w:t>
      </w:r>
      <w:r>
        <w:rPr>
          <w:spacing w:val="-4"/>
        </w:rPr>
        <w:t>(FCF, </w:t>
      </w:r>
      <w:r>
        <w:rPr/>
        <w:t>also known as the capital recovery factor) reflects assumptions about the plant lifetime and </w:t>
      </w:r>
      <w:r>
        <w:rPr>
          <w:spacing w:val="-4"/>
        </w:rPr>
        <w:t>the </w:t>
      </w:r>
      <w:r>
        <w:rPr/>
        <w:t>effective</w:t>
      </w:r>
      <w:r>
        <w:rPr>
          <w:spacing w:val="-5"/>
        </w:rPr>
        <w:t> </w:t>
      </w:r>
      <w:r>
        <w:rPr/>
        <w:t>interest</w:t>
      </w:r>
      <w:r>
        <w:rPr>
          <w:spacing w:val="-5"/>
        </w:rPr>
        <w:t> </w:t>
      </w:r>
      <w:r>
        <w:rPr/>
        <w:t>rate</w:t>
      </w:r>
      <w:r>
        <w:rPr>
          <w:spacing w:val="-4"/>
        </w:rPr>
        <w:t> </w:t>
      </w:r>
      <w:r>
        <w:rPr/>
        <w:t>(or</w:t>
      </w:r>
      <w:r>
        <w:rPr>
          <w:spacing w:val="-5"/>
        </w:rPr>
        <w:t> </w:t>
      </w:r>
      <w:r>
        <w:rPr/>
        <w:t>discount</w:t>
      </w:r>
      <w:r>
        <w:rPr>
          <w:spacing w:val="-5"/>
        </w:rPr>
        <w:t> </w:t>
      </w:r>
      <w:r>
        <w:rPr/>
        <w:t>rate)</w:t>
      </w:r>
      <w:r>
        <w:rPr>
          <w:spacing w:val="-5"/>
        </w:rPr>
        <w:t> </w:t>
      </w:r>
      <w:r>
        <w:rPr/>
        <w:t>used</w:t>
      </w:r>
      <w:r>
        <w:rPr>
          <w:spacing w:val="-4"/>
        </w:rPr>
        <w:t> </w:t>
      </w:r>
      <w:r>
        <w:rPr/>
        <w:t>to</w:t>
      </w:r>
      <w:r>
        <w:rPr>
          <w:spacing w:val="-5"/>
        </w:rPr>
        <w:t> </w:t>
      </w:r>
      <w:r>
        <w:rPr/>
        <w:t>amortize</w:t>
      </w:r>
      <w:r>
        <w:rPr>
          <w:spacing w:val="-5"/>
        </w:rPr>
        <w:t> </w:t>
      </w:r>
      <w:r>
        <w:rPr/>
        <w:t>capital</w:t>
      </w:r>
    </w:p>
    <w:p>
      <w:pPr>
        <w:pStyle w:val="BodyText"/>
        <w:spacing w:line="197" w:lineRule="exact"/>
        <w:ind w:left="117"/>
        <w:jc w:val="both"/>
      </w:pPr>
      <w:r>
        <w:rPr/>
        <w:br w:type="column"/>
      </w:r>
      <w:r>
        <w:rPr/>
        <w:t>tonnes) per kWh generated, based on the net plant capacity for</w:t>
      </w:r>
    </w:p>
    <w:p>
      <w:pPr>
        <w:pStyle w:val="BodyText"/>
        <w:spacing w:line="240" w:lineRule="exact" w:before="4"/>
        <w:ind w:left="117" w:right="511"/>
        <w:jc w:val="both"/>
      </w:pPr>
      <w:r>
        <w:rPr/>
        <w:t>each case. The subscripts ‘capture’ and </w:t>
      </w:r>
      <w:r>
        <w:rPr>
          <w:spacing w:val="2"/>
        </w:rPr>
        <w:t>‘ref’ </w:t>
      </w:r>
      <w:r>
        <w:rPr/>
        <w:t>refer to the plant with</w:t>
      </w:r>
      <w:r>
        <w:rPr>
          <w:spacing w:val="-11"/>
        </w:rPr>
        <w:t> </w:t>
      </w:r>
      <w:r>
        <w:rPr/>
        <w:t>and</w:t>
      </w:r>
      <w:r>
        <w:rPr>
          <w:spacing w:val="-10"/>
        </w:rPr>
        <w:t> </w:t>
      </w:r>
      <w:r>
        <w:rPr/>
        <w:t>without</w:t>
      </w:r>
      <w:r>
        <w:rPr>
          <w:spacing w:val="-11"/>
        </w:rPr>
        <w:t> </w:t>
      </w:r>
      <w:r>
        <w:rPr/>
        <w:t>CO</w:t>
      </w:r>
      <w:r>
        <w:rPr>
          <w:position w:val="-6"/>
          <w:sz w:val="11"/>
        </w:rPr>
        <w:t>2</w:t>
      </w:r>
      <w:r>
        <w:rPr>
          <w:spacing w:val="13"/>
          <w:position w:val="-6"/>
          <w:sz w:val="11"/>
        </w:rPr>
        <w:t> </w:t>
      </w:r>
      <w:r>
        <w:rPr/>
        <w:t>capture,</w:t>
      </w:r>
      <w:r>
        <w:rPr>
          <w:spacing w:val="-10"/>
        </w:rPr>
        <w:t> </w:t>
      </w:r>
      <w:r>
        <w:rPr/>
        <w:t>respectively.</w:t>
      </w:r>
      <w:r>
        <w:rPr>
          <w:spacing w:val="-10"/>
        </w:rPr>
        <w:t> </w:t>
      </w:r>
      <w:r>
        <w:rPr/>
        <w:t>Note</w:t>
      </w:r>
      <w:r>
        <w:rPr>
          <w:spacing w:val="-11"/>
        </w:rPr>
        <w:t> </w:t>
      </w:r>
      <w:r>
        <w:rPr/>
        <w:t>that</w:t>
      </w:r>
      <w:r>
        <w:rPr>
          <w:spacing w:val="-10"/>
        </w:rPr>
        <w:t> </w:t>
      </w:r>
      <w:r>
        <w:rPr/>
        <w:t>while</w:t>
      </w:r>
      <w:r>
        <w:rPr>
          <w:spacing w:val="-10"/>
        </w:rPr>
        <w:t> </w:t>
      </w:r>
      <w:r>
        <w:rPr/>
        <w:t>this equation is commonly used to report a cost of CO</w:t>
      </w:r>
      <w:r>
        <w:rPr>
          <w:position w:val="-6"/>
          <w:sz w:val="11"/>
        </w:rPr>
        <w:t>2 </w:t>
      </w:r>
      <w:r>
        <w:rPr/>
        <w:t>avoided </w:t>
      </w:r>
      <w:r>
        <w:rPr>
          <w:spacing w:val="-5"/>
        </w:rPr>
        <w:t>for </w:t>
      </w:r>
      <w:r>
        <w:rPr/>
        <w:t>the capture portion of a full CCS system, strictly speaking it should be applied only to a complete CCS system including transport and storage costs (since all elements are required to avoid emissions to the atmosphere).</w:t>
      </w:r>
    </w:p>
    <w:p>
      <w:pPr>
        <w:spacing w:after="0" w:line="240" w:lineRule="exact"/>
        <w:jc w:val="both"/>
        <w:sectPr>
          <w:type w:val="continuous"/>
          <w:pgSz w:w="12240" w:h="15840"/>
          <w:pgMar w:top="480" w:bottom="280" w:left="620" w:right="620"/>
          <w:cols w:num="2" w:equalWidth="0">
            <w:col w:w="5203" w:space="124"/>
            <w:col w:w="5673"/>
          </w:cols>
        </w:sectPr>
      </w:pPr>
    </w:p>
    <w:p>
      <w:pPr>
        <w:pStyle w:val="BodyText"/>
        <w:spacing w:before="5"/>
        <w:ind w:left="117"/>
      </w:pPr>
      <w:r>
        <w:rPr/>
        <w:t>costs.</w:t>
      </w:r>
      <w:r>
        <w:rPr>
          <w:position w:val="7"/>
          <w:sz w:val="11"/>
        </w:rPr>
        <w:t>6 </w:t>
      </w:r>
      <w:r>
        <w:rPr/>
        <w:t>Assumptions about any of the factors in Equation (7)</w:t>
      </w:r>
    </w:p>
    <w:p>
      <w:pPr>
        <w:pStyle w:val="BodyText"/>
        <w:spacing w:line="277" w:lineRule="exact" w:before="5"/>
        <w:ind w:left="117"/>
        <w:rPr>
          <w:sz w:val="11"/>
        </w:rPr>
      </w:pPr>
      <w:r>
        <w:rPr/>
        <w:br w:type="column"/>
      </w:r>
      <w:r>
        <w:rPr/>
        <w:t>The choice of the reference plant without</w:t>
      </w:r>
      <w:r>
        <w:rPr>
          <w:spacing w:val="-34"/>
        </w:rPr>
        <w:t> </w:t>
      </w:r>
      <w:r>
        <w:rPr>
          <w:spacing w:val="-4"/>
        </w:rPr>
        <w:t>CO</w:t>
      </w:r>
      <w:r>
        <w:rPr>
          <w:spacing w:val="-4"/>
          <w:position w:val="-6"/>
          <w:sz w:val="11"/>
        </w:rPr>
        <w:t>2</w:t>
      </w:r>
    </w:p>
    <w:p>
      <w:pPr>
        <w:pStyle w:val="BodyText"/>
        <w:spacing w:before="5"/>
        <w:ind w:left="5"/>
      </w:pPr>
      <w:r>
        <w:rPr/>
        <w:br w:type="column"/>
      </w:r>
      <w:r>
        <w:rPr/>
        <w:t>capture plays</w:t>
      </w:r>
    </w:p>
    <w:p>
      <w:pPr>
        <w:spacing w:after="0"/>
        <w:sectPr>
          <w:type w:val="continuous"/>
          <w:pgSz w:w="12240" w:h="15840"/>
          <w:pgMar w:top="480" w:bottom="280" w:left="620" w:right="620"/>
          <w:cols w:num="3" w:equalWidth="0">
            <w:col w:w="5201" w:space="410"/>
            <w:col w:w="3774" w:space="39"/>
            <w:col w:w="1576"/>
          </w:cols>
        </w:sectPr>
      </w:pPr>
    </w:p>
    <w:p>
      <w:pPr>
        <w:pStyle w:val="BodyText"/>
        <w:spacing w:line="194" w:lineRule="exact"/>
        <w:ind w:left="117"/>
        <w:jc w:val="both"/>
      </w:pPr>
      <w:r>
        <w:rPr/>
        <w:t>can have a pronounced effect on overall cost results. Nor are</w:t>
      </w:r>
    </w:p>
    <w:p>
      <w:pPr>
        <w:pStyle w:val="BodyText"/>
        <w:spacing w:line="249" w:lineRule="auto" w:before="10"/>
        <w:ind w:left="116" w:right="38"/>
        <w:jc w:val="both"/>
      </w:pPr>
      <w:r>
        <w:rPr/>
        <w:t>these factors all independent of one another. For example, the design</w:t>
      </w:r>
      <w:r>
        <w:rPr>
          <w:spacing w:val="-13"/>
        </w:rPr>
        <w:t> </w:t>
      </w:r>
      <w:r>
        <w:rPr/>
        <w:t>heat</w:t>
      </w:r>
      <w:r>
        <w:rPr>
          <w:spacing w:val="-12"/>
        </w:rPr>
        <w:t> </w:t>
      </w:r>
      <w:r>
        <w:rPr/>
        <w:t>rate</w:t>
      </w:r>
      <w:r>
        <w:rPr>
          <w:spacing w:val="-12"/>
        </w:rPr>
        <w:t> </w:t>
      </w:r>
      <w:r>
        <w:rPr/>
        <w:t>of</w:t>
      </w:r>
      <w:r>
        <w:rPr>
          <w:spacing w:val="-13"/>
        </w:rPr>
        <w:t> </w:t>
      </w:r>
      <w:r>
        <w:rPr/>
        <w:t>a</w:t>
      </w:r>
      <w:r>
        <w:rPr>
          <w:spacing w:val="-12"/>
        </w:rPr>
        <w:t> </w:t>
      </w:r>
      <w:r>
        <w:rPr/>
        <w:t>new</w:t>
      </w:r>
      <w:r>
        <w:rPr>
          <w:spacing w:val="-12"/>
        </w:rPr>
        <w:t> </w:t>
      </w:r>
      <w:r>
        <w:rPr/>
        <w:t>power</w:t>
      </w:r>
      <w:r>
        <w:rPr>
          <w:spacing w:val="-13"/>
        </w:rPr>
        <w:t> </w:t>
      </w:r>
      <w:r>
        <w:rPr/>
        <w:t>plant</w:t>
      </w:r>
      <w:r>
        <w:rPr>
          <w:spacing w:val="-12"/>
        </w:rPr>
        <w:t> </w:t>
      </w:r>
      <w:r>
        <w:rPr/>
        <w:t>may</w:t>
      </w:r>
      <w:r>
        <w:rPr>
          <w:spacing w:val="-12"/>
        </w:rPr>
        <w:t> </w:t>
      </w:r>
      <w:r>
        <w:rPr/>
        <w:t>affect</w:t>
      </w:r>
      <w:r>
        <w:rPr>
          <w:spacing w:val="-13"/>
        </w:rPr>
        <w:t> </w:t>
      </w:r>
      <w:r>
        <w:rPr/>
        <w:t>the</w:t>
      </w:r>
      <w:r>
        <w:rPr>
          <w:spacing w:val="-12"/>
        </w:rPr>
        <w:t> </w:t>
      </w:r>
      <w:r>
        <w:rPr/>
        <w:t>total</w:t>
      </w:r>
      <w:r>
        <w:rPr>
          <w:spacing w:val="-12"/>
        </w:rPr>
        <w:t> </w:t>
      </w:r>
      <w:r>
        <w:rPr/>
        <w:t>capital requirement</w:t>
      </w:r>
      <w:r>
        <w:rPr>
          <w:spacing w:val="-16"/>
        </w:rPr>
        <w:t> </w:t>
      </w:r>
      <w:r>
        <w:rPr/>
        <w:t>since</w:t>
      </w:r>
      <w:r>
        <w:rPr>
          <w:spacing w:val="-15"/>
        </w:rPr>
        <w:t> </w:t>
      </w:r>
      <w:r>
        <w:rPr/>
        <w:t>high-efficiency</w:t>
      </w:r>
      <w:r>
        <w:rPr>
          <w:spacing w:val="-15"/>
        </w:rPr>
        <w:t> </w:t>
      </w:r>
      <w:r>
        <w:rPr/>
        <w:t>plants</w:t>
      </w:r>
      <w:r>
        <w:rPr>
          <w:spacing w:val="-16"/>
        </w:rPr>
        <w:t> </w:t>
      </w:r>
      <w:r>
        <w:rPr/>
        <w:t>usually</w:t>
      </w:r>
      <w:r>
        <w:rPr>
          <w:spacing w:val="-15"/>
        </w:rPr>
        <w:t> </w:t>
      </w:r>
      <w:r>
        <w:rPr/>
        <w:t>are</w:t>
      </w:r>
      <w:r>
        <w:rPr>
          <w:spacing w:val="-15"/>
        </w:rPr>
        <w:t> </w:t>
      </w:r>
      <w:r>
        <w:rPr/>
        <w:t>more</w:t>
      </w:r>
      <w:r>
        <w:rPr>
          <w:spacing w:val="-17"/>
        </w:rPr>
        <w:t> </w:t>
      </w:r>
      <w:r>
        <w:rPr/>
        <w:t>costly than lower-efficiency</w:t>
      </w:r>
      <w:r>
        <w:rPr>
          <w:spacing w:val="-1"/>
        </w:rPr>
        <w:t> </w:t>
      </w:r>
      <w:r>
        <w:rPr/>
        <w:t>designs.</w:t>
      </w:r>
    </w:p>
    <w:p>
      <w:pPr>
        <w:pStyle w:val="BodyText"/>
        <w:spacing w:before="3"/>
        <w:ind w:left="400"/>
        <w:jc w:val="both"/>
      </w:pPr>
      <w:r>
        <w:rPr>
          <w:spacing w:val="-3"/>
        </w:rPr>
        <w:t>Finally,</w:t>
      </w:r>
      <w:r>
        <w:rPr>
          <w:spacing w:val="-7"/>
        </w:rPr>
        <w:t> </w:t>
      </w:r>
      <w:r>
        <w:rPr/>
        <w:t>because</w:t>
      </w:r>
      <w:r>
        <w:rPr>
          <w:spacing w:val="-6"/>
        </w:rPr>
        <w:t> </w:t>
      </w:r>
      <w:r>
        <w:rPr/>
        <w:t>several</w:t>
      </w:r>
      <w:r>
        <w:rPr>
          <w:spacing w:val="-6"/>
        </w:rPr>
        <w:t> </w:t>
      </w:r>
      <w:r>
        <w:rPr/>
        <w:t>of</w:t>
      </w:r>
      <w:r>
        <w:rPr>
          <w:spacing w:val="-6"/>
        </w:rPr>
        <w:t> </w:t>
      </w:r>
      <w:r>
        <w:rPr/>
        <w:t>the</w:t>
      </w:r>
      <w:r>
        <w:rPr>
          <w:spacing w:val="-7"/>
        </w:rPr>
        <w:t> </w:t>
      </w:r>
      <w:r>
        <w:rPr/>
        <w:t>parameter</w:t>
      </w:r>
      <w:r>
        <w:rPr>
          <w:spacing w:val="-6"/>
        </w:rPr>
        <w:t> </w:t>
      </w:r>
      <w:r>
        <w:rPr/>
        <w:t>values</w:t>
      </w:r>
      <w:r>
        <w:rPr>
          <w:spacing w:val="-6"/>
        </w:rPr>
        <w:t> </w:t>
      </w:r>
      <w:r>
        <w:rPr/>
        <w:t>in</w:t>
      </w:r>
      <w:r>
        <w:rPr>
          <w:spacing w:val="-6"/>
        </w:rPr>
        <w:t> </w:t>
      </w:r>
      <w:r>
        <w:rPr/>
        <w:t>Equation</w:t>
      </w:r>
    </w:p>
    <w:p>
      <w:pPr>
        <w:pStyle w:val="BodyText"/>
        <w:spacing w:line="249" w:lineRule="auto" w:before="10"/>
        <w:ind w:left="117" w:right="38"/>
        <w:jc w:val="both"/>
      </w:pPr>
      <w:r>
        <w:rPr/>
        <w:t>(7) may change over the operating life of a facility (such as  the capacity factor, unit fuel cost, or variable operating costs), the value of COE also may vary from year to </w:t>
      </w:r>
      <w:r>
        <w:rPr>
          <w:spacing w:val="-3"/>
        </w:rPr>
        <w:t>year. </w:t>
      </w:r>
      <w:r>
        <w:rPr>
          <w:spacing w:val="-7"/>
        </w:rPr>
        <w:t>To </w:t>
      </w:r>
      <w:r>
        <w:rPr/>
        <w:t>include such effects, an economic evaluation would calculate the net present</w:t>
      </w:r>
      <w:r>
        <w:rPr>
          <w:spacing w:val="-6"/>
        </w:rPr>
        <w:t> </w:t>
      </w:r>
      <w:r>
        <w:rPr/>
        <w:t>value</w:t>
      </w:r>
      <w:r>
        <w:rPr>
          <w:spacing w:val="-6"/>
        </w:rPr>
        <w:t> </w:t>
      </w:r>
      <w:r>
        <w:rPr/>
        <w:t>(NPV)</w:t>
      </w:r>
      <w:r>
        <w:rPr>
          <w:spacing w:val="-6"/>
        </w:rPr>
        <w:t> </w:t>
      </w:r>
      <w:r>
        <w:rPr/>
        <w:t>of</w:t>
      </w:r>
      <w:r>
        <w:rPr>
          <w:spacing w:val="-5"/>
        </w:rPr>
        <w:t> </w:t>
      </w:r>
      <w:r>
        <w:rPr/>
        <w:t>discounted</w:t>
      </w:r>
      <w:r>
        <w:rPr>
          <w:spacing w:val="-6"/>
        </w:rPr>
        <w:t> </w:t>
      </w:r>
      <w:r>
        <w:rPr/>
        <w:t>costs</w:t>
      </w:r>
      <w:r>
        <w:rPr>
          <w:spacing w:val="-6"/>
        </w:rPr>
        <w:t> </w:t>
      </w:r>
      <w:r>
        <w:rPr/>
        <w:t>based</w:t>
      </w:r>
      <w:r>
        <w:rPr>
          <w:spacing w:val="-5"/>
        </w:rPr>
        <w:t> </w:t>
      </w:r>
      <w:r>
        <w:rPr/>
        <w:t>on</w:t>
      </w:r>
      <w:r>
        <w:rPr>
          <w:spacing w:val="-6"/>
        </w:rPr>
        <w:t> </w:t>
      </w:r>
      <w:r>
        <w:rPr/>
        <w:t>a</w:t>
      </w:r>
      <w:r>
        <w:rPr>
          <w:spacing w:val="-6"/>
        </w:rPr>
        <w:t> </w:t>
      </w:r>
      <w:r>
        <w:rPr/>
        <w:t>schedule</w:t>
      </w:r>
      <w:r>
        <w:rPr>
          <w:spacing w:val="-5"/>
        </w:rPr>
        <w:t> </w:t>
      </w:r>
      <w:r>
        <w:rPr/>
        <w:t>of</w:t>
      </w:r>
    </w:p>
    <w:p>
      <w:pPr>
        <w:spacing w:line="187" w:lineRule="auto" w:before="0"/>
        <w:ind w:left="116" w:right="0" w:firstLine="0"/>
        <w:jc w:val="both"/>
        <w:rPr>
          <w:i/>
          <w:sz w:val="20"/>
        </w:rPr>
      </w:pPr>
      <w:r>
        <w:rPr/>
        <w:br w:type="column"/>
      </w:r>
      <w:r>
        <w:rPr>
          <w:sz w:val="20"/>
        </w:rPr>
        <w:t>a</w:t>
      </w:r>
      <w:r>
        <w:rPr>
          <w:spacing w:val="33"/>
          <w:sz w:val="20"/>
        </w:rPr>
        <w:t> </w:t>
      </w:r>
      <w:r>
        <w:rPr>
          <w:sz w:val="20"/>
        </w:rPr>
        <w:t>key</w:t>
      </w:r>
      <w:r>
        <w:rPr>
          <w:spacing w:val="34"/>
          <w:sz w:val="20"/>
        </w:rPr>
        <w:t> </w:t>
      </w:r>
      <w:r>
        <w:rPr>
          <w:sz w:val="20"/>
        </w:rPr>
        <w:t>role</w:t>
      </w:r>
      <w:r>
        <w:rPr>
          <w:spacing w:val="33"/>
          <w:sz w:val="20"/>
        </w:rPr>
        <w:t> </w:t>
      </w:r>
      <w:r>
        <w:rPr>
          <w:sz w:val="20"/>
        </w:rPr>
        <w:t>in</w:t>
      </w:r>
      <w:r>
        <w:rPr>
          <w:spacing w:val="34"/>
          <w:sz w:val="20"/>
        </w:rPr>
        <w:t> </w:t>
      </w:r>
      <w:r>
        <w:rPr>
          <w:sz w:val="20"/>
        </w:rPr>
        <w:t>determining</w:t>
      </w:r>
      <w:r>
        <w:rPr>
          <w:spacing w:val="33"/>
          <w:sz w:val="20"/>
        </w:rPr>
        <w:t> </w:t>
      </w:r>
      <w:r>
        <w:rPr>
          <w:sz w:val="20"/>
        </w:rPr>
        <w:t>the</w:t>
      </w:r>
      <w:r>
        <w:rPr>
          <w:spacing w:val="34"/>
          <w:sz w:val="20"/>
        </w:rPr>
        <w:t> </w:t>
      </w:r>
      <w:r>
        <w:rPr>
          <w:sz w:val="20"/>
        </w:rPr>
        <w:t>CO</w:t>
      </w:r>
      <w:r>
        <w:rPr>
          <w:position w:val="-6"/>
          <w:sz w:val="11"/>
        </w:rPr>
        <w:t>2   </w:t>
      </w:r>
      <w:r>
        <w:rPr>
          <w:sz w:val="20"/>
        </w:rPr>
        <w:t>avoidance</w:t>
      </w:r>
      <w:r>
        <w:rPr>
          <w:spacing w:val="34"/>
          <w:sz w:val="20"/>
        </w:rPr>
        <w:t> </w:t>
      </w:r>
      <w:r>
        <w:rPr>
          <w:sz w:val="20"/>
        </w:rPr>
        <w:t>cost.</w:t>
      </w:r>
      <w:r>
        <w:rPr>
          <w:spacing w:val="32"/>
          <w:sz w:val="20"/>
        </w:rPr>
        <w:t> </w:t>
      </w:r>
      <w:r>
        <w:rPr>
          <w:i/>
          <w:spacing w:val="-3"/>
          <w:sz w:val="20"/>
        </w:rPr>
        <w:t>Here</w:t>
      </w:r>
      <w:r>
        <w:rPr>
          <w:i/>
          <w:spacing w:val="34"/>
          <w:sz w:val="20"/>
        </w:rPr>
        <w:t> </w:t>
      </w:r>
      <w:r>
        <w:rPr>
          <w:i/>
          <w:sz w:val="20"/>
        </w:rPr>
        <w:t>the</w:t>
      </w:r>
    </w:p>
    <w:p>
      <w:pPr>
        <w:spacing w:line="210" w:lineRule="exact" w:before="0"/>
        <w:ind w:left="116" w:right="0" w:firstLine="0"/>
        <w:jc w:val="both"/>
        <w:rPr>
          <w:i/>
          <w:sz w:val="20"/>
        </w:rPr>
      </w:pPr>
      <w:r>
        <w:rPr>
          <w:i/>
          <w:sz w:val="20"/>
        </w:rPr>
        <w:t>reference</w:t>
      </w:r>
      <w:r>
        <w:rPr>
          <w:i/>
          <w:spacing w:val="12"/>
          <w:sz w:val="20"/>
        </w:rPr>
        <w:t> </w:t>
      </w:r>
      <w:r>
        <w:rPr>
          <w:i/>
          <w:sz w:val="20"/>
        </w:rPr>
        <w:t>plant</w:t>
      </w:r>
      <w:r>
        <w:rPr>
          <w:i/>
          <w:spacing w:val="12"/>
          <w:sz w:val="20"/>
        </w:rPr>
        <w:t> </w:t>
      </w:r>
      <w:r>
        <w:rPr>
          <w:i/>
          <w:sz w:val="20"/>
        </w:rPr>
        <w:t>is</w:t>
      </w:r>
      <w:r>
        <w:rPr>
          <w:i/>
          <w:spacing w:val="13"/>
          <w:sz w:val="20"/>
        </w:rPr>
        <w:t> </w:t>
      </w:r>
      <w:r>
        <w:rPr>
          <w:i/>
          <w:sz w:val="20"/>
        </w:rPr>
        <w:t>assumed</w:t>
      </w:r>
      <w:r>
        <w:rPr>
          <w:i/>
          <w:spacing w:val="12"/>
          <w:sz w:val="20"/>
        </w:rPr>
        <w:t> </w:t>
      </w:r>
      <w:r>
        <w:rPr>
          <w:i/>
          <w:sz w:val="20"/>
        </w:rPr>
        <w:t>to</w:t>
      </w:r>
      <w:r>
        <w:rPr>
          <w:i/>
          <w:spacing w:val="13"/>
          <w:sz w:val="20"/>
        </w:rPr>
        <w:t> </w:t>
      </w:r>
      <w:r>
        <w:rPr>
          <w:i/>
          <w:sz w:val="20"/>
        </w:rPr>
        <w:t>be</w:t>
      </w:r>
      <w:r>
        <w:rPr>
          <w:i/>
          <w:spacing w:val="12"/>
          <w:sz w:val="20"/>
        </w:rPr>
        <w:t> </w:t>
      </w:r>
      <w:r>
        <w:rPr>
          <w:i/>
          <w:sz w:val="20"/>
        </w:rPr>
        <w:t>a</w:t>
      </w:r>
      <w:r>
        <w:rPr>
          <w:i/>
          <w:spacing w:val="12"/>
          <w:sz w:val="20"/>
        </w:rPr>
        <w:t> </w:t>
      </w:r>
      <w:r>
        <w:rPr>
          <w:i/>
          <w:sz w:val="20"/>
        </w:rPr>
        <w:t>plant</w:t>
      </w:r>
      <w:r>
        <w:rPr>
          <w:i/>
          <w:spacing w:val="13"/>
          <w:sz w:val="20"/>
        </w:rPr>
        <w:t> </w:t>
      </w:r>
      <w:r>
        <w:rPr>
          <w:i/>
          <w:sz w:val="20"/>
        </w:rPr>
        <w:t>of</w:t>
      </w:r>
      <w:r>
        <w:rPr>
          <w:i/>
          <w:spacing w:val="12"/>
          <w:sz w:val="20"/>
        </w:rPr>
        <w:t> </w:t>
      </w:r>
      <w:r>
        <w:rPr>
          <w:i/>
          <w:sz w:val="20"/>
        </w:rPr>
        <w:t>the</w:t>
      </w:r>
      <w:r>
        <w:rPr>
          <w:i/>
          <w:spacing w:val="13"/>
          <w:sz w:val="20"/>
        </w:rPr>
        <w:t> </w:t>
      </w:r>
      <w:r>
        <w:rPr>
          <w:i/>
          <w:sz w:val="20"/>
        </w:rPr>
        <w:t>same</w:t>
      </w:r>
      <w:r>
        <w:rPr>
          <w:i/>
          <w:spacing w:val="12"/>
          <w:sz w:val="20"/>
        </w:rPr>
        <w:t> </w:t>
      </w:r>
      <w:r>
        <w:rPr>
          <w:i/>
          <w:sz w:val="20"/>
        </w:rPr>
        <w:t>type</w:t>
      </w:r>
      <w:r>
        <w:rPr>
          <w:i/>
          <w:spacing w:val="13"/>
          <w:sz w:val="20"/>
        </w:rPr>
        <w:t> </w:t>
      </w:r>
      <w:r>
        <w:rPr>
          <w:i/>
          <w:sz w:val="20"/>
        </w:rPr>
        <w:t>and</w:t>
      </w:r>
    </w:p>
    <w:p>
      <w:pPr>
        <w:spacing w:line="206" w:lineRule="auto" w:before="23"/>
        <w:ind w:left="116" w:right="511" w:firstLine="0"/>
        <w:jc w:val="both"/>
        <w:rPr>
          <w:sz w:val="20"/>
        </w:rPr>
      </w:pPr>
      <w:r>
        <w:rPr>
          <w:i/>
          <w:sz w:val="20"/>
        </w:rPr>
        <w:t>design</w:t>
      </w:r>
      <w:r>
        <w:rPr>
          <w:i/>
          <w:spacing w:val="-10"/>
          <w:sz w:val="20"/>
        </w:rPr>
        <w:t> </w:t>
      </w:r>
      <w:r>
        <w:rPr>
          <w:i/>
          <w:sz w:val="20"/>
        </w:rPr>
        <w:t>as</w:t>
      </w:r>
      <w:r>
        <w:rPr>
          <w:i/>
          <w:spacing w:val="-10"/>
          <w:sz w:val="20"/>
        </w:rPr>
        <w:t> </w:t>
      </w:r>
      <w:r>
        <w:rPr>
          <w:i/>
          <w:sz w:val="20"/>
        </w:rPr>
        <w:t>the</w:t>
      </w:r>
      <w:r>
        <w:rPr>
          <w:i/>
          <w:spacing w:val="-10"/>
          <w:sz w:val="20"/>
        </w:rPr>
        <w:t> </w:t>
      </w:r>
      <w:r>
        <w:rPr>
          <w:i/>
          <w:sz w:val="20"/>
        </w:rPr>
        <w:t>plant</w:t>
      </w:r>
      <w:r>
        <w:rPr>
          <w:i/>
          <w:spacing w:val="-10"/>
          <w:sz w:val="20"/>
        </w:rPr>
        <w:t> </w:t>
      </w:r>
      <w:r>
        <w:rPr>
          <w:i/>
          <w:sz w:val="20"/>
        </w:rPr>
        <w:t>with</w:t>
      </w:r>
      <w:r>
        <w:rPr>
          <w:i/>
          <w:spacing w:val="-10"/>
          <w:sz w:val="20"/>
        </w:rPr>
        <w:t> </w:t>
      </w:r>
      <w:r>
        <w:rPr>
          <w:i/>
          <w:sz w:val="20"/>
        </w:rPr>
        <w:t>CO</w:t>
      </w:r>
      <w:r>
        <w:rPr>
          <w:i/>
          <w:position w:val="-6"/>
          <w:sz w:val="11"/>
        </w:rPr>
        <w:t>2</w:t>
      </w:r>
      <w:r>
        <w:rPr>
          <w:i/>
          <w:spacing w:val="13"/>
          <w:position w:val="-6"/>
          <w:sz w:val="11"/>
        </w:rPr>
        <w:t> </w:t>
      </w:r>
      <w:r>
        <w:rPr>
          <w:i/>
          <w:sz w:val="20"/>
        </w:rPr>
        <w:t>capture.</w:t>
      </w:r>
      <w:r>
        <w:rPr>
          <w:i/>
          <w:spacing w:val="-11"/>
          <w:sz w:val="20"/>
        </w:rPr>
        <w:t> </w:t>
      </w:r>
      <w:r>
        <w:rPr>
          <w:sz w:val="20"/>
        </w:rPr>
        <w:t>This</w:t>
      </w:r>
      <w:r>
        <w:rPr>
          <w:spacing w:val="-10"/>
          <w:sz w:val="20"/>
        </w:rPr>
        <w:t> </w:t>
      </w:r>
      <w:r>
        <w:rPr>
          <w:sz w:val="20"/>
        </w:rPr>
        <w:t>provides</w:t>
      </w:r>
      <w:r>
        <w:rPr>
          <w:spacing w:val="-9"/>
          <w:sz w:val="20"/>
        </w:rPr>
        <w:t> </w:t>
      </w:r>
      <w:r>
        <w:rPr>
          <w:sz w:val="20"/>
        </w:rPr>
        <w:t>a</w:t>
      </w:r>
      <w:r>
        <w:rPr>
          <w:spacing w:val="-10"/>
          <w:sz w:val="20"/>
        </w:rPr>
        <w:t> </w:t>
      </w:r>
      <w:r>
        <w:rPr>
          <w:sz w:val="20"/>
        </w:rPr>
        <w:t>consistent basis for reporting the incremental cost of CO</w:t>
      </w:r>
      <w:r>
        <w:rPr>
          <w:position w:val="-6"/>
          <w:sz w:val="11"/>
        </w:rPr>
        <w:t>2 </w:t>
      </w:r>
      <w:r>
        <w:rPr>
          <w:sz w:val="20"/>
        </w:rPr>
        <w:t>capture for </w:t>
      </w:r>
      <w:r>
        <w:rPr>
          <w:spacing w:val="-12"/>
          <w:sz w:val="20"/>
        </w:rPr>
        <w:t>a</w:t>
      </w:r>
      <w:r>
        <w:rPr>
          <w:spacing w:val="26"/>
          <w:sz w:val="20"/>
        </w:rPr>
        <w:t> </w:t>
      </w:r>
      <w:r>
        <w:rPr>
          <w:sz w:val="20"/>
        </w:rPr>
        <w:t>particular type of</w:t>
      </w:r>
      <w:r>
        <w:rPr>
          <w:spacing w:val="-1"/>
          <w:sz w:val="20"/>
        </w:rPr>
        <w:t> </w:t>
      </w:r>
      <w:r>
        <w:rPr>
          <w:sz w:val="20"/>
        </w:rPr>
        <w:t>facility.</w:t>
      </w:r>
    </w:p>
    <w:p>
      <w:pPr>
        <w:pStyle w:val="BodyText"/>
        <w:spacing w:line="240" w:lineRule="exact" w:before="1"/>
        <w:ind w:left="116" w:right="510" w:firstLine="284"/>
        <w:jc w:val="both"/>
      </w:pPr>
      <w:r>
        <w:rPr/>
        <w:pict>
          <v:shape style="position:absolute;margin-left:516.334412pt;margin-top:80.599998pt;width:2.9pt;height:5.8pt;mso-position-horizontal-relative:page;mso-position-vertical-relative:paragraph;z-index:-272405504"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t>Using Equation (8), a cost of CO</w:t>
      </w:r>
      <w:r>
        <w:rPr>
          <w:position w:val="-6"/>
          <w:sz w:val="11"/>
        </w:rPr>
        <w:t>2 </w:t>
      </w:r>
      <w:r>
        <w:rPr/>
        <w:t>avoided can be</w:t>
      </w:r>
      <w:r>
        <w:rPr>
          <w:spacing w:val="-30"/>
        </w:rPr>
        <w:t> </w:t>
      </w:r>
      <w:r>
        <w:rPr/>
        <w:t>calculated for any two plant types, or any two aggregates of  plants. Thus, special care should be taken to ensure that the basis    for a reported cost of CO</w:t>
      </w:r>
      <w:r>
        <w:rPr>
          <w:position w:val="-6"/>
          <w:sz w:val="11"/>
        </w:rPr>
        <w:t>2 </w:t>
      </w:r>
      <w:r>
        <w:rPr/>
        <w:t>avoided is clearly understood or conveyed</w:t>
      </w:r>
      <w:r>
        <w:rPr>
          <w:i/>
        </w:rPr>
        <w:t>. </w:t>
      </w:r>
      <w:r>
        <w:rPr/>
        <w:t>For example, the avoidance cost is sometimes  taken</w:t>
      </w:r>
      <w:r>
        <w:rPr>
          <w:spacing w:val="33"/>
        </w:rPr>
        <w:t> </w:t>
      </w:r>
      <w:r>
        <w:rPr/>
        <w:t>as</w:t>
      </w:r>
      <w:r>
        <w:rPr>
          <w:spacing w:val="33"/>
        </w:rPr>
        <w:t> </w:t>
      </w:r>
      <w:r>
        <w:rPr/>
        <w:t>a</w:t>
      </w:r>
      <w:r>
        <w:rPr>
          <w:spacing w:val="33"/>
        </w:rPr>
        <w:t> </w:t>
      </w:r>
      <w:r>
        <w:rPr/>
        <w:t>measure</w:t>
      </w:r>
      <w:r>
        <w:rPr>
          <w:spacing w:val="33"/>
        </w:rPr>
        <w:t> </w:t>
      </w:r>
      <w:r>
        <w:rPr/>
        <w:t>of</w:t>
      </w:r>
      <w:r>
        <w:rPr>
          <w:spacing w:val="34"/>
        </w:rPr>
        <w:t> </w:t>
      </w:r>
      <w:r>
        <w:rPr/>
        <w:t>the</w:t>
      </w:r>
      <w:r>
        <w:rPr>
          <w:spacing w:val="33"/>
        </w:rPr>
        <w:t> </w:t>
      </w:r>
      <w:r>
        <w:rPr/>
        <w:t>cost</w:t>
      </w:r>
      <w:r>
        <w:rPr>
          <w:spacing w:val="33"/>
        </w:rPr>
        <w:t> </w:t>
      </w:r>
      <w:r>
        <w:rPr/>
        <w:t>to</w:t>
      </w:r>
      <w:r>
        <w:rPr>
          <w:spacing w:val="33"/>
        </w:rPr>
        <w:t> </w:t>
      </w:r>
      <w:r>
        <w:rPr/>
        <w:t>society</w:t>
      </w:r>
      <w:r>
        <w:rPr>
          <w:spacing w:val="33"/>
        </w:rPr>
        <w:t> </w:t>
      </w:r>
      <w:r>
        <w:rPr/>
        <w:t>of</w:t>
      </w:r>
      <w:r>
        <w:rPr>
          <w:spacing w:val="34"/>
        </w:rPr>
        <w:t> </w:t>
      </w:r>
      <w:r>
        <w:rPr/>
        <w:t>reducing</w:t>
      </w:r>
      <w:r>
        <w:rPr>
          <w:spacing w:val="33"/>
        </w:rPr>
        <w:t> </w:t>
      </w:r>
      <w:r>
        <w:rPr/>
        <w:t>GHG</w:t>
      </w:r>
    </w:p>
    <w:p>
      <w:pPr>
        <w:spacing w:after="0" w:line="240" w:lineRule="exact"/>
        <w:jc w:val="both"/>
        <w:sectPr>
          <w:type w:val="continuous"/>
          <w:pgSz w:w="12240" w:h="15840"/>
          <w:pgMar w:top="480" w:bottom="280" w:left="620" w:right="620"/>
          <w:cols w:num="2" w:equalWidth="0">
            <w:col w:w="5202" w:space="125"/>
            <w:col w:w="5673"/>
          </w:cols>
        </w:sectPr>
      </w:pPr>
    </w:p>
    <w:p>
      <w:pPr>
        <w:pStyle w:val="BodyText"/>
        <w:spacing w:before="4"/>
        <w:ind w:left="117"/>
      </w:pPr>
      <w:r>
        <w:rPr/>
        <w:t>year-to-year cost variations, in lieu of the simpler formulation</w:t>
      </w:r>
    </w:p>
    <w:p>
      <w:pPr>
        <w:pStyle w:val="BodyText"/>
        <w:spacing w:before="4"/>
        <w:ind w:left="117"/>
      </w:pPr>
      <w:r>
        <w:rPr/>
        <w:br w:type="column"/>
      </w:r>
      <w:r>
        <w:rPr/>
        <w:t>emissions.</w:t>
      </w:r>
      <w:r>
        <w:rPr>
          <w:position w:val="7"/>
          <w:sz w:val="11"/>
        </w:rPr>
        <w:t>8 </w:t>
      </w:r>
      <w:r>
        <w:rPr/>
        <w:t>In that case, the cost per tonne of CO</w:t>
      </w:r>
    </w:p>
    <w:p>
      <w:pPr>
        <w:pStyle w:val="BodyText"/>
        <w:spacing w:before="4"/>
        <w:ind w:left="105"/>
      </w:pPr>
      <w:r>
        <w:rPr/>
        <w:br w:type="column"/>
      </w:r>
      <w:r>
        <w:rPr/>
        <w:t>avoided</w:t>
      </w:r>
    </w:p>
    <w:p>
      <w:pPr>
        <w:spacing w:after="0"/>
        <w:sectPr>
          <w:type w:val="continuous"/>
          <w:pgSz w:w="12240" w:h="15840"/>
          <w:pgMar w:top="480" w:bottom="280" w:left="620" w:right="620"/>
          <w:cols w:num="3" w:equalWidth="0">
            <w:col w:w="5200" w:space="126"/>
            <w:col w:w="4382" w:space="40"/>
            <w:col w:w="1252"/>
          </w:cols>
        </w:sectPr>
      </w:pPr>
    </w:p>
    <w:p>
      <w:pPr>
        <w:pStyle w:val="BodyText"/>
        <w:spacing w:line="240" w:lineRule="exact" w:before="5"/>
        <w:ind w:left="117" w:right="38"/>
        <w:jc w:val="both"/>
        <w:rPr>
          <w:sz w:val="11"/>
        </w:rPr>
      </w:pPr>
      <w:r>
        <w:rPr/>
        <w:t>of Equation (7). However, most engineering-economic studies use Equation (7) to calculate a single value of ‘levelized’ COE over the assumed life of the plant. The levelized COE is </w:t>
      </w:r>
      <w:r>
        <w:rPr>
          <w:spacing w:val="-4"/>
        </w:rPr>
        <w:t>the </w:t>
      </w:r>
      <w:r>
        <w:rPr/>
        <w:t>cost of electricity, which, if sustained over the operating life of the plant, would produce the same NPV as an assumed stream of</w:t>
      </w:r>
      <w:r>
        <w:rPr>
          <w:spacing w:val="-5"/>
        </w:rPr>
        <w:t> </w:t>
      </w:r>
      <w:r>
        <w:rPr/>
        <w:t>variable</w:t>
      </w:r>
      <w:r>
        <w:rPr>
          <w:spacing w:val="-5"/>
        </w:rPr>
        <w:t> </w:t>
      </w:r>
      <w:r>
        <w:rPr/>
        <w:t>year-to-year</w:t>
      </w:r>
      <w:r>
        <w:rPr>
          <w:spacing w:val="-5"/>
        </w:rPr>
        <w:t> </w:t>
      </w:r>
      <w:r>
        <w:rPr/>
        <w:t>costs.</w:t>
      </w:r>
      <w:r>
        <w:rPr>
          <w:spacing w:val="-4"/>
        </w:rPr>
        <w:t> </w:t>
      </w:r>
      <w:r>
        <w:rPr/>
        <w:t>In</w:t>
      </w:r>
      <w:r>
        <w:rPr>
          <w:spacing w:val="-5"/>
        </w:rPr>
        <w:t> </w:t>
      </w:r>
      <w:r>
        <w:rPr/>
        <w:t>most</w:t>
      </w:r>
      <w:r>
        <w:rPr>
          <w:spacing w:val="-5"/>
        </w:rPr>
        <w:t> </w:t>
      </w:r>
      <w:r>
        <w:rPr/>
        <w:t>economic</w:t>
      </w:r>
      <w:r>
        <w:rPr>
          <w:spacing w:val="-5"/>
        </w:rPr>
        <w:t> </w:t>
      </w:r>
      <w:r>
        <w:rPr/>
        <w:t>studies</w:t>
      </w:r>
      <w:r>
        <w:rPr>
          <w:spacing w:val="-5"/>
        </w:rPr>
        <w:t> </w:t>
      </w:r>
      <w:r>
        <w:rPr/>
        <w:t>of</w:t>
      </w:r>
      <w:r>
        <w:rPr>
          <w:spacing w:val="-4"/>
        </w:rPr>
        <w:t> </w:t>
      </w:r>
      <w:r>
        <w:rPr/>
        <w:t>CO</w:t>
      </w:r>
      <w:r>
        <w:rPr>
          <w:position w:val="-6"/>
          <w:sz w:val="11"/>
        </w:rPr>
        <w:t>2 </w:t>
      </w:r>
      <w:r>
        <w:rPr/>
        <w:t>capture, however, all parameter values in Equation (7) are </w:t>
      </w:r>
      <w:r>
        <w:rPr>
          <w:spacing w:val="-3"/>
        </w:rPr>
        <w:t>held </w:t>
      </w:r>
      <w:r>
        <w:rPr/>
        <w:t>constant, reflecting (either implicitly or explicitly) a levelized COE over the life of the plant.</w:t>
      </w:r>
      <w:r>
        <w:rPr>
          <w:position w:val="7"/>
          <w:sz w:val="11"/>
        </w:rPr>
        <w:t>7</w:t>
      </w:r>
    </w:p>
    <w:p>
      <w:pPr>
        <w:pStyle w:val="BodyText"/>
        <w:spacing w:before="3"/>
        <w:rPr>
          <w:sz w:val="21"/>
        </w:rPr>
      </w:pPr>
    </w:p>
    <w:p>
      <w:pPr>
        <w:pStyle w:val="ListParagraph"/>
        <w:numPr>
          <w:ilvl w:val="3"/>
          <w:numId w:val="27"/>
        </w:numPr>
        <w:tabs>
          <w:tab w:pos="937" w:val="left" w:leader="none"/>
        </w:tabs>
        <w:spacing w:line="260" w:lineRule="exact" w:before="1" w:after="0"/>
        <w:ind w:left="937" w:right="0" w:hanging="820"/>
        <w:jc w:val="both"/>
        <w:rPr>
          <w:i/>
          <w:sz w:val="20"/>
        </w:rPr>
      </w:pPr>
      <w:r>
        <w:rPr>
          <w:i/>
          <w:sz w:val="20"/>
        </w:rPr>
        <w:t>Cost of CO</w:t>
      </w:r>
      <w:r>
        <w:rPr>
          <w:i/>
          <w:position w:val="-6"/>
          <w:sz w:val="11"/>
        </w:rPr>
        <w:t>2</w:t>
      </w:r>
      <w:r>
        <w:rPr>
          <w:i/>
          <w:spacing w:val="22"/>
          <w:position w:val="-6"/>
          <w:sz w:val="11"/>
        </w:rPr>
        <w:t> </w:t>
      </w:r>
      <w:r>
        <w:rPr>
          <w:i/>
          <w:sz w:val="20"/>
        </w:rPr>
        <w:t>avoided</w:t>
      </w:r>
    </w:p>
    <w:p>
      <w:pPr>
        <w:pStyle w:val="BodyText"/>
        <w:spacing w:line="206" w:lineRule="auto"/>
        <w:ind w:left="117" w:right="38"/>
        <w:jc w:val="both"/>
      </w:pPr>
      <w:r>
        <w:rPr/>
        <w:t>One</w:t>
      </w:r>
      <w:r>
        <w:rPr>
          <w:spacing w:val="-21"/>
        </w:rPr>
        <w:t> </w:t>
      </w:r>
      <w:r>
        <w:rPr/>
        <w:t>of</w:t>
      </w:r>
      <w:r>
        <w:rPr>
          <w:spacing w:val="-20"/>
        </w:rPr>
        <w:t> </w:t>
      </w:r>
      <w:r>
        <w:rPr/>
        <w:t>the</w:t>
      </w:r>
      <w:r>
        <w:rPr>
          <w:spacing w:val="-21"/>
        </w:rPr>
        <w:t> </w:t>
      </w:r>
      <w:r>
        <w:rPr/>
        <w:t>most</w:t>
      </w:r>
      <w:r>
        <w:rPr>
          <w:spacing w:val="-20"/>
        </w:rPr>
        <w:t> </w:t>
      </w:r>
      <w:r>
        <w:rPr/>
        <w:t>widely</w:t>
      </w:r>
      <w:r>
        <w:rPr>
          <w:spacing w:val="-20"/>
        </w:rPr>
        <w:t> </w:t>
      </w:r>
      <w:r>
        <w:rPr/>
        <w:t>used</w:t>
      </w:r>
      <w:r>
        <w:rPr>
          <w:spacing w:val="-21"/>
        </w:rPr>
        <w:t> </w:t>
      </w:r>
      <w:r>
        <w:rPr/>
        <w:t>measures</w:t>
      </w:r>
      <w:r>
        <w:rPr>
          <w:spacing w:val="-20"/>
        </w:rPr>
        <w:t> </w:t>
      </w:r>
      <w:r>
        <w:rPr/>
        <w:t>for</w:t>
      </w:r>
      <w:r>
        <w:rPr>
          <w:spacing w:val="-21"/>
        </w:rPr>
        <w:t> </w:t>
      </w:r>
      <w:r>
        <w:rPr/>
        <w:t>the</w:t>
      </w:r>
      <w:r>
        <w:rPr>
          <w:spacing w:val="-20"/>
        </w:rPr>
        <w:t> </w:t>
      </w:r>
      <w:r>
        <w:rPr/>
        <w:t>cost</w:t>
      </w:r>
      <w:r>
        <w:rPr>
          <w:spacing w:val="-20"/>
        </w:rPr>
        <w:t> </w:t>
      </w:r>
      <w:r>
        <w:rPr/>
        <w:t>of</w:t>
      </w:r>
      <w:r>
        <w:rPr>
          <w:spacing w:val="-21"/>
        </w:rPr>
        <w:t> </w:t>
      </w:r>
      <w:r>
        <w:rPr/>
        <w:t>CO</w:t>
      </w:r>
      <w:r>
        <w:rPr>
          <w:position w:val="-6"/>
          <w:sz w:val="11"/>
        </w:rPr>
        <w:t>2</w:t>
      </w:r>
      <w:r>
        <w:rPr>
          <w:spacing w:val="2"/>
          <w:position w:val="-6"/>
          <w:sz w:val="11"/>
        </w:rPr>
        <w:t> </w:t>
      </w:r>
      <w:r>
        <w:rPr/>
        <w:t>capture and storage is the ‘cost of CO</w:t>
      </w:r>
      <w:r>
        <w:rPr>
          <w:position w:val="-6"/>
          <w:sz w:val="11"/>
        </w:rPr>
        <w:t>2 </w:t>
      </w:r>
      <w:r>
        <w:rPr/>
        <w:t>avoided.’ This value reflects the average cost of reducing atmospheric CO</w:t>
      </w:r>
      <w:r>
        <w:rPr>
          <w:position w:val="-6"/>
          <w:sz w:val="11"/>
        </w:rPr>
        <w:t>2 </w:t>
      </w:r>
      <w:r>
        <w:rPr/>
        <w:t>mass emissions </w:t>
      </w:r>
      <w:r>
        <w:rPr>
          <w:spacing w:val="-7"/>
        </w:rPr>
        <w:t>by </w:t>
      </w:r>
      <w:r>
        <w:rPr/>
        <w:t>one unit while providing the same amount of useful product</w:t>
      </w:r>
      <w:r>
        <w:rPr>
          <w:spacing w:val="23"/>
        </w:rPr>
        <w:t> </w:t>
      </w:r>
      <w:r>
        <w:rPr/>
        <w:t>as</w:t>
      </w:r>
    </w:p>
    <w:p>
      <w:pPr>
        <w:pStyle w:val="BodyText"/>
        <w:spacing w:line="228" w:lineRule="exact"/>
        <w:ind w:left="117"/>
        <w:jc w:val="both"/>
      </w:pPr>
      <w:r>
        <w:rPr/>
        <w:t>a</w:t>
      </w:r>
      <w:r>
        <w:rPr>
          <w:spacing w:val="-6"/>
        </w:rPr>
        <w:t> </w:t>
      </w:r>
      <w:r>
        <w:rPr/>
        <w:t>‘reference</w:t>
      </w:r>
      <w:r>
        <w:rPr>
          <w:spacing w:val="-6"/>
        </w:rPr>
        <w:t> </w:t>
      </w:r>
      <w:r>
        <w:rPr/>
        <w:t>plant’</w:t>
      </w:r>
      <w:r>
        <w:rPr>
          <w:spacing w:val="-21"/>
        </w:rPr>
        <w:t> </w:t>
      </w:r>
      <w:r>
        <w:rPr/>
        <w:t>without</w:t>
      </w:r>
      <w:r>
        <w:rPr>
          <w:spacing w:val="-6"/>
        </w:rPr>
        <w:t> </w:t>
      </w:r>
      <w:r>
        <w:rPr/>
        <w:t>CCS.</w:t>
      </w:r>
      <w:r>
        <w:rPr>
          <w:spacing w:val="-5"/>
        </w:rPr>
        <w:t> </w:t>
      </w:r>
      <w:r>
        <w:rPr/>
        <w:t>For</w:t>
      </w:r>
      <w:r>
        <w:rPr>
          <w:spacing w:val="-6"/>
        </w:rPr>
        <w:t> </w:t>
      </w:r>
      <w:r>
        <w:rPr/>
        <w:t>an</w:t>
      </w:r>
      <w:r>
        <w:rPr>
          <w:spacing w:val="-6"/>
        </w:rPr>
        <w:t> </w:t>
      </w:r>
      <w:r>
        <w:rPr/>
        <w:t>electric</w:t>
      </w:r>
      <w:r>
        <w:rPr>
          <w:spacing w:val="-6"/>
        </w:rPr>
        <w:t> </w:t>
      </w:r>
      <w:r>
        <w:rPr/>
        <w:t>power</w:t>
      </w:r>
      <w:r>
        <w:rPr>
          <w:spacing w:val="-6"/>
        </w:rPr>
        <w:t> </w:t>
      </w:r>
      <w:r>
        <w:rPr/>
        <w:t>plant</w:t>
      </w:r>
      <w:r>
        <w:rPr>
          <w:spacing w:val="-5"/>
        </w:rPr>
        <w:t> </w:t>
      </w:r>
      <w:r>
        <w:rPr/>
        <w:t>the</w:t>
      </w:r>
    </w:p>
    <w:p>
      <w:pPr>
        <w:pStyle w:val="BodyText"/>
        <w:spacing w:before="8"/>
        <w:ind w:left="117"/>
        <w:jc w:val="both"/>
      </w:pPr>
      <w:r>
        <w:rPr/>
        <w:pict>
          <v:shape style="position:absolute;margin-left:69.944199pt;margin-top:44.203037pt;width:2.35pt;height:4.650pt;mso-position-horizontal-relative:page;mso-position-vertical-relative:paragraph;z-index:-272404480" type="#_x0000_t202" filled="false" stroked="false">
            <v:textbox inset="0,0,0,0">
              <w:txbxContent>
                <w:p>
                  <w:pPr>
                    <w:spacing w:line="89" w:lineRule="exact" w:before="0"/>
                    <w:ind w:left="0" w:right="0" w:firstLine="0"/>
                    <w:jc w:val="left"/>
                    <w:rPr>
                      <w:sz w:val="9"/>
                    </w:rPr>
                  </w:pPr>
                  <w:r>
                    <w:rPr>
                      <w:w w:val="103"/>
                      <w:sz w:val="9"/>
                    </w:rPr>
                    <w:t>2</w:t>
                  </w:r>
                </w:p>
              </w:txbxContent>
            </v:textbox>
            <w10:wrap type="none"/>
          </v:shape>
        </w:pict>
      </w:r>
      <w:r>
        <w:rPr/>
        <w:t>avoidance cost can be defined as:</w:t>
      </w:r>
    </w:p>
    <w:p>
      <w:pPr>
        <w:pStyle w:val="BodyText"/>
      </w:pPr>
    </w:p>
    <w:p>
      <w:pPr>
        <w:pStyle w:val="BodyText"/>
        <w:rPr>
          <w:sz w:val="16"/>
        </w:rPr>
      </w:pPr>
      <w:r>
        <w:rPr/>
        <w:pict>
          <v:shape style="position:absolute;margin-left:36.849998pt;margin-top:11.684451pt;width:72pt;height:.1pt;mso-position-horizontal-relative:page;mso-position-vertical-relative:paragraph;z-index:-251592704;mso-wrap-distance-left:0;mso-wrap-distance-right:0" coordorigin="737,234" coordsize="1440,0" path="m737,234l2177,234e" filled="false" stroked="true" strokeweight="1pt" strokecolor="#000000">
            <v:path arrowok="t"/>
            <v:stroke dashstyle="solid"/>
            <w10:wrap type="topAndBottom"/>
          </v:shape>
        </w:pict>
      </w:r>
    </w:p>
    <w:p>
      <w:pPr>
        <w:spacing w:before="11"/>
        <w:ind w:left="117" w:right="0" w:firstLine="0"/>
        <w:jc w:val="both"/>
        <w:rPr>
          <w:sz w:val="16"/>
        </w:rPr>
      </w:pPr>
      <w:r>
        <w:rPr>
          <w:position w:val="5"/>
          <w:sz w:val="9"/>
        </w:rPr>
        <w:t>5 </w:t>
      </w:r>
      <w:r>
        <w:rPr>
          <w:sz w:val="16"/>
        </w:rPr>
        <w:t>For CO capture systems with large auxiliary energy requirements, the</w:t>
      </w:r>
    </w:p>
    <w:p>
      <w:pPr>
        <w:pStyle w:val="BodyText"/>
        <w:spacing w:line="240" w:lineRule="exact" w:before="5"/>
        <w:ind w:left="117" w:right="510"/>
        <w:jc w:val="both"/>
      </w:pPr>
      <w:r>
        <w:rPr/>
        <w:br w:type="column"/>
      </w:r>
      <w:r>
        <w:rPr/>
        <w:t>reflects</w:t>
      </w:r>
      <w:r>
        <w:rPr>
          <w:spacing w:val="-4"/>
        </w:rPr>
        <w:t> </w:t>
      </w:r>
      <w:r>
        <w:rPr/>
        <w:t>the</w:t>
      </w:r>
      <w:r>
        <w:rPr>
          <w:spacing w:val="-4"/>
        </w:rPr>
        <w:t> </w:t>
      </w:r>
      <w:r>
        <w:rPr/>
        <w:t>average</w:t>
      </w:r>
      <w:r>
        <w:rPr>
          <w:spacing w:val="-4"/>
        </w:rPr>
        <w:t> </w:t>
      </w:r>
      <w:r>
        <w:rPr/>
        <w:t>cost</w:t>
      </w:r>
      <w:r>
        <w:rPr>
          <w:spacing w:val="-4"/>
        </w:rPr>
        <w:t> </w:t>
      </w:r>
      <w:r>
        <w:rPr/>
        <w:t>of</w:t>
      </w:r>
      <w:r>
        <w:rPr>
          <w:spacing w:val="-4"/>
        </w:rPr>
        <w:t> </w:t>
      </w:r>
      <w:r>
        <w:rPr/>
        <w:t>moving</w:t>
      </w:r>
      <w:r>
        <w:rPr>
          <w:spacing w:val="-3"/>
        </w:rPr>
        <w:t> </w:t>
      </w:r>
      <w:r>
        <w:rPr/>
        <w:t>from</w:t>
      </w:r>
      <w:r>
        <w:rPr>
          <w:spacing w:val="-4"/>
        </w:rPr>
        <w:t> </w:t>
      </w:r>
      <w:r>
        <w:rPr/>
        <w:t>one</w:t>
      </w:r>
      <w:r>
        <w:rPr>
          <w:spacing w:val="-4"/>
        </w:rPr>
        <w:t> </w:t>
      </w:r>
      <w:r>
        <w:rPr/>
        <w:t>situation</w:t>
      </w:r>
      <w:r>
        <w:rPr>
          <w:spacing w:val="-4"/>
        </w:rPr>
        <w:t> </w:t>
      </w:r>
      <w:r>
        <w:rPr/>
        <w:t>(e.g.,</w:t>
      </w:r>
      <w:r>
        <w:rPr>
          <w:spacing w:val="-4"/>
        </w:rPr>
        <w:t> </w:t>
      </w:r>
      <w:r>
        <w:rPr/>
        <w:t>the current mix of power generation fuels and technologies) to a different mix of technologies having lower overall emissions. Alternatively, some studies compare individual plants with</w:t>
      </w:r>
      <w:r>
        <w:rPr>
          <w:spacing w:val="-35"/>
        </w:rPr>
        <w:t> </w:t>
      </w:r>
      <w:r>
        <w:rPr/>
        <w:t>and without</w:t>
      </w:r>
      <w:r>
        <w:rPr>
          <w:spacing w:val="-6"/>
        </w:rPr>
        <w:t> </w:t>
      </w:r>
      <w:r>
        <w:rPr/>
        <w:t>capture</w:t>
      </w:r>
      <w:r>
        <w:rPr>
          <w:spacing w:val="-5"/>
        </w:rPr>
        <w:t> </w:t>
      </w:r>
      <w:r>
        <w:rPr/>
        <w:t>(as</w:t>
      </w:r>
      <w:r>
        <w:rPr>
          <w:spacing w:val="-5"/>
        </w:rPr>
        <w:t> </w:t>
      </w:r>
      <w:r>
        <w:rPr/>
        <w:t>we</w:t>
      </w:r>
      <w:r>
        <w:rPr>
          <w:spacing w:val="-5"/>
        </w:rPr>
        <w:t> </w:t>
      </w:r>
      <w:r>
        <w:rPr/>
        <w:t>do),</w:t>
      </w:r>
      <w:r>
        <w:rPr>
          <w:spacing w:val="-5"/>
        </w:rPr>
        <w:t> </w:t>
      </w:r>
      <w:r>
        <w:rPr/>
        <w:t>but</w:t>
      </w:r>
      <w:r>
        <w:rPr>
          <w:spacing w:val="-5"/>
        </w:rPr>
        <w:t> </w:t>
      </w:r>
      <w:r>
        <w:rPr/>
        <w:t>assume</w:t>
      </w:r>
      <w:r>
        <w:rPr>
          <w:spacing w:val="-5"/>
        </w:rPr>
        <w:t> </w:t>
      </w:r>
      <w:r>
        <w:rPr/>
        <w:t>different</w:t>
      </w:r>
      <w:r>
        <w:rPr>
          <w:spacing w:val="-5"/>
        </w:rPr>
        <w:t> </w:t>
      </w:r>
      <w:r>
        <w:rPr/>
        <w:t>types</w:t>
      </w:r>
      <w:r>
        <w:rPr>
          <w:spacing w:val="-5"/>
        </w:rPr>
        <w:t> </w:t>
      </w:r>
      <w:r>
        <w:rPr/>
        <w:t>of</w:t>
      </w:r>
      <w:r>
        <w:rPr>
          <w:spacing w:val="-5"/>
        </w:rPr>
        <w:t> </w:t>
      </w:r>
      <w:r>
        <w:rPr/>
        <w:t>plants for the two cases. Such studies, for example, might compare   a coal-fired plant with capture to an NGCC reference plant without capture. Such cases reflect a different choice of</w:t>
      </w:r>
      <w:r>
        <w:rPr>
          <w:spacing w:val="-29"/>
        </w:rPr>
        <w:t> </w:t>
      </w:r>
      <w:r>
        <w:rPr/>
        <w:t>system boundaries and address very different questions, than those addressed here. However, the data presented in this section (comparing the same type of plant with and without capture) can</w:t>
      </w:r>
      <w:r>
        <w:rPr>
          <w:spacing w:val="-7"/>
        </w:rPr>
        <w:t> </w:t>
      </w:r>
      <w:r>
        <w:rPr/>
        <w:t>be</w:t>
      </w:r>
      <w:r>
        <w:rPr>
          <w:spacing w:val="-7"/>
        </w:rPr>
        <w:t> </w:t>
      </w:r>
      <w:r>
        <w:rPr/>
        <w:t>used</w:t>
      </w:r>
      <w:r>
        <w:rPr>
          <w:spacing w:val="-7"/>
        </w:rPr>
        <w:t> </w:t>
      </w:r>
      <w:r>
        <w:rPr/>
        <w:t>to</w:t>
      </w:r>
      <w:r>
        <w:rPr>
          <w:spacing w:val="-7"/>
        </w:rPr>
        <w:t> </w:t>
      </w:r>
      <w:r>
        <w:rPr/>
        <w:t>estimate</w:t>
      </w:r>
      <w:r>
        <w:rPr>
          <w:spacing w:val="-7"/>
        </w:rPr>
        <w:t> </w:t>
      </w:r>
      <w:r>
        <w:rPr/>
        <w:t>a</w:t>
      </w:r>
      <w:r>
        <w:rPr>
          <w:spacing w:val="-7"/>
        </w:rPr>
        <w:t> </w:t>
      </w:r>
      <w:r>
        <w:rPr/>
        <w:t>cost</w:t>
      </w:r>
      <w:r>
        <w:rPr>
          <w:spacing w:val="-7"/>
        </w:rPr>
        <w:t> </w:t>
      </w:r>
      <w:r>
        <w:rPr/>
        <w:t>of</w:t>
      </w:r>
      <w:r>
        <w:rPr>
          <w:spacing w:val="-6"/>
        </w:rPr>
        <w:t> </w:t>
      </w:r>
      <w:r>
        <w:rPr/>
        <w:t>CO</w:t>
      </w:r>
      <w:r>
        <w:rPr>
          <w:position w:val="-6"/>
          <w:sz w:val="11"/>
        </w:rPr>
        <w:t>2</w:t>
      </w:r>
      <w:r>
        <w:rPr>
          <w:spacing w:val="15"/>
          <w:position w:val="-6"/>
          <w:sz w:val="11"/>
        </w:rPr>
        <w:t> </w:t>
      </w:r>
      <w:r>
        <w:rPr/>
        <w:t>avoided</w:t>
      </w:r>
      <w:r>
        <w:rPr>
          <w:spacing w:val="-7"/>
        </w:rPr>
        <w:t> </w:t>
      </w:r>
      <w:r>
        <w:rPr/>
        <w:t>for</w:t>
      </w:r>
      <w:r>
        <w:rPr>
          <w:spacing w:val="-6"/>
        </w:rPr>
        <w:t> </w:t>
      </w:r>
      <w:r>
        <w:rPr/>
        <w:t>any</w:t>
      </w:r>
      <w:r>
        <w:rPr>
          <w:spacing w:val="-7"/>
        </w:rPr>
        <w:t> </w:t>
      </w:r>
      <w:r>
        <w:rPr/>
        <w:t>two</w:t>
      </w:r>
      <w:r>
        <w:rPr>
          <w:spacing w:val="-7"/>
        </w:rPr>
        <w:t> </w:t>
      </w:r>
      <w:r>
        <w:rPr/>
        <w:t>of</w:t>
      </w:r>
      <w:r>
        <w:rPr>
          <w:spacing w:val="-7"/>
        </w:rPr>
        <w:t> </w:t>
      </w:r>
      <w:r>
        <w:rPr/>
        <w:t>the systems of interest in a particular situation (see Chapter</w:t>
      </w:r>
      <w:r>
        <w:rPr>
          <w:spacing w:val="-10"/>
        </w:rPr>
        <w:t> </w:t>
      </w:r>
      <w:r>
        <w:rPr/>
        <w:t>8).</w:t>
      </w:r>
    </w:p>
    <w:p>
      <w:pPr>
        <w:pStyle w:val="BodyText"/>
        <w:spacing w:before="3"/>
        <w:rPr>
          <w:sz w:val="21"/>
        </w:rPr>
      </w:pPr>
    </w:p>
    <w:p>
      <w:pPr>
        <w:pStyle w:val="ListParagraph"/>
        <w:numPr>
          <w:ilvl w:val="3"/>
          <w:numId w:val="27"/>
        </w:numPr>
        <w:tabs>
          <w:tab w:pos="968" w:val="left" w:leader="none"/>
          <w:tab w:pos="969" w:val="left" w:leader="none"/>
        </w:tabs>
        <w:spacing w:line="260" w:lineRule="exact" w:before="1" w:after="0"/>
        <w:ind w:left="968" w:right="0" w:hanging="852"/>
        <w:jc w:val="left"/>
        <w:rPr>
          <w:i/>
          <w:sz w:val="20"/>
        </w:rPr>
      </w:pPr>
      <w:r>
        <w:rPr>
          <w:i/>
          <w:sz w:val="20"/>
        </w:rPr>
        <w:t>Cost of CO</w:t>
      </w:r>
      <w:r>
        <w:rPr>
          <w:i/>
          <w:position w:val="-6"/>
          <w:sz w:val="11"/>
        </w:rPr>
        <w:t>2 </w:t>
      </w:r>
      <w:r>
        <w:rPr>
          <w:i/>
          <w:sz w:val="20"/>
        </w:rPr>
        <w:t>captured or</w:t>
      </w:r>
      <w:r>
        <w:rPr>
          <w:i/>
          <w:spacing w:val="-7"/>
          <w:sz w:val="20"/>
        </w:rPr>
        <w:t> </w:t>
      </w:r>
      <w:r>
        <w:rPr>
          <w:i/>
          <w:sz w:val="20"/>
        </w:rPr>
        <w:t>removed</w:t>
      </w:r>
    </w:p>
    <w:p>
      <w:pPr>
        <w:pStyle w:val="BodyText"/>
        <w:spacing w:line="210" w:lineRule="exact"/>
        <w:ind w:left="117"/>
        <w:jc w:val="both"/>
      </w:pPr>
      <w:r>
        <w:rPr/>
        <w:t>Another cost measure frequently reported in the literature is</w:t>
      </w:r>
    </w:p>
    <w:p>
      <w:pPr>
        <w:pStyle w:val="BodyText"/>
        <w:spacing w:line="225" w:lineRule="auto" w:before="18"/>
        <w:ind w:left="117" w:right="511"/>
        <w:jc w:val="both"/>
      </w:pPr>
      <w:r>
        <w:rPr/>
        <w:t>based on the mass of CO</w:t>
      </w:r>
      <w:r>
        <w:rPr>
          <w:position w:val="-6"/>
          <w:sz w:val="11"/>
        </w:rPr>
        <w:t>2 </w:t>
      </w:r>
      <w:r>
        <w:rPr/>
        <w:t>captured (or removed) rather </w:t>
      </w:r>
      <w:r>
        <w:rPr>
          <w:spacing w:val="-4"/>
        </w:rPr>
        <w:t>than </w:t>
      </w:r>
      <w:r>
        <w:rPr/>
        <w:t>emissions</w:t>
      </w:r>
      <w:r>
        <w:rPr>
          <w:spacing w:val="-9"/>
        </w:rPr>
        <w:t> </w:t>
      </w:r>
      <w:r>
        <w:rPr/>
        <w:t>avoided.</w:t>
      </w:r>
      <w:r>
        <w:rPr>
          <w:spacing w:val="-8"/>
        </w:rPr>
        <w:t> </w:t>
      </w:r>
      <w:r>
        <w:rPr/>
        <w:t>For</w:t>
      </w:r>
      <w:r>
        <w:rPr>
          <w:spacing w:val="-7"/>
        </w:rPr>
        <w:t> </w:t>
      </w:r>
      <w:r>
        <w:rPr/>
        <w:t>an</w:t>
      </w:r>
      <w:r>
        <w:rPr>
          <w:spacing w:val="-8"/>
        </w:rPr>
        <w:t> </w:t>
      </w:r>
      <w:r>
        <w:rPr/>
        <w:t>electric</w:t>
      </w:r>
      <w:r>
        <w:rPr>
          <w:spacing w:val="-8"/>
        </w:rPr>
        <w:t> </w:t>
      </w:r>
      <w:r>
        <w:rPr/>
        <w:t>power</w:t>
      </w:r>
      <w:r>
        <w:rPr>
          <w:spacing w:val="-7"/>
        </w:rPr>
        <w:t> </w:t>
      </w:r>
      <w:r>
        <w:rPr/>
        <w:t>plant</w:t>
      </w:r>
      <w:r>
        <w:rPr>
          <w:spacing w:val="-8"/>
        </w:rPr>
        <w:t> </w:t>
      </w:r>
      <w:r>
        <w:rPr/>
        <w:t>it</w:t>
      </w:r>
      <w:r>
        <w:rPr>
          <w:spacing w:val="-8"/>
        </w:rPr>
        <w:t> </w:t>
      </w:r>
      <w:r>
        <w:rPr/>
        <w:t>can</w:t>
      </w:r>
      <w:r>
        <w:rPr>
          <w:spacing w:val="-7"/>
        </w:rPr>
        <w:t> </w:t>
      </w:r>
      <w:r>
        <w:rPr/>
        <w:t>be</w:t>
      </w:r>
      <w:r>
        <w:rPr>
          <w:spacing w:val="-7"/>
        </w:rPr>
        <w:t> </w:t>
      </w:r>
      <w:r>
        <w:rPr/>
        <w:t>defined as:</w:t>
      </w:r>
    </w:p>
    <w:p>
      <w:pPr>
        <w:spacing w:after="0" w:line="225" w:lineRule="auto"/>
        <w:jc w:val="both"/>
        <w:sectPr>
          <w:type w:val="continuous"/>
          <w:pgSz w:w="12240" w:h="15840"/>
          <w:pgMar w:top="480" w:bottom="280" w:left="620" w:right="620"/>
          <w:cols w:num="2" w:equalWidth="0">
            <w:col w:w="5202" w:space="124"/>
            <w:col w:w="5674"/>
          </w:cols>
        </w:sectPr>
      </w:pPr>
    </w:p>
    <w:p>
      <w:pPr>
        <w:spacing w:line="182" w:lineRule="exact" w:before="16"/>
        <w:ind w:left="117" w:right="0" w:firstLine="0"/>
        <w:jc w:val="left"/>
        <w:rPr>
          <w:sz w:val="16"/>
        </w:rPr>
      </w:pPr>
      <w:r>
        <w:rPr>
          <w:sz w:val="16"/>
        </w:rPr>
        <w:t>magnitude of incremental cost also depends on whether the plant with capture</w:t>
      </w:r>
    </w:p>
    <w:p>
      <w:pPr>
        <w:pStyle w:val="BodyText"/>
        <w:spacing w:line="166" w:lineRule="exact" w:before="33"/>
        <w:ind w:left="117"/>
      </w:pPr>
      <w:r>
        <w:rPr/>
        <w:br w:type="column"/>
      </w:r>
      <w:r>
        <w:rPr/>
        <w:t>Cost of CO</w:t>
      </w:r>
    </w:p>
    <w:p>
      <w:pPr>
        <w:pStyle w:val="BodyText"/>
        <w:spacing w:line="166" w:lineRule="exact" w:before="33"/>
        <w:ind w:left="67"/>
      </w:pPr>
      <w:r>
        <w:rPr/>
        <w:br w:type="column"/>
      </w:r>
      <w:r>
        <w:rPr/>
        <w:t>Captured (US$/tCO ) =</w:t>
      </w:r>
    </w:p>
    <w:p>
      <w:pPr>
        <w:spacing w:after="0" w:line="166" w:lineRule="exact"/>
        <w:sectPr>
          <w:type w:val="continuous"/>
          <w:pgSz w:w="12240" w:h="15840"/>
          <w:pgMar w:top="480" w:bottom="280" w:left="620" w:right="620"/>
          <w:cols w:num="3" w:equalWidth="0">
            <w:col w:w="5201" w:space="466"/>
            <w:col w:w="1029" w:space="39"/>
            <w:col w:w="4265"/>
          </w:cols>
        </w:sectPr>
      </w:pPr>
    </w:p>
    <w:p>
      <w:pPr>
        <w:spacing w:before="18"/>
        <w:ind w:left="117" w:right="0" w:firstLine="0"/>
        <w:jc w:val="left"/>
        <w:rPr>
          <w:sz w:val="16"/>
        </w:rPr>
      </w:pPr>
      <w:r>
        <w:rPr>
          <w:sz w:val="16"/>
        </w:rPr>
        <w:t>is</w:t>
      </w:r>
      <w:r>
        <w:rPr>
          <w:spacing w:val="-5"/>
          <w:sz w:val="16"/>
        </w:rPr>
        <w:t> </w:t>
      </w:r>
      <w:r>
        <w:rPr>
          <w:sz w:val="16"/>
        </w:rPr>
        <w:t>assumed</w:t>
      </w:r>
      <w:r>
        <w:rPr>
          <w:spacing w:val="-4"/>
          <w:sz w:val="16"/>
        </w:rPr>
        <w:t> </w:t>
      </w:r>
      <w:r>
        <w:rPr>
          <w:sz w:val="16"/>
        </w:rPr>
        <w:t>to</w:t>
      </w:r>
      <w:r>
        <w:rPr>
          <w:spacing w:val="-5"/>
          <w:sz w:val="16"/>
        </w:rPr>
        <w:t> </w:t>
      </w:r>
      <w:r>
        <w:rPr>
          <w:sz w:val="16"/>
        </w:rPr>
        <w:t>be</w:t>
      </w:r>
      <w:r>
        <w:rPr>
          <w:spacing w:val="-4"/>
          <w:sz w:val="16"/>
        </w:rPr>
        <w:t> </w:t>
      </w:r>
      <w:r>
        <w:rPr>
          <w:sz w:val="16"/>
        </w:rPr>
        <w:t>a</w:t>
      </w:r>
      <w:r>
        <w:rPr>
          <w:spacing w:val="-4"/>
          <w:sz w:val="16"/>
        </w:rPr>
        <w:t> </w:t>
      </w:r>
      <w:r>
        <w:rPr>
          <w:sz w:val="16"/>
        </w:rPr>
        <w:t>larger</w:t>
      </w:r>
      <w:r>
        <w:rPr>
          <w:spacing w:val="-5"/>
          <w:sz w:val="16"/>
        </w:rPr>
        <w:t> </w:t>
      </w:r>
      <w:r>
        <w:rPr>
          <w:sz w:val="16"/>
        </w:rPr>
        <w:t>facility</w:t>
      </w:r>
      <w:r>
        <w:rPr>
          <w:spacing w:val="-4"/>
          <w:sz w:val="16"/>
        </w:rPr>
        <w:t> </w:t>
      </w:r>
      <w:r>
        <w:rPr>
          <w:sz w:val="16"/>
        </w:rPr>
        <w:t>producing</w:t>
      </w:r>
      <w:r>
        <w:rPr>
          <w:spacing w:val="-5"/>
          <w:sz w:val="16"/>
        </w:rPr>
        <w:t> </w:t>
      </w:r>
      <w:r>
        <w:rPr>
          <w:sz w:val="16"/>
        </w:rPr>
        <w:t>the</w:t>
      </w:r>
      <w:r>
        <w:rPr>
          <w:spacing w:val="-4"/>
          <w:sz w:val="16"/>
        </w:rPr>
        <w:t> </w:t>
      </w:r>
      <w:r>
        <w:rPr>
          <w:sz w:val="16"/>
        </w:rPr>
        <w:t>same</w:t>
      </w:r>
      <w:r>
        <w:rPr>
          <w:spacing w:val="-4"/>
          <w:sz w:val="16"/>
        </w:rPr>
        <w:t> </w:t>
      </w:r>
      <w:r>
        <w:rPr>
          <w:sz w:val="16"/>
        </w:rPr>
        <w:t>net</w:t>
      </w:r>
      <w:r>
        <w:rPr>
          <w:spacing w:val="-5"/>
          <w:sz w:val="16"/>
        </w:rPr>
        <w:t> </w:t>
      </w:r>
      <w:r>
        <w:rPr>
          <w:sz w:val="16"/>
        </w:rPr>
        <w:t>output</w:t>
      </w:r>
      <w:r>
        <w:rPr>
          <w:spacing w:val="-4"/>
          <w:sz w:val="16"/>
        </w:rPr>
        <w:t> </w:t>
      </w:r>
      <w:r>
        <w:rPr>
          <w:sz w:val="16"/>
        </w:rPr>
        <w:t>as</w:t>
      </w:r>
      <w:r>
        <w:rPr>
          <w:spacing w:val="-5"/>
          <w:sz w:val="16"/>
        </w:rPr>
        <w:t> </w:t>
      </w:r>
      <w:r>
        <w:rPr>
          <w:sz w:val="16"/>
        </w:rPr>
        <w:t>the</w:t>
      </w:r>
      <w:r>
        <w:rPr>
          <w:spacing w:val="-4"/>
          <w:sz w:val="16"/>
        </w:rPr>
        <w:t> </w:t>
      </w:r>
      <w:r>
        <w:rPr>
          <w:sz w:val="16"/>
        </w:rPr>
        <w:t>reference</w:t>
      </w:r>
    </w:p>
    <w:p>
      <w:pPr>
        <w:pStyle w:val="BodyText"/>
        <w:spacing w:line="166" w:lineRule="exact" w:before="74"/>
        <w:ind w:left="117"/>
      </w:pPr>
      <w:r>
        <w:rPr/>
        <w:br w:type="column"/>
      </w:r>
      <w:r>
        <w:rPr/>
        <w:t>[(COE)</w:t>
      </w:r>
    </w:p>
    <w:p>
      <w:pPr>
        <w:tabs>
          <w:tab w:pos="1819" w:val="left" w:leader="none"/>
        </w:tabs>
        <w:spacing w:line="93" w:lineRule="exact" w:before="0"/>
        <w:ind w:left="117" w:right="0" w:firstLine="0"/>
        <w:jc w:val="left"/>
        <w:rPr>
          <w:sz w:val="11"/>
        </w:rPr>
      </w:pPr>
      <w:r>
        <w:rPr/>
        <w:br w:type="column"/>
      </w:r>
      <w:r>
        <w:rPr>
          <w:w w:val="105"/>
          <w:sz w:val="11"/>
        </w:rPr>
        <w:t>2</w:t>
        <w:tab/>
        <w:t>2</w:t>
      </w:r>
    </w:p>
    <w:p>
      <w:pPr>
        <w:pStyle w:val="BodyText"/>
        <w:spacing w:line="147" w:lineRule="exact"/>
        <w:ind w:left="196"/>
      </w:pPr>
      <w:r>
        <w:rPr/>
        <w:t>– (COE) ] / (CO</w:t>
      </w:r>
    </w:p>
    <w:p>
      <w:pPr>
        <w:tabs>
          <w:tab w:pos="1540" w:val="left" w:leader="none"/>
        </w:tabs>
        <w:spacing w:line="166" w:lineRule="exact" w:before="74"/>
        <w:ind w:left="117" w:right="0" w:firstLine="0"/>
        <w:jc w:val="left"/>
        <w:rPr>
          <w:sz w:val="20"/>
        </w:rPr>
      </w:pPr>
      <w:r>
        <w:rPr/>
        <w:br w:type="column"/>
      </w:r>
      <w:r>
        <w:rPr>
          <w:sz w:val="20"/>
        </w:rPr>
        <w:t>kWh</w:t>
      </w:r>
      <w:r>
        <w:rPr>
          <w:position w:val="7"/>
          <w:sz w:val="11"/>
        </w:rPr>
        <w:t>-1</w:t>
      </w:r>
      <w:r>
        <w:rPr>
          <w:sz w:val="20"/>
        </w:rPr>
        <w:t>)</w:t>
        <w:tab/>
        <w:t>(9)</w:t>
      </w:r>
    </w:p>
    <w:p>
      <w:pPr>
        <w:spacing w:after="0" w:line="166" w:lineRule="exact"/>
        <w:jc w:val="left"/>
        <w:rPr>
          <w:sz w:val="20"/>
        </w:rPr>
        <w:sectPr>
          <w:type w:val="continuous"/>
          <w:pgSz w:w="12240" w:h="15840"/>
          <w:pgMar w:top="480" w:bottom="280" w:left="620" w:right="620"/>
          <w:cols w:num="4" w:equalWidth="0">
            <w:col w:w="5200" w:space="466"/>
            <w:col w:w="757" w:space="154"/>
            <w:col w:w="1918" w:space="107"/>
            <w:col w:w="2398"/>
          </w:cols>
        </w:sectPr>
      </w:pPr>
    </w:p>
    <w:p>
      <w:pPr>
        <w:spacing w:line="162" w:lineRule="exact" w:before="0"/>
        <w:ind w:left="117" w:right="0" w:firstLine="0"/>
        <w:jc w:val="left"/>
        <w:rPr>
          <w:sz w:val="16"/>
        </w:rPr>
      </w:pPr>
      <w:r>
        <w:rPr>
          <w:sz w:val="16"/>
        </w:rPr>
        <w:t>plant</w:t>
      </w:r>
      <w:r>
        <w:rPr>
          <w:spacing w:val="-9"/>
          <w:sz w:val="16"/>
        </w:rPr>
        <w:t> </w:t>
      </w:r>
      <w:r>
        <w:rPr>
          <w:sz w:val="16"/>
        </w:rPr>
        <w:t>without</w:t>
      </w:r>
      <w:r>
        <w:rPr>
          <w:spacing w:val="-9"/>
          <w:sz w:val="16"/>
        </w:rPr>
        <w:t> </w:t>
      </w:r>
      <w:r>
        <w:rPr>
          <w:sz w:val="16"/>
        </w:rPr>
        <w:t>capture,</w:t>
      </w:r>
      <w:r>
        <w:rPr>
          <w:spacing w:val="-9"/>
          <w:sz w:val="16"/>
        </w:rPr>
        <w:t> </w:t>
      </w:r>
      <w:r>
        <w:rPr>
          <w:sz w:val="16"/>
        </w:rPr>
        <w:t>or</w:t>
      </w:r>
      <w:r>
        <w:rPr>
          <w:spacing w:val="-9"/>
          <w:sz w:val="16"/>
        </w:rPr>
        <w:t> </w:t>
      </w:r>
      <w:r>
        <w:rPr>
          <w:sz w:val="16"/>
        </w:rPr>
        <w:t>whether</w:t>
      </w:r>
      <w:r>
        <w:rPr>
          <w:spacing w:val="-9"/>
          <w:sz w:val="16"/>
        </w:rPr>
        <w:t> </w:t>
      </w:r>
      <w:r>
        <w:rPr>
          <w:sz w:val="16"/>
        </w:rPr>
        <w:t>the</w:t>
      </w:r>
      <w:r>
        <w:rPr>
          <w:spacing w:val="-9"/>
          <w:sz w:val="16"/>
        </w:rPr>
        <w:t> </w:t>
      </w:r>
      <w:r>
        <w:rPr>
          <w:sz w:val="16"/>
        </w:rPr>
        <w:t>reference</w:t>
      </w:r>
      <w:r>
        <w:rPr>
          <w:spacing w:val="-9"/>
          <w:sz w:val="16"/>
        </w:rPr>
        <w:t> </w:t>
      </w:r>
      <w:r>
        <w:rPr>
          <w:sz w:val="16"/>
        </w:rPr>
        <w:t>plant</w:t>
      </w:r>
      <w:r>
        <w:rPr>
          <w:spacing w:val="-9"/>
          <w:sz w:val="16"/>
        </w:rPr>
        <w:t> </w:t>
      </w:r>
      <w:r>
        <w:rPr>
          <w:sz w:val="16"/>
        </w:rPr>
        <w:t>is</w:t>
      </w:r>
      <w:r>
        <w:rPr>
          <w:spacing w:val="-9"/>
          <w:sz w:val="16"/>
        </w:rPr>
        <w:t> </w:t>
      </w:r>
      <w:r>
        <w:rPr>
          <w:sz w:val="16"/>
        </w:rPr>
        <w:t>simply</w:t>
      </w:r>
      <w:r>
        <w:rPr>
          <w:spacing w:val="-9"/>
          <w:sz w:val="16"/>
        </w:rPr>
        <w:t> </w:t>
      </w:r>
      <w:r>
        <w:rPr>
          <w:sz w:val="16"/>
        </w:rPr>
        <w:t>derated</w:t>
      </w:r>
      <w:r>
        <w:rPr>
          <w:spacing w:val="-9"/>
          <w:sz w:val="16"/>
        </w:rPr>
        <w:t> </w:t>
      </w:r>
      <w:r>
        <w:rPr>
          <w:sz w:val="16"/>
        </w:rPr>
        <w:t>to</w:t>
      </w:r>
      <w:r>
        <w:rPr>
          <w:spacing w:val="-8"/>
          <w:sz w:val="16"/>
        </w:rPr>
        <w:t> </w:t>
      </w:r>
      <w:r>
        <w:rPr>
          <w:sz w:val="16"/>
        </w:rPr>
        <w:t>supply</w:t>
      </w:r>
    </w:p>
    <w:p>
      <w:pPr>
        <w:spacing w:before="16"/>
        <w:ind w:left="117" w:right="0" w:firstLine="0"/>
        <w:jc w:val="left"/>
        <w:rPr>
          <w:sz w:val="16"/>
        </w:rPr>
      </w:pPr>
      <w:r>
        <w:rPr>
          <w:sz w:val="16"/>
        </w:rPr>
        <w:t>the</w:t>
      </w:r>
      <w:r>
        <w:rPr>
          <w:spacing w:val="5"/>
          <w:sz w:val="16"/>
        </w:rPr>
        <w:t> </w:t>
      </w:r>
      <w:r>
        <w:rPr>
          <w:sz w:val="16"/>
        </w:rPr>
        <w:t>auxiliary</w:t>
      </w:r>
      <w:r>
        <w:rPr>
          <w:spacing w:val="6"/>
          <w:sz w:val="16"/>
        </w:rPr>
        <w:t> </w:t>
      </w:r>
      <w:r>
        <w:rPr>
          <w:sz w:val="16"/>
        </w:rPr>
        <w:t>energy.</w:t>
      </w:r>
      <w:r>
        <w:rPr>
          <w:spacing w:val="4"/>
          <w:sz w:val="16"/>
        </w:rPr>
        <w:t> </w:t>
      </w:r>
      <w:r>
        <w:rPr>
          <w:sz w:val="16"/>
        </w:rPr>
        <w:t>While</w:t>
      </w:r>
      <w:r>
        <w:rPr>
          <w:spacing w:val="5"/>
          <w:sz w:val="16"/>
        </w:rPr>
        <w:t> </w:t>
      </w:r>
      <w:r>
        <w:rPr>
          <w:sz w:val="16"/>
        </w:rPr>
        <w:t>the</w:t>
      </w:r>
      <w:r>
        <w:rPr>
          <w:spacing w:val="6"/>
          <w:sz w:val="16"/>
        </w:rPr>
        <w:t> </w:t>
      </w:r>
      <w:r>
        <w:rPr>
          <w:sz w:val="16"/>
        </w:rPr>
        <w:t>latter</w:t>
      </w:r>
      <w:r>
        <w:rPr>
          <w:spacing w:val="6"/>
          <w:sz w:val="16"/>
        </w:rPr>
        <w:t> </w:t>
      </w:r>
      <w:r>
        <w:rPr>
          <w:sz w:val="16"/>
        </w:rPr>
        <w:t>assumption</w:t>
      </w:r>
      <w:r>
        <w:rPr>
          <w:spacing w:val="6"/>
          <w:sz w:val="16"/>
        </w:rPr>
        <w:t> </w:t>
      </w:r>
      <w:r>
        <w:rPr>
          <w:sz w:val="16"/>
        </w:rPr>
        <w:t>is</w:t>
      </w:r>
      <w:r>
        <w:rPr>
          <w:spacing w:val="5"/>
          <w:sz w:val="16"/>
        </w:rPr>
        <w:t> </w:t>
      </w:r>
      <w:r>
        <w:rPr>
          <w:sz w:val="16"/>
        </w:rPr>
        <w:t>most</w:t>
      </w:r>
      <w:r>
        <w:rPr>
          <w:spacing w:val="6"/>
          <w:sz w:val="16"/>
        </w:rPr>
        <w:t> </w:t>
      </w:r>
      <w:r>
        <w:rPr>
          <w:sz w:val="16"/>
        </w:rPr>
        <w:t>common,</w:t>
      </w:r>
      <w:r>
        <w:rPr>
          <w:spacing w:val="6"/>
          <w:sz w:val="16"/>
        </w:rPr>
        <w:t> </w:t>
      </w:r>
      <w:r>
        <w:rPr>
          <w:sz w:val="16"/>
        </w:rPr>
        <w:t>the</w:t>
      </w:r>
      <w:r>
        <w:rPr>
          <w:spacing w:val="6"/>
          <w:sz w:val="16"/>
        </w:rPr>
        <w:t> </w:t>
      </w:r>
      <w:r>
        <w:rPr>
          <w:sz w:val="16"/>
        </w:rPr>
        <w:t>former</w:t>
      </w:r>
    </w:p>
    <w:p>
      <w:pPr>
        <w:spacing w:line="111" w:lineRule="exact" w:before="0"/>
        <w:ind w:left="117" w:right="0" w:firstLine="0"/>
        <w:jc w:val="left"/>
        <w:rPr>
          <w:sz w:val="11"/>
        </w:rPr>
      </w:pPr>
      <w:r>
        <w:rPr/>
        <w:br w:type="column"/>
      </w:r>
      <w:r>
        <w:rPr>
          <w:w w:val="105"/>
          <w:sz w:val="11"/>
        </w:rPr>
        <w:t>capture</w:t>
      </w:r>
    </w:p>
    <w:p>
      <w:pPr>
        <w:spacing w:line="111" w:lineRule="exact" w:before="0"/>
        <w:ind w:left="117" w:right="0" w:firstLine="0"/>
        <w:jc w:val="left"/>
        <w:rPr>
          <w:sz w:val="11"/>
        </w:rPr>
      </w:pPr>
      <w:r>
        <w:rPr/>
        <w:br w:type="column"/>
      </w:r>
      <w:r>
        <w:rPr>
          <w:w w:val="105"/>
          <w:sz w:val="11"/>
        </w:rPr>
        <w:t>ref</w:t>
      </w:r>
    </w:p>
    <w:p>
      <w:pPr>
        <w:spacing w:line="111" w:lineRule="exact" w:before="0"/>
        <w:ind w:left="117" w:right="0" w:firstLine="0"/>
        <w:jc w:val="left"/>
        <w:rPr>
          <w:sz w:val="11"/>
        </w:rPr>
      </w:pPr>
      <w:r>
        <w:rPr/>
        <w:br w:type="column"/>
      </w:r>
      <w:r>
        <w:rPr>
          <w:w w:val="105"/>
          <w:sz w:val="11"/>
        </w:rPr>
        <w:t>2, captured</w:t>
      </w:r>
    </w:p>
    <w:p>
      <w:pPr>
        <w:spacing w:after="0" w:line="111" w:lineRule="exact"/>
        <w:jc w:val="left"/>
        <w:rPr>
          <w:sz w:val="11"/>
        </w:rPr>
        <w:sectPr>
          <w:type w:val="continuous"/>
          <w:pgSz w:w="12240" w:h="15840"/>
          <w:pgMar w:top="480" w:bottom="280" w:left="620" w:right="620"/>
          <w:cols w:num="4" w:equalWidth="0">
            <w:col w:w="5202" w:space="1064"/>
            <w:col w:w="499" w:space="576"/>
            <w:col w:w="286" w:space="409"/>
            <w:col w:w="2964"/>
          </w:cols>
        </w:sectPr>
      </w:pPr>
    </w:p>
    <w:p>
      <w:pPr>
        <w:tabs>
          <w:tab w:pos="5443" w:val="left" w:leader="none"/>
          <w:tab w:pos="6883" w:val="left" w:leader="none"/>
        </w:tabs>
        <w:spacing w:before="16"/>
        <w:ind w:left="117" w:right="0" w:firstLine="0"/>
        <w:jc w:val="left"/>
        <w:rPr>
          <w:sz w:val="16"/>
        </w:rPr>
      </w:pPr>
      <w:r>
        <w:rPr>
          <w:sz w:val="16"/>
        </w:rPr>
        <w:t>yields a smaller incremental cost due to economy-of-scale</w:t>
      </w:r>
      <w:r>
        <w:rPr>
          <w:spacing w:val="-11"/>
          <w:sz w:val="16"/>
        </w:rPr>
        <w:t> </w:t>
      </w:r>
      <w:r>
        <w:rPr>
          <w:sz w:val="16"/>
        </w:rPr>
        <w:t>effects.</w:t>
        <w:tab/>
      </w:r>
      <w:r>
        <w:rPr>
          <w:sz w:val="16"/>
          <w:u w:val="single"/>
        </w:rPr>
        <w:t> </w:t>
        <w:tab/>
      </w:r>
    </w:p>
    <w:p>
      <w:pPr>
        <w:spacing w:after="0"/>
        <w:jc w:val="left"/>
        <w:rPr>
          <w:sz w:val="16"/>
        </w:rPr>
        <w:sectPr>
          <w:type w:val="continuous"/>
          <w:pgSz w:w="12240" w:h="15840"/>
          <w:pgMar w:top="480" w:bottom="280" w:left="620" w:right="620"/>
        </w:sectPr>
      </w:pPr>
    </w:p>
    <w:p>
      <w:pPr>
        <w:spacing w:line="261" w:lineRule="auto" w:before="16"/>
        <w:ind w:left="117" w:right="38" w:firstLine="0"/>
        <w:jc w:val="both"/>
        <w:rPr>
          <w:sz w:val="16"/>
        </w:rPr>
      </w:pPr>
      <w:r>
        <w:rPr>
          <w:position w:val="5"/>
          <w:sz w:val="9"/>
        </w:rPr>
        <w:t>6</w:t>
      </w:r>
      <w:r>
        <w:rPr>
          <w:spacing w:val="9"/>
          <w:position w:val="5"/>
          <w:sz w:val="9"/>
        </w:rPr>
        <w:t> </w:t>
      </w:r>
      <w:r>
        <w:rPr>
          <w:sz w:val="16"/>
        </w:rPr>
        <w:t>In</w:t>
      </w:r>
      <w:r>
        <w:rPr>
          <w:spacing w:val="-8"/>
          <w:sz w:val="16"/>
        </w:rPr>
        <w:t> </w:t>
      </w:r>
      <w:r>
        <w:rPr>
          <w:sz w:val="16"/>
        </w:rPr>
        <w:t>its</w:t>
      </w:r>
      <w:r>
        <w:rPr>
          <w:spacing w:val="-7"/>
          <w:sz w:val="16"/>
        </w:rPr>
        <w:t> </w:t>
      </w:r>
      <w:r>
        <w:rPr>
          <w:sz w:val="16"/>
        </w:rPr>
        <w:t>simplest</w:t>
      </w:r>
      <w:r>
        <w:rPr>
          <w:spacing w:val="-8"/>
          <w:sz w:val="16"/>
        </w:rPr>
        <w:t> </w:t>
      </w:r>
      <w:r>
        <w:rPr>
          <w:sz w:val="16"/>
        </w:rPr>
        <w:t>form,</w:t>
      </w:r>
      <w:r>
        <w:rPr>
          <w:spacing w:val="-7"/>
          <w:sz w:val="16"/>
        </w:rPr>
        <w:t> </w:t>
      </w:r>
      <w:r>
        <w:rPr>
          <w:sz w:val="16"/>
        </w:rPr>
        <w:t>FCF</w:t>
      </w:r>
      <w:r>
        <w:rPr>
          <w:spacing w:val="-8"/>
          <w:sz w:val="16"/>
        </w:rPr>
        <w:t> </w:t>
      </w:r>
      <w:r>
        <w:rPr>
          <w:sz w:val="16"/>
        </w:rPr>
        <w:t>can</w:t>
      </w:r>
      <w:r>
        <w:rPr>
          <w:spacing w:val="-7"/>
          <w:sz w:val="16"/>
        </w:rPr>
        <w:t> </w:t>
      </w:r>
      <w:r>
        <w:rPr>
          <w:sz w:val="16"/>
        </w:rPr>
        <w:t>be</w:t>
      </w:r>
      <w:r>
        <w:rPr>
          <w:spacing w:val="-8"/>
          <w:sz w:val="16"/>
        </w:rPr>
        <w:t> </w:t>
      </w:r>
      <w:r>
        <w:rPr>
          <w:sz w:val="16"/>
        </w:rPr>
        <w:t>calculated</w:t>
      </w:r>
      <w:r>
        <w:rPr>
          <w:spacing w:val="-7"/>
          <w:sz w:val="16"/>
        </w:rPr>
        <w:t> </w:t>
      </w:r>
      <w:r>
        <w:rPr>
          <w:sz w:val="16"/>
        </w:rPr>
        <w:t>from</w:t>
      </w:r>
      <w:r>
        <w:rPr>
          <w:spacing w:val="-8"/>
          <w:sz w:val="16"/>
        </w:rPr>
        <w:t> </w:t>
      </w:r>
      <w:r>
        <w:rPr>
          <w:sz w:val="16"/>
        </w:rPr>
        <w:t>the</w:t>
      </w:r>
      <w:r>
        <w:rPr>
          <w:spacing w:val="-7"/>
          <w:sz w:val="16"/>
        </w:rPr>
        <w:t> </w:t>
      </w:r>
      <w:r>
        <w:rPr>
          <w:sz w:val="16"/>
        </w:rPr>
        <w:t>project</w:t>
      </w:r>
      <w:r>
        <w:rPr>
          <w:spacing w:val="-8"/>
          <w:sz w:val="16"/>
        </w:rPr>
        <w:t> </w:t>
      </w:r>
      <w:r>
        <w:rPr>
          <w:sz w:val="16"/>
        </w:rPr>
        <w:t>lifetime,</w:t>
      </w:r>
      <w:r>
        <w:rPr>
          <w:spacing w:val="-7"/>
          <w:sz w:val="16"/>
        </w:rPr>
        <w:t> </w:t>
      </w:r>
      <w:r>
        <w:rPr>
          <w:i/>
          <w:sz w:val="16"/>
        </w:rPr>
        <w:t>n</w:t>
      </w:r>
      <w:r>
        <w:rPr>
          <w:i/>
          <w:spacing w:val="-8"/>
          <w:sz w:val="16"/>
        </w:rPr>
        <w:t> </w:t>
      </w:r>
      <w:r>
        <w:rPr>
          <w:sz w:val="16"/>
        </w:rPr>
        <w:t>(years), and annual interest rate, </w:t>
      </w:r>
      <w:r>
        <w:rPr>
          <w:i/>
          <w:sz w:val="16"/>
        </w:rPr>
        <w:t>i </w:t>
      </w:r>
      <w:r>
        <w:rPr>
          <w:sz w:val="16"/>
        </w:rPr>
        <w:t>(fraction), by the equation: FCF = </w:t>
      </w:r>
      <w:r>
        <w:rPr>
          <w:i/>
          <w:sz w:val="16"/>
        </w:rPr>
        <w:t>i </w:t>
      </w:r>
      <w:r>
        <w:rPr>
          <w:sz w:val="16"/>
        </w:rPr>
        <w:t>/ [1 – (1 + </w:t>
      </w:r>
      <w:r>
        <w:rPr>
          <w:i/>
          <w:sz w:val="16"/>
        </w:rPr>
        <w:t>i</w:t>
      </w:r>
      <w:r>
        <w:rPr>
          <w:sz w:val="16"/>
        </w:rPr>
        <w:t>)</w:t>
      </w:r>
      <w:r>
        <w:rPr>
          <w:position w:val="5"/>
          <w:sz w:val="9"/>
        </w:rPr>
        <w:t>–</w:t>
      </w:r>
      <w:r>
        <w:rPr>
          <w:i/>
          <w:position w:val="5"/>
          <w:sz w:val="9"/>
        </w:rPr>
        <w:t>n</w:t>
      </w:r>
      <w:r>
        <w:rPr>
          <w:i/>
          <w:spacing w:val="14"/>
          <w:position w:val="5"/>
          <w:sz w:val="9"/>
        </w:rPr>
        <w:t> </w:t>
      </w:r>
      <w:r>
        <w:rPr>
          <w:sz w:val="16"/>
        </w:rPr>
        <w:t>].</w:t>
      </w:r>
    </w:p>
    <w:p>
      <w:pPr>
        <w:spacing w:line="261" w:lineRule="auto" w:before="0"/>
        <w:ind w:left="117" w:right="38" w:firstLine="0"/>
        <w:jc w:val="both"/>
        <w:rPr>
          <w:sz w:val="16"/>
        </w:rPr>
      </w:pPr>
      <w:r>
        <w:rPr>
          <w:position w:val="5"/>
          <w:sz w:val="9"/>
        </w:rPr>
        <w:t>7</w:t>
      </w:r>
      <w:r>
        <w:rPr>
          <w:spacing w:val="13"/>
          <w:position w:val="5"/>
          <w:sz w:val="9"/>
        </w:rPr>
        <w:t> </w:t>
      </w:r>
      <w:r>
        <w:rPr>
          <w:sz w:val="16"/>
        </w:rPr>
        <w:t>Readers</w:t>
      </w:r>
      <w:r>
        <w:rPr>
          <w:spacing w:val="-5"/>
          <w:sz w:val="16"/>
        </w:rPr>
        <w:t> </w:t>
      </w:r>
      <w:r>
        <w:rPr>
          <w:sz w:val="16"/>
        </w:rPr>
        <w:t>not</w:t>
      </w:r>
      <w:r>
        <w:rPr>
          <w:spacing w:val="-4"/>
          <w:sz w:val="16"/>
        </w:rPr>
        <w:t> </w:t>
      </w:r>
      <w:r>
        <w:rPr>
          <w:sz w:val="16"/>
        </w:rPr>
        <w:t>familiar</w:t>
      </w:r>
      <w:r>
        <w:rPr>
          <w:spacing w:val="-5"/>
          <w:sz w:val="16"/>
        </w:rPr>
        <w:t> </w:t>
      </w:r>
      <w:r>
        <w:rPr>
          <w:sz w:val="16"/>
        </w:rPr>
        <w:t>with</w:t>
      </w:r>
      <w:r>
        <w:rPr>
          <w:spacing w:val="-4"/>
          <w:sz w:val="16"/>
        </w:rPr>
        <w:t> </w:t>
      </w:r>
      <w:r>
        <w:rPr>
          <w:sz w:val="16"/>
        </w:rPr>
        <w:t>these</w:t>
      </w:r>
      <w:r>
        <w:rPr>
          <w:spacing w:val="-5"/>
          <w:sz w:val="16"/>
        </w:rPr>
        <w:t> </w:t>
      </w:r>
      <w:r>
        <w:rPr>
          <w:sz w:val="16"/>
        </w:rPr>
        <w:t>economic</w:t>
      </w:r>
      <w:r>
        <w:rPr>
          <w:spacing w:val="-4"/>
          <w:sz w:val="16"/>
        </w:rPr>
        <w:t> </w:t>
      </w:r>
      <w:r>
        <w:rPr>
          <w:sz w:val="16"/>
        </w:rPr>
        <w:t>concepts</w:t>
      </w:r>
      <w:r>
        <w:rPr>
          <w:spacing w:val="-5"/>
          <w:sz w:val="16"/>
        </w:rPr>
        <w:t> </w:t>
      </w:r>
      <w:r>
        <w:rPr>
          <w:sz w:val="16"/>
        </w:rPr>
        <w:t>and</w:t>
      </w:r>
      <w:r>
        <w:rPr>
          <w:spacing w:val="-4"/>
          <w:sz w:val="16"/>
        </w:rPr>
        <w:t> </w:t>
      </w:r>
      <w:r>
        <w:rPr>
          <w:sz w:val="16"/>
        </w:rPr>
        <w:t>calculations</w:t>
      </w:r>
      <w:r>
        <w:rPr>
          <w:spacing w:val="-5"/>
          <w:sz w:val="16"/>
        </w:rPr>
        <w:t> </w:t>
      </w:r>
      <w:r>
        <w:rPr>
          <w:sz w:val="16"/>
        </w:rPr>
        <w:t>may</w:t>
      </w:r>
      <w:r>
        <w:rPr>
          <w:spacing w:val="-4"/>
          <w:sz w:val="16"/>
        </w:rPr>
        <w:t> </w:t>
      </w:r>
      <w:r>
        <w:rPr>
          <w:sz w:val="16"/>
        </w:rPr>
        <w:t>wish to</w:t>
      </w:r>
      <w:r>
        <w:rPr>
          <w:spacing w:val="-8"/>
          <w:sz w:val="16"/>
        </w:rPr>
        <w:t> </w:t>
      </w:r>
      <w:r>
        <w:rPr>
          <w:sz w:val="16"/>
        </w:rPr>
        <w:t>consult</w:t>
      </w:r>
      <w:r>
        <w:rPr>
          <w:spacing w:val="-7"/>
          <w:sz w:val="16"/>
        </w:rPr>
        <w:t> </w:t>
      </w:r>
      <w:r>
        <w:rPr>
          <w:sz w:val="16"/>
        </w:rPr>
        <w:t>a</w:t>
      </w:r>
      <w:r>
        <w:rPr>
          <w:spacing w:val="-7"/>
          <w:sz w:val="16"/>
        </w:rPr>
        <w:t> </w:t>
      </w:r>
      <w:r>
        <w:rPr>
          <w:sz w:val="16"/>
        </w:rPr>
        <w:t>basic</w:t>
      </w:r>
      <w:r>
        <w:rPr>
          <w:spacing w:val="-7"/>
          <w:sz w:val="16"/>
        </w:rPr>
        <w:t> </w:t>
      </w:r>
      <w:r>
        <w:rPr>
          <w:sz w:val="16"/>
        </w:rPr>
        <w:t>economics</w:t>
      </w:r>
      <w:r>
        <w:rPr>
          <w:spacing w:val="-7"/>
          <w:sz w:val="16"/>
        </w:rPr>
        <w:t> </w:t>
      </w:r>
      <w:r>
        <w:rPr>
          <w:sz w:val="16"/>
        </w:rPr>
        <w:t>text,</w:t>
      </w:r>
      <w:r>
        <w:rPr>
          <w:spacing w:val="-7"/>
          <w:sz w:val="16"/>
        </w:rPr>
        <w:t> </w:t>
      </w:r>
      <w:r>
        <w:rPr>
          <w:sz w:val="16"/>
        </w:rPr>
        <w:t>or</w:t>
      </w:r>
      <w:r>
        <w:rPr>
          <w:spacing w:val="-7"/>
          <w:sz w:val="16"/>
        </w:rPr>
        <w:t> </w:t>
      </w:r>
      <w:r>
        <w:rPr>
          <w:sz w:val="16"/>
        </w:rPr>
        <w:t>references</w:t>
      </w:r>
      <w:r>
        <w:rPr>
          <w:spacing w:val="-7"/>
          <w:sz w:val="16"/>
        </w:rPr>
        <w:t> </w:t>
      </w:r>
      <w:r>
        <w:rPr>
          <w:sz w:val="16"/>
        </w:rPr>
        <w:t>such</w:t>
      </w:r>
      <w:r>
        <w:rPr>
          <w:spacing w:val="-8"/>
          <w:sz w:val="16"/>
        </w:rPr>
        <w:t> </w:t>
      </w:r>
      <w:r>
        <w:rPr>
          <w:sz w:val="16"/>
        </w:rPr>
        <w:t>as</w:t>
      </w:r>
      <w:r>
        <w:rPr>
          <w:spacing w:val="-7"/>
          <w:sz w:val="16"/>
        </w:rPr>
        <w:t> </w:t>
      </w:r>
      <w:r>
        <w:rPr>
          <w:sz w:val="16"/>
        </w:rPr>
        <w:t>(EPRI,</w:t>
      </w:r>
      <w:r>
        <w:rPr>
          <w:spacing w:val="-7"/>
          <w:sz w:val="16"/>
        </w:rPr>
        <w:t> </w:t>
      </w:r>
      <w:r>
        <w:rPr>
          <w:sz w:val="16"/>
        </w:rPr>
        <w:t>1993)</w:t>
      </w:r>
      <w:r>
        <w:rPr>
          <w:spacing w:val="-7"/>
          <w:sz w:val="16"/>
        </w:rPr>
        <w:t> </w:t>
      </w:r>
      <w:r>
        <w:rPr>
          <w:sz w:val="16"/>
        </w:rPr>
        <w:t>or</w:t>
      </w:r>
      <w:r>
        <w:rPr>
          <w:spacing w:val="-7"/>
          <w:sz w:val="16"/>
        </w:rPr>
        <w:t> </w:t>
      </w:r>
      <w:r>
        <w:rPr>
          <w:sz w:val="16"/>
        </w:rPr>
        <w:t>(Rubin, 2001) for more details.</w:t>
      </w:r>
    </w:p>
    <w:p>
      <w:pPr>
        <w:spacing w:line="200" w:lineRule="exact" w:before="5"/>
        <w:ind w:left="117" w:right="511" w:firstLine="0"/>
        <w:jc w:val="both"/>
        <w:rPr>
          <w:sz w:val="16"/>
        </w:rPr>
      </w:pPr>
      <w:r>
        <w:rPr/>
        <w:br w:type="column"/>
      </w:r>
      <w:r>
        <w:rPr>
          <w:position w:val="5"/>
          <w:sz w:val="9"/>
        </w:rPr>
        <w:t>8 </w:t>
      </w:r>
      <w:r>
        <w:rPr>
          <w:sz w:val="16"/>
        </w:rPr>
        <w:t>As used here, ‘cost’ refers only to money spent for technology, fuels and related materials, and not to broader societal measures such as macroeconomic costs or societal damage costs associated with atmospheric emissions. Further discussions and use of the term ‘cost of CO</w:t>
      </w:r>
      <w:r>
        <w:rPr>
          <w:position w:val="-4"/>
          <w:sz w:val="9"/>
        </w:rPr>
        <w:t>2 </w:t>
      </w:r>
      <w:r>
        <w:rPr>
          <w:sz w:val="16"/>
        </w:rPr>
        <w:t>avoided’ appear in Chapter 8 and in the references cited earlier.</w:t>
      </w:r>
    </w:p>
    <w:p>
      <w:pPr>
        <w:spacing w:after="0" w:line="200" w:lineRule="exact"/>
        <w:jc w:val="both"/>
        <w:rPr>
          <w:sz w:val="16"/>
        </w:rPr>
        <w:sectPr>
          <w:type w:val="continuous"/>
          <w:pgSz w:w="12240" w:h="15840"/>
          <w:pgMar w:top="480" w:bottom="280" w:left="620" w:right="620"/>
          <w:cols w:num="2" w:equalWidth="0">
            <w:col w:w="5201" w:space="125"/>
            <w:col w:w="5674"/>
          </w:cols>
        </w:sectPr>
      </w:pPr>
    </w:p>
    <w:p>
      <w:pPr>
        <w:pStyle w:val="BodyText"/>
        <w:spacing w:before="56"/>
        <w:ind w:left="513"/>
      </w:pPr>
      <w:bookmarkStart w:name="3.7.3 The context for current cost estim" w:id="71"/>
      <w:bookmarkEnd w:id="71"/>
      <w:r>
        <w:rPr/>
      </w:r>
      <w:r>
        <w:rPr/>
        <w:t>where, </w:t>
      </w:r>
      <w:r>
        <w:rPr>
          <w:spacing w:val="-7"/>
        </w:rPr>
        <w:t>CO</w:t>
      </w:r>
    </w:p>
    <w:p>
      <w:pPr>
        <w:pStyle w:val="BodyText"/>
        <w:spacing w:before="10"/>
        <w:rPr>
          <w:sz w:val="17"/>
        </w:rPr>
      </w:pPr>
      <w:r>
        <w:rPr/>
        <w:br w:type="column"/>
      </w:r>
      <w:r>
        <w:rPr>
          <w:sz w:val="17"/>
        </w:rPr>
      </w:r>
    </w:p>
    <w:p>
      <w:pPr>
        <w:spacing w:before="1"/>
        <w:ind w:left="-40" w:right="0" w:firstLine="0"/>
        <w:jc w:val="left"/>
        <w:rPr>
          <w:sz w:val="11"/>
        </w:rPr>
      </w:pPr>
      <w:r>
        <w:rPr>
          <w:w w:val="105"/>
          <w:sz w:val="11"/>
        </w:rPr>
        <w:t>2, captured</w:t>
      </w:r>
    </w:p>
    <w:p>
      <w:pPr>
        <w:pStyle w:val="BodyText"/>
        <w:spacing w:before="56"/>
        <w:ind w:left="61"/>
      </w:pPr>
      <w:r>
        <w:rPr/>
        <w:br w:type="column"/>
      </w:r>
      <w:r>
        <w:rPr/>
        <w:t>kWh</w:t>
      </w:r>
      <w:r>
        <w:rPr>
          <w:position w:val="7"/>
          <w:sz w:val="11"/>
        </w:rPr>
        <w:t>-1 </w:t>
      </w:r>
      <w:r>
        <w:rPr/>
        <w:t>= total mass of CO</w:t>
      </w:r>
    </w:p>
    <w:p>
      <w:pPr>
        <w:pStyle w:val="BodyText"/>
        <w:spacing w:before="56"/>
        <w:ind w:left="119"/>
      </w:pPr>
      <w:r>
        <w:rPr/>
        <w:br w:type="column"/>
      </w:r>
      <w:r>
        <w:rPr/>
        <w:t>captured (in</w:t>
      </w:r>
    </w:p>
    <w:p>
      <w:pPr>
        <w:pStyle w:val="BodyText"/>
        <w:spacing w:before="56"/>
        <w:ind w:left="243"/>
      </w:pPr>
      <w:r>
        <w:rPr/>
        <w:br w:type="column"/>
      </w:r>
      <w:r>
        <w:rPr/>
        <w:t>assumptions about the structure of an economy as well as</w:t>
      </w:r>
    </w:p>
    <w:p>
      <w:pPr>
        <w:spacing w:after="0"/>
        <w:sectPr>
          <w:pgSz w:w="12240" w:h="15840"/>
          <w:pgMar w:header="567" w:footer="0" w:top="1180" w:bottom="280" w:left="620" w:right="620"/>
          <w:cols w:num="5" w:equalWidth="0">
            <w:col w:w="1432" w:space="40"/>
            <w:col w:w="506" w:space="39"/>
            <w:col w:w="2368" w:space="40"/>
            <w:col w:w="1132" w:space="40"/>
            <w:col w:w="5403"/>
          </w:cols>
        </w:sectPr>
      </w:pPr>
    </w:p>
    <w:p>
      <w:pPr>
        <w:pStyle w:val="BodyText"/>
        <w:spacing w:line="193" w:lineRule="exact"/>
        <w:ind w:left="513"/>
        <w:jc w:val="both"/>
      </w:pPr>
      <w:r>
        <w:rPr/>
        <w:pict>
          <v:shape style="position:absolute;margin-left:250.241898pt;margin-top:70.949997pt;width:2.9pt;height:5.8pt;mso-position-horizontal-relative:page;mso-position-vertical-relative:page;z-index:251727872"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t>tonnes) per net kWh for the plant with capture. This measure</w:t>
      </w:r>
    </w:p>
    <w:p>
      <w:pPr>
        <w:pStyle w:val="BodyText"/>
        <w:spacing w:line="240" w:lineRule="exact" w:before="4"/>
        <w:ind w:left="513" w:right="13"/>
        <w:jc w:val="both"/>
      </w:pPr>
      <w:r>
        <w:rPr/>
        <w:t>reflects the economic viability of a CO</w:t>
      </w:r>
      <w:r>
        <w:rPr>
          <w:position w:val="-6"/>
          <w:sz w:val="11"/>
        </w:rPr>
        <w:t>2 </w:t>
      </w:r>
      <w:r>
        <w:rPr/>
        <w:t>capture system given a market price for CO</w:t>
      </w:r>
      <w:r>
        <w:rPr>
          <w:position w:val="-6"/>
          <w:sz w:val="11"/>
        </w:rPr>
        <w:t>2 </w:t>
      </w:r>
      <w:r>
        <w:rPr/>
        <w:t>(as an industrial commodity). If the CO</w:t>
      </w:r>
      <w:r>
        <w:rPr>
          <w:position w:val="-6"/>
          <w:sz w:val="11"/>
        </w:rPr>
        <w:t>2 </w:t>
      </w:r>
      <w:r>
        <w:rPr/>
        <w:t>captured at a power plant can be sold at this price (e.g., to the food industry, or for enhanced oil recovery), the COE for the plant with capture would be the same as for the reference plant having higher CO</w:t>
      </w:r>
      <w:r>
        <w:rPr>
          <w:position w:val="-6"/>
          <w:sz w:val="11"/>
        </w:rPr>
        <w:t>2 </w:t>
      </w:r>
      <w:r>
        <w:rPr/>
        <w:t>emissions. Numerically, the cost of CO</w:t>
      </w:r>
      <w:r>
        <w:rPr>
          <w:position w:val="-6"/>
          <w:sz w:val="11"/>
        </w:rPr>
        <w:t>2 </w:t>
      </w:r>
      <w:r>
        <w:rPr/>
        <w:t>captured is lower than the cost of CO</w:t>
      </w:r>
      <w:r>
        <w:rPr>
          <w:position w:val="-6"/>
          <w:sz w:val="11"/>
        </w:rPr>
        <w:t>2 </w:t>
      </w:r>
      <w:r>
        <w:rPr/>
        <w:t>avoided because the energy required to operate the CO</w:t>
      </w:r>
      <w:r>
        <w:rPr>
          <w:position w:val="-6"/>
          <w:sz w:val="11"/>
        </w:rPr>
        <w:t>2 </w:t>
      </w:r>
      <w:r>
        <w:rPr/>
        <w:t>capture systems increases the amount of CO</w:t>
      </w:r>
      <w:r>
        <w:rPr>
          <w:position w:val="-6"/>
          <w:sz w:val="11"/>
        </w:rPr>
        <w:t>2 </w:t>
      </w:r>
      <w:r>
        <w:rPr/>
        <w:t>emitted per unit of product.</w:t>
      </w:r>
    </w:p>
    <w:p>
      <w:pPr>
        <w:pStyle w:val="BodyText"/>
        <w:spacing w:before="4"/>
        <w:rPr>
          <w:sz w:val="21"/>
        </w:rPr>
      </w:pPr>
    </w:p>
    <w:p>
      <w:pPr>
        <w:pStyle w:val="ListParagraph"/>
        <w:numPr>
          <w:ilvl w:val="3"/>
          <w:numId w:val="27"/>
        </w:numPr>
        <w:tabs>
          <w:tab w:pos="1365" w:val="left" w:leader="none"/>
        </w:tabs>
        <w:spacing w:line="240" w:lineRule="auto" w:before="0" w:after="0"/>
        <w:ind w:left="1364" w:right="0" w:hanging="852"/>
        <w:jc w:val="both"/>
        <w:rPr>
          <w:i/>
          <w:sz w:val="20"/>
        </w:rPr>
      </w:pPr>
      <w:r>
        <w:rPr>
          <w:i/>
          <w:sz w:val="20"/>
        </w:rPr>
        <w:t>Importance of CCS energy</w:t>
      </w:r>
      <w:r>
        <w:rPr>
          <w:i/>
          <w:spacing w:val="-5"/>
          <w:sz w:val="20"/>
        </w:rPr>
        <w:t> </w:t>
      </w:r>
      <w:r>
        <w:rPr>
          <w:i/>
          <w:sz w:val="20"/>
        </w:rPr>
        <w:t>requirements</w:t>
      </w:r>
    </w:p>
    <w:p>
      <w:pPr>
        <w:pStyle w:val="BodyText"/>
        <w:spacing w:line="249" w:lineRule="auto" w:before="10"/>
        <w:ind w:left="513"/>
        <w:jc w:val="both"/>
      </w:pPr>
      <w:r>
        <w:rPr/>
        <w:t>As the energy requirement for CCS is  substantially  larger than for other emission control systems, it has important implications for plant economics as well as for resource requirements and environmental impacts. The energy ‘penalty’ (as</w:t>
      </w:r>
      <w:r>
        <w:rPr>
          <w:spacing w:val="-11"/>
        </w:rPr>
        <w:t> </w:t>
      </w:r>
      <w:r>
        <w:rPr/>
        <w:t>it</w:t>
      </w:r>
      <w:r>
        <w:rPr>
          <w:spacing w:val="-10"/>
        </w:rPr>
        <w:t> </w:t>
      </w:r>
      <w:r>
        <w:rPr/>
        <w:t>is</w:t>
      </w:r>
      <w:r>
        <w:rPr>
          <w:spacing w:val="-11"/>
        </w:rPr>
        <w:t> </w:t>
      </w:r>
      <w:r>
        <w:rPr/>
        <w:t>often</w:t>
      </w:r>
      <w:r>
        <w:rPr>
          <w:spacing w:val="-10"/>
        </w:rPr>
        <w:t> </w:t>
      </w:r>
      <w:r>
        <w:rPr/>
        <w:t>called)</w:t>
      </w:r>
      <w:r>
        <w:rPr>
          <w:spacing w:val="-10"/>
        </w:rPr>
        <w:t> </w:t>
      </w:r>
      <w:r>
        <w:rPr/>
        <w:t>enters</w:t>
      </w:r>
      <w:r>
        <w:rPr>
          <w:spacing w:val="-11"/>
        </w:rPr>
        <w:t> </w:t>
      </w:r>
      <w:r>
        <w:rPr/>
        <w:t>cost</w:t>
      </w:r>
      <w:r>
        <w:rPr>
          <w:spacing w:val="-10"/>
        </w:rPr>
        <w:t> </w:t>
      </w:r>
      <w:r>
        <w:rPr/>
        <w:t>calculations</w:t>
      </w:r>
      <w:r>
        <w:rPr>
          <w:spacing w:val="-11"/>
        </w:rPr>
        <w:t> </w:t>
      </w:r>
      <w:r>
        <w:rPr/>
        <w:t>in</w:t>
      </w:r>
      <w:r>
        <w:rPr>
          <w:spacing w:val="-10"/>
        </w:rPr>
        <w:t> </w:t>
      </w:r>
      <w:r>
        <w:rPr/>
        <w:t>one</w:t>
      </w:r>
      <w:r>
        <w:rPr>
          <w:spacing w:val="-10"/>
        </w:rPr>
        <w:t> </w:t>
      </w:r>
      <w:r>
        <w:rPr/>
        <w:t>of</w:t>
      </w:r>
      <w:r>
        <w:rPr>
          <w:spacing w:val="-11"/>
        </w:rPr>
        <w:t> </w:t>
      </w:r>
      <w:r>
        <w:rPr/>
        <w:t>two</w:t>
      </w:r>
      <w:r>
        <w:rPr>
          <w:spacing w:val="-10"/>
        </w:rPr>
        <w:t> </w:t>
      </w:r>
      <w:r>
        <w:rPr/>
        <w:t>ways. Most commonly, all energy needed to operate CCS absorbers, compressors, pumps and other equipment is assumed to be provided within the plant boundary, thus lowering the net plant capacity (kW) and output (kWh, in the case of a power plant). The result, as shown by Equation (7), is a higher unit capital cost</w:t>
      </w:r>
      <w:r>
        <w:rPr>
          <w:spacing w:val="-11"/>
        </w:rPr>
        <w:t> </w:t>
      </w:r>
      <w:r>
        <w:rPr/>
        <w:t>(US$</w:t>
      </w:r>
      <w:r>
        <w:rPr>
          <w:spacing w:val="-10"/>
        </w:rPr>
        <w:t> </w:t>
      </w:r>
      <w:r>
        <w:rPr>
          <w:spacing w:val="-3"/>
        </w:rPr>
        <w:t>kW</w:t>
      </w:r>
      <w:r>
        <w:rPr>
          <w:spacing w:val="-3"/>
          <w:position w:val="7"/>
          <w:sz w:val="11"/>
        </w:rPr>
        <w:t>-1</w:t>
      </w:r>
      <w:r>
        <w:rPr>
          <w:spacing w:val="-3"/>
        </w:rPr>
        <w:t>)</w:t>
      </w:r>
      <w:r>
        <w:rPr>
          <w:spacing w:val="-10"/>
        </w:rPr>
        <w:t> </w:t>
      </w:r>
      <w:r>
        <w:rPr/>
        <w:t>and</w:t>
      </w:r>
      <w:r>
        <w:rPr>
          <w:spacing w:val="-10"/>
        </w:rPr>
        <w:t> </w:t>
      </w:r>
      <w:r>
        <w:rPr/>
        <w:t>a</w:t>
      </w:r>
      <w:r>
        <w:rPr>
          <w:spacing w:val="-11"/>
        </w:rPr>
        <w:t> </w:t>
      </w:r>
      <w:r>
        <w:rPr/>
        <w:t>higher</w:t>
      </w:r>
      <w:r>
        <w:rPr>
          <w:spacing w:val="-10"/>
        </w:rPr>
        <w:t> </w:t>
      </w:r>
      <w:r>
        <w:rPr/>
        <w:t>cost</w:t>
      </w:r>
      <w:r>
        <w:rPr>
          <w:spacing w:val="-10"/>
        </w:rPr>
        <w:t> </w:t>
      </w:r>
      <w:r>
        <w:rPr/>
        <w:t>of</w:t>
      </w:r>
      <w:r>
        <w:rPr>
          <w:spacing w:val="-10"/>
        </w:rPr>
        <w:t> </w:t>
      </w:r>
      <w:r>
        <w:rPr/>
        <w:t>electricity</w:t>
      </w:r>
      <w:r>
        <w:rPr>
          <w:spacing w:val="-12"/>
        </w:rPr>
        <w:t> </w:t>
      </w:r>
      <w:r>
        <w:rPr/>
        <w:t>production</w:t>
      </w:r>
      <w:r>
        <w:rPr>
          <w:spacing w:val="-10"/>
        </w:rPr>
        <w:t> </w:t>
      </w:r>
      <w:r>
        <w:rPr/>
        <w:t>(US$ kWh</w:t>
      </w:r>
      <w:r>
        <w:rPr>
          <w:position w:val="7"/>
          <w:sz w:val="11"/>
        </w:rPr>
        <w:t>-1</w:t>
      </w:r>
      <w:r>
        <w:rPr/>
        <w:t>). Effectively, these higher unit costs reflect the expense of building and operating the incremental capacity needed to operate the CCS</w:t>
      </w:r>
      <w:r>
        <w:rPr>
          <w:spacing w:val="-1"/>
        </w:rPr>
        <w:t> </w:t>
      </w:r>
      <w:r>
        <w:rPr/>
        <w:t>system.</w:t>
      </w:r>
    </w:p>
    <w:p>
      <w:pPr>
        <w:pStyle w:val="BodyText"/>
        <w:spacing w:line="240" w:lineRule="exact" w:before="6"/>
        <w:ind w:left="513" w:right="12" w:firstLine="284"/>
        <w:jc w:val="both"/>
      </w:pPr>
      <w:r>
        <w:rPr/>
        <w:t>Alternatively, some studies - particularly for industrial processes such as hydrogen production - assume that some or all</w:t>
      </w:r>
      <w:r>
        <w:rPr>
          <w:spacing w:val="-10"/>
        </w:rPr>
        <w:t> </w:t>
      </w:r>
      <w:r>
        <w:rPr/>
        <w:t>of</w:t>
      </w:r>
      <w:r>
        <w:rPr>
          <w:spacing w:val="-10"/>
        </w:rPr>
        <w:t> </w:t>
      </w:r>
      <w:r>
        <w:rPr/>
        <w:t>the</w:t>
      </w:r>
      <w:r>
        <w:rPr>
          <w:spacing w:val="-10"/>
        </w:rPr>
        <w:t> </w:t>
      </w:r>
      <w:r>
        <w:rPr/>
        <w:t>energy</w:t>
      </w:r>
      <w:r>
        <w:rPr>
          <w:spacing w:val="-10"/>
        </w:rPr>
        <w:t> </w:t>
      </w:r>
      <w:r>
        <w:rPr/>
        <w:t>needed</w:t>
      </w:r>
      <w:r>
        <w:rPr>
          <w:spacing w:val="-9"/>
        </w:rPr>
        <w:t> </w:t>
      </w:r>
      <w:r>
        <w:rPr/>
        <w:t>to</w:t>
      </w:r>
      <w:r>
        <w:rPr>
          <w:spacing w:val="-10"/>
        </w:rPr>
        <w:t> </w:t>
      </w:r>
      <w:r>
        <w:rPr/>
        <w:t>operate</w:t>
      </w:r>
      <w:r>
        <w:rPr>
          <w:spacing w:val="-10"/>
        </w:rPr>
        <w:t> </w:t>
      </w:r>
      <w:r>
        <w:rPr/>
        <w:t>the</w:t>
      </w:r>
      <w:r>
        <w:rPr>
          <w:spacing w:val="-10"/>
        </w:rPr>
        <w:t> </w:t>
      </w:r>
      <w:r>
        <w:rPr/>
        <w:t>CCS</w:t>
      </w:r>
      <w:r>
        <w:rPr>
          <w:spacing w:val="-10"/>
        </w:rPr>
        <w:t> </w:t>
      </w:r>
      <w:r>
        <w:rPr/>
        <w:t>system</w:t>
      </w:r>
      <w:r>
        <w:rPr>
          <w:spacing w:val="-9"/>
        </w:rPr>
        <w:t> </w:t>
      </w:r>
      <w:r>
        <w:rPr/>
        <w:t>is</w:t>
      </w:r>
      <w:r>
        <w:rPr>
          <w:spacing w:val="-10"/>
        </w:rPr>
        <w:t> </w:t>
      </w:r>
      <w:r>
        <w:rPr/>
        <w:t>purchased from outside the plant boundary at some assumed price. Still other</w:t>
      </w:r>
      <w:r>
        <w:rPr>
          <w:spacing w:val="-11"/>
        </w:rPr>
        <w:t> </w:t>
      </w:r>
      <w:r>
        <w:rPr/>
        <w:t>studies</w:t>
      </w:r>
      <w:r>
        <w:rPr>
          <w:spacing w:val="-11"/>
        </w:rPr>
        <w:t> </w:t>
      </w:r>
      <w:r>
        <w:rPr/>
        <w:t>assume</w:t>
      </w:r>
      <w:r>
        <w:rPr>
          <w:spacing w:val="-10"/>
        </w:rPr>
        <w:t> </w:t>
      </w:r>
      <w:r>
        <w:rPr/>
        <w:t>that</w:t>
      </w:r>
      <w:r>
        <w:rPr>
          <w:spacing w:val="-11"/>
        </w:rPr>
        <w:t> </w:t>
      </w:r>
      <w:r>
        <w:rPr/>
        <w:t>new</w:t>
      </w:r>
      <w:r>
        <w:rPr>
          <w:spacing w:val="-11"/>
        </w:rPr>
        <w:t> </w:t>
      </w:r>
      <w:r>
        <w:rPr/>
        <w:t>equipment</w:t>
      </w:r>
      <w:r>
        <w:rPr>
          <w:spacing w:val="-10"/>
        </w:rPr>
        <w:t> </w:t>
      </w:r>
      <w:r>
        <w:rPr/>
        <w:t>is</w:t>
      </w:r>
      <w:r>
        <w:rPr>
          <w:spacing w:val="-11"/>
        </w:rPr>
        <w:t> </w:t>
      </w:r>
      <w:r>
        <w:rPr/>
        <w:t>installed</w:t>
      </w:r>
      <w:r>
        <w:rPr>
          <w:spacing w:val="-11"/>
        </w:rPr>
        <w:t> </w:t>
      </w:r>
      <w:r>
        <w:rPr/>
        <w:t>to</w:t>
      </w:r>
      <w:r>
        <w:rPr>
          <w:spacing w:val="-10"/>
        </w:rPr>
        <w:t> </w:t>
      </w:r>
      <w:r>
        <w:rPr/>
        <w:t>generate auxiliary</w:t>
      </w:r>
      <w:r>
        <w:rPr>
          <w:spacing w:val="-21"/>
        </w:rPr>
        <w:t> </w:t>
      </w:r>
      <w:r>
        <w:rPr/>
        <w:t>energy</w:t>
      </w:r>
      <w:r>
        <w:rPr>
          <w:spacing w:val="-20"/>
        </w:rPr>
        <w:t> </w:t>
      </w:r>
      <w:r>
        <w:rPr/>
        <w:t>on-site.</w:t>
      </w:r>
      <w:r>
        <w:rPr>
          <w:spacing w:val="-20"/>
        </w:rPr>
        <w:t> </w:t>
      </w:r>
      <w:r>
        <w:rPr/>
        <w:t>In</w:t>
      </w:r>
      <w:r>
        <w:rPr>
          <w:spacing w:val="-21"/>
        </w:rPr>
        <w:t> </w:t>
      </w:r>
      <w:r>
        <w:rPr/>
        <w:t>these</w:t>
      </w:r>
      <w:r>
        <w:rPr>
          <w:spacing w:val="-20"/>
        </w:rPr>
        <w:t> </w:t>
      </w:r>
      <w:r>
        <w:rPr/>
        <w:t>cases,</w:t>
      </w:r>
      <w:r>
        <w:rPr>
          <w:spacing w:val="-20"/>
        </w:rPr>
        <w:t> </w:t>
      </w:r>
      <w:r>
        <w:rPr/>
        <w:t>the</w:t>
      </w:r>
      <w:r>
        <w:rPr>
          <w:spacing w:val="-20"/>
        </w:rPr>
        <w:t> </w:t>
      </w:r>
      <w:r>
        <w:rPr/>
        <w:t>net</w:t>
      </w:r>
      <w:r>
        <w:rPr>
          <w:spacing w:val="-21"/>
        </w:rPr>
        <w:t> </w:t>
      </w:r>
      <w:r>
        <w:rPr/>
        <w:t>plant</w:t>
      </w:r>
      <w:r>
        <w:rPr>
          <w:spacing w:val="-20"/>
        </w:rPr>
        <w:t> </w:t>
      </w:r>
      <w:r>
        <w:rPr/>
        <w:t>capacity</w:t>
      </w:r>
      <w:r>
        <w:rPr>
          <w:spacing w:val="-20"/>
        </w:rPr>
        <w:t> </w:t>
      </w:r>
      <w:r>
        <w:rPr>
          <w:spacing w:val="-4"/>
        </w:rPr>
        <w:t>and </w:t>
      </w:r>
      <w:r>
        <w:rPr/>
        <w:t>output</w:t>
      </w:r>
      <w:r>
        <w:rPr>
          <w:spacing w:val="-16"/>
        </w:rPr>
        <w:t> </w:t>
      </w:r>
      <w:r>
        <w:rPr/>
        <w:t>may</w:t>
      </w:r>
      <w:r>
        <w:rPr>
          <w:spacing w:val="-15"/>
        </w:rPr>
        <w:t> </w:t>
      </w:r>
      <w:r>
        <w:rPr/>
        <w:t>or</w:t>
      </w:r>
      <w:r>
        <w:rPr>
          <w:spacing w:val="-16"/>
        </w:rPr>
        <w:t> </w:t>
      </w:r>
      <w:r>
        <w:rPr/>
        <w:t>may</w:t>
      </w:r>
      <w:r>
        <w:rPr>
          <w:spacing w:val="-15"/>
        </w:rPr>
        <w:t> </w:t>
      </w:r>
      <w:r>
        <w:rPr/>
        <w:t>not</w:t>
      </w:r>
      <w:r>
        <w:rPr>
          <w:spacing w:val="-16"/>
        </w:rPr>
        <w:t> </w:t>
      </w:r>
      <w:r>
        <w:rPr/>
        <w:t>change</w:t>
      </w:r>
      <w:r>
        <w:rPr>
          <w:spacing w:val="-15"/>
        </w:rPr>
        <w:t> </w:t>
      </w:r>
      <w:r>
        <w:rPr/>
        <w:t>and</w:t>
      </w:r>
      <w:r>
        <w:rPr>
          <w:spacing w:val="-16"/>
        </w:rPr>
        <w:t> </w:t>
      </w:r>
      <w:r>
        <w:rPr/>
        <w:t>may</w:t>
      </w:r>
      <w:r>
        <w:rPr>
          <w:spacing w:val="-15"/>
        </w:rPr>
        <w:t> </w:t>
      </w:r>
      <w:r>
        <w:rPr/>
        <w:t>even</w:t>
      </w:r>
      <w:r>
        <w:rPr>
          <w:spacing w:val="-15"/>
        </w:rPr>
        <w:t> </w:t>
      </w:r>
      <w:r>
        <w:rPr/>
        <w:t>increase.</w:t>
      </w:r>
      <w:r>
        <w:rPr>
          <w:spacing w:val="-16"/>
        </w:rPr>
        <w:t> </w:t>
      </w:r>
      <w:r>
        <w:rPr/>
        <w:t>However, the COE in Equation (7) again will rise due to the increases in VOM costs (for purchased energy) and (if applicable) capital costs for additional equipment. The assumption of purchased power, however, does not guarantee a full accounting of </w:t>
      </w:r>
      <w:r>
        <w:rPr>
          <w:spacing w:val="-4"/>
        </w:rPr>
        <w:t>the </w:t>
      </w:r>
      <w:r>
        <w:rPr/>
        <w:t>replacement costs or CO</w:t>
      </w:r>
      <w:r>
        <w:rPr>
          <w:position w:val="-6"/>
          <w:sz w:val="11"/>
        </w:rPr>
        <w:t>2 </w:t>
      </w:r>
      <w:r>
        <w:rPr/>
        <w:t>emissions associated with CCS. In all cases, however, the larger the CCS energy requirement, the greater the difference between the costs of CO</w:t>
      </w:r>
      <w:r>
        <w:rPr>
          <w:position w:val="-6"/>
          <w:sz w:val="11"/>
        </w:rPr>
        <w:t>2 </w:t>
      </w:r>
      <w:r>
        <w:rPr/>
        <w:t>captured </w:t>
      </w:r>
      <w:r>
        <w:rPr>
          <w:spacing w:val="-4"/>
        </w:rPr>
        <w:t>and </w:t>
      </w:r>
      <w:r>
        <w:rPr/>
        <w:t>avoided.</w:t>
      </w:r>
    </w:p>
    <w:p>
      <w:pPr>
        <w:pStyle w:val="BodyText"/>
        <w:spacing w:before="4"/>
        <w:rPr>
          <w:sz w:val="21"/>
        </w:rPr>
      </w:pPr>
    </w:p>
    <w:p>
      <w:pPr>
        <w:pStyle w:val="ListParagraph"/>
        <w:numPr>
          <w:ilvl w:val="3"/>
          <w:numId w:val="27"/>
        </w:numPr>
        <w:tabs>
          <w:tab w:pos="1334" w:val="left" w:leader="none"/>
        </w:tabs>
        <w:spacing w:line="240" w:lineRule="auto" w:before="0" w:after="0"/>
        <w:ind w:left="1333" w:right="0" w:hanging="821"/>
        <w:jc w:val="both"/>
        <w:rPr>
          <w:i/>
          <w:sz w:val="20"/>
        </w:rPr>
      </w:pPr>
      <w:r>
        <w:rPr>
          <w:i/>
          <w:sz w:val="20"/>
        </w:rPr>
        <w:t>Other measures of</w:t>
      </w:r>
      <w:r>
        <w:rPr>
          <w:i/>
          <w:spacing w:val="-2"/>
          <w:sz w:val="20"/>
        </w:rPr>
        <w:t> </w:t>
      </w:r>
      <w:r>
        <w:rPr>
          <w:i/>
          <w:sz w:val="20"/>
        </w:rPr>
        <w:t>cost</w:t>
      </w:r>
    </w:p>
    <w:p>
      <w:pPr>
        <w:pStyle w:val="BodyText"/>
        <w:spacing w:line="240" w:lineRule="exact" w:before="5"/>
        <w:ind w:left="513" w:right="11"/>
        <w:jc w:val="both"/>
      </w:pPr>
      <w:r>
        <w:rPr/>
        <w:t>The cost measures above characterize the expense of adding CO</w:t>
      </w:r>
      <w:r>
        <w:rPr>
          <w:position w:val="-6"/>
          <w:sz w:val="11"/>
        </w:rPr>
        <w:t>2 </w:t>
      </w:r>
      <w:r>
        <w:rPr/>
        <w:t>capture to a single plant of a given type and operating profile. A broader modelling framework is needed to address questions involving multiple plants (e.g., a utility system, regional grid, or national network), or decisions about what type of plant to build (and when). Macroeconomic models that include emission control costs as elements of a more complex framework typically yield cost measures such as the change   in gross domestic product (GDP) from the imposition of </w:t>
      </w:r>
      <w:r>
        <w:rPr>
          <w:spacing w:val="-11"/>
        </w:rPr>
        <w:t>a </w:t>
      </w:r>
      <w:r>
        <w:rPr/>
        <w:t>carbon constraint, along with changes in the average cost of electricity and cost per tonne of CO</w:t>
      </w:r>
      <w:r>
        <w:rPr>
          <w:position w:val="-6"/>
          <w:sz w:val="11"/>
        </w:rPr>
        <w:t>2 </w:t>
      </w:r>
      <w:r>
        <w:rPr/>
        <w:t>abated. Such measures  are often useful for policy analysis, but reflect many</w:t>
      </w:r>
      <w:r>
        <w:rPr>
          <w:spacing w:val="-3"/>
        </w:rPr>
        <w:t> </w:t>
      </w:r>
      <w:r>
        <w:rPr/>
        <w:t>additional</w:t>
      </w:r>
    </w:p>
    <w:p>
      <w:pPr>
        <w:pStyle w:val="BodyText"/>
        <w:spacing w:line="193" w:lineRule="exact"/>
        <w:ind w:left="227"/>
        <w:jc w:val="both"/>
      </w:pPr>
      <w:r>
        <w:rPr/>
        <w:br w:type="column"/>
      </w:r>
      <w:r>
        <w:rPr/>
        <w:t>the cost of technology. Chapter 8 provides a discussion of</w:t>
      </w:r>
    </w:p>
    <w:p>
      <w:pPr>
        <w:pStyle w:val="BodyText"/>
        <w:spacing w:before="10"/>
        <w:ind w:left="227"/>
        <w:jc w:val="both"/>
      </w:pPr>
      <w:r>
        <w:rPr/>
        <w:t>macroeconomic modelling as it relates to CO</w:t>
      </w:r>
      <w:r>
        <w:rPr>
          <w:position w:val="-6"/>
          <w:sz w:val="11"/>
        </w:rPr>
        <w:t>2 </w:t>
      </w:r>
      <w:r>
        <w:rPr/>
        <w:t>capture costs.</w:t>
      </w:r>
    </w:p>
    <w:p>
      <w:pPr>
        <w:pStyle w:val="Heading2"/>
        <w:numPr>
          <w:ilvl w:val="2"/>
          <w:numId w:val="28"/>
        </w:numPr>
        <w:tabs>
          <w:tab w:pos="1047" w:val="left" w:leader="none"/>
          <w:tab w:pos="1048" w:val="left" w:leader="none"/>
        </w:tabs>
        <w:spacing w:line="240" w:lineRule="auto" w:before="199" w:after="0"/>
        <w:ind w:left="1047" w:right="0" w:hanging="821"/>
        <w:jc w:val="left"/>
        <w:rPr>
          <w:i/>
        </w:rPr>
      </w:pPr>
      <w:r>
        <w:rPr>
          <w:i/>
        </w:rPr>
        <w:t>The context for current cost estimates</w:t>
      </w:r>
    </w:p>
    <w:p>
      <w:pPr>
        <w:pStyle w:val="BodyText"/>
        <w:spacing w:before="3"/>
        <w:rPr>
          <w:b/>
          <w:i/>
          <w:sz w:val="21"/>
        </w:rPr>
      </w:pPr>
    </w:p>
    <w:p>
      <w:pPr>
        <w:pStyle w:val="BodyText"/>
        <w:spacing w:line="240" w:lineRule="exact"/>
        <w:ind w:left="227" w:right="112"/>
        <w:jc w:val="both"/>
      </w:pPr>
      <w:r>
        <w:rPr/>
        <w:t>Recall</w:t>
      </w:r>
      <w:r>
        <w:rPr>
          <w:spacing w:val="-18"/>
        </w:rPr>
        <w:t> </w:t>
      </w:r>
      <w:r>
        <w:rPr/>
        <w:t>that</w:t>
      </w:r>
      <w:r>
        <w:rPr>
          <w:spacing w:val="-18"/>
        </w:rPr>
        <w:t> </w:t>
      </w:r>
      <w:r>
        <w:rPr/>
        <w:t>CO</w:t>
      </w:r>
      <w:r>
        <w:rPr>
          <w:position w:val="-6"/>
          <w:sz w:val="11"/>
        </w:rPr>
        <w:t>2</w:t>
      </w:r>
      <w:r>
        <w:rPr>
          <w:spacing w:val="6"/>
          <w:position w:val="-6"/>
          <w:sz w:val="11"/>
        </w:rPr>
        <w:t> </w:t>
      </w:r>
      <w:r>
        <w:rPr/>
        <w:t>capture,</w:t>
      </w:r>
      <w:r>
        <w:rPr>
          <w:spacing w:val="-18"/>
        </w:rPr>
        <w:t> </w:t>
      </w:r>
      <w:r>
        <w:rPr/>
        <w:t>while</w:t>
      </w:r>
      <w:r>
        <w:rPr>
          <w:spacing w:val="-17"/>
        </w:rPr>
        <w:t> </w:t>
      </w:r>
      <w:r>
        <w:rPr/>
        <w:t>practiced</w:t>
      </w:r>
      <w:r>
        <w:rPr>
          <w:spacing w:val="-18"/>
        </w:rPr>
        <w:t> </w:t>
      </w:r>
      <w:r>
        <w:rPr/>
        <w:t>today</w:t>
      </w:r>
      <w:r>
        <w:rPr>
          <w:spacing w:val="-17"/>
        </w:rPr>
        <w:t> </w:t>
      </w:r>
      <w:r>
        <w:rPr/>
        <w:t>in</w:t>
      </w:r>
      <w:r>
        <w:rPr>
          <w:spacing w:val="-18"/>
        </w:rPr>
        <w:t> </w:t>
      </w:r>
      <w:r>
        <w:rPr/>
        <w:t>some</w:t>
      </w:r>
      <w:r>
        <w:rPr>
          <w:spacing w:val="-17"/>
        </w:rPr>
        <w:t> </w:t>
      </w:r>
      <w:r>
        <w:rPr/>
        <w:t>industrial applications, is not currently a commercial technology used </w:t>
      </w:r>
      <w:r>
        <w:rPr>
          <w:spacing w:val="-6"/>
        </w:rPr>
        <w:t>at </w:t>
      </w:r>
      <w:r>
        <w:rPr/>
        <w:t>large electric power plants, which are the focus of most CCS studies. Thus, cost estimates for CO</w:t>
      </w:r>
      <w:r>
        <w:rPr>
          <w:position w:val="-6"/>
          <w:sz w:val="11"/>
        </w:rPr>
        <w:t>2 </w:t>
      </w:r>
      <w:r>
        <w:rPr/>
        <w:t>capture systems rely mainly</w:t>
      </w:r>
      <w:r>
        <w:rPr>
          <w:spacing w:val="-6"/>
        </w:rPr>
        <w:t> </w:t>
      </w:r>
      <w:r>
        <w:rPr/>
        <w:t>on</w:t>
      </w:r>
      <w:r>
        <w:rPr>
          <w:spacing w:val="-5"/>
        </w:rPr>
        <w:t> </w:t>
      </w:r>
      <w:r>
        <w:rPr/>
        <w:t>studies</w:t>
      </w:r>
      <w:r>
        <w:rPr>
          <w:spacing w:val="-5"/>
        </w:rPr>
        <w:t> </w:t>
      </w:r>
      <w:r>
        <w:rPr/>
        <w:t>of</w:t>
      </w:r>
      <w:r>
        <w:rPr>
          <w:spacing w:val="-6"/>
        </w:rPr>
        <w:t> </w:t>
      </w:r>
      <w:r>
        <w:rPr/>
        <w:t>hypothetical</w:t>
      </w:r>
      <w:r>
        <w:rPr>
          <w:spacing w:val="-5"/>
        </w:rPr>
        <w:t> </w:t>
      </w:r>
      <w:r>
        <w:rPr/>
        <w:t>plants.</w:t>
      </w:r>
      <w:r>
        <w:rPr>
          <w:spacing w:val="-5"/>
        </w:rPr>
        <w:t> </w:t>
      </w:r>
      <w:r>
        <w:rPr/>
        <w:t>Published</w:t>
      </w:r>
      <w:r>
        <w:rPr>
          <w:spacing w:val="-6"/>
        </w:rPr>
        <w:t> </w:t>
      </w:r>
      <w:r>
        <w:rPr/>
        <w:t>studies</w:t>
      </w:r>
      <w:r>
        <w:rPr>
          <w:spacing w:val="-5"/>
        </w:rPr>
        <w:t> </w:t>
      </w:r>
      <w:r>
        <w:rPr/>
        <w:t>also differ significantly in the assumptions used for cost estimation. Equation (7), for example, shows that the plant capacity factor has a major impact on the cost of electric power generation,   as do the plant lifetime and discount rate used to compute the fixed charge factor. The COE, in turn, is a key element of CO</w:t>
      </w:r>
      <w:r>
        <w:rPr>
          <w:position w:val="-6"/>
          <w:sz w:val="11"/>
        </w:rPr>
        <w:t>2 </w:t>
      </w:r>
      <w:r>
        <w:rPr/>
        <w:t>avoidance cost, Equation (8). Thus, a high plant capacity</w:t>
      </w:r>
      <w:r>
        <w:rPr>
          <w:spacing w:val="-27"/>
        </w:rPr>
        <w:t> </w:t>
      </w:r>
      <w:r>
        <w:rPr/>
        <w:t>factor or a low fixed charge rate will lower the cost of CO</w:t>
      </w:r>
      <w:r>
        <w:rPr>
          <w:position w:val="-6"/>
          <w:sz w:val="11"/>
        </w:rPr>
        <w:t>2 </w:t>
      </w:r>
      <w:r>
        <w:rPr/>
        <w:t>capture per kWh. The choice of other important parameters, such as the plant size, efficiency, fuel type and CO</w:t>
      </w:r>
      <w:r>
        <w:rPr>
          <w:position w:val="-6"/>
          <w:sz w:val="11"/>
        </w:rPr>
        <w:t>2 </w:t>
      </w:r>
      <w:r>
        <w:rPr/>
        <w:t>removal rate will similarly affect the CO</w:t>
      </w:r>
      <w:r>
        <w:rPr>
          <w:position w:val="-6"/>
          <w:sz w:val="11"/>
        </w:rPr>
        <w:t>2 </w:t>
      </w:r>
      <w:r>
        <w:rPr/>
        <w:t>capture cost. Less apparent, but often equally</w:t>
      </w:r>
      <w:r>
        <w:rPr>
          <w:spacing w:val="-15"/>
        </w:rPr>
        <w:t> </w:t>
      </w:r>
      <w:r>
        <w:rPr/>
        <w:t>important,</w:t>
      </w:r>
      <w:r>
        <w:rPr>
          <w:spacing w:val="-14"/>
        </w:rPr>
        <w:t> </w:t>
      </w:r>
      <w:r>
        <w:rPr/>
        <w:t>are</w:t>
      </w:r>
      <w:r>
        <w:rPr>
          <w:spacing w:val="-15"/>
        </w:rPr>
        <w:t> </w:t>
      </w:r>
      <w:r>
        <w:rPr/>
        <w:t>assumptions</w:t>
      </w:r>
      <w:r>
        <w:rPr>
          <w:spacing w:val="-14"/>
        </w:rPr>
        <w:t> </w:t>
      </w:r>
      <w:r>
        <w:rPr/>
        <w:t>about</w:t>
      </w:r>
      <w:r>
        <w:rPr>
          <w:spacing w:val="-14"/>
        </w:rPr>
        <w:t> </w:t>
      </w:r>
      <w:r>
        <w:rPr/>
        <w:t>parameters</w:t>
      </w:r>
      <w:r>
        <w:rPr>
          <w:spacing w:val="-15"/>
        </w:rPr>
        <w:t> </w:t>
      </w:r>
      <w:r>
        <w:rPr/>
        <w:t>such</w:t>
      </w:r>
      <w:r>
        <w:rPr>
          <w:spacing w:val="-14"/>
        </w:rPr>
        <w:t> </w:t>
      </w:r>
      <w:r>
        <w:rPr/>
        <w:t>as</w:t>
      </w:r>
      <w:r>
        <w:rPr>
          <w:spacing w:val="-14"/>
        </w:rPr>
        <w:t> </w:t>
      </w:r>
      <w:r>
        <w:rPr/>
        <w:t>the ‘contingency cost factors’ embedded in capital cost estimates to account for unspecified costs anticipated for technologies at an early stage of development, or for commercial systems that have not yet been demonstrated for the application, location, </w:t>
      </w:r>
      <w:r>
        <w:rPr>
          <w:spacing w:val="-7"/>
        </w:rPr>
        <w:t>or </w:t>
      </w:r>
      <w:r>
        <w:rPr/>
        <w:t>plant scale under</w:t>
      </w:r>
      <w:r>
        <w:rPr>
          <w:spacing w:val="-2"/>
        </w:rPr>
        <w:t> </w:t>
      </w:r>
      <w:r>
        <w:rPr>
          <w:spacing w:val="-3"/>
        </w:rPr>
        <w:t>study.</w:t>
      </w:r>
    </w:p>
    <w:p>
      <w:pPr>
        <w:pStyle w:val="BodyText"/>
        <w:spacing w:line="240" w:lineRule="exact"/>
        <w:ind w:left="227" w:right="113" w:firstLine="284"/>
        <w:jc w:val="both"/>
      </w:pPr>
      <w:r>
        <w:rPr/>
        <w:t>Because of the variability of assumptions employed </w:t>
      </w:r>
      <w:r>
        <w:rPr>
          <w:spacing w:val="-6"/>
        </w:rPr>
        <w:t>in </w:t>
      </w:r>
      <w:r>
        <w:rPr/>
        <w:t>different</w:t>
      </w:r>
      <w:r>
        <w:rPr>
          <w:spacing w:val="-18"/>
        </w:rPr>
        <w:t> </w:t>
      </w:r>
      <w:r>
        <w:rPr/>
        <w:t>studies</w:t>
      </w:r>
      <w:r>
        <w:rPr>
          <w:spacing w:val="-19"/>
        </w:rPr>
        <w:t> </w:t>
      </w:r>
      <w:r>
        <w:rPr/>
        <w:t>of</w:t>
      </w:r>
      <w:r>
        <w:rPr>
          <w:spacing w:val="-17"/>
        </w:rPr>
        <w:t> </w:t>
      </w:r>
      <w:r>
        <w:rPr/>
        <w:t>CO</w:t>
      </w:r>
      <w:r>
        <w:rPr>
          <w:position w:val="-6"/>
          <w:sz w:val="11"/>
        </w:rPr>
        <w:t>2</w:t>
      </w:r>
      <w:r>
        <w:rPr>
          <w:spacing w:val="4"/>
          <w:position w:val="-6"/>
          <w:sz w:val="11"/>
        </w:rPr>
        <w:t> </w:t>
      </w:r>
      <w:r>
        <w:rPr/>
        <w:t>capture,</w:t>
      </w:r>
      <w:r>
        <w:rPr>
          <w:spacing w:val="-18"/>
        </w:rPr>
        <w:t> </w:t>
      </w:r>
      <w:r>
        <w:rPr/>
        <w:t>a</w:t>
      </w:r>
      <w:r>
        <w:rPr>
          <w:spacing w:val="-17"/>
        </w:rPr>
        <w:t> </w:t>
      </w:r>
      <w:r>
        <w:rPr/>
        <w:t>systematic</w:t>
      </w:r>
      <w:r>
        <w:rPr>
          <w:spacing w:val="-19"/>
        </w:rPr>
        <w:t> </w:t>
      </w:r>
      <w:r>
        <w:rPr/>
        <w:t>comparison</w:t>
      </w:r>
      <w:r>
        <w:rPr>
          <w:spacing w:val="-18"/>
        </w:rPr>
        <w:t> </w:t>
      </w:r>
      <w:r>
        <w:rPr/>
        <w:t>of</w:t>
      </w:r>
      <w:r>
        <w:rPr>
          <w:spacing w:val="-17"/>
        </w:rPr>
        <w:t> </w:t>
      </w:r>
      <w:r>
        <w:rPr/>
        <w:t>cost results is not straightforward (or even possible in most cases). Moreover, there is no universally ‘correct’ set of assumptions that apply to all the parameters affecting CO</w:t>
      </w:r>
      <w:r>
        <w:rPr>
          <w:position w:val="-6"/>
          <w:sz w:val="11"/>
        </w:rPr>
        <w:t>2 </w:t>
      </w:r>
      <w:r>
        <w:rPr/>
        <w:t>capture cost. For example, the quality and cost of natural gas or coal delivered to power plants in Europe and the United States may differ markedly. </w:t>
      </w:r>
      <w:r>
        <w:rPr>
          <w:spacing w:val="-3"/>
        </w:rPr>
        <w:t>Similarly, </w:t>
      </w:r>
      <w:r>
        <w:rPr/>
        <w:t>the cost of capital for a municipal or government-owned</w:t>
      </w:r>
      <w:r>
        <w:rPr>
          <w:spacing w:val="-8"/>
        </w:rPr>
        <w:t> </w:t>
      </w:r>
      <w:r>
        <w:rPr/>
        <w:t>utility</w:t>
      </w:r>
      <w:r>
        <w:rPr>
          <w:spacing w:val="-8"/>
        </w:rPr>
        <w:t> </w:t>
      </w:r>
      <w:r>
        <w:rPr/>
        <w:t>may</w:t>
      </w:r>
      <w:r>
        <w:rPr>
          <w:spacing w:val="-8"/>
        </w:rPr>
        <w:t> </w:t>
      </w:r>
      <w:r>
        <w:rPr/>
        <w:t>be</w:t>
      </w:r>
      <w:r>
        <w:rPr>
          <w:spacing w:val="-7"/>
        </w:rPr>
        <w:t> </w:t>
      </w:r>
      <w:r>
        <w:rPr/>
        <w:t>significantly</w:t>
      </w:r>
      <w:r>
        <w:rPr>
          <w:spacing w:val="-7"/>
        </w:rPr>
        <w:t> </w:t>
      </w:r>
      <w:r>
        <w:rPr/>
        <w:t>lower</w:t>
      </w:r>
      <w:r>
        <w:rPr>
          <w:spacing w:val="-8"/>
        </w:rPr>
        <w:t> </w:t>
      </w:r>
      <w:r>
        <w:rPr/>
        <w:t>than</w:t>
      </w:r>
      <w:r>
        <w:rPr>
          <w:spacing w:val="-7"/>
        </w:rPr>
        <w:t> </w:t>
      </w:r>
      <w:r>
        <w:rPr/>
        <w:t>for</w:t>
      </w:r>
      <w:r>
        <w:rPr>
          <w:spacing w:val="-8"/>
        </w:rPr>
        <w:t> </w:t>
      </w:r>
      <w:r>
        <w:rPr/>
        <w:t>a privately-owned</w:t>
      </w:r>
      <w:r>
        <w:rPr>
          <w:spacing w:val="-18"/>
        </w:rPr>
        <w:t> </w:t>
      </w:r>
      <w:r>
        <w:rPr/>
        <w:t>utility</w:t>
      </w:r>
      <w:r>
        <w:rPr>
          <w:spacing w:val="-18"/>
        </w:rPr>
        <w:t> </w:t>
      </w:r>
      <w:r>
        <w:rPr/>
        <w:t>operating</w:t>
      </w:r>
      <w:r>
        <w:rPr>
          <w:spacing w:val="-16"/>
        </w:rPr>
        <w:t> </w:t>
      </w:r>
      <w:r>
        <w:rPr/>
        <w:t>in</w:t>
      </w:r>
      <w:r>
        <w:rPr>
          <w:spacing w:val="-17"/>
        </w:rPr>
        <w:t> </w:t>
      </w:r>
      <w:r>
        <w:rPr/>
        <w:t>a</w:t>
      </w:r>
      <w:r>
        <w:rPr>
          <w:spacing w:val="-16"/>
        </w:rPr>
        <w:t> </w:t>
      </w:r>
      <w:r>
        <w:rPr/>
        <w:t>competitive</w:t>
      </w:r>
      <w:r>
        <w:rPr>
          <w:spacing w:val="-18"/>
        </w:rPr>
        <w:t> </w:t>
      </w:r>
      <w:r>
        <w:rPr/>
        <w:t>market.</w:t>
      </w:r>
      <w:r>
        <w:rPr>
          <w:spacing w:val="-20"/>
        </w:rPr>
        <w:t> </w:t>
      </w:r>
      <w:r>
        <w:rPr>
          <w:spacing w:val="-3"/>
        </w:rPr>
        <w:t>These </w:t>
      </w:r>
      <w:r>
        <w:rPr/>
        <w:t>and other factors lead to real differences in CO</w:t>
      </w:r>
      <w:r>
        <w:rPr>
          <w:position w:val="-6"/>
          <w:sz w:val="11"/>
        </w:rPr>
        <w:t>2 </w:t>
      </w:r>
      <w:r>
        <w:rPr/>
        <w:t>capture costs for a given technology or power generation system. Thus, we seek in this report to elucidate the key assumptions employed in different studies of similar systems and technologies and their resulting impact on the cost of CO</w:t>
      </w:r>
      <w:r>
        <w:rPr>
          <w:position w:val="-6"/>
          <w:sz w:val="11"/>
        </w:rPr>
        <w:t>2 </w:t>
      </w:r>
      <w:r>
        <w:rPr/>
        <w:t>capture. Analyses comparing the costs of alternative systems on an internally consistent basis (within a particular study) also are</w:t>
      </w:r>
      <w:r>
        <w:rPr>
          <w:spacing w:val="-29"/>
        </w:rPr>
        <w:t> </w:t>
      </w:r>
      <w:r>
        <w:rPr/>
        <w:t>highlighted. Nor are all studies equally credible, considering their vintage, data sources, level of detail and extent of peer review. Thus, the approach adopted here is to rely as much as possible on recent peer-reviewed literature, together with other publicly- available studies by governmental and private organizations heavily</w:t>
      </w:r>
      <w:r>
        <w:rPr>
          <w:spacing w:val="-11"/>
        </w:rPr>
        <w:t> </w:t>
      </w:r>
      <w:r>
        <w:rPr/>
        <w:t>involved</w:t>
      </w:r>
      <w:r>
        <w:rPr>
          <w:spacing w:val="-11"/>
        </w:rPr>
        <w:t> </w:t>
      </w:r>
      <w:r>
        <w:rPr/>
        <w:t>in</w:t>
      </w:r>
      <w:r>
        <w:rPr>
          <w:spacing w:val="-11"/>
        </w:rPr>
        <w:t> </w:t>
      </w:r>
      <w:r>
        <w:rPr/>
        <w:t>the</w:t>
      </w:r>
      <w:r>
        <w:rPr>
          <w:spacing w:val="-11"/>
        </w:rPr>
        <w:t> </w:t>
      </w:r>
      <w:r>
        <w:rPr/>
        <w:t>field</w:t>
      </w:r>
      <w:r>
        <w:rPr>
          <w:spacing w:val="-11"/>
        </w:rPr>
        <w:t> </w:t>
      </w:r>
      <w:r>
        <w:rPr/>
        <w:t>of</w:t>
      </w:r>
      <w:r>
        <w:rPr>
          <w:spacing w:val="-11"/>
        </w:rPr>
        <w:t> </w:t>
      </w:r>
      <w:r>
        <w:rPr/>
        <w:t>CO</w:t>
      </w:r>
      <w:r>
        <w:rPr>
          <w:position w:val="-6"/>
          <w:sz w:val="11"/>
        </w:rPr>
        <w:t>2</w:t>
      </w:r>
      <w:r>
        <w:rPr>
          <w:spacing w:val="12"/>
          <w:position w:val="-6"/>
          <w:sz w:val="11"/>
        </w:rPr>
        <w:t> </w:t>
      </w:r>
      <w:r>
        <w:rPr/>
        <w:t>capture.</w:t>
      </w:r>
      <w:r>
        <w:rPr>
          <w:spacing w:val="-11"/>
        </w:rPr>
        <w:t> </w:t>
      </w:r>
      <w:r>
        <w:rPr/>
        <w:t>Later,</w:t>
      </w:r>
      <w:r>
        <w:rPr>
          <w:spacing w:val="-11"/>
        </w:rPr>
        <w:t> </w:t>
      </w:r>
      <w:r>
        <w:rPr/>
        <w:t>in</w:t>
      </w:r>
      <w:r>
        <w:rPr>
          <w:spacing w:val="-10"/>
        </w:rPr>
        <w:t> </w:t>
      </w:r>
      <w:r>
        <w:rPr/>
        <w:t>Chapter</w:t>
      </w:r>
      <w:r>
        <w:rPr>
          <w:spacing w:val="-11"/>
        </w:rPr>
        <w:t> </w:t>
      </w:r>
      <w:r>
        <w:rPr/>
        <w:t>8, the range of capture costs reported here are combined with</w:t>
      </w:r>
      <w:r>
        <w:rPr>
          <w:spacing w:val="-33"/>
        </w:rPr>
        <w:t> </w:t>
      </w:r>
      <w:r>
        <w:rPr/>
        <w:t>cost estimates for CO</w:t>
      </w:r>
      <w:r>
        <w:rPr>
          <w:position w:val="-6"/>
          <w:sz w:val="11"/>
        </w:rPr>
        <w:t>2 </w:t>
      </w:r>
      <w:r>
        <w:rPr/>
        <w:t>transport and storage to arrive at estimates  of the overall cost of CCS for selected power systems and industrial processes.</w:t>
      </w:r>
    </w:p>
    <w:p>
      <w:pPr>
        <w:spacing w:after="0" w:line="240" w:lineRule="exact"/>
        <w:jc w:val="both"/>
        <w:sectPr>
          <w:type w:val="continuous"/>
          <w:pgSz w:w="12240" w:h="15840"/>
          <w:pgMar w:top="480" w:bottom="280" w:left="620" w:right="620"/>
          <w:cols w:num="2" w:equalWidth="0">
            <w:col w:w="5573" w:space="40"/>
            <w:col w:w="5387"/>
          </w:cols>
        </w:sectPr>
      </w:pPr>
    </w:p>
    <w:p>
      <w:pPr>
        <w:spacing w:before="69" w:after="41"/>
        <w:ind w:left="117" w:right="0" w:firstLine="0"/>
        <w:jc w:val="left"/>
        <w:rPr>
          <w:sz w:val="18"/>
        </w:rPr>
      </w:pPr>
      <w:bookmarkStart w:name="3.7.4 Overview of technologies and syste" w:id="72"/>
      <w:bookmarkEnd w:id="72"/>
      <w:r>
        <w:rPr/>
      </w:r>
      <w:bookmarkStart w:name="3.7.5 Post-combustion CO2 capture cost f" w:id="73"/>
      <w:bookmarkEnd w:id="73"/>
      <w:r>
        <w:rPr/>
      </w:r>
      <w:bookmarkStart w:name="_bookmark26" w:id="74"/>
      <w:bookmarkEnd w:id="74"/>
      <w:r>
        <w:rPr/>
      </w:r>
      <w:bookmarkStart w:name="_bookmark27" w:id="75"/>
      <w:bookmarkEnd w:id="75"/>
      <w:r>
        <w:rPr/>
      </w:r>
      <w:bookmarkStart w:name="_bookmark28" w:id="76"/>
      <w:bookmarkEnd w:id="76"/>
      <w:r>
        <w:rPr/>
      </w:r>
      <w:r>
        <w:rPr>
          <w:b/>
          <w:spacing w:val="-17"/>
          <w:w w:val="200"/>
          <w:sz w:val="18"/>
        </w:rPr>
        <w:t>t</w:t>
      </w:r>
      <w:r>
        <w:rPr>
          <w:b/>
          <w:sz w:val="18"/>
        </w:rPr>
        <w:t>able</w:t>
      </w:r>
      <w:r>
        <w:rPr>
          <w:b/>
          <w:spacing w:val="4"/>
          <w:sz w:val="18"/>
        </w:rPr>
        <w:t> </w:t>
      </w:r>
      <w:r>
        <w:rPr>
          <w:b/>
          <w:sz w:val="18"/>
        </w:rPr>
        <w:t>3.6</w:t>
      </w:r>
      <w:r>
        <w:rPr>
          <w:b/>
          <w:spacing w:val="4"/>
          <w:sz w:val="18"/>
        </w:rPr>
        <w:t> </w:t>
      </w:r>
      <w:r>
        <w:rPr>
          <w:sz w:val="18"/>
        </w:rPr>
        <w:t>Confidence</w:t>
      </w:r>
      <w:r>
        <w:rPr>
          <w:spacing w:val="4"/>
          <w:sz w:val="18"/>
        </w:rPr>
        <w:t> </w:t>
      </w:r>
      <w:r>
        <w:rPr>
          <w:sz w:val="18"/>
        </w:rPr>
        <w:t>levels</w:t>
      </w:r>
      <w:r>
        <w:rPr>
          <w:spacing w:val="4"/>
          <w:sz w:val="18"/>
        </w:rPr>
        <w:t> </w:t>
      </w:r>
      <w:r>
        <w:rPr>
          <w:sz w:val="18"/>
        </w:rPr>
        <w:t>for</w:t>
      </w:r>
      <w:r>
        <w:rPr>
          <w:spacing w:val="4"/>
          <w:sz w:val="18"/>
        </w:rPr>
        <w:t> </w:t>
      </w:r>
      <w:r>
        <w:rPr>
          <w:sz w:val="18"/>
        </w:rPr>
        <w:t>technology</w:t>
      </w:r>
      <w:r>
        <w:rPr>
          <w:spacing w:val="4"/>
          <w:sz w:val="18"/>
        </w:rPr>
        <w:t> </w:t>
      </w:r>
      <w:r>
        <w:rPr>
          <w:sz w:val="18"/>
        </w:rPr>
        <w:t>and</w:t>
      </w:r>
      <w:r>
        <w:rPr>
          <w:spacing w:val="4"/>
          <w:sz w:val="18"/>
        </w:rPr>
        <w:t> </w:t>
      </w:r>
      <w:r>
        <w:rPr>
          <w:spacing w:val="-1"/>
          <w:sz w:val="18"/>
        </w:rPr>
        <w:t>syste</w:t>
      </w:r>
      <w:r>
        <w:rPr>
          <w:sz w:val="18"/>
        </w:rPr>
        <w:t>m</w:t>
      </w:r>
      <w:r>
        <w:rPr>
          <w:spacing w:val="4"/>
          <w:sz w:val="18"/>
        </w:rPr>
        <w:t> </w:t>
      </w:r>
      <w:r>
        <w:rPr>
          <w:sz w:val="18"/>
        </w:rPr>
        <w:t>cost</w:t>
      </w:r>
      <w:r>
        <w:rPr>
          <w:spacing w:val="4"/>
          <w:sz w:val="18"/>
        </w:rPr>
        <w:t> </w:t>
      </w:r>
      <w:r>
        <w:rPr>
          <w:sz w:val="18"/>
        </w:rPr>
        <w:t>estimates.</w:t>
      </w: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8"/>
        <w:gridCol w:w="8788"/>
      </w:tblGrid>
      <w:tr>
        <w:trPr>
          <w:trHeight w:val="287" w:hRule="atLeast"/>
        </w:trPr>
        <w:tc>
          <w:tcPr>
            <w:tcW w:w="1558" w:type="dxa"/>
            <w:tcBorders>
              <w:top w:val="single" w:sz="4" w:space="0" w:color="000000"/>
              <w:bottom w:val="single" w:sz="4" w:space="0" w:color="000000"/>
            </w:tcBorders>
            <w:shd w:val="clear" w:color="auto" w:fill="E0EEE0"/>
          </w:tcPr>
          <w:p>
            <w:pPr>
              <w:pStyle w:val="TableParagraph"/>
              <w:spacing w:before="42"/>
              <w:ind w:left="80"/>
              <w:jc w:val="left"/>
              <w:rPr>
                <w:b/>
                <w:sz w:val="18"/>
              </w:rPr>
            </w:pPr>
            <w:r>
              <w:rPr>
                <w:b/>
                <w:sz w:val="18"/>
              </w:rPr>
              <w:t>Confidence Level</w:t>
            </w:r>
          </w:p>
        </w:tc>
        <w:tc>
          <w:tcPr>
            <w:tcW w:w="8788" w:type="dxa"/>
            <w:tcBorders>
              <w:top w:val="single" w:sz="4" w:space="0" w:color="000000"/>
              <w:bottom w:val="single" w:sz="4" w:space="0" w:color="000000"/>
            </w:tcBorders>
            <w:shd w:val="clear" w:color="auto" w:fill="E0EEE0"/>
          </w:tcPr>
          <w:p>
            <w:pPr>
              <w:pStyle w:val="TableParagraph"/>
              <w:spacing w:before="42"/>
              <w:ind w:left="140"/>
              <w:jc w:val="left"/>
              <w:rPr>
                <w:b/>
                <w:sz w:val="18"/>
              </w:rPr>
            </w:pPr>
            <w:r>
              <w:rPr>
                <w:b/>
                <w:sz w:val="18"/>
              </w:rPr>
              <w:t>Description</w:t>
            </w:r>
          </w:p>
        </w:tc>
      </w:tr>
      <w:tr>
        <w:trPr>
          <w:trHeight w:val="1022" w:hRule="atLeast"/>
        </w:trPr>
        <w:tc>
          <w:tcPr>
            <w:tcW w:w="1558" w:type="dxa"/>
            <w:tcBorders>
              <w:top w:val="single" w:sz="4" w:space="0" w:color="000000"/>
              <w:bottom w:val="single" w:sz="4" w:space="0" w:color="E0EEE0"/>
            </w:tcBorders>
            <w:shd w:val="clear" w:color="auto" w:fill="F9FCF9"/>
          </w:tcPr>
          <w:p>
            <w:pPr>
              <w:pStyle w:val="TableParagraph"/>
              <w:spacing w:before="40"/>
              <w:ind w:left="80"/>
              <w:jc w:val="left"/>
              <w:rPr>
                <w:sz w:val="18"/>
              </w:rPr>
            </w:pPr>
            <w:r>
              <w:rPr>
                <w:sz w:val="18"/>
              </w:rPr>
              <w:t>Very High</w:t>
            </w:r>
          </w:p>
          <w:p>
            <w:pPr>
              <w:pStyle w:val="TableParagraph"/>
              <w:jc w:val="left"/>
              <w:rPr>
                <w:sz w:val="18"/>
              </w:rPr>
            </w:pPr>
          </w:p>
          <w:p>
            <w:pPr>
              <w:pStyle w:val="TableParagraph"/>
              <w:spacing w:before="109"/>
              <w:ind w:left="80"/>
              <w:jc w:val="left"/>
              <w:rPr>
                <w:sz w:val="18"/>
              </w:rPr>
            </w:pPr>
            <w:r>
              <w:rPr>
                <w:sz w:val="18"/>
              </w:rPr>
              <w:t>High</w:t>
            </w:r>
          </w:p>
        </w:tc>
        <w:tc>
          <w:tcPr>
            <w:tcW w:w="8788" w:type="dxa"/>
            <w:tcBorders>
              <w:top w:val="single" w:sz="4" w:space="0" w:color="000000"/>
              <w:bottom w:val="single" w:sz="4" w:space="0" w:color="E0EEE0"/>
            </w:tcBorders>
            <w:shd w:val="clear" w:color="auto" w:fill="F9FCF9"/>
          </w:tcPr>
          <w:p>
            <w:pPr>
              <w:pStyle w:val="TableParagraph"/>
              <w:spacing w:line="249" w:lineRule="auto" w:before="40"/>
              <w:ind w:left="140"/>
              <w:jc w:val="left"/>
              <w:rPr>
                <w:sz w:val="18"/>
              </w:rPr>
            </w:pPr>
            <w:r>
              <w:rPr>
                <w:sz w:val="18"/>
              </w:rPr>
              <w:t>Mature technology with multiple commercial replications for this application and scale of operation; considerable operating experience and data under a variety of conditions.</w:t>
            </w:r>
          </w:p>
          <w:p>
            <w:pPr>
              <w:pStyle w:val="TableParagraph"/>
              <w:spacing w:line="249" w:lineRule="auto" w:before="93"/>
              <w:ind w:left="140"/>
              <w:jc w:val="left"/>
              <w:rPr>
                <w:sz w:val="18"/>
              </w:rPr>
            </w:pPr>
            <w:r>
              <w:rPr>
                <w:sz w:val="18"/>
              </w:rPr>
              <w:t>Commercially deployed in applications similar to the system under study, but at a smaller scale and/or with limited operating experience; no major problems or issues anticipated in this application; commercial guarantees available.</w:t>
            </w:r>
          </w:p>
        </w:tc>
      </w:tr>
      <w:tr>
        <w:trPr>
          <w:trHeight w:val="1012" w:hRule="atLeast"/>
        </w:trPr>
        <w:tc>
          <w:tcPr>
            <w:tcW w:w="1558" w:type="dxa"/>
            <w:tcBorders>
              <w:top w:val="single" w:sz="4" w:space="0" w:color="E0EEE0"/>
              <w:bottom w:val="single" w:sz="4" w:space="0" w:color="E0EEE0"/>
            </w:tcBorders>
            <w:shd w:val="clear" w:color="auto" w:fill="F9FCF9"/>
          </w:tcPr>
          <w:p>
            <w:pPr>
              <w:pStyle w:val="TableParagraph"/>
              <w:spacing w:before="42"/>
              <w:ind w:left="80"/>
              <w:jc w:val="left"/>
              <w:rPr>
                <w:sz w:val="18"/>
              </w:rPr>
            </w:pPr>
            <w:r>
              <w:rPr>
                <w:sz w:val="18"/>
              </w:rPr>
              <w:t>Moderate</w:t>
            </w:r>
          </w:p>
          <w:p>
            <w:pPr>
              <w:pStyle w:val="TableParagraph"/>
              <w:spacing w:before="5"/>
              <w:jc w:val="left"/>
              <w:rPr>
                <w:sz w:val="26"/>
              </w:rPr>
            </w:pPr>
          </w:p>
          <w:p>
            <w:pPr>
              <w:pStyle w:val="TableParagraph"/>
              <w:ind w:left="80"/>
              <w:jc w:val="left"/>
              <w:rPr>
                <w:sz w:val="18"/>
              </w:rPr>
            </w:pPr>
            <w:r>
              <w:rPr>
                <w:sz w:val="18"/>
              </w:rPr>
              <w:t>Low</w:t>
            </w:r>
          </w:p>
        </w:tc>
        <w:tc>
          <w:tcPr>
            <w:tcW w:w="8788" w:type="dxa"/>
            <w:tcBorders>
              <w:top w:val="single" w:sz="4" w:space="0" w:color="E0EEE0"/>
              <w:bottom w:val="single" w:sz="4" w:space="0" w:color="E0EEE0"/>
            </w:tcBorders>
            <w:shd w:val="clear" w:color="auto" w:fill="F9FCF9"/>
          </w:tcPr>
          <w:p>
            <w:pPr>
              <w:pStyle w:val="TableParagraph"/>
              <w:spacing w:line="249" w:lineRule="auto" w:before="42"/>
              <w:ind w:left="140"/>
              <w:jc w:val="left"/>
              <w:rPr>
                <w:sz w:val="18"/>
              </w:rPr>
            </w:pPr>
            <w:r>
              <w:rPr>
                <w:sz w:val="18"/>
              </w:rPr>
              <w:t>No commercial application for the system and/or scale of interest, but technology is commercially deployed in other applications; issues of scale-up, operability and reliability remain to be demonstrated for this application.</w:t>
            </w:r>
          </w:p>
          <w:p>
            <w:pPr>
              <w:pStyle w:val="TableParagraph"/>
              <w:spacing w:line="249" w:lineRule="auto" w:before="80"/>
              <w:ind w:left="140"/>
              <w:jc w:val="left"/>
              <w:rPr>
                <w:sz w:val="18"/>
              </w:rPr>
            </w:pPr>
            <w:r>
              <w:rPr>
                <w:sz w:val="18"/>
              </w:rPr>
              <w:t>Experience and data based on pilot plant or proof-of-concept scale; no commercial applications or full-scale demonstrations; significant technical issues or cost-related questions still to be resolved for this application.</w:t>
            </w:r>
          </w:p>
        </w:tc>
      </w:tr>
      <w:tr>
        <w:trPr>
          <w:trHeight w:val="500" w:hRule="atLeast"/>
        </w:trPr>
        <w:tc>
          <w:tcPr>
            <w:tcW w:w="1558" w:type="dxa"/>
            <w:tcBorders>
              <w:top w:val="single" w:sz="4" w:space="0" w:color="E0EEE0"/>
              <w:bottom w:val="single" w:sz="4" w:space="0" w:color="000000"/>
            </w:tcBorders>
            <w:shd w:val="clear" w:color="auto" w:fill="F9FCF9"/>
          </w:tcPr>
          <w:p>
            <w:pPr>
              <w:pStyle w:val="TableParagraph"/>
              <w:spacing w:before="42"/>
              <w:ind w:left="80"/>
              <w:jc w:val="left"/>
              <w:rPr>
                <w:sz w:val="18"/>
              </w:rPr>
            </w:pPr>
            <w:r>
              <w:rPr>
                <w:sz w:val="18"/>
              </w:rPr>
              <w:t>Very Low</w:t>
            </w:r>
          </w:p>
        </w:tc>
        <w:tc>
          <w:tcPr>
            <w:tcW w:w="8788" w:type="dxa"/>
            <w:tcBorders>
              <w:top w:val="single" w:sz="4" w:space="0" w:color="E0EEE0"/>
              <w:bottom w:val="single" w:sz="4" w:space="0" w:color="000000"/>
            </w:tcBorders>
            <w:shd w:val="clear" w:color="auto" w:fill="F9FCF9"/>
          </w:tcPr>
          <w:p>
            <w:pPr>
              <w:pStyle w:val="TableParagraph"/>
              <w:spacing w:line="249" w:lineRule="auto" w:before="42"/>
              <w:ind w:left="140" w:right="50"/>
              <w:jc w:val="left"/>
              <w:rPr>
                <w:sz w:val="18"/>
              </w:rPr>
            </w:pPr>
            <w:r>
              <w:rPr>
                <w:sz w:val="18"/>
              </w:rPr>
              <w:t>A new concept or process not yet tested, or with operational data limited to the laboratory or bench-scale level; issues of large-scale operability, effectiveness, reliability and manufacturability remain to be demonstrated.</w:t>
            </w:r>
          </w:p>
        </w:tc>
      </w:tr>
    </w:tbl>
    <w:p>
      <w:pPr>
        <w:pStyle w:val="BodyText"/>
        <w:spacing w:before="6"/>
        <w:rPr>
          <w:sz w:val="14"/>
        </w:rPr>
      </w:pPr>
    </w:p>
    <w:p>
      <w:pPr>
        <w:spacing w:after="0"/>
        <w:rPr>
          <w:sz w:val="14"/>
        </w:rPr>
        <w:sectPr>
          <w:pgSz w:w="12240" w:h="15840"/>
          <w:pgMar w:header="567" w:footer="0" w:top="1180" w:bottom="280" w:left="620" w:right="620"/>
        </w:sectPr>
      </w:pPr>
    </w:p>
    <w:p>
      <w:pPr>
        <w:pStyle w:val="Heading2"/>
        <w:numPr>
          <w:ilvl w:val="2"/>
          <w:numId w:val="28"/>
        </w:numPr>
        <w:tabs>
          <w:tab w:pos="936" w:val="left" w:leader="none"/>
          <w:tab w:pos="937" w:val="left" w:leader="none"/>
        </w:tabs>
        <w:spacing w:line="240" w:lineRule="auto" w:before="63" w:after="0"/>
        <w:ind w:left="937" w:right="0" w:hanging="820"/>
        <w:jc w:val="left"/>
        <w:rPr>
          <w:i/>
        </w:rPr>
      </w:pPr>
      <w:r>
        <w:rPr>
          <w:i/>
        </w:rPr>
        <w:t>Overview of technologies and systems</w:t>
      </w:r>
      <w:r>
        <w:rPr>
          <w:i/>
          <w:spacing w:val="-8"/>
        </w:rPr>
        <w:t> </w:t>
      </w:r>
      <w:r>
        <w:rPr>
          <w:i/>
        </w:rPr>
        <w:t>evaluated</w:t>
      </w:r>
    </w:p>
    <w:p>
      <w:pPr>
        <w:pStyle w:val="BodyText"/>
        <w:spacing w:before="3"/>
        <w:rPr>
          <w:b/>
          <w:i/>
          <w:sz w:val="21"/>
        </w:rPr>
      </w:pPr>
    </w:p>
    <w:p>
      <w:pPr>
        <w:pStyle w:val="BodyText"/>
        <w:spacing w:line="240" w:lineRule="exact"/>
        <w:ind w:left="38" w:right="38"/>
        <w:jc w:val="right"/>
      </w:pPr>
      <w:r>
        <w:rPr/>
        <w:t>Economic studies of CO</w:t>
      </w:r>
      <w:r>
        <w:rPr>
          <w:position w:val="-6"/>
          <w:sz w:val="11"/>
        </w:rPr>
        <w:t>2 </w:t>
      </w:r>
      <w:r>
        <w:rPr/>
        <w:t>capture have focused</w:t>
      </w:r>
      <w:r>
        <w:rPr>
          <w:spacing w:val="8"/>
        </w:rPr>
        <w:t> </w:t>
      </w:r>
      <w:r>
        <w:rPr/>
        <w:t>mainly</w:t>
      </w:r>
      <w:r>
        <w:rPr>
          <w:spacing w:val="3"/>
        </w:rPr>
        <w:t> </w:t>
      </w:r>
      <w:r>
        <w:rPr/>
        <w:t>on electric</w:t>
      </w:r>
      <w:r>
        <w:rPr>
          <w:spacing w:val="29"/>
        </w:rPr>
        <w:t> </w:t>
      </w:r>
      <w:r>
        <w:rPr/>
        <w:t>power</w:t>
      </w:r>
      <w:r>
        <w:rPr>
          <w:spacing w:val="30"/>
        </w:rPr>
        <w:t> </w:t>
      </w:r>
      <w:r>
        <w:rPr/>
        <w:t>generation,</w:t>
      </w:r>
      <w:r>
        <w:rPr>
          <w:spacing w:val="30"/>
        </w:rPr>
        <w:t> </w:t>
      </w:r>
      <w:r>
        <w:rPr/>
        <w:t>a</w:t>
      </w:r>
      <w:r>
        <w:rPr>
          <w:spacing w:val="30"/>
        </w:rPr>
        <w:t> </w:t>
      </w:r>
      <w:r>
        <w:rPr/>
        <w:t>major</w:t>
      </w:r>
      <w:r>
        <w:rPr>
          <w:spacing w:val="29"/>
        </w:rPr>
        <w:t> </w:t>
      </w:r>
      <w:r>
        <w:rPr/>
        <w:t>source</w:t>
      </w:r>
      <w:r>
        <w:rPr>
          <w:spacing w:val="30"/>
        </w:rPr>
        <w:t> </w:t>
      </w:r>
      <w:r>
        <w:rPr/>
        <w:t>of</w:t>
      </w:r>
      <w:r>
        <w:rPr>
          <w:spacing w:val="30"/>
        </w:rPr>
        <w:t> </w:t>
      </w:r>
      <w:r>
        <w:rPr/>
        <w:t>CO</w:t>
      </w:r>
      <w:r>
        <w:rPr>
          <w:position w:val="-6"/>
          <w:sz w:val="11"/>
        </w:rPr>
        <w:t>2</w:t>
      </w:r>
      <w:r>
        <w:rPr>
          <w:spacing w:val="24"/>
          <w:position w:val="-6"/>
          <w:sz w:val="11"/>
        </w:rPr>
        <w:t> </w:t>
      </w:r>
      <w:r>
        <w:rPr/>
        <w:t>emissions. </w:t>
      </w:r>
      <w:r>
        <w:rPr>
          <w:spacing w:val="-7"/>
        </w:rPr>
        <w:t>To </w:t>
      </w:r>
      <w:r>
        <w:rPr/>
        <w:t>a lesser extent, CO</w:t>
      </w:r>
      <w:r>
        <w:rPr>
          <w:position w:val="-6"/>
          <w:sz w:val="11"/>
        </w:rPr>
        <w:t>2 </w:t>
      </w:r>
      <w:r>
        <w:rPr/>
        <w:t>capture from industrial</w:t>
      </w:r>
      <w:r>
        <w:rPr>
          <w:spacing w:val="12"/>
        </w:rPr>
        <w:t> </w:t>
      </w:r>
      <w:r>
        <w:rPr/>
        <w:t>processes</w:t>
      </w:r>
      <w:r>
        <w:rPr>
          <w:spacing w:val="17"/>
        </w:rPr>
        <w:t> </w:t>
      </w:r>
      <w:r>
        <w:rPr>
          <w:spacing w:val="-4"/>
        </w:rPr>
        <w:t>also</w:t>
      </w:r>
      <w:r>
        <w:rPr/>
        <w:t> has been subject to economic evaluations,</w:t>
      </w:r>
      <w:r>
        <w:rPr>
          <w:spacing w:val="11"/>
        </w:rPr>
        <w:t> </w:t>
      </w:r>
      <w:r>
        <w:rPr/>
        <w:t>especially</w:t>
      </w:r>
      <w:r>
        <w:rPr>
          <w:spacing w:val="3"/>
        </w:rPr>
        <w:t> </w:t>
      </w:r>
      <w:r>
        <w:rPr/>
        <w:t>processes producing hydrogen, often in combination with other</w:t>
      </w:r>
      <w:r>
        <w:rPr>
          <w:spacing w:val="-4"/>
        </w:rPr>
        <w:t> </w:t>
      </w:r>
      <w:r>
        <w:rPr/>
        <w:t>products.</w:t>
      </w:r>
    </w:p>
    <w:p>
      <w:pPr>
        <w:pStyle w:val="BodyText"/>
        <w:spacing w:line="249" w:lineRule="auto" w:before="6"/>
        <w:ind w:left="117" w:right="39" w:firstLine="283"/>
        <w:jc w:val="right"/>
      </w:pPr>
      <w:r>
        <w:rPr/>
        <w:t>The sections below review and summarize</w:t>
      </w:r>
      <w:r>
        <w:rPr>
          <w:spacing w:val="4"/>
        </w:rPr>
        <w:t> </w:t>
      </w:r>
      <w:r>
        <w:rPr/>
        <w:t>recent</w:t>
      </w:r>
      <w:r>
        <w:rPr>
          <w:spacing w:val="1"/>
        </w:rPr>
        <w:t> </w:t>
      </w:r>
      <w:r>
        <w:rPr/>
        <w:t>estimates of</w:t>
      </w:r>
      <w:r>
        <w:rPr>
          <w:spacing w:val="29"/>
        </w:rPr>
        <w:t> </w:t>
      </w:r>
      <w:r>
        <w:rPr/>
        <w:t>CO</w:t>
      </w:r>
      <w:r>
        <w:rPr>
          <w:position w:val="-6"/>
          <w:sz w:val="11"/>
        </w:rPr>
        <w:t>2 </w:t>
      </w:r>
      <w:r>
        <w:rPr>
          <w:spacing w:val="25"/>
          <w:position w:val="-6"/>
          <w:sz w:val="11"/>
        </w:rPr>
        <w:t> </w:t>
      </w:r>
      <w:r>
        <w:rPr/>
        <w:t>capture</w:t>
      </w:r>
      <w:r>
        <w:rPr>
          <w:spacing w:val="30"/>
        </w:rPr>
        <w:t> </w:t>
      </w:r>
      <w:r>
        <w:rPr/>
        <w:t>costs</w:t>
      </w:r>
      <w:r>
        <w:rPr>
          <w:spacing w:val="30"/>
        </w:rPr>
        <w:t> </w:t>
      </w:r>
      <w:r>
        <w:rPr/>
        <w:t>for</w:t>
      </w:r>
      <w:r>
        <w:rPr>
          <w:spacing w:val="29"/>
        </w:rPr>
        <w:t> </w:t>
      </w:r>
      <w:r>
        <w:rPr/>
        <w:t>major</w:t>
      </w:r>
      <w:r>
        <w:rPr>
          <w:spacing w:val="30"/>
        </w:rPr>
        <w:t> </w:t>
      </w:r>
      <w:r>
        <w:rPr/>
        <w:t>systems</w:t>
      </w:r>
      <w:r>
        <w:rPr>
          <w:spacing w:val="30"/>
        </w:rPr>
        <w:t> </w:t>
      </w:r>
      <w:r>
        <w:rPr/>
        <w:t>of</w:t>
      </w:r>
      <w:r>
        <w:rPr>
          <w:spacing w:val="29"/>
        </w:rPr>
        <w:t> </w:t>
      </w:r>
      <w:r>
        <w:rPr/>
        <w:t>interest.</w:t>
      </w:r>
      <w:r>
        <w:rPr>
          <w:spacing w:val="30"/>
        </w:rPr>
        <w:t> </w:t>
      </w:r>
      <w:r>
        <w:rPr/>
        <w:t>Sections</w:t>
      </w:r>
    </w:p>
    <w:p>
      <w:pPr>
        <w:pStyle w:val="ListParagraph"/>
        <w:numPr>
          <w:ilvl w:val="2"/>
          <w:numId w:val="28"/>
        </w:numPr>
        <w:tabs>
          <w:tab w:pos="484" w:val="left" w:leader="none"/>
        </w:tabs>
        <w:spacing w:line="175" w:lineRule="auto" w:before="0" w:after="0"/>
        <w:ind w:left="600" w:right="39" w:hanging="601"/>
        <w:jc w:val="right"/>
        <w:rPr>
          <w:sz w:val="20"/>
        </w:rPr>
      </w:pPr>
      <w:r>
        <w:rPr>
          <w:sz w:val="20"/>
        </w:rPr>
        <w:t>to</w:t>
      </w:r>
      <w:r>
        <w:rPr>
          <w:spacing w:val="31"/>
          <w:sz w:val="20"/>
        </w:rPr>
        <w:t> </w:t>
      </w:r>
      <w:r>
        <w:rPr>
          <w:sz w:val="20"/>
        </w:rPr>
        <w:t>3.7.8</w:t>
      </w:r>
      <w:r>
        <w:rPr>
          <w:spacing w:val="32"/>
          <w:sz w:val="20"/>
        </w:rPr>
        <w:t> </w:t>
      </w:r>
      <w:r>
        <w:rPr>
          <w:sz w:val="20"/>
        </w:rPr>
        <w:t>focus</w:t>
      </w:r>
      <w:r>
        <w:rPr>
          <w:spacing w:val="32"/>
          <w:sz w:val="20"/>
        </w:rPr>
        <w:t> </w:t>
      </w:r>
      <w:r>
        <w:rPr>
          <w:sz w:val="20"/>
        </w:rPr>
        <w:t>first</w:t>
      </w:r>
      <w:r>
        <w:rPr>
          <w:spacing w:val="31"/>
          <w:sz w:val="20"/>
        </w:rPr>
        <w:t> </w:t>
      </w:r>
      <w:r>
        <w:rPr>
          <w:sz w:val="20"/>
        </w:rPr>
        <w:t>on</w:t>
      </w:r>
      <w:r>
        <w:rPr>
          <w:spacing w:val="32"/>
          <w:sz w:val="20"/>
        </w:rPr>
        <w:t> </w:t>
      </w:r>
      <w:r>
        <w:rPr>
          <w:sz w:val="20"/>
        </w:rPr>
        <w:t>the</w:t>
      </w:r>
      <w:r>
        <w:rPr>
          <w:spacing w:val="32"/>
          <w:sz w:val="20"/>
        </w:rPr>
        <w:t> </w:t>
      </w:r>
      <w:r>
        <w:rPr>
          <w:sz w:val="20"/>
        </w:rPr>
        <w:t>cost</w:t>
      </w:r>
      <w:r>
        <w:rPr>
          <w:spacing w:val="31"/>
          <w:sz w:val="20"/>
        </w:rPr>
        <w:t> </w:t>
      </w:r>
      <w:r>
        <w:rPr>
          <w:sz w:val="20"/>
        </w:rPr>
        <w:t>of</w:t>
      </w:r>
      <w:r>
        <w:rPr>
          <w:spacing w:val="32"/>
          <w:sz w:val="20"/>
        </w:rPr>
        <w:t> </w:t>
      </w:r>
      <w:r>
        <w:rPr>
          <w:sz w:val="20"/>
        </w:rPr>
        <w:t>current</w:t>
      </w:r>
      <w:r>
        <w:rPr>
          <w:spacing w:val="32"/>
          <w:sz w:val="20"/>
        </w:rPr>
        <w:t> </w:t>
      </w:r>
      <w:r>
        <w:rPr>
          <w:sz w:val="20"/>
        </w:rPr>
        <w:t>CO</w:t>
      </w:r>
      <w:r>
        <w:rPr>
          <w:position w:val="-6"/>
          <w:sz w:val="11"/>
        </w:rPr>
        <w:t>2   </w:t>
      </w:r>
      <w:r>
        <w:rPr>
          <w:sz w:val="20"/>
        </w:rPr>
        <w:t>capture</w:t>
      </w:r>
    </w:p>
    <w:p>
      <w:pPr>
        <w:pStyle w:val="BodyText"/>
        <w:spacing w:line="214" w:lineRule="exact"/>
        <w:ind w:left="117"/>
        <w:jc w:val="both"/>
      </w:pPr>
      <w:r>
        <w:rPr/>
        <w:t>technologies,</w:t>
      </w:r>
      <w:r>
        <w:rPr>
          <w:spacing w:val="11"/>
        </w:rPr>
        <w:t> </w:t>
      </w:r>
      <w:r>
        <w:rPr/>
        <w:t>while</w:t>
      </w:r>
      <w:r>
        <w:rPr>
          <w:spacing w:val="12"/>
        </w:rPr>
        <w:t> </w:t>
      </w:r>
      <w:r>
        <w:rPr/>
        <w:t>Sections</w:t>
      </w:r>
      <w:r>
        <w:rPr>
          <w:spacing w:val="12"/>
        </w:rPr>
        <w:t> </w:t>
      </w:r>
      <w:r>
        <w:rPr/>
        <w:t>3.7.10</w:t>
      </w:r>
      <w:r>
        <w:rPr>
          <w:spacing w:val="12"/>
        </w:rPr>
        <w:t> </w:t>
      </w:r>
      <w:r>
        <w:rPr/>
        <w:t>to</w:t>
      </w:r>
      <w:r>
        <w:rPr>
          <w:spacing w:val="11"/>
        </w:rPr>
        <w:t> </w:t>
      </w:r>
      <w:r>
        <w:rPr/>
        <w:t>3.7.12</w:t>
      </w:r>
      <w:r>
        <w:rPr>
          <w:spacing w:val="12"/>
        </w:rPr>
        <w:t> </w:t>
      </w:r>
      <w:r>
        <w:rPr/>
        <w:t>go</w:t>
      </w:r>
      <w:r>
        <w:rPr>
          <w:spacing w:val="12"/>
        </w:rPr>
        <w:t> </w:t>
      </w:r>
      <w:r>
        <w:rPr/>
        <w:t>on</w:t>
      </w:r>
      <w:r>
        <w:rPr>
          <w:spacing w:val="12"/>
        </w:rPr>
        <w:t> </w:t>
      </w:r>
      <w:r>
        <w:rPr/>
        <w:t>to</w:t>
      </w:r>
      <w:r>
        <w:rPr>
          <w:spacing w:val="12"/>
        </w:rPr>
        <w:t> </w:t>
      </w:r>
      <w:r>
        <w:rPr/>
        <w:t>discuss</w:t>
      </w:r>
    </w:p>
    <w:p>
      <w:pPr>
        <w:pStyle w:val="BodyText"/>
        <w:spacing w:line="240" w:lineRule="exact"/>
        <w:ind w:left="116" w:right="38"/>
        <w:jc w:val="both"/>
      </w:pPr>
      <w:r>
        <w:rPr/>
        <w:t>improved or ‘advanced’ technologies promising lower costs </w:t>
      </w:r>
      <w:r>
        <w:rPr>
          <w:spacing w:val="-6"/>
        </w:rPr>
        <w:t>in </w:t>
      </w:r>
      <w:r>
        <w:rPr/>
        <w:t>the</w:t>
      </w:r>
      <w:r>
        <w:rPr>
          <w:spacing w:val="-13"/>
        </w:rPr>
        <w:t> </w:t>
      </w:r>
      <w:r>
        <w:rPr/>
        <w:t>future.</w:t>
      </w:r>
      <w:r>
        <w:rPr>
          <w:spacing w:val="-13"/>
        </w:rPr>
        <w:t> </w:t>
      </w:r>
      <w:r>
        <w:rPr/>
        <w:t>In</w:t>
      </w:r>
      <w:r>
        <w:rPr>
          <w:spacing w:val="-13"/>
        </w:rPr>
        <w:t> </w:t>
      </w:r>
      <w:r>
        <w:rPr/>
        <w:t>all</w:t>
      </w:r>
      <w:r>
        <w:rPr>
          <w:spacing w:val="-13"/>
        </w:rPr>
        <w:t> </w:t>
      </w:r>
      <w:r>
        <w:rPr/>
        <w:t>cases</w:t>
      </w:r>
      <w:r>
        <w:rPr>
          <w:spacing w:val="-12"/>
        </w:rPr>
        <w:t> </w:t>
      </w:r>
      <w:r>
        <w:rPr/>
        <w:t>the</w:t>
      </w:r>
      <w:r>
        <w:rPr>
          <w:spacing w:val="-13"/>
        </w:rPr>
        <w:t> </w:t>
      </w:r>
      <w:r>
        <w:rPr/>
        <w:t>system</w:t>
      </w:r>
      <w:r>
        <w:rPr>
          <w:spacing w:val="-13"/>
        </w:rPr>
        <w:t> </w:t>
      </w:r>
      <w:r>
        <w:rPr/>
        <w:t>boundary</w:t>
      </w:r>
      <w:r>
        <w:rPr>
          <w:spacing w:val="-13"/>
        </w:rPr>
        <w:t> </w:t>
      </w:r>
      <w:r>
        <w:rPr/>
        <w:t>is</w:t>
      </w:r>
      <w:r>
        <w:rPr>
          <w:spacing w:val="-12"/>
        </w:rPr>
        <w:t> </w:t>
      </w:r>
      <w:r>
        <w:rPr/>
        <w:t>defined</w:t>
      </w:r>
      <w:r>
        <w:rPr>
          <w:spacing w:val="-13"/>
        </w:rPr>
        <w:t> </w:t>
      </w:r>
      <w:r>
        <w:rPr/>
        <w:t>as</w:t>
      </w:r>
      <w:r>
        <w:rPr>
          <w:spacing w:val="-13"/>
        </w:rPr>
        <w:t> </w:t>
      </w:r>
      <w:r>
        <w:rPr/>
        <w:t>a</w:t>
      </w:r>
      <w:r>
        <w:rPr>
          <w:spacing w:val="-13"/>
        </w:rPr>
        <w:t> </w:t>
      </w:r>
      <w:r>
        <w:rPr/>
        <w:t>single facility at which CO</w:t>
      </w:r>
      <w:r>
        <w:rPr>
          <w:position w:val="-6"/>
          <w:sz w:val="11"/>
        </w:rPr>
        <w:t>2 </w:t>
      </w:r>
      <w:r>
        <w:rPr/>
        <w:t>is captured and compressed for delivery to a transport and storage system. </w:t>
      </w:r>
      <w:r>
        <w:rPr>
          <w:spacing w:val="-7"/>
        </w:rPr>
        <w:t>To </w:t>
      </w:r>
      <w:r>
        <w:rPr/>
        <w:t>reflect different levels of confidence (or uncertainty) in cost estimates for technologies at different stages of development, the qualitative descriptors shown</w:t>
      </w:r>
      <w:r>
        <w:rPr>
          <w:spacing w:val="8"/>
        </w:rPr>
        <w:t> </w:t>
      </w:r>
      <w:r>
        <w:rPr/>
        <w:t>in</w:t>
      </w:r>
      <w:r>
        <w:rPr>
          <w:spacing w:val="6"/>
        </w:rPr>
        <w:t> </w:t>
      </w:r>
      <w:r>
        <w:rPr>
          <w:spacing w:val="-3"/>
        </w:rPr>
        <w:t>Table</w:t>
      </w:r>
      <w:r>
        <w:rPr>
          <w:spacing w:val="8"/>
        </w:rPr>
        <w:t> </w:t>
      </w:r>
      <w:r>
        <w:rPr/>
        <w:t>3.6</w:t>
      </w:r>
      <w:r>
        <w:rPr>
          <w:spacing w:val="9"/>
        </w:rPr>
        <w:t> </w:t>
      </w:r>
      <w:r>
        <w:rPr/>
        <w:t>are</w:t>
      </w:r>
      <w:r>
        <w:rPr>
          <w:spacing w:val="8"/>
        </w:rPr>
        <w:t> </w:t>
      </w:r>
      <w:r>
        <w:rPr/>
        <w:t>applied</w:t>
      </w:r>
      <w:r>
        <w:rPr>
          <w:spacing w:val="9"/>
        </w:rPr>
        <w:t> </w:t>
      </w:r>
      <w:r>
        <w:rPr/>
        <w:t>in</w:t>
      </w:r>
      <w:r>
        <w:rPr>
          <w:spacing w:val="8"/>
        </w:rPr>
        <w:t> </w:t>
      </w:r>
      <w:r>
        <w:rPr/>
        <w:t>summarizing</w:t>
      </w:r>
      <w:r>
        <w:rPr>
          <w:spacing w:val="9"/>
        </w:rPr>
        <w:t> </w:t>
      </w:r>
      <w:r>
        <w:rPr/>
        <w:t>published</w:t>
      </w:r>
      <w:r>
        <w:rPr>
          <w:spacing w:val="9"/>
        </w:rPr>
        <w:t> </w:t>
      </w:r>
      <w:r>
        <w:rPr/>
        <w:t>cost</w:t>
      </w:r>
    </w:p>
    <w:p>
      <w:pPr>
        <w:pStyle w:val="BodyText"/>
        <w:spacing w:line="249" w:lineRule="auto" w:before="63"/>
        <w:ind w:left="116" w:right="510"/>
        <w:jc w:val="both"/>
      </w:pPr>
      <w:r>
        <w:rPr/>
        <w:br w:type="column"/>
      </w:r>
      <w:r>
        <w:rPr/>
        <w:t>the choice of capture technology, but also - and often </w:t>
      </w:r>
      <w:r>
        <w:rPr>
          <w:spacing w:val="-4"/>
        </w:rPr>
        <w:t>more </w:t>
      </w:r>
      <w:r>
        <w:rPr/>
        <w:t>importantly - on the characteristics and design of the overall power plant. For purposes of cost reporting, we distinguish between</w:t>
      </w:r>
      <w:r>
        <w:rPr>
          <w:spacing w:val="-12"/>
        </w:rPr>
        <w:t> </w:t>
      </w:r>
      <w:r>
        <w:rPr/>
        <w:t>coal-fired</w:t>
      </w:r>
      <w:r>
        <w:rPr>
          <w:spacing w:val="-11"/>
        </w:rPr>
        <w:t> </w:t>
      </w:r>
      <w:r>
        <w:rPr/>
        <w:t>and</w:t>
      </w:r>
      <w:r>
        <w:rPr>
          <w:spacing w:val="-12"/>
        </w:rPr>
        <w:t> </w:t>
      </w:r>
      <w:r>
        <w:rPr/>
        <w:t>gas-fired</w:t>
      </w:r>
      <w:r>
        <w:rPr>
          <w:spacing w:val="-11"/>
        </w:rPr>
        <w:t> </w:t>
      </w:r>
      <w:r>
        <w:rPr/>
        <w:t>plant</w:t>
      </w:r>
      <w:r>
        <w:rPr>
          <w:spacing w:val="-11"/>
        </w:rPr>
        <w:t> </w:t>
      </w:r>
      <w:r>
        <w:rPr/>
        <w:t>designs</w:t>
      </w:r>
      <w:r>
        <w:rPr>
          <w:spacing w:val="-12"/>
        </w:rPr>
        <w:t> </w:t>
      </w:r>
      <w:r>
        <w:rPr/>
        <w:t>and</w:t>
      </w:r>
      <w:r>
        <w:rPr>
          <w:spacing w:val="-11"/>
        </w:rPr>
        <w:t> </w:t>
      </w:r>
      <w:r>
        <w:rPr/>
        <w:t>between</w:t>
      </w:r>
      <w:r>
        <w:rPr>
          <w:spacing w:val="-11"/>
        </w:rPr>
        <w:t> </w:t>
      </w:r>
      <w:r>
        <w:rPr>
          <w:spacing w:val="-4"/>
        </w:rPr>
        <w:t>new </w:t>
      </w:r>
      <w:r>
        <w:rPr/>
        <w:t>and existing facilities.</w:t>
      </w:r>
    </w:p>
    <w:p>
      <w:pPr>
        <w:pStyle w:val="BodyText"/>
        <w:spacing w:before="2"/>
        <w:rPr>
          <w:sz w:val="21"/>
        </w:rPr>
      </w:pPr>
    </w:p>
    <w:p>
      <w:pPr>
        <w:pStyle w:val="ListParagraph"/>
        <w:numPr>
          <w:ilvl w:val="3"/>
          <w:numId w:val="28"/>
        </w:numPr>
        <w:tabs>
          <w:tab w:pos="937" w:val="left" w:leader="none"/>
        </w:tabs>
        <w:spacing w:line="240" w:lineRule="auto" w:before="1" w:after="0"/>
        <w:ind w:left="936" w:right="0" w:hanging="821"/>
        <w:jc w:val="both"/>
        <w:rPr>
          <w:i/>
          <w:sz w:val="20"/>
        </w:rPr>
      </w:pPr>
      <w:r>
        <w:rPr>
          <w:i/>
          <w:sz w:val="20"/>
        </w:rPr>
        <w:t>New coal-fired power</w:t>
      </w:r>
      <w:r>
        <w:rPr>
          <w:i/>
          <w:spacing w:val="-2"/>
          <w:sz w:val="20"/>
        </w:rPr>
        <w:t> </w:t>
      </w:r>
      <w:r>
        <w:rPr>
          <w:i/>
          <w:sz w:val="20"/>
        </w:rPr>
        <w:t>plants</w:t>
      </w:r>
    </w:p>
    <w:p>
      <w:pPr>
        <w:pStyle w:val="BodyText"/>
        <w:spacing w:line="240" w:lineRule="exact" w:before="4"/>
        <w:ind w:left="116" w:right="509"/>
        <w:jc w:val="both"/>
      </w:pPr>
      <w:hyperlink w:history="true" w:anchor="_bookmark34">
        <w:r>
          <w:rPr>
            <w:spacing w:val="-3"/>
          </w:rPr>
          <w:t>Table</w:t>
        </w:r>
        <w:r>
          <w:rPr>
            <w:spacing w:val="-6"/>
          </w:rPr>
          <w:t> </w:t>
        </w:r>
        <w:r>
          <w:rPr/>
          <w:t>3.7</w:t>
        </w:r>
        <w:r>
          <w:rPr>
            <w:spacing w:val="-6"/>
          </w:rPr>
          <w:t> </w:t>
        </w:r>
      </w:hyperlink>
      <w:r>
        <w:rPr/>
        <w:t>summarizes</w:t>
      </w:r>
      <w:r>
        <w:rPr>
          <w:spacing w:val="-6"/>
        </w:rPr>
        <w:t> </w:t>
      </w:r>
      <w:r>
        <w:rPr/>
        <w:t>the</w:t>
      </w:r>
      <w:r>
        <w:rPr>
          <w:spacing w:val="-6"/>
        </w:rPr>
        <w:t> </w:t>
      </w:r>
      <w:r>
        <w:rPr/>
        <w:t>key</w:t>
      </w:r>
      <w:r>
        <w:rPr>
          <w:spacing w:val="-6"/>
        </w:rPr>
        <w:t> </w:t>
      </w:r>
      <w:r>
        <w:rPr/>
        <w:t>assumptions</w:t>
      </w:r>
      <w:r>
        <w:rPr>
          <w:spacing w:val="-6"/>
        </w:rPr>
        <w:t> </w:t>
      </w:r>
      <w:r>
        <w:rPr/>
        <w:t>and</w:t>
      </w:r>
      <w:r>
        <w:rPr>
          <w:spacing w:val="-5"/>
        </w:rPr>
        <w:t> </w:t>
      </w:r>
      <w:r>
        <w:rPr/>
        <w:t>results</w:t>
      </w:r>
      <w:r>
        <w:rPr>
          <w:spacing w:val="-6"/>
        </w:rPr>
        <w:t> </w:t>
      </w:r>
      <w:r>
        <w:rPr/>
        <w:t>of</w:t>
      </w:r>
      <w:r>
        <w:rPr>
          <w:spacing w:val="-6"/>
        </w:rPr>
        <w:t> </w:t>
      </w:r>
      <w:r>
        <w:rPr/>
        <w:t>recent studies of post-combustion CO</w:t>
      </w:r>
      <w:r>
        <w:rPr>
          <w:position w:val="-6"/>
          <w:sz w:val="11"/>
        </w:rPr>
        <w:t>2 </w:t>
      </w:r>
      <w:r>
        <w:rPr/>
        <w:t>capture at new coal-fired power</w:t>
      </w:r>
      <w:r>
        <w:rPr>
          <w:spacing w:val="-9"/>
        </w:rPr>
        <w:t> </w:t>
      </w:r>
      <w:r>
        <w:rPr/>
        <w:t>plants.</w:t>
      </w:r>
      <w:r>
        <w:rPr>
          <w:spacing w:val="-20"/>
        </w:rPr>
        <w:t> </w:t>
      </w:r>
      <w:r>
        <w:rPr/>
        <w:t>Assumed</w:t>
      </w:r>
      <w:r>
        <w:rPr>
          <w:spacing w:val="-9"/>
        </w:rPr>
        <w:t> </w:t>
      </w:r>
      <w:r>
        <w:rPr/>
        <w:t>plant</w:t>
      </w:r>
      <w:r>
        <w:rPr>
          <w:spacing w:val="-9"/>
        </w:rPr>
        <w:t> </w:t>
      </w:r>
      <w:r>
        <w:rPr/>
        <w:t>sizes</w:t>
      </w:r>
      <w:r>
        <w:rPr>
          <w:spacing w:val="-9"/>
        </w:rPr>
        <w:t> </w:t>
      </w:r>
      <w:r>
        <w:rPr/>
        <w:t>with</w:t>
      </w:r>
      <w:r>
        <w:rPr>
          <w:spacing w:val="-9"/>
        </w:rPr>
        <w:t> </w:t>
      </w:r>
      <w:r>
        <w:rPr/>
        <w:t>CO</w:t>
      </w:r>
      <w:r>
        <w:rPr>
          <w:position w:val="-6"/>
          <w:sz w:val="11"/>
        </w:rPr>
        <w:t>2</w:t>
      </w:r>
      <w:r>
        <w:rPr>
          <w:spacing w:val="13"/>
          <w:position w:val="-6"/>
          <w:sz w:val="11"/>
        </w:rPr>
        <w:t> </w:t>
      </w:r>
      <w:r>
        <w:rPr/>
        <w:t>capture</w:t>
      </w:r>
      <w:r>
        <w:rPr>
          <w:spacing w:val="-9"/>
        </w:rPr>
        <w:t> </w:t>
      </w:r>
      <w:r>
        <w:rPr/>
        <w:t>range</w:t>
      </w:r>
      <w:r>
        <w:rPr>
          <w:spacing w:val="-9"/>
        </w:rPr>
        <w:t> </w:t>
      </w:r>
      <w:r>
        <w:rPr/>
        <w:t>from approximately 300-700 MW net power output. In all cases, CO</w:t>
      </w:r>
      <w:r>
        <w:rPr>
          <w:position w:val="-6"/>
          <w:sz w:val="11"/>
        </w:rPr>
        <w:t>2 </w:t>
      </w:r>
      <w:r>
        <w:rPr/>
        <w:t>capture is accomplished using an amine-based absorption system,</w:t>
      </w:r>
      <w:r>
        <w:rPr>
          <w:spacing w:val="-20"/>
        </w:rPr>
        <w:t> </w:t>
      </w:r>
      <w:r>
        <w:rPr/>
        <w:t>typically</w:t>
      </w:r>
      <w:r>
        <w:rPr>
          <w:spacing w:val="-20"/>
        </w:rPr>
        <w:t> </w:t>
      </w:r>
      <w:r>
        <w:rPr/>
        <w:t>MEA.</w:t>
      </w:r>
      <w:r>
        <w:rPr>
          <w:spacing w:val="-19"/>
        </w:rPr>
        <w:t> </w:t>
      </w:r>
      <w:r>
        <w:rPr/>
        <w:t>Capture</w:t>
      </w:r>
      <w:r>
        <w:rPr>
          <w:spacing w:val="-20"/>
        </w:rPr>
        <w:t> </w:t>
      </w:r>
      <w:r>
        <w:rPr/>
        <w:t>efficiencies</w:t>
      </w:r>
      <w:r>
        <w:rPr>
          <w:spacing w:val="-20"/>
        </w:rPr>
        <w:t> </w:t>
      </w:r>
      <w:r>
        <w:rPr/>
        <w:t>range</w:t>
      </w:r>
      <w:r>
        <w:rPr>
          <w:spacing w:val="-19"/>
        </w:rPr>
        <w:t> </w:t>
      </w:r>
      <w:r>
        <w:rPr/>
        <w:t>from</w:t>
      </w:r>
      <w:r>
        <w:rPr>
          <w:spacing w:val="-20"/>
        </w:rPr>
        <w:t> </w:t>
      </w:r>
      <w:r>
        <w:rPr/>
        <w:t>85-95% with the most common value being 90%. The studies employ different assumptions about other key parameters such as the base power plant efficiency, coal properties, coal cost, </w:t>
      </w:r>
      <w:r>
        <w:rPr>
          <w:spacing w:val="-3"/>
        </w:rPr>
        <w:t>plant </w:t>
      </w:r>
      <w:r>
        <w:rPr/>
        <w:t>capacity factor, CO</w:t>
      </w:r>
      <w:r>
        <w:rPr>
          <w:position w:val="-6"/>
          <w:sz w:val="11"/>
        </w:rPr>
        <w:t>2 </w:t>
      </w:r>
      <w:r>
        <w:rPr/>
        <w:t>product pressure and financial parameters such</w:t>
      </w:r>
      <w:r>
        <w:rPr>
          <w:spacing w:val="-8"/>
        </w:rPr>
        <w:t> </w:t>
      </w:r>
      <w:r>
        <w:rPr/>
        <w:t>as</w:t>
      </w:r>
      <w:r>
        <w:rPr>
          <w:spacing w:val="-8"/>
        </w:rPr>
        <w:t> </w:t>
      </w:r>
      <w:r>
        <w:rPr/>
        <w:t>the</w:t>
      </w:r>
      <w:r>
        <w:rPr>
          <w:spacing w:val="-8"/>
        </w:rPr>
        <w:t> </w:t>
      </w:r>
      <w:r>
        <w:rPr/>
        <w:t>fixed</w:t>
      </w:r>
      <w:r>
        <w:rPr>
          <w:spacing w:val="-8"/>
        </w:rPr>
        <w:t> </w:t>
      </w:r>
      <w:r>
        <w:rPr/>
        <w:t>charge</w:t>
      </w:r>
      <w:r>
        <w:rPr>
          <w:spacing w:val="-8"/>
        </w:rPr>
        <w:t> </w:t>
      </w:r>
      <w:r>
        <w:rPr/>
        <w:t>factor.</w:t>
      </w:r>
      <w:r>
        <w:rPr>
          <w:spacing w:val="-18"/>
        </w:rPr>
        <w:t> </w:t>
      </w:r>
      <w:r>
        <w:rPr/>
        <w:t>All</w:t>
      </w:r>
      <w:r>
        <w:rPr>
          <w:spacing w:val="-8"/>
        </w:rPr>
        <w:t> </w:t>
      </w:r>
      <w:r>
        <w:rPr/>
        <w:t>of</w:t>
      </w:r>
      <w:r>
        <w:rPr>
          <w:spacing w:val="-8"/>
        </w:rPr>
        <w:t> </w:t>
      </w:r>
      <w:r>
        <w:rPr/>
        <w:t>these</w:t>
      </w:r>
      <w:r>
        <w:rPr>
          <w:spacing w:val="-8"/>
        </w:rPr>
        <w:t> </w:t>
      </w:r>
      <w:r>
        <w:rPr/>
        <w:t>factors</w:t>
      </w:r>
      <w:r>
        <w:rPr>
          <w:spacing w:val="-8"/>
        </w:rPr>
        <w:t> </w:t>
      </w:r>
      <w:r>
        <w:rPr/>
        <w:t>have</w:t>
      </w:r>
      <w:r>
        <w:rPr>
          <w:spacing w:val="-7"/>
        </w:rPr>
        <w:t> </w:t>
      </w:r>
      <w:r>
        <w:rPr/>
        <w:t>a</w:t>
      </w:r>
      <w:r>
        <w:rPr>
          <w:spacing w:val="-8"/>
        </w:rPr>
        <w:t> </w:t>
      </w:r>
      <w:r>
        <w:rPr/>
        <w:t>direct</w:t>
      </w:r>
    </w:p>
    <w:p>
      <w:pPr>
        <w:spacing w:after="0" w:line="240" w:lineRule="exact"/>
        <w:jc w:val="both"/>
        <w:sectPr>
          <w:type w:val="continuous"/>
          <w:pgSz w:w="12240" w:h="15840"/>
          <w:pgMar w:top="480" w:bottom="280" w:left="620" w:right="620"/>
          <w:cols w:num="2" w:equalWidth="0">
            <w:col w:w="5202" w:space="125"/>
            <w:col w:w="5673"/>
          </w:cols>
        </w:sectPr>
      </w:pPr>
    </w:p>
    <w:p>
      <w:pPr>
        <w:pStyle w:val="BodyText"/>
        <w:spacing w:line="226" w:lineRule="exact"/>
        <w:ind w:left="117"/>
      </w:pPr>
      <w:r>
        <w:rPr/>
        <w:t>estimates.</w:t>
      </w:r>
      <w:r>
        <w:rPr>
          <w:position w:val="7"/>
          <w:sz w:val="11"/>
        </w:rPr>
        <w:t>9 </w:t>
      </w:r>
      <w:r>
        <w:rPr/>
        <w:t>The studies reviewed typically report costs in US</w:t>
      </w:r>
    </w:p>
    <w:p>
      <w:pPr>
        <w:pStyle w:val="BodyText"/>
        <w:spacing w:line="228" w:lineRule="auto" w:before="2"/>
        <w:ind w:left="117"/>
        <w:rPr>
          <w:sz w:val="11"/>
        </w:rPr>
      </w:pPr>
      <w:r>
        <w:rPr/>
        <w:br w:type="column"/>
      </w:r>
      <w:r>
        <w:rPr/>
        <w:t>influence on total plant cost and the cost of </w:t>
      </w:r>
      <w:r>
        <w:rPr>
          <w:spacing w:val="-8"/>
        </w:rPr>
        <w:t>CO</w:t>
      </w:r>
      <w:r>
        <w:rPr>
          <w:spacing w:val="-8"/>
          <w:position w:val="-6"/>
          <w:sz w:val="11"/>
        </w:rPr>
        <w:t>2</w:t>
      </w:r>
    </w:p>
    <w:p>
      <w:pPr>
        <w:pStyle w:val="BodyText"/>
        <w:spacing w:line="226" w:lineRule="exact"/>
        <w:ind w:left="9"/>
      </w:pPr>
      <w:r>
        <w:rPr/>
        <w:br w:type="column"/>
      </w:r>
      <w:r>
        <w:rPr/>
        <w:t>capture.</w:t>
      </w:r>
    </w:p>
    <w:p>
      <w:pPr>
        <w:spacing w:after="0" w:line="226" w:lineRule="exact"/>
        <w:sectPr>
          <w:type w:val="continuous"/>
          <w:pgSz w:w="12240" w:h="15840"/>
          <w:pgMar w:top="480" w:bottom="280" w:left="620" w:right="620"/>
          <w:cols w:num="3" w:equalWidth="0">
            <w:col w:w="5200" w:space="126"/>
            <w:col w:w="3936" w:space="40"/>
            <w:col w:w="1698"/>
          </w:cols>
        </w:sectPr>
      </w:pPr>
    </w:p>
    <w:p>
      <w:pPr>
        <w:pStyle w:val="BodyText"/>
        <w:spacing w:line="193" w:lineRule="exact"/>
        <w:ind w:left="117"/>
        <w:jc w:val="both"/>
      </w:pPr>
      <w:r>
        <w:rPr/>
        <w:t>dollars for reference years ranging from 2000 to early 2004.</w:t>
      </w:r>
    </w:p>
    <w:p>
      <w:pPr>
        <w:pStyle w:val="BodyText"/>
        <w:spacing w:line="249" w:lineRule="auto" w:before="10"/>
        <w:ind w:left="117" w:right="38"/>
        <w:jc w:val="both"/>
      </w:pPr>
      <w:r>
        <w:rPr/>
        <w:t>Because inflation effects generally have been small during this period no adjustments have been made in summarizing ranges of reported costs.</w:t>
      </w:r>
    </w:p>
    <w:p>
      <w:pPr>
        <w:pStyle w:val="BodyText"/>
        <w:spacing w:line="187" w:lineRule="auto"/>
        <w:ind w:left="400"/>
      </w:pPr>
      <w:r>
        <w:rPr/>
        <w:br w:type="column"/>
      </w:r>
      <w:hyperlink w:history="true" w:anchor="_bookmark32">
        <w:r>
          <w:rPr>
            <w:spacing w:val="-3"/>
          </w:rPr>
          <w:t>Table</w:t>
        </w:r>
        <w:r>
          <w:rPr>
            <w:spacing w:val="-10"/>
          </w:rPr>
          <w:t> </w:t>
        </w:r>
        <w:r>
          <w:rPr/>
          <w:t>3.7</w:t>
        </w:r>
        <w:r>
          <w:rPr>
            <w:spacing w:val="-9"/>
          </w:rPr>
          <w:t> </w:t>
        </w:r>
      </w:hyperlink>
      <w:r>
        <w:rPr/>
        <w:t>summarizes</w:t>
      </w:r>
      <w:r>
        <w:rPr>
          <w:spacing w:val="-10"/>
        </w:rPr>
        <w:t> </w:t>
      </w:r>
      <w:r>
        <w:rPr/>
        <w:t>several</w:t>
      </w:r>
      <w:r>
        <w:rPr>
          <w:spacing w:val="-9"/>
        </w:rPr>
        <w:t> </w:t>
      </w:r>
      <w:r>
        <w:rPr/>
        <w:t>measures</w:t>
      </w:r>
      <w:r>
        <w:rPr>
          <w:spacing w:val="-9"/>
        </w:rPr>
        <w:t> </w:t>
      </w:r>
      <w:r>
        <w:rPr/>
        <w:t>of</w:t>
      </w:r>
      <w:r>
        <w:rPr>
          <w:spacing w:val="-10"/>
        </w:rPr>
        <w:t> </w:t>
      </w:r>
      <w:r>
        <w:rPr/>
        <w:t>CO</w:t>
      </w:r>
      <w:r>
        <w:rPr>
          <w:position w:val="-6"/>
          <w:sz w:val="11"/>
        </w:rPr>
        <w:t>2</w:t>
      </w:r>
      <w:r>
        <w:rPr>
          <w:spacing w:val="13"/>
          <w:position w:val="-6"/>
          <w:sz w:val="11"/>
        </w:rPr>
        <w:t> </w:t>
      </w:r>
      <w:r>
        <w:rPr/>
        <w:t>capture</w:t>
      </w:r>
      <w:r>
        <w:rPr>
          <w:spacing w:val="-9"/>
        </w:rPr>
        <w:t> </w:t>
      </w:r>
      <w:r>
        <w:rPr/>
        <w:t>cost,</w:t>
      </w:r>
    </w:p>
    <w:p>
      <w:pPr>
        <w:pStyle w:val="BodyText"/>
        <w:spacing w:line="210" w:lineRule="exact"/>
        <w:ind w:left="117"/>
      </w:pPr>
      <w:r>
        <w:rPr/>
        <w:t>both</w:t>
      </w:r>
      <w:r>
        <w:rPr>
          <w:spacing w:val="-14"/>
        </w:rPr>
        <w:t> </w:t>
      </w:r>
      <w:r>
        <w:rPr/>
        <w:t>in</w:t>
      </w:r>
      <w:r>
        <w:rPr>
          <w:spacing w:val="-13"/>
        </w:rPr>
        <w:t> </w:t>
      </w:r>
      <w:r>
        <w:rPr/>
        <w:t>absolute</w:t>
      </w:r>
      <w:r>
        <w:rPr>
          <w:spacing w:val="-14"/>
        </w:rPr>
        <w:t> </w:t>
      </w:r>
      <w:r>
        <w:rPr/>
        <w:t>and</w:t>
      </w:r>
      <w:r>
        <w:rPr>
          <w:spacing w:val="-13"/>
        </w:rPr>
        <w:t> </w:t>
      </w:r>
      <w:r>
        <w:rPr/>
        <w:t>relative</w:t>
      </w:r>
      <w:r>
        <w:rPr>
          <w:spacing w:val="-13"/>
        </w:rPr>
        <w:t> </w:t>
      </w:r>
      <w:r>
        <w:rPr/>
        <w:t>terms.</w:t>
      </w:r>
      <w:r>
        <w:rPr>
          <w:spacing w:val="-24"/>
        </w:rPr>
        <w:t> </w:t>
      </w:r>
      <w:r>
        <w:rPr/>
        <w:t>Across</w:t>
      </w:r>
      <w:r>
        <w:rPr>
          <w:spacing w:val="-14"/>
        </w:rPr>
        <w:t> </w:t>
      </w:r>
      <w:r>
        <w:rPr/>
        <w:t>the</w:t>
      </w:r>
      <w:r>
        <w:rPr>
          <w:spacing w:val="-13"/>
        </w:rPr>
        <w:t> </w:t>
      </w:r>
      <w:r>
        <w:rPr/>
        <w:t>full</w:t>
      </w:r>
      <w:r>
        <w:rPr>
          <w:spacing w:val="-14"/>
        </w:rPr>
        <w:t> </w:t>
      </w:r>
      <w:r>
        <w:rPr/>
        <w:t>set</w:t>
      </w:r>
      <w:r>
        <w:rPr>
          <w:spacing w:val="-13"/>
        </w:rPr>
        <w:t> </w:t>
      </w:r>
      <w:r>
        <w:rPr/>
        <w:t>of</w:t>
      </w:r>
      <w:r>
        <w:rPr>
          <w:spacing w:val="-13"/>
        </w:rPr>
        <w:t> </w:t>
      </w:r>
      <w:r>
        <w:rPr/>
        <w:t>studies,</w:t>
      </w:r>
    </w:p>
    <w:p>
      <w:pPr>
        <w:pStyle w:val="BodyText"/>
        <w:spacing w:line="206" w:lineRule="auto" w:before="22"/>
        <w:ind w:left="117" w:right="501"/>
      </w:pPr>
      <w:r>
        <w:rPr/>
        <w:t>CO</w:t>
      </w:r>
      <w:r>
        <w:rPr>
          <w:position w:val="-6"/>
          <w:sz w:val="11"/>
        </w:rPr>
        <w:t>2 </w:t>
      </w:r>
      <w:r>
        <w:rPr/>
        <w:t>capture adds 44-87% to the capital cost of the reference plant</w:t>
      </w:r>
      <w:r>
        <w:rPr>
          <w:spacing w:val="24"/>
        </w:rPr>
        <w:t> </w:t>
      </w:r>
      <w:r>
        <w:rPr/>
        <w:t>(US$</w:t>
      </w:r>
      <w:r>
        <w:rPr>
          <w:spacing w:val="25"/>
        </w:rPr>
        <w:t> </w:t>
      </w:r>
      <w:r>
        <w:rPr>
          <w:spacing w:val="-3"/>
        </w:rPr>
        <w:t>kW</w:t>
      </w:r>
      <w:r>
        <w:rPr>
          <w:spacing w:val="-3"/>
          <w:position w:val="7"/>
          <w:sz w:val="11"/>
        </w:rPr>
        <w:t>-1</w:t>
      </w:r>
      <w:r>
        <w:rPr>
          <w:spacing w:val="-3"/>
        </w:rPr>
        <w:t>)</w:t>
      </w:r>
      <w:r>
        <w:rPr>
          <w:spacing w:val="25"/>
        </w:rPr>
        <w:t> </w:t>
      </w:r>
      <w:r>
        <w:rPr/>
        <w:t>and</w:t>
      </w:r>
      <w:r>
        <w:rPr>
          <w:spacing w:val="25"/>
        </w:rPr>
        <w:t> </w:t>
      </w:r>
      <w:r>
        <w:rPr/>
        <w:t>42-81%</w:t>
      </w:r>
      <w:r>
        <w:rPr>
          <w:spacing w:val="25"/>
        </w:rPr>
        <w:t> </w:t>
      </w:r>
      <w:r>
        <w:rPr/>
        <w:t>to</w:t>
      </w:r>
      <w:r>
        <w:rPr>
          <w:spacing w:val="25"/>
        </w:rPr>
        <w:t> </w:t>
      </w:r>
      <w:r>
        <w:rPr/>
        <w:t>the</w:t>
      </w:r>
      <w:r>
        <w:rPr>
          <w:spacing w:val="25"/>
        </w:rPr>
        <w:t> </w:t>
      </w:r>
      <w:r>
        <w:rPr/>
        <w:t>cost</w:t>
      </w:r>
      <w:r>
        <w:rPr>
          <w:spacing w:val="25"/>
        </w:rPr>
        <w:t> </w:t>
      </w:r>
      <w:r>
        <w:rPr/>
        <w:t>of</w:t>
      </w:r>
      <w:r>
        <w:rPr>
          <w:spacing w:val="25"/>
        </w:rPr>
        <w:t> </w:t>
      </w:r>
      <w:r>
        <w:rPr/>
        <w:t>electricity</w:t>
      </w:r>
      <w:r>
        <w:rPr>
          <w:spacing w:val="25"/>
        </w:rPr>
        <w:t> </w:t>
      </w:r>
      <w:r>
        <w:rPr/>
        <w:t>(US$</w:t>
      </w:r>
    </w:p>
    <w:p>
      <w:pPr>
        <w:spacing w:after="0" w:line="206" w:lineRule="auto"/>
        <w:sectPr>
          <w:type w:val="continuous"/>
          <w:pgSz w:w="12240" w:h="15840"/>
          <w:pgMar w:top="480" w:bottom="280" w:left="620" w:right="620"/>
          <w:cols w:num="2" w:equalWidth="0">
            <w:col w:w="5201" w:space="125"/>
            <w:col w:w="5674"/>
          </w:cols>
        </w:sectPr>
      </w:pPr>
    </w:p>
    <w:p>
      <w:pPr>
        <w:pStyle w:val="BodyText"/>
        <w:spacing w:before="2"/>
        <w:ind w:left="5443"/>
      </w:pPr>
      <w:r>
        <w:rPr/>
        <w:pict>
          <v:shape style="position:absolute;margin-left:428.400208pt;margin-top:8.385938pt;width:2.9pt;height:5.8pt;mso-position-horizontal-relative:page;mso-position-vertical-relative:paragraph;z-index:-272400384"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t>MWh</w:t>
      </w:r>
      <w:r>
        <w:rPr>
          <w:position w:val="7"/>
          <w:sz w:val="11"/>
        </w:rPr>
        <w:t>-1</w:t>
      </w:r>
      <w:r>
        <w:rPr/>
        <w:t>), while achieving CO reductions of approximately</w:t>
      </w:r>
    </w:p>
    <w:p>
      <w:pPr>
        <w:spacing w:after="0"/>
        <w:sectPr>
          <w:type w:val="continuous"/>
          <w:pgSz w:w="12240" w:h="15840"/>
          <w:pgMar w:top="480" w:bottom="280" w:left="620" w:right="620"/>
        </w:sectPr>
      </w:pPr>
    </w:p>
    <w:p>
      <w:pPr>
        <w:pStyle w:val="Heading2"/>
        <w:numPr>
          <w:ilvl w:val="2"/>
          <w:numId w:val="29"/>
        </w:numPr>
        <w:tabs>
          <w:tab w:pos="936" w:val="left" w:leader="none"/>
          <w:tab w:pos="937" w:val="left" w:leader="none"/>
        </w:tabs>
        <w:spacing w:line="206" w:lineRule="auto" w:before="29" w:after="0"/>
        <w:ind w:left="936" w:right="509" w:hanging="820"/>
        <w:jc w:val="left"/>
      </w:pPr>
      <w:r>
        <w:rPr>
          <w:i/>
        </w:rPr>
        <w:t>Post-combustion CO</w:t>
      </w:r>
      <w:r>
        <w:rPr>
          <w:i/>
          <w:position w:val="-6"/>
          <w:sz w:val="11"/>
        </w:rPr>
        <w:t>2 </w:t>
      </w:r>
      <w:r>
        <w:rPr>
          <w:i/>
        </w:rPr>
        <w:t>capture cost for electric </w:t>
      </w:r>
      <w:r>
        <w:rPr/>
        <w:t>power plants (current technology)</w:t>
      </w:r>
    </w:p>
    <w:p>
      <w:pPr>
        <w:pStyle w:val="BodyText"/>
        <w:spacing w:before="2"/>
        <w:rPr>
          <w:b/>
          <w:i/>
          <w:sz w:val="22"/>
        </w:rPr>
      </w:pPr>
    </w:p>
    <w:p>
      <w:pPr>
        <w:pStyle w:val="BodyText"/>
        <w:spacing w:line="249" w:lineRule="auto"/>
        <w:ind w:left="117" w:right="60"/>
      </w:pPr>
      <w:r>
        <w:rPr/>
        <w:t>Most of the </w:t>
      </w:r>
      <w:r>
        <w:rPr>
          <w:spacing w:val="-3"/>
        </w:rPr>
        <w:t>world’s </w:t>
      </w:r>
      <w:r>
        <w:rPr/>
        <w:t>electricity is  currently  generated  from the</w:t>
      </w:r>
      <w:r>
        <w:rPr>
          <w:spacing w:val="10"/>
        </w:rPr>
        <w:t> </w:t>
      </w:r>
      <w:r>
        <w:rPr/>
        <w:t>combustion</w:t>
      </w:r>
      <w:r>
        <w:rPr>
          <w:spacing w:val="10"/>
        </w:rPr>
        <w:t> </w:t>
      </w:r>
      <w:r>
        <w:rPr/>
        <w:t>of</w:t>
      </w:r>
      <w:r>
        <w:rPr>
          <w:spacing w:val="10"/>
        </w:rPr>
        <w:t> </w:t>
      </w:r>
      <w:r>
        <w:rPr/>
        <w:t>fossil</w:t>
      </w:r>
      <w:r>
        <w:rPr>
          <w:spacing w:val="10"/>
        </w:rPr>
        <w:t> </w:t>
      </w:r>
      <w:r>
        <w:rPr/>
        <w:t>fuels,</w:t>
      </w:r>
      <w:r>
        <w:rPr>
          <w:spacing w:val="10"/>
        </w:rPr>
        <w:t> </w:t>
      </w:r>
      <w:r>
        <w:rPr/>
        <w:t>especially</w:t>
      </w:r>
      <w:r>
        <w:rPr>
          <w:spacing w:val="10"/>
        </w:rPr>
        <w:t> </w:t>
      </w:r>
      <w:r>
        <w:rPr/>
        <w:t>coal</w:t>
      </w:r>
      <w:r>
        <w:rPr>
          <w:spacing w:val="11"/>
        </w:rPr>
        <w:t> </w:t>
      </w:r>
      <w:r>
        <w:rPr/>
        <w:t>and</w:t>
      </w:r>
      <w:r>
        <w:rPr>
          <w:spacing w:val="10"/>
        </w:rPr>
        <w:t> </w:t>
      </w:r>
      <w:r>
        <w:rPr/>
        <w:t>(to</w:t>
      </w:r>
      <w:r>
        <w:rPr>
          <w:spacing w:val="10"/>
        </w:rPr>
        <w:t> </w:t>
      </w:r>
      <w:r>
        <w:rPr>
          <w:spacing w:val="-7"/>
        </w:rPr>
        <w:t>an</w:t>
      </w:r>
    </w:p>
    <w:p>
      <w:pPr>
        <w:pStyle w:val="BodyText"/>
        <w:spacing w:line="225" w:lineRule="auto" w:before="18"/>
        <w:ind w:left="117" w:right="509"/>
        <w:jc w:val="both"/>
        <w:rPr>
          <w:sz w:val="11"/>
        </w:rPr>
      </w:pPr>
      <w:r>
        <w:rPr/>
        <w:br w:type="column"/>
      </w:r>
      <w:r>
        <w:rPr/>
        <w:t>80-90% per net kWh produced. The cost of CO</w:t>
      </w:r>
      <w:r>
        <w:rPr>
          <w:position w:val="-6"/>
          <w:sz w:val="11"/>
        </w:rPr>
        <w:t>2 </w:t>
      </w:r>
      <w:r>
        <w:rPr/>
        <w:t>avoided for these cases varies from 29-51 US$/tCO</w:t>
      </w:r>
      <w:r>
        <w:rPr>
          <w:position w:val="-6"/>
          <w:sz w:val="11"/>
        </w:rPr>
        <w:t>2</w:t>
      </w:r>
      <w:r>
        <w:rPr/>
        <w:t>. The absolute values of capital cost, COE and incremental cost of electricity </w:t>
      </w:r>
      <w:r>
        <w:rPr>
          <w:spacing w:val="-6"/>
        </w:rPr>
        <w:t>in</w:t>
      </w:r>
      <w:hyperlink w:history="true" w:anchor="_bookmark32">
        <w:r>
          <w:rPr>
            <w:spacing w:val="-6"/>
          </w:rPr>
          <w:t> </w:t>
        </w:r>
        <w:r>
          <w:rPr>
            <w:spacing w:val="-3"/>
          </w:rPr>
          <w:t>Table </w:t>
        </w:r>
        <w:r>
          <w:rPr/>
          <w:t>3.7</w:t>
        </w:r>
      </w:hyperlink>
      <w:r>
        <w:rPr/>
        <w:t> reflect the different assumptions employed in each </w:t>
      </w:r>
      <w:r>
        <w:rPr>
          <w:spacing w:val="-3"/>
        </w:rPr>
        <w:t>study.</w:t>
      </w:r>
      <w:r>
        <w:rPr>
          <w:spacing w:val="6"/>
        </w:rPr>
        <w:t> </w:t>
      </w:r>
      <w:r>
        <w:rPr/>
        <w:t>The</w:t>
      </w:r>
      <w:r>
        <w:rPr>
          <w:spacing w:val="10"/>
        </w:rPr>
        <w:t> </w:t>
      </w:r>
      <w:r>
        <w:rPr/>
        <w:t>result</w:t>
      </w:r>
      <w:r>
        <w:rPr>
          <w:spacing w:val="10"/>
        </w:rPr>
        <w:t> </w:t>
      </w:r>
      <w:r>
        <w:rPr/>
        <w:t>is</w:t>
      </w:r>
      <w:r>
        <w:rPr>
          <w:spacing w:val="10"/>
        </w:rPr>
        <w:t> </w:t>
      </w:r>
      <w:r>
        <w:rPr/>
        <w:t>an</w:t>
      </w:r>
      <w:r>
        <w:rPr>
          <w:spacing w:val="10"/>
        </w:rPr>
        <w:t> </w:t>
      </w:r>
      <w:r>
        <w:rPr/>
        <w:t>incremental</w:t>
      </w:r>
      <w:r>
        <w:rPr>
          <w:spacing w:val="10"/>
        </w:rPr>
        <w:t> </w:t>
      </w:r>
      <w:r>
        <w:rPr/>
        <w:t>COE</w:t>
      </w:r>
      <w:r>
        <w:rPr>
          <w:spacing w:val="10"/>
        </w:rPr>
        <w:t> </w:t>
      </w:r>
      <w:r>
        <w:rPr/>
        <w:t>of</w:t>
      </w:r>
      <w:r>
        <w:rPr>
          <w:spacing w:val="10"/>
        </w:rPr>
        <w:t> </w:t>
      </w:r>
      <w:r>
        <w:rPr/>
        <w:t>18-38</w:t>
      </w:r>
      <w:r>
        <w:rPr>
          <w:spacing w:val="10"/>
        </w:rPr>
        <w:t> </w:t>
      </w:r>
      <w:r>
        <w:rPr/>
        <w:t>US$</w:t>
      </w:r>
      <w:r>
        <w:rPr>
          <w:spacing w:val="10"/>
        </w:rPr>
        <w:t> </w:t>
      </w:r>
      <w:r>
        <w:rPr/>
        <w:t>MWh</w:t>
      </w:r>
      <w:r>
        <w:rPr>
          <w:position w:val="7"/>
          <w:sz w:val="11"/>
        </w:rPr>
        <w:t>-1</w:t>
      </w:r>
    </w:p>
    <w:p>
      <w:pPr>
        <w:spacing w:after="0" w:line="225" w:lineRule="auto"/>
        <w:jc w:val="both"/>
        <w:rPr>
          <w:sz w:val="11"/>
        </w:rPr>
        <w:sectPr>
          <w:type w:val="continuous"/>
          <w:pgSz w:w="12240" w:h="15840"/>
          <w:pgMar w:top="480" w:bottom="280" w:left="620" w:right="620"/>
          <w:cols w:num="2" w:equalWidth="0">
            <w:col w:w="5202" w:space="125"/>
            <w:col w:w="5673"/>
          </w:cols>
        </w:sectPr>
      </w:pPr>
    </w:p>
    <w:p>
      <w:pPr>
        <w:pStyle w:val="BodyText"/>
        <w:spacing w:before="2"/>
        <w:ind w:left="117"/>
      </w:pPr>
      <w:r>
        <w:rPr/>
        <w:t>increasing extent) natural gas. Hence, the ability to capture and</w:t>
      </w:r>
    </w:p>
    <w:p>
      <w:pPr>
        <w:pStyle w:val="BodyText"/>
        <w:spacing w:before="2"/>
        <w:ind w:left="117"/>
      </w:pPr>
      <w:r>
        <w:rPr/>
        <w:br w:type="column"/>
      </w:r>
      <w:r>
        <w:rPr/>
        <w:t>(or US$ 0.018-0.038 kWh</w:t>
      </w:r>
      <w:r>
        <w:rPr>
          <w:position w:val="7"/>
          <w:sz w:val="11"/>
        </w:rPr>
        <w:t>-1</w:t>
      </w:r>
      <w:r>
        <w:rPr/>
        <w:t>) for CO</w:t>
      </w:r>
    </w:p>
    <w:p>
      <w:pPr>
        <w:pStyle w:val="BodyText"/>
        <w:spacing w:before="2"/>
        <w:ind w:left="33"/>
      </w:pPr>
      <w:r>
        <w:rPr/>
        <w:br w:type="column"/>
      </w:r>
      <w:r>
        <w:rPr/>
        <w:t>capture. The total COE</w:t>
      </w:r>
    </w:p>
    <w:p>
      <w:pPr>
        <w:spacing w:after="0"/>
        <w:sectPr>
          <w:type w:val="continuous"/>
          <w:pgSz w:w="12240" w:h="15840"/>
          <w:pgMar w:top="480" w:bottom="280" w:left="620" w:right="620"/>
          <w:cols w:num="3" w:equalWidth="0">
            <w:col w:w="5201" w:space="125"/>
            <w:col w:w="3163" w:space="40"/>
            <w:col w:w="2471"/>
          </w:cols>
        </w:sectPr>
      </w:pPr>
    </w:p>
    <w:p>
      <w:pPr>
        <w:pStyle w:val="BodyText"/>
        <w:spacing w:line="277" w:lineRule="exact" w:before="10"/>
        <w:ind w:left="117"/>
        <w:rPr>
          <w:sz w:val="11"/>
        </w:rPr>
      </w:pPr>
      <w:r>
        <w:rPr/>
        <w:pict>
          <v:shape style="position:absolute;margin-left:452.561798pt;margin-top:-3.214063pt;width:2.9pt;height:5.8pt;mso-position-horizontal-relative:page;mso-position-vertical-relative:paragraph;z-index:-272399360"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t>store the CO</w:t>
      </w:r>
      <w:r>
        <w:rPr>
          <w:position w:val="-6"/>
          <w:sz w:val="11"/>
        </w:rPr>
        <w:t>2</w:t>
      </w:r>
    </w:p>
    <w:p>
      <w:pPr>
        <w:pStyle w:val="BodyText"/>
        <w:spacing w:before="10"/>
        <w:ind w:left="32"/>
      </w:pPr>
      <w:r>
        <w:rPr/>
        <w:br w:type="column"/>
      </w:r>
      <w:r>
        <w:rPr/>
        <w:t>emitted by such plants has been a major focus</w:t>
      </w:r>
    </w:p>
    <w:p>
      <w:pPr>
        <w:pStyle w:val="BodyText"/>
        <w:spacing w:before="10"/>
        <w:ind w:left="117"/>
      </w:pPr>
      <w:r>
        <w:rPr/>
        <w:br w:type="column"/>
      </w:r>
      <w:r>
        <w:rPr/>
        <w:t>for plants with capture ranges from 62-87 US$ MWh</w:t>
      </w:r>
      <w:r>
        <w:rPr>
          <w:position w:val="7"/>
          <w:sz w:val="11"/>
        </w:rPr>
        <w:t>-1</w:t>
      </w:r>
      <w:r>
        <w:rPr/>
        <w:t>. In all</w:t>
      </w:r>
    </w:p>
    <w:p>
      <w:pPr>
        <w:spacing w:after="0"/>
        <w:sectPr>
          <w:type w:val="continuous"/>
          <w:pgSz w:w="12240" w:h="15840"/>
          <w:pgMar w:top="480" w:bottom="280" w:left="620" w:right="620"/>
          <w:cols w:num="3" w:equalWidth="0">
            <w:col w:w="1231" w:space="40"/>
            <w:col w:w="3929" w:space="126"/>
            <w:col w:w="5674"/>
          </w:cols>
        </w:sectPr>
      </w:pPr>
    </w:p>
    <w:p>
      <w:pPr>
        <w:pStyle w:val="BodyText"/>
        <w:spacing w:line="193" w:lineRule="exact"/>
        <w:ind w:left="117"/>
        <w:jc w:val="both"/>
      </w:pPr>
      <w:r>
        <w:rPr/>
        <w:t>of</w:t>
      </w:r>
      <w:r>
        <w:rPr>
          <w:spacing w:val="11"/>
        </w:rPr>
        <w:t> </w:t>
      </w:r>
      <w:r>
        <w:rPr/>
        <w:t>investigation.</w:t>
      </w:r>
      <w:r>
        <w:rPr>
          <w:spacing w:val="7"/>
        </w:rPr>
        <w:t> </w:t>
      </w:r>
      <w:r>
        <w:rPr/>
        <w:t>This</w:t>
      </w:r>
      <w:r>
        <w:rPr>
          <w:spacing w:val="12"/>
        </w:rPr>
        <w:t> </w:t>
      </w:r>
      <w:r>
        <w:rPr/>
        <w:t>section</w:t>
      </w:r>
      <w:r>
        <w:rPr>
          <w:spacing w:val="10"/>
        </w:rPr>
        <w:t> </w:t>
      </w:r>
      <w:r>
        <w:rPr/>
        <w:t>of</w:t>
      </w:r>
      <w:r>
        <w:rPr>
          <w:spacing w:val="12"/>
        </w:rPr>
        <w:t> </w:t>
      </w:r>
      <w:r>
        <w:rPr/>
        <w:t>the</w:t>
      </w:r>
      <w:r>
        <w:rPr>
          <w:spacing w:val="10"/>
        </w:rPr>
        <w:t> </w:t>
      </w:r>
      <w:r>
        <w:rPr/>
        <w:t>report</w:t>
      </w:r>
      <w:r>
        <w:rPr>
          <w:spacing w:val="11"/>
        </w:rPr>
        <w:t> </w:t>
      </w:r>
      <w:r>
        <w:rPr/>
        <w:t>focuses</w:t>
      </w:r>
      <w:r>
        <w:rPr>
          <w:spacing w:val="12"/>
        </w:rPr>
        <w:t> </w:t>
      </w:r>
      <w:r>
        <w:rPr/>
        <w:t>on</w:t>
      </w:r>
      <w:r>
        <w:rPr>
          <w:spacing w:val="11"/>
        </w:rPr>
        <w:t> </w:t>
      </w:r>
      <w:r>
        <w:rPr/>
        <w:t>the</w:t>
      </w:r>
      <w:r>
        <w:rPr>
          <w:spacing w:val="11"/>
        </w:rPr>
        <w:t> </w:t>
      </w:r>
      <w:r>
        <w:rPr/>
        <w:t>cost</w:t>
      </w:r>
    </w:p>
    <w:p>
      <w:pPr>
        <w:pStyle w:val="BodyText"/>
        <w:spacing w:line="225" w:lineRule="auto" w:before="18"/>
        <w:ind w:left="117" w:right="38"/>
        <w:jc w:val="both"/>
      </w:pPr>
      <w:r>
        <w:rPr/>
        <w:t>of currently available technology for CO</w:t>
      </w:r>
      <w:r>
        <w:rPr>
          <w:position w:val="-6"/>
          <w:sz w:val="11"/>
        </w:rPr>
        <w:t>2   </w:t>
      </w:r>
      <w:r>
        <w:rPr/>
        <w:t>capture. Because   of the relatively low CO</w:t>
      </w:r>
      <w:r>
        <w:rPr>
          <w:position w:val="-6"/>
          <w:sz w:val="11"/>
        </w:rPr>
        <w:t>2 </w:t>
      </w:r>
      <w:r>
        <w:rPr/>
        <w:t>concentration in power plant flue gases, chemical absorption systems have been the dominant technology</w:t>
      </w:r>
      <w:r>
        <w:rPr>
          <w:spacing w:val="-6"/>
        </w:rPr>
        <w:t> </w:t>
      </w:r>
      <w:r>
        <w:rPr/>
        <w:t>of</w:t>
      </w:r>
      <w:r>
        <w:rPr>
          <w:spacing w:val="-5"/>
        </w:rPr>
        <w:t> </w:t>
      </w:r>
      <w:r>
        <w:rPr/>
        <w:t>interest</w:t>
      </w:r>
      <w:r>
        <w:rPr>
          <w:spacing w:val="-6"/>
        </w:rPr>
        <w:t> </w:t>
      </w:r>
      <w:r>
        <w:rPr/>
        <w:t>for</w:t>
      </w:r>
      <w:r>
        <w:rPr>
          <w:spacing w:val="-5"/>
        </w:rPr>
        <w:t> </w:t>
      </w:r>
      <w:r>
        <w:rPr/>
        <w:t>post-combustion</w:t>
      </w:r>
      <w:r>
        <w:rPr>
          <w:spacing w:val="-5"/>
        </w:rPr>
        <w:t> </w:t>
      </w:r>
      <w:r>
        <w:rPr/>
        <w:t>capture</w:t>
      </w:r>
      <w:r>
        <w:rPr>
          <w:spacing w:val="-6"/>
        </w:rPr>
        <w:t> </w:t>
      </w:r>
      <w:r>
        <w:rPr/>
        <w:t>(see</w:t>
      </w:r>
      <w:r>
        <w:rPr>
          <w:spacing w:val="-5"/>
        </w:rPr>
        <w:t> </w:t>
      </w:r>
      <w:r>
        <w:rPr/>
        <w:t>Section 3.3.2).</w:t>
      </w:r>
      <w:r>
        <w:rPr>
          <w:spacing w:val="10"/>
        </w:rPr>
        <w:t> </w:t>
      </w:r>
      <w:r>
        <w:rPr/>
        <w:t>However,</w:t>
      </w:r>
      <w:r>
        <w:rPr>
          <w:spacing w:val="11"/>
        </w:rPr>
        <w:t> </w:t>
      </w:r>
      <w:r>
        <w:rPr/>
        <w:t>the</w:t>
      </w:r>
      <w:r>
        <w:rPr>
          <w:spacing w:val="11"/>
        </w:rPr>
        <w:t> </w:t>
      </w:r>
      <w:r>
        <w:rPr/>
        <w:t>cost</w:t>
      </w:r>
      <w:r>
        <w:rPr>
          <w:spacing w:val="10"/>
        </w:rPr>
        <w:t> </w:t>
      </w:r>
      <w:r>
        <w:rPr/>
        <w:t>of</w:t>
      </w:r>
      <w:r>
        <w:rPr>
          <w:spacing w:val="11"/>
        </w:rPr>
        <w:t> </w:t>
      </w:r>
      <w:r>
        <w:rPr/>
        <w:t>CO</w:t>
      </w:r>
      <w:r>
        <w:rPr>
          <w:position w:val="-6"/>
          <w:sz w:val="11"/>
        </w:rPr>
        <w:t>2 </w:t>
      </w:r>
      <w:r>
        <w:rPr>
          <w:spacing w:val="6"/>
          <w:position w:val="-6"/>
          <w:sz w:val="11"/>
        </w:rPr>
        <w:t> </w:t>
      </w:r>
      <w:r>
        <w:rPr/>
        <w:t>capture</w:t>
      </w:r>
      <w:r>
        <w:rPr>
          <w:spacing w:val="10"/>
        </w:rPr>
        <w:t> </w:t>
      </w:r>
      <w:r>
        <w:rPr/>
        <w:t>depends</w:t>
      </w:r>
      <w:r>
        <w:rPr>
          <w:spacing w:val="11"/>
        </w:rPr>
        <w:t> </w:t>
      </w:r>
      <w:r>
        <w:rPr/>
        <w:t>not</w:t>
      </w:r>
      <w:r>
        <w:rPr>
          <w:spacing w:val="11"/>
        </w:rPr>
        <w:t> </w:t>
      </w:r>
      <w:r>
        <w:rPr/>
        <w:t>only</w:t>
      </w:r>
      <w:r>
        <w:rPr>
          <w:spacing w:val="11"/>
        </w:rPr>
        <w:t> </w:t>
      </w:r>
      <w:r>
        <w:rPr/>
        <w:t>on</w:t>
      </w:r>
    </w:p>
    <w:p>
      <w:pPr>
        <w:pStyle w:val="BodyText"/>
        <w:spacing w:before="1"/>
        <w:rPr>
          <w:sz w:val="28"/>
        </w:rPr>
      </w:pPr>
      <w:r>
        <w:rPr/>
        <w:pict>
          <v:shape style="position:absolute;margin-left:36.849998pt;margin-top:18.618670pt;width:72pt;height:.1pt;mso-position-horizontal-relative:page;mso-position-vertical-relative:paragraph;z-index:-251587584;mso-wrap-distance-left:0;mso-wrap-distance-right:0" coordorigin="737,372" coordsize="1440,0" path="m737,372l2177,372e" filled="false" stroked="true" strokeweight="1pt" strokecolor="#000000">
            <v:path arrowok="t"/>
            <v:stroke dashstyle="solid"/>
            <w10:wrap type="topAndBottom"/>
          </v:shape>
        </w:pict>
      </w:r>
    </w:p>
    <w:p>
      <w:pPr>
        <w:spacing w:line="200" w:lineRule="exact" w:before="1"/>
        <w:ind w:left="117" w:right="38" w:firstLine="0"/>
        <w:jc w:val="both"/>
        <w:rPr>
          <w:sz w:val="16"/>
        </w:rPr>
      </w:pPr>
      <w:r>
        <w:rPr>
          <w:position w:val="5"/>
          <w:sz w:val="9"/>
        </w:rPr>
        <w:t>9 </w:t>
      </w:r>
      <w:r>
        <w:rPr>
          <w:sz w:val="16"/>
        </w:rPr>
        <w:t>These descriptions are used in subsequent tables to characterize systems with CO</w:t>
      </w:r>
      <w:r>
        <w:rPr>
          <w:position w:val="-4"/>
          <w:sz w:val="9"/>
        </w:rPr>
        <w:t>2 </w:t>
      </w:r>
      <w:r>
        <w:rPr>
          <w:sz w:val="16"/>
        </w:rPr>
        <w:t>capture. In most cases the cost estimates for reference plants (without capture) would rank as high (e.g., IGCC power plants) or very high (e.g., PC and NGCC power plants).</w:t>
      </w:r>
    </w:p>
    <w:p>
      <w:pPr>
        <w:pStyle w:val="BodyText"/>
        <w:spacing w:line="187" w:lineRule="auto"/>
        <w:ind w:left="117"/>
        <w:jc w:val="both"/>
      </w:pPr>
      <w:r>
        <w:rPr/>
        <w:br w:type="column"/>
      </w:r>
      <w:r>
        <w:rPr/>
        <w:t>cases, a significant portion of the total CO</w:t>
      </w:r>
      <w:r>
        <w:rPr>
          <w:position w:val="-6"/>
          <w:sz w:val="11"/>
        </w:rPr>
        <w:t>2  </w:t>
      </w:r>
      <w:r>
        <w:rPr/>
        <w:t>capture cost is </w:t>
      </w:r>
      <w:r>
        <w:rPr>
          <w:spacing w:val="5"/>
        </w:rPr>
        <w:t> </w:t>
      </w:r>
      <w:r>
        <w:rPr/>
        <w:t>due</w:t>
      </w:r>
    </w:p>
    <w:p>
      <w:pPr>
        <w:pStyle w:val="BodyText"/>
        <w:spacing w:line="206" w:lineRule="auto"/>
        <w:ind w:left="117" w:right="511"/>
        <w:jc w:val="both"/>
      </w:pPr>
      <w:r>
        <w:rPr/>
        <w:t>to</w:t>
      </w:r>
      <w:r>
        <w:rPr>
          <w:spacing w:val="-11"/>
        </w:rPr>
        <w:t> </w:t>
      </w:r>
      <w:r>
        <w:rPr/>
        <w:t>the</w:t>
      </w:r>
      <w:r>
        <w:rPr>
          <w:spacing w:val="-11"/>
        </w:rPr>
        <w:t> </w:t>
      </w:r>
      <w:r>
        <w:rPr/>
        <w:t>energy</w:t>
      </w:r>
      <w:r>
        <w:rPr>
          <w:spacing w:val="-9"/>
        </w:rPr>
        <w:t> </w:t>
      </w:r>
      <w:r>
        <w:rPr/>
        <w:t>requirement</w:t>
      </w:r>
      <w:r>
        <w:rPr>
          <w:spacing w:val="-11"/>
        </w:rPr>
        <w:t> </w:t>
      </w:r>
      <w:r>
        <w:rPr/>
        <w:t>for</w:t>
      </w:r>
      <w:r>
        <w:rPr>
          <w:spacing w:val="-9"/>
        </w:rPr>
        <w:t> </w:t>
      </w:r>
      <w:r>
        <w:rPr/>
        <w:t>CO</w:t>
      </w:r>
      <w:r>
        <w:rPr>
          <w:position w:val="-6"/>
          <w:sz w:val="11"/>
        </w:rPr>
        <w:t>2</w:t>
      </w:r>
      <w:r>
        <w:rPr>
          <w:spacing w:val="-5"/>
          <w:position w:val="-6"/>
          <w:sz w:val="11"/>
        </w:rPr>
        <w:t> </w:t>
      </w:r>
      <w:r>
        <w:rPr/>
        <w:t>capture</w:t>
      </w:r>
      <w:r>
        <w:rPr>
          <w:spacing w:val="-10"/>
        </w:rPr>
        <w:t> </w:t>
      </w:r>
      <w:r>
        <w:rPr/>
        <w:t>and</w:t>
      </w:r>
      <w:r>
        <w:rPr>
          <w:spacing w:val="-11"/>
        </w:rPr>
        <w:t> </w:t>
      </w:r>
      <w:r>
        <w:rPr/>
        <w:t>compression.</w:t>
      </w:r>
      <w:r>
        <w:rPr>
          <w:spacing w:val="-10"/>
        </w:rPr>
        <w:t> </w:t>
      </w:r>
      <w:r>
        <w:rPr/>
        <w:t>For the studies in </w:t>
      </w:r>
      <w:hyperlink w:history="true" w:anchor="_bookmark32">
        <w:r>
          <w:rPr>
            <w:spacing w:val="-3"/>
          </w:rPr>
          <w:t>Table </w:t>
        </w:r>
        <w:r>
          <w:rPr/>
          <w:t>3.7,</w:t>
        </w:r>
      </w:hyperlink>
      <w:r>
        <w:rPr/>
        <w:t> the plants with CO</w:t>
      </w:r>
      <w:r>
        <w:rPr>
          <w:position w:val="-6"/>
          <w:sz w:val="11"/>
        </w:rPr>
        <w:t>2 </w:t>
      </w:r>
      <w:r>
        <w:rPr/>
        <w:t>capture require 24-42%</w:t>
      </w:r>
      <w:r>
        <w:rPr>
          <w:spacing w:val="21"/>
        </w:rPr>
        <w:t> </w:t>
      </w:r>
      <w:r>
        <w:rPr/>
        <w:t>more</w:t>
      </w:r>
      <w:r>
        <w:rPr>
          <w:spacing w:val="22"/>
        </w:rPr>
        <w:t> </w:t>
      </w:r>
      <w:r>
        <w:rPr/>
        <w:t>fuel</w:t>
      </w:r>
      <w:r>
        <w:rPr>
          <w:spacing w:val="22"/>
        </w:rPr>
        <w:t> </w:t>
      </w:r>
      <w:r>
        <w:rPr/>
        <w:t>input</w:t>
      </w:r>
      <w:r>
        <w:rPr>
          <w:spacing w:val="22"/>
        </w:rPr>
        <w:t> </w:t>
      </w:r>
      <w:r>
        <w:rPr/>
        <w:t>per</w:t>
      </w:r>
      <w:r>
        <w:rPr>
          <w:spacing w:val="22"/>
        </w:rPr>
        <w:t> </w:t>
      </w:r>
      <w:r>
        <w:rPr/>
        <w:t>MWh</w:t>
      </w:r>
      <w:r>
        <w:rPr>
          <w:spacing w:val="22"/>
        </w:rPr>
        <w:t> </w:t>
      </w:r>
      <w:r>
        <w:rPr/>
        <w:t>of</w:t>
      </w:r>
      <w:r>
        <w:rPr>
          <w:spacing w:val="22"/>
        </w:rPr>
        <w:t> </w:t>
      </w:r>
      <w:r>
        <w:rPr/>
        <w:t>plant</w:t>
      </w:r>
      <w:r>
        <w:rPr>
          <w:spacing w:val="22"/>
        </w:rPr>
        <w:t> </w:t>
      </w:r>
      <w:r>
        <w:rPr/>
        <w:t>output</w:t>
      </w:r>
      <w:r>
        <w:rPr>
          <w:spacing w:val="21"/>
        </w:rPr>
        <w:t> </w:t>
      </w:r>
      <w:r>
        <w:rPr/>
        <w:t>relative</w:t>
      </w:r>
      <w:r>
        <w:rPr>
          <w:spacing w:val="22"/>
        </w:rPr>
        <w:t> </w:t>
      </w:r>
      <w:r>
        <w:rPr>
          <w:spacing w:val="-7"/>
        </w:rPr>
        <w:t>to</w:t>
      </w:r>
    </w:p>
    <w:p>
      <w:pPr>
        <w:pStyle w:val="BodyText"/>
        <w:spacing w:line="225" w:lineRule="auto" w:before="10"/>
        <w:ind w:left="117" w:right="511"/>
        <w:jc w:val="both"/>
      </w:pPr>
      <w:r>
        <w:rPr/>
        <w:t>a similar reference plant without capture. Roughly half the energy is required for solvent regeneration and a third for CO</w:t>
      </w:r>
      <w:r>
        <w:rPr>
          <w:position w:val="-6"/>
          <w:sz w:val="11"/>
        </w:rPr>
        <w:t>2 </w:t>
      </w:r>
      <w:r>
        <w:rPr/>
        <w:t>compression.</w:t>
      </w:r>
    </w:p>
    <w:p>
      <w:pPr>
        <w:pStyle w:val="BodyText"/>
        <w:spacing w:line="249" w:lineRule="auto" w:before="10"/>
        <w:ind w:left="117" w:right="510" w:firstLine="283"/>
        <w:jc w:val="both"/>
      </w:pPr>
      <w:r>
        <w:rPr/>
        <w:t>While many factors contribute to the cost differences observed in </w:t>
      </w:r>
      <w:hyperlink w:history="true" w:anchor="_bookmark33">
        <w:r>
          <w:rPr/>
          <w:t>Table 3.7,</w:t>
        </w:r>
      </w:hyperlink>
      <w:r>
        <w:rPr/>
        <w:t> systematic studies of the influence of different factors indicate that the most important sources of variability in reported cost results are assumptions about the</w:t>
      </w:r>
    </w:p>
    <w:p>
      <w:pPr>
        <w:spacing w:after="0" w:line="249" w:lineRule="auto"/>
        <w:jc w:val="both"/>
        <w:sectPr>
          <w:type w:val="continuous"/>
          <w:pgSz w:w="12240" w:h="15840"/>
          <w:pgMar w:top="480" w:bottom="280" w:left="620" w:right="620"/>
          <w:cols w:num="2" w:equalWidth="0">
            <w:col w:w="5201" w:space="125"/>
            <w:col w:w="5674"/>
          </w:cols>
        </w:sectPr>
      </w:pPr>
    </w:p>
    <w:p>
      <w:pPr>
        <w:pStyle w:val="BodyText"/>
        <w:spacing w:before="6" w:after="1"/>
        <w:rPr>
          <w:sz w:val="18"/>
        </w:rPr>
      </w:pPr>
      <w:r>
        <w:rPr/>
        <w:pict>
          <v:shape style="position:absolute;margin-left:750.403625pt;margin-top:55.692902pt;width:14.25pt;height:110.1pt;mso-position-horizontal-relative:page;mso-position-vertical-relative:page;z-index:251731968" type="#_x0000_t202" filled="false" stroked="false">
            <v:textbox inset="0,0,0,0" style="layout-flow:vertical">
              <w:txbxContent>
                <w:p>
                  <w:pPr>
                    <w:spacing w:line="218" w:lineRule="auto" w:before="0"/>
                    <w:ind w:left="20" w:right="0" w:firstLine="0"/>
                    <w:jc w:val="left"/>
                    <w:rPr>
                      <w:i/>
                      <w:sz w:val="11"/>
                    </w:rPr>
                  </w:pPr>
                  <w:r>
                    <w:rPr>
                      <w:i/>
                      <w:sz w:val="20"/>
                    </w:rPr>
                    <w:t>Chapter 3: Capture of CO</w:t>
                  </w:r>
                  <w:r>
                    <w:rPr>
                      <w:i/>
                      <w:position w:val="-6"/>
                      <w:sz w:val="11"/>
                    </w:rPr>
                    <w:t>2</w:t>
                  </w:r>
                </w:p>
              </w:txbxContent>
            </v:textbox>
            <w10:wrap type="none"/>
          </v:shape>
        </w:pict>
      </w:r>
      <w:r>
        <w:rPr/>
        <w:pict>
          <v:shape style="position:absolute;margin-left:752.653625pt;margin-top:559.149597pt;width:12pt;height:17pt;mso-position-horizontal-relative:page;mso-position-vertical-relative:page;z-index:251732992" type="#_x0000_t202" filled="false" stroked="false">
            <v:textbox inset="0,0,0,0" style="layout-flow:vertical">
              <w:txbxContent>
                <w:p>
                  <w:pPr>
                    <w:spacing w:line="213" w:lineRule="exact" w:before="0"/>
                    <w:ind w:left="20" w:right="0" w:firstLine="0"/>
                    <w:jc w:val="left"/>
                    <w:rPr>
                      <w:b/>
                      <w:sz w:val="20"/>
                    </w:rPr>
                  </w:pPr>
                  <w:r>
                    <w:rPr>
                      <w:b/>
                      <w:sz w:val="20"/>
                    </w:rPr>
                    <w:t>151</w:t>
                  </w:r>
                </w:p>
              </w:txbxContent>
            </v:textbox>
            <w10:wrap type="none"/>
          </v:shape>
        </w:pict>
      </w:r>
    </w:p>
    <w:tbl>
      <w:tblPr>
        <w:tblW w:w="0" w:type="auto"/>
        <w:jc w:val="left"/>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2"/>
        <w:gridCol w:w="893"/>
        <w:gridCol w:w="893"/>
        <w:gridCol w:w="893"/>
        <w:gridCol w:w="893"/>
        <w:gridCol w:w="893"/>
        <w:gridCol w:w="893"/>
        <w:gridCol w:w="893"/>
        <w:gridCol w:w="933"/>
        <w:gridCol w:w="995"/>
        <w:gridCol w:w="1033"/>
        <w:gridCol w:w="1937"/>
      </w:tblGrid>
      <w:tr>
        <w:trPr>
          <w:trHeight w:val="450" w:hRule="atLeast"/>
        </w:trPr>
        <w:tc>
          <w:tcPr>
            <w:tcW w:w="2412" w:type="dxa"/>
            <w:vMerge w:val="restart"/>
            <w:shd w:val="clear" w:color="auto" w:fill="E0EEE0"/>
          </w:tcPr>
          <w:p>
            <w:pPr>
              <w:pStyle w:val="TableParagraph"/>
              <w:jc w:val="left"/>
              <w:rPr>
                <w:sz w:val="16"/>
              </w:rPr>
            </w:pPr>
          </w:p>
          <w:p>
            <w:pPr>
              <w:pStyle w:val="TableParagraph"/>
              <w:jc w:val="left"/>
              <w:rPr>
                <w:sz w:val="13"/>
              </w:rPr>
            </w:pPr>
          </w:p>
          <w:p>
            <w:pPr>
              <w:pStyle w:val="TableParagraph"/>
              <w:ind w:left="77"/>
              <w:jc w:val="left"/>
              <w:rPr>
                <w:b/>
                <w:sz w:val="16"/>
              </w:rPr>
            </w:pPr>
            <w:r>
              <w:rPr>
                <w:b/>
                <w:sz w:val="16"/>
              </w:rPr>
              <w:t>Study Assumptions and Results</w:t>
            </w:r>
          </w:p>
        </w:tc>
        <w:tc>
          <w:tcPr>
            <w:tcW w:w="893" w:type="dxa"/>
            <w:shd w:val="clear" w:color="auto" w:fill="E0EEE0"/>
          </w:tcPr>
          <w:p>
            <w:pPr>
              <w:pStyle w:val="TableParagraph"/>
              <w:spacing w:before="53"/>
              <w:ind w:left="48" w:right="42"/>
              <w:rPr>
                <w:b/>
                <w:sz w:val="16"/>
              </w:rPr>
            </w:pPr>
            <w:r>
              <w:rPr>
                <w:b/>
                <w:sz w:val="16"/>
              </w:rPr>
              <w:t>Parsons</w:t>
            </w:r>
          </w:p>
        </w:tc>
        <w:tc>
          <w:tcPr>
            <w:tcW w:w="893" w:type="dxa"/>
            <w:shd w:val="clear" w:color="auto" w:fill="E0EEE0"/>
          </w:tcPr>
          <w:p>
            <w:pPr>
              <w:pStyle w:val="TableParagraph"/>
              <w:spacing w:before="53"/>
              <w:ind w:left="48" w:right="43"/>
              <w:rPr>
                <w:b/>
                <w:sz w:val="16"/>
              </w:rPr>
            </w:pPr>
            <w:r>
              <w:rPr>
                <w:b/>
                <w:sz w:val="16"/>
              </w:rPr>
              <w:t>Parsons</w:t>
            </w:r>
          </w:p>
        </w:tc>
        <w:tc>
          <w:tcPr>
            <w:tcW w:w="893" w:type="dxa"/>
            <w:shd w:val="clear" w:color="auto" w:fill="E0EEE0"/>
          </w:tcPr>
          <w:p>
            <w:pPr>
              <w:pStyle w:val="TableParagraph"/>
              <w:spacing w:before="53"/>
              <w:ind w:left="48" w:right="44"/>
              <w:rPr>
                <w:b/>
                <w:sz w:val="16"/>
              </w:rPr>
            </w:pPr>
            <w:r>
              <w:rPr>
                <w:b/>
                <w:sz w:val="16"/>
              </w:rPr>
              <w:t>Simbeck</w:t>
            </w:r>
          </w:p>
        </w:tc>
        <w:tc>
          <w:tcPr>
            <w:tcW w:w="893" w:type="dxa"/>
            <w:shd w:val="clear" w:color="auto" w:fill="E0EEE0"/>
          </w:tcPr>
          <w:p>
            <w:pPr>
              <w:pStyle w:val="TableParagraph"/>
              <w:spacing w:before="53"/>
              <w:ind w:left="48" w:right="45"/>
              <w:rPr>
                <w:b/>
                <w:sz w:val="16"/>
              </w:rPr>
            </w:pPr>
            <w:r>
              <w:rPr>
                <w:b/>
                <w:w w:val="110"/>
                <w:sz w:val="16"/>
              </w:rPr>
              <w:t>iEA GHG</w:t>
            </w:r>
          </w:p>
        </w:tc>
        <w:tc>
          <w:tcPr>
            <w:tcW w:w="893" w:type="dxa"/>
            <w:shd w:val="clear" w:color="auto" w:fill="E0EEE0"/>
          </w:tcPr>
          <w:p>
            <w:pPr>
              <w:pStyle w:val="TableParagraph"/>
              <w:spacing w:before="53"/>
              <w:ind w:left="48" w:right="45"/>
              <w:rPr>
                <w:b/>
                <w:sz w:val="16"/>
              </w:rPr>
            </w:pPr>
            <w:r>
              <w:rPr>
                <w:b/>
                <w:w w:val="110"/>
                <w:sz w:val="16"/>
              </w:rPr>
              <w:t>iEA GHG</w:t>
            </w:r>
          </w:p>
        </w:tc>
        <w:tc>
          <w:tcPr>
            <w:tcW w:w="893" w:type="dxa"/>
            <w:shd w:val="clear" w:color="auto" w:fill="E0EEE0"/>
          </w:tcPr>
          <w:p>
            <w:pPr>
              <w:pStyle w:val="TableParagraph"/>
              <w:spacing w:line="182" w:lineRule="exact" w:before="53"/>
              <w:ind w:left="229"/>
              <w:jc w:val="left"/>
              <w:rPr>
                <w:b/>
                <w:sz w:val="16"/>
              </w:rPr>
            </w:pPr>
            <w:r>
              <w:rPr>
                <w:b/>
                <w:sz w:val="16"/>
              </w:rPr>
              <w:t>Rubin</w:t>
            </w:r>
          </w:p>
          <w:p>
            <w:pPr>
              <w:pStyle w:val="TableParagraph"/>
              <w:spacing w:line="182" w:lineRule="exact"/>
              <w:ind w:left="280"/>
              <w:jc w:val="left"/>
              <w:rPr>
                <w:b/>
                <w:i/>
                <w:sz w:val="16"/>
              </w:rPr>
            </w:pPr>
            <w:r>
              <w:rPr>
                <w:b/>
                <w:i/>
                <w:sz w:val="16"/>
              </w:rPr>
              <w:t>et</w:t>
            </w:r>
            <w:r>
              <w:rPr>
                <w:b/>
                <w:i/>
                <w:spacing w:val="4"/>
                <w:sz w:val="16"/>
              </w:rPr>
              <w:t> </w:t>
            </w:r>
            <w:r>
              <w:rPr>
                <w:b/>
                <w:i/>
                <w:sz w:val="16"/>
              </w:rPr>
              <w:t>al.</w:t>
            </w:r>
          </w:p>
        </w:tc>
        <w:tc>
          <w:tcPr>
            <w:tcW w:w="1826" w:type="dxa"/>
            <w:gridSpan w:val="2"/>
            <w:tcBorders>
              <w:right w:val="double" w:sz="1" w:space="0" w:color="000000"/>
            </w:tcBorders>
            <w:shd w:val="clear" w:color="auto" w:fill="E0EEE0"/>
          </w:tcPr>
          <w:p>
            <w:pPr>
              <w:pStyle w:val="TableParagraph"/>
              <w:spacing w:before="53"/>
              <w:ind w:left="652" w:right="678"/>
              <w:rPr>
                <w:b/>
                <w:sz w:val="16"/>
              </w:rPr>
            </w:pPr>
            <w:bookmarkStart w:name="_bookmark29" w:id="77"/>
            <w:bookmarkEnd w:id="77"/>
            <w:r>
              <w:rPr/>
            </w:r>
            <w:r>
              <w:rPr>
                <w:b/>
                <w:sz w:val="16"/>
              </w:rPr>
              <w:t>Range</w:t>
            </w:r>
          </w:p>
        </w:tc>
        <w:tc>
          <w:tcPr>
            <w:tcW w:w="995" w:type="dxa"/>
            <w:tcBorders>
              <w:left w:val="double" w:sz="1" w:space="0" w:color="000000"/>
            </w:tcBorders>
            <w:shd w:val="clear" w:color="auto" w:fill="E0EEE0"/>
          </w:tcPr>
          <w:p>
            <w:pPr>
              <w:pStyle w:val="TableParagraph"/>
              <w:spacing w:before="53"/>
              <w:ind w:left="146" w:right="107"/>
              <w:rPr>
                <w:b/>
                <w:sz w:val="16"/>
              </w:rPr>
            </w:pPr>
            <w:bookmarkStart w:name="_bookmark30" w:id="78"/>
            <w:bookmarkEnd w:id="78"/>
            <w:r>
              <w:rPr/>
            </w:r>
            <w:r>
              <w:rPr>
                <w:b/>
                <w:spacing w:val="-1"/>
                <w:sz w:val="16"/>
              </w:rPr>
              <w:t>NE</w:t>
            </w:r>
            <w:r>
              <w:rPr>
                <w:b/>
                <w:w w:val="200"/>
                <w:sz w:val="16"/>
              </w:rPr>
              <w:t>t</w:t>
            </w:r>
            <w:r>
              <w:rPr>
                <w:b/>
                <w:sz w:val="16"/>
              </w:rPr>
              <w:t>L</w:t>
            </w:r>
          </w:p>
        </w:tc>
        <w:tc>
          <w:tcPr>
            <w:tcW w:w="1033" w:type="dxa"/>
            <w:shd w:val="clear" w:color="auto" w:fill="E0EEE0"/>
          </w:tcPr>
          <w:p>
            <w:pPr>
              <w:pStyle w:val="TableParagraph"/>
              <w:spacing w:line="235" w:lineRule="auto" w:before="56"/>
              <w:ind w:left="298" w:right="269" w:hanging="13"/>
              <w:jc w:val="left"/>
              <w:rPr>
                <w:b/>
                <w:sz w:val="16"/>
              </w:rPr>
            </w:pPr>
            <w:r>
              <w:rPr>
                <w:b/>
                <w:sz w:val="16"/>
              </w:rPr>
              <w:t>Rao &amp; Rubin</w:t>
            </w:r>
          </w:p>
        </w:tc>
        <w:tc>
          <w:tcPr>
            <w:tcW w:w="1937" w:type="dxa"/>
            <w:shd w:val="clear" w:color="auto" w:fill="E0EEE0"/>
          </w:tcPr>
          <w:p>
            <w:pPr>
              <w:pStyle w:val="TableParagraph"/>
              <w:spacing w:before="53"/>
              <w:ind w:left="316" w:right="316"/>
              <w:rPr>
                <w:b/>
                <w:sz w:val="16"/>
              </w:rPr>
            </w:pPr>
            <w:bookmarkStart w:name="_bookmark31" w:id="79"/>
            <w:bookmarkEnd w:id="79"/>
            <w:r>
              <w:rPr/>
            </w:r>
            <w:bookmarkStart w:name="_bookmark32" w:id="80"/>
            <w:bookmarkEnd w:id="80"/>
            <w:r>
              <w:rPr/>
            </w:r>
            <w:bookmarkStart w:name="_bookmark33" w:id="81"/>
            <w:bookmarkEnd w:id="81"/>
            <w:r>
              <w:rPr/>
            </w:r>
            <w:r>
              <w:rPr>
                <w:b/>
                <w:sz w:val="16"/>
              </w:rPr>
              <w:t>Stobbs &amp; Clark</w:t>
            </w:r>
          </w:p>
        </w:tc>
      </w:tr>
      <w:tr>
        <w:trPr>
          <w:trHeight w:val="270" w:hRule="atLeast"/>
        </w:trPr>
        <w:tc>
          <w:tcPr>
            <w:tcW w:w="2412" w:type="dxa"/>
            <w:vMerge/>
            <w:tcBorders>
              <w:top w:val="nil"/>
            </w:tcBorders>
            <w:shd w:val="clear" w:color="auto" w:fill="E0EEE0"/>
          </w:tcPr>
          <w:p>
            <w:pPr>
              <w:rPr>
                <w:sz w:val="2"/>
                <w:szCs w:val="2"/>
              </w:rPr>
            </w:pPr>
          </w:p>
        </w:tc>
        <w:tc>
          <w:tcPr>
            <w:tcW w:w="893" w:type="dxa"/>
            <w:shd w:val="clear" w:color="auto" w:fill="E0EEE0"/>
          </w:tcPr>
          <w:p>
            <w:pPr>
              <w:pStyle w:val="TableParagraph"/>
              <w:spacing w:before="53"/>
              <w:ind w:left="48" w:right="43"/>
              <w:rPr>
                <w:b/>
                <w:sz w:val="16"/>
              </w:rPr>
            </w:pPr>
            <w:r>
              <w:rPr>
                <w:b/>
                <w:sz w:val="16"/>
              </w:rPr>
              <w:t>2002b</w:t>
            </w:r>
          </w:p>
        </w:tc>
        <w:tc>
          <w:tcPr>
            <w:tcW w:w="893" w:type="dxa"/>
            <w:shd w:val="clear" w:color="auto" w:fill="E0EEE0"/>
          </w:tcPr>
          <w:p>
            <w:pPr>
              <w:pStyle w:val="TableParagraph"/>
              <w:spacing w:before="53"/>
              <w:ind w:left="48" w:right="43"/>
              <w:rPr>
                <w:b/>
                <w:sz w:val="16"/>
              </w:rPr>
            </w:pPr>
            <w:r>
              <w:rPr>
                <w:b/>
                <w:sz w:val="16"/>
              </w:rPr>
              <w:t>2002b</w:t>
            </w:r>
          </w:p>
        </w:tc>
        <w:tc>
          <w:tcPr>
            <w:tcW w:w="893" w:type="dxa"/>
            <w:shd w:val="clear" w:color="auto" w:fill="E0EEE0"/>
          </w:tcPr>
          <w:p>
            <w:pPr>
              <w:pStyle w:val="TableParagraph"/>
              <w:spacing w:before="53"/>
              <w:ind w:left="48" w:right="44"/>
              <w:rPr>
                <w:b/>
                <w:sz w:val="16"/>
              </w:rPr>
            </w:pPr>
            <w:r>
              <w:rPr>
                <w:b/>
                <w:sz w:val="16"/>
              </w:rPr>
              <w:t>2002</w:t>
            </w:r>
          </w:p>
        </w:tc>
        <w:tc>
          <w:tcPr>
            <w:tcW w:w="893" w:type="dxa"/>
            <w:shd w:val="clear" w:color="auto" w:fill="E0EEE0"/>
          </w:tcPr>
          <w:p>
            <w:pPr>
              <w:pStyle w:val="TableParagraph"/>
              <w:spacing w:before="53"/>
              <w:ind w:left="48" w:right="45"/>
              <w:rPr>
                <w:b/>
                <w:sz w:val="16"/>
              </w:rPr>
            </w:pPr>
            <w:r>
              <w:rPr>
                <w:b/>
                <w:sz w:val="16"/>
              </w:rPr>
              <w:t>2004</w:t>
            </w:r>
          </w:p>
        </w:tc>
        <w:tc>
          <w:tcPr>
            <w:tcW w:w="893" w:type="dxa"/>
            <w:shd w:val="clear" w:color="auto" w:fill="E0EEE0"/>
          </w:tcPr>
          <w:p>
            <w:pPr>
              <w:pStyle w:val="TableParagraph"/>
              <w:spacing w:before="53"/>
              <w:ind w:left="48" w:right="45"/>
              <w:rPr>
                <w:b/>
                <w:sz w:val="16"/>
              </w:rPr>
            </w:pPr>
            <w:r>
              <w:rPr>
                <w:b/>
                <w:sz w:val="16"/>
              </w:rPr>
              <w:t>2004</w:t>
            </w:r>
          </w:p>
        </w:tc>
        <w:tc>
          <w:tcPr>
            <w:tcW w:w="893" w:type="dxa"/>
            <w:shd w:val="clear" w:color="auto" w:fill="E0EEE0"/>
          </w:tcPr>
          <w:p>
            <w:pPr>
              <w:pStyle w:val="TableParagraph"/>
              <w:spacing w:before="53"/>
              <w:ind w:left="47" w:right="45"/>
              <w:rPr>
                <w:b/>
                <w:sz w:val="16"/>
              </w:rPr>
            </w:pPr>
            <w:r>
              <w:rPr>
                <w:b/>
                <w:sz w:val="16"/>
              </w:rPr>
              <w:t>2005</w:t>
            </w:r>
          </w:p>
        </w:tc>
        <w:tc>
          <w:tcPr>
            <w:tcW w:w="893" w:type="dxa"/>
            <w:shd w:val="clear" w:color="auto" w:fill="E0EEE0"/>
          </w:tcPr>
          <w:p>
            <w:pPr>
              <w:pStyle w:val="TableParagraph"/>
              <w:spacing w:before="53"/>
              <w:ind w:left="46" w:right="45"/>
              <w:rPr>
                <w:b/>
                <w:sz w:val="16"/>
              </w:rPr>
            </w:pPr>
            <w:r>
              <w:rPr>
                <w:b/>
                <w:sz w:val="16"/>
              </w:rPr>
              <w:t>min</w:t>
            </w:r>
          </w:p>
        </w:tc>
        <w:tc>
          <w:tcPr>
            <w:tcW w:w="933" w:type="dxa"/>
            <w:tcBorders>
              <w:right w:val="double" w:sz="1" w:space="0" w:color="000000"/>
            </w:tcBorders>
            <w:shd w:val="clear" w:color="auto" w:fill="E0EEE0"/>
          </w:tcPr>
          <w:p>
            <w:pPr>
              <w:pStyle w:val="TableParagraph"/>
              <w:spacing w:before="53"/>
              <w:ind w:right="322"/>
              <w:jc w:val="right"/>
              <w:rPr>
                <w:b/>
                <w:sz w:val="16"/>
              </w:rPr>
            </w:pPr>
            <w:r>
              <w:rPr>
                <w:b/>
                <w:sz w:val="16"/>
              </w:rPr>
              <w:t>max</w:t>
            </w:r>
          </w:p>
        </w:tc>
        <w:tc>
          <w:tcPr>
            <w:tcW w:w="995" w:type="dxa"/>
            <w:tcBorders>
              <w:left w:val="double" w:sz="1" w:space="0" w:color="000000"/>
            </w:tcBorders>
            <w:shd w:val="clear" w:color="auto" w:fill="E0EEE0"/>
          </w:tcPr>
          <w:p>
            <w:pPr>
              <w:pStyle w:val="TableParagraph"/>
              <w:spacing w:before="53"/>
              <w:ind w:left="146" w:right="116"/>
              <w:rPr>
                <w:b/>
                <w:sz w:val="16"/>
              </w:rPr>
            </w:pPr>
            <w:r>
              <w:rPr>
                <w:b/>
                <w:sz w:val="16"/>
              </w:rPr>
              <w:t>2002</w:t>
            </w:r>
          </w:p>
        </w:tc>
        <w:tc>
          <w:tcPr>
            <w:tcW w:w="1033" w:type="dxa"/>
            <w:shd w:val="clear" w:color="auto" w:fill="E0EEE0"/>
          </w:tcPr>
          <w:p>
            <w:pPr>
              <w:pStyle w:val="TableParagraph"/>
              <w:spacing w:before="53"/>
              <w:ind w:left="18" w:right="18"/>
              <w:rPr>
                <w:b/>
                <w:sz w:val="16"/>
              </w:rPr>
            </w:pPr>
            <w:r>
              <w:rPr>
                <w:b/>
                <w:sz w:val="16"/>
              </w:rPr>
              <w:t>2002</w:t>
            </w:r>
          </w:p>
        </w:tc>
        <w:tc>
          <w:tcPr>
            <w:tcW w:w="1937" w:type="dxa"/>
            <w:shd w:val="clear" w:color="auto" w:fill="E0EEE0"/>
          </w:tcPr>
          <w:p>
            <w:pPr>
              <w:pStyle w:val="TableParagraph"/>
              <w:spacing w:before="53"/>
              <w:ind w:left="316" w:right="316"/>
              <w:rPr>
                <w:b/>
                <w:sz w:val="16"/>
              </w:rPr>
            </w:pPr>
            <w:r>
              <w:rPr>
                <w:b/>
                <w:sz w:val="16"/>
              </w:rPr>
              <w:t>2005</w:t>
            </w:r>
          </w:p>
        </w:tc>
      </w:tr>
      <w:tr>
        <w:trPr>
          <w:trHeight w:val="270" w:hRule="atLeast"/>
        </w:trPr>
        <w:tc>
          <w:tcPr>
            <w:tcW w:w="2412" w:type="dxa"/>
            <w:vMerge/>
            <w:tcBorders>
              <w:top w:val="nil"/>
            </w:tcBorders>
            <w:shd w:val="clear" w:color="auto" w:fill="E0EEE0"/>
          </w:tcPr>
          <w:p>
            <w:pPr>
              <w:rPr>
                <w:sz w:val="2"/>
                <w:szCs w:val="2"/>
              </w:rPr>
            </w:pPr>
          </w:p>
        </w:tc>
        <w:tc>
          <w:tcPr>
            <w:tcW w:w="7184" w:type="dxa"/>
            <w:gridSpan w:val="8"/>
            <w:tcBorders>
              <w:right w:val="double" w:sz="1" w:space="0" w:color="000000"/>
            </w:tcBorders>
            <w:shd w:val="clear" w:color="auto" w:fill="E0EEE0"/>
          </w:tcPr>
          <w:p>
            <w:pPr>
              <w:pStyle w:val="TableParagraph"/>
              <w:spacing w:before="53"/>
              <w:ind w:left="1755"/>
              <w:jc w:val="left"/>
              <w:rPr>
                <w:b/>
                <w:sz w:val="16"/>
              </w:rPr>
            </w:pPr>
            <w:r>
              <w:rPr>
                <w:b/>
                <w:w w:val="115"/>
                <w:sz w:val="16"/>
              </w:rPr>
              <w:t>SuPERCRitiCAL uNitS / BitumiNOuS COALS</w:t>
            </w:r>
          </w:p>
        </w:tc>
        <w:tc>
          <w:tcPr>
            <w:tcW w:w="3965" w:type="dxa"/>
            <w:gridSpan w:val="3"/>
            <w:tcBorders>
              <w:left w:val="double" w:sz="1" w:space="0" w:color="000000"/>
            </w:tcBorders>
            <w:shd w:val="clear" w:color="auto" w:fill="E0EEE0"/>
          </w:tcPr>
          <w:p>
            <w:pPr>
              <w:pStyle w:val="TableParagraph"/>
              <w:spacing w:before="53"/>
              <w:ind w:left="551"/>
              <w:jc w:val="left"/>
              <w:rPr>
                <w:b/>
                <w:sz w:val="16"/>
              </w:rPr>
            </w:pPr>
            <w:r>
              <w:rPr>
                <w:b/>
                <w:w w:val="115"/>
                <w:sz w:val="16"/>
              </w:rPr>
              <w:t>SuBCRit uNitS / LOW RANK COALS</w:t>
            </w:r>
          </w:p>
        </w:tc>
      </w:tr>
      <w:tr>
        <w:trPr>
          <w:trHeight w:val="280" w:hRule="atLeast"/>
        </w:trPr>
        <w:tc>
          <w:tcPr>
            <w:tcW w:w="2412" w:type="dxa"/>
            <w:shd w:val="clear" w:color="auto" w:fill="F9FCF9"/>
          </w:tcPr>
          <w:p>
            <w:pPr>
              <w:pStyle w:val="TableParagraph"/>
              <w:spacing w:before="16"/>
              <w:ind w:left="114"/>
              <w:jc w:val="left"/>
              <w:rPr>
                <w:b/>
                <w:i/>
                <w:sz w:val="16"/>
              </w:rPr>
            </w:pPr>
            <w:r>
              <w:rPr>
                <w:b/>
                <w:i/>
                <w:sz w:val="16"/>
              </w:rPr>
              <w:t>Reference Plant (without capture)</w:t>
            </w:r>
          </w:p>
        </w:tc>
        <w:tc>
          <w:tcPr>
            <w:tcW w:w="893" w:type="dxa"/>
            <w:shd w:val="clear" w:color="auto" w:fill="F9FCF9"/>
          </w:tcPr>
          <w:p>
            <w:pPr>
              <w:pStyle w:val="TableParagraph"/>
              <w:jc w:val="left"/>
              <w:rPr>
                <w:sz w:val="16"/>
              </w:rPr>
            </w:pPr>
          </w:p>
        </w:tc>
        <w:tc>
          <w:tcPr>
            <w:tcW w:w="893" w:type="dxa"/>
            <w:shd w:val="clear" w:color="auto" w:fill="F9FCF9"/>
          </w:tcPr>
          <w:p>
            <w:pPr>
              <w:pStyle w:val="TableParagraph"/>
              <w:jc w:val="left"/>
              <w:rPr>
                <w:sz w:val="16"/>
              </w:rPr>
            </w:pPr>
          </w:p>
        </w:tc>
        <w:tc>
          <w:tcPr>
            <w:tcW w:w="893" w:type="dxa"/>
            <w:shd w:val="clear" w:color="auto" w:fill="F9FCF9"/>
          </w:tcPr>
          <w:p>
            <w:pPr>
              <w:pStyle w:val="TableParagraph"/>
              <w:spacing w:before="16"/>
              <w:ind w:left="4"/>
              <w:rPr>
                <w:sz w:val="16"/>
              </w:rPr>
            </w:pPr>
            <w:r>
              <w:rPr>
                <w:sz w:val="16"/>
              </w:rPr>
              <w:t>*</w:t>
            </w:r>
          </w:p>
        </w:tc>
        <w:tc>
          <w:tcPr>
            <w:tcW w:w="893" w:type="dxa"/>
            <w:shd w:val="clear" w:color="auto" w:fill="F9FCF9"/>
          </w:tcPr>
          <w:p>
            <w:pPr>
              <w:pStyle w:val="TableParagraph"/>
              <w:jc w:val="left"/>
              <w:rPr>
                <w:sz w:val="16"/>
              </w:rPr>
            </w:pPr>
          </w:p>
        </w:tc>
        <w:tc>
          <w:tcPr>
            <w:tcW w:w="893" w:type="dxa"/>
            <w:shd w:val="clear" w:color="auto" w:fill="F9FCF9"/>
          </w:tcPr>
          <w:p>
            <w:pPr>
              <w:pStyle w:val="TableParagraph"/>
              <w:jc w:val="left"/>
              <w:rPr>
                <w:sz w:val="16"/>
              </w:rPr>
            </w:pPr>
          </w:p>
        </w:tc>
        <w:tc>
          <w:tcPr>
            <w:tcW w:w="893" w:type="dxa"/>
            <w:shd w:val="clear" w:color="auto" w:fill="F9FCF9"/>
          </w:tcPr>
          <w:p>
            <w:pPr>
              <w:pStyle w:val="TableParagraph"/>
              <w:spacing w:before="16"/>
              <w:ind w:left="2"/>
              <w:rPr>
                <w:sz w:val="16"/>
              </w:rPr>
            </w:pPr>
            <w:r>
              <w:rPr>
                <w:sz w:val="16"/>
              </w:rPr>
              <w:t>*</w:t>
            </w:r>
          </w:p>
        </w:tc>
        <w:tc>
          <w:tcPr>
            <w:tcW w:w="893" w:type="dxa"/>
            <w:shd w:val="clear" w:color="auto" w:fill="F9FCF9"/>
          </w:tcPr>
          <w:p>
            <w:pPr>
              <w:pStyle w:val="TableParagraph"/>
              <w:jc w:val="left"/>
              <w:rPr>
                <w:sz w:val="16"/>
              </w:rPr>
            </w:pPr>
          </w:p>
        </w:tc>
        <w:tc>
          <w:tcPr>
            <w:tcW w:w="933" w:type="dxa"/>
            <w:tcBorders>
              <w:right w:val="double" w:sz="1" w:space="0" w:color="000000"/>
            </w:tcBorders>
            <w:shd w:val="clear" w:color="auto" w:fill="F9FCF9"/>
          </w:tcPr>
          <w:p>
            <w:pPr>
              <w:pStyle w:val="TableParagraph"/>
              <w:jc w:val="left"/>
              <w:rPr>
                <w:sz w:val="16"/>
              </w:rPr>
            </w:pPr>
          </w:p>
        </w:tc>
        <w:tc>
          <w:tcPr>
            <w:tcW w:w="995" w:type="dxa"/>
            <w:tcBorders>
              <w:left w:val="double" w:sz="1" w:space="0" w:color="000000"/>
            </w:tcBorders>
            <w:shd w:val="clear" w:color="auto" w:fill="F9FCF9"/>
          </w:tcPr>
          <w:p>
            <w:pPr>
              <w:pStyle w:val="TableParagraph"/>
              <w:spacing w:before="16"/>
              <w:ind w:left="30"/>
              <w:rPr>
                <w:sz w:val="16"/>
              </w:rPr>
            </w:pPr>
            <w:r>
              <w:rPr>
                <w:sz w:val="16"/>
              </w:rPr>
              <w:t>*</w:t>
            </w:r>
          </w:p>
        </w:tc>
        <w:tc>
          <w:tcPr>
            <w:tcW w:w="1033" w:type="dxa"/>
            <w:shd w:val="clear" w:color="auto" w:fill="F9FCF9"/>
          </w:tcPr>
          <w:p>
            <w:pPr>
              <w:pStyle w:val="TableParagraph"/>
              <w:spacing w:before="16"/>
              <w:rPr>
                <w:sz w:val="16"/>
              </w:rPr>
            </w:pPr>
            <w:r>
              <w:rPr>
                <w:sz w:val="16"/>
              </w:rPr>
              <w:t>*</w:t>
            </w:r>
          </w:p>
        </w:tc>
        <w:tc>
          <w:tcPr>
            <w:tcW w:w="1937" w:type="dxa"/>
            <w:shd w:val="clear" w:color="auto" w:fill="F9FCF9"/>
          </w:tcPr>
          <w:p>
            <w:pPr>
              <w:pStyle w:val="TableParagraph"/>
              <w:jc w:val="left"/>
              <w:rPr>
                <w:sz w:val="16"/>
              </w:rPr>
            </w:pPr>
          </w:p>
        </w:tc>
      </w:tr>
      <w:tr>
        <w:trPr>
          <w:trHeight w:val="195" w:hRule="atLeast"/>
        </w:trPr>
        <w:tc>
          <w:tcPr>
            <w:tcW w:w="2412" w:type="dxa"/>
            <w:shd w:val="clear" w:color="auto" w:fill="F9FCF9"/>
          </w:tcPr>
          <w:p>
            <w:pPr>
              <w:pStyle w:val="TableParagraph"/>
              <w:spacing w:line="159" w:lineRule="exact" w:before="16"/>
              <w:ind w:left="26"/>
              <w:jc w:val="left"/>
              <w:rPr>
                <w:sz w:val="16"/>
              </w:rPr>
            </w:pPr>
            <w:r>
              <w:rPr>
                <w:sz w:val="16"/>
              </w:rPr>
              <w:t>Boiler type (subcritical, super, ultra)</w:t>
            </w:r>
          </w:p>
        </w:tc>
        <w:tc>
          <w:tcPr>
            <w:tcW w:w="893" w:type="dxa"/>
            <w:shd w:val="clear" w:color="auto" w:fill="F9FCF9"/>
          </w:tcPr>
          <w:p>
            <w:pPr>
              <w:pStyle w:val="TableParagraph"/>
              <w:spacing w:line="159" w:lineRule="exact" w:before="16"/>
              <w:ind w:left="48" w:right="43"/>
              <w:rPr>
                <w:sz w:val="16"/>
              </w:rPr>
            </w:pPr>
            <w:r>
              <w:rPr>
                <w:sz w:val="16"/>
              </w:rPr>
              <w:t>super</w:t>
            </w:r>
          </w:p>
        </w:tc>
        <w:tc>
          <w:tcPr>
            <w:tcW w:w="893" w:type="dxa"/>
            <w:shd w:val="clear" w:color="auto" w:fill="F9FCF9"/>
          </w:tcPr>
          <w:p>
            <w:pPr>
              <w:pStyle w:val="TableParagraph"/>
              <w:spacing w:line="159" w:lineRule="exact" w:before="16"/>
              <w:ind w:left="48" w:right="43"/>
              <w:rPr>
                <w:sz w:val="16"/>
              </w:rPr>
            </w:pPr>
            <w:r>
              <w:rPr>
                <w:sz w:val="16"/>
              </w:rPr>
              <w:t>ultra</w:t>
            </w:r>
          </w:p>
        </w:tc>
        <w:tc>
          <w:tcPr>
            <w:tcW w:w="893" w:type="dxa"/>
            <w:shd w:val="clear" w:color="auto" w:fill="F9FCF9"/>
          </w:tcPr>
          <w:p>
            <w:pPr>
              <w:pStyle w:val="TableParagraph"/>
              <w:spacing w:line="159" w:lineRule="exact" w:before="16"/>
              <w:ind w:left="48" w:right="44"/>
              <w:rPr>
                <w:sz w:val="16"/>
              </w:rPr>
            </w:pPr>
            <w:r>
              <w:rPr>
                <w:sz w:val="16"/>
              </w:rPr>
              <w:t>ultra</w:t>
            </w:r>
          </w:p>
        </w:tc>
        <w:tc>
          <w:tcPr>
            <w:tcW w:w="893" w:type="dxa"/>
            <w:shd w:val="clear" w:color="auto" w:fill="F9FCF9"/>
          </w:tcPr>
          <w:p>
            <w:pPr>
              <w:pStyle w:val="TableParagraph"/>
              <w:spacing w:line="159" w:lineRule="exact" w:before="16"/>
              <w:ind w:left="48" w:right="45"/>
              <w:rPr>
                <w:sz w:val="16"/>
              </w:rPr>
            </w:pPr>
            <w:r>
              <w:rPr>
                <w:sz w:val="16"/>
              </w:rPr>
              <w:t>ultra</w:t>
            </w:r>
          </w:p>
        </w:tc>
        <w:tc>
          <w:tcPr>
            <w:tcW w:w="893" w:type="dxa"/>
            <w:shd w:val="clear" w:color="auto" w:fill="F9FCF9"/>
          </w:tcPr>
          <w:p>
            <w:pPr>
              <w:pStyle w:val="TableParagraph"/>
              <w:spacing w:line="159" w:lineRule="exact" w:before="16"/>
              <w:ind w:left="48" w:right="45"/>
              <w:rPr>
                <w:sz w:val="16"/>
              </w:rPr>
            </w:pPr>
            <w:r>
              <w:rPr>
                <w:sz w:val="16"/>
              </w:rPr>
              <w:t>ultra</w:t>
            </w:r>
          </w:p>
        </w:tc>
        <w:tc>
          <w:tcPr>
            <w:tcW w:w="893" w:type="dxa"/>
            <w:shd w:val="clear" w:color="auto" w:fill="F9FCF9"/>
          </w:tcPr>
          <w:p>
            <w:pPr>
              <w:pStyle w:val="TableParagraph"/>
              <w:spacing w:line="159" w:lineRule="exact" w:before="16"/>
              <w:ind w:left="47" w:right="45"/>
              <w:rPr>
                <w:sz w:val="16"/>
              </w:rPr>
            </w:pPr>
            <w:r>
              <w:rPr>
                <w:sz w:val="16"/>
              </w:rPr>
              <w:t>super</w:t>
            </w:r>
          </w:p>
        </w:tc>
        <w:tc>
          <w:tcPr>
            <w:tcW w:w="893" w:type="dxa"/>
            <w:shd w:val="clear" w:color="auto" w:fill="F9FCF9"/>
          </w:tcPr>
          <w:p>
            <w:pPr>
              <w:pStyle w:val="TableParagraph"/>
              <w:jc w:val="left"/>
              <w:rPr>
                <w:sz w:val="12"/>
              </w:rPr>
            </w:pPr>
          </w:p>
        </w:tc>
        <w:tc>
          <w:tcPr>
            <w:tcW w:w="933" w:type="dxa"/>
            <w:tcBorders>
              <w:right w:val="double" w:sz="1" w:space="0" w:color="000000"/>
            </w:tcBorders>
            <w:shd w:val="clear" w:color="auto" w:fill="F9FCF9"/>
          </w:tcPr>
          <w:p>
            <w:pPr>
              <w:pStyle w:val="TableParagraph"/>
              <w:jc w:val="left"/>
              <w:rPr>
                <w:sz w:val="12"/>
              </w:rPr>
            </w:pPr>
          </w:p>
        </w:tc>
        <w:tc>
          <w:tcPr>
            <w:tcW w:w="995" w:type="dxa"/>
            <w:tcBorders>
              <w:left w:val="double" w:sz="1" w:space="0" w:color="000000"/>
            </w:tcBorders>
            <w:shd w:val="clear" w:color="auto" w:fill="F9FCF9"/>
          </w:tcPr>
          <w:p>
            <w:pPr>
              <w:pStyle w:val="TableParagraph"/>
              <w:spacing w:line="159" w:lineRule="exact" w:before="16"/>
              <w:ind w:left="145" w:right="116"/>
              <w:rPr>
                <w:sz w:val="16"/>
              </w:rPr>
            </w:pPr>
            <w:r>
              <w:rPr>
                <w:sz w:val="16"/>
              </w:rPr>
              <w:t>subcritical</w:t>
            </w:r>
          </w:p>
        </w:tc>
        <w:tc>
          <w:tcPr>
            <w:tcW w:w="1033" w:type="dxa"/>
            <w:shd w:val="clear" w:color="auto" w:fill="F9FCF9"/>
          </w:tcPr>
          <w:p>
            <w:pPr>
              <w:pStyle w:val="TableParagraph"/>
              <w:spacing w:line="159" w:lineRule="exact" w:before="16"/>
              <w:ind w:left="18" w:right="18"/>
              <w:rPr>
                <w:sz w:val="16"/>
              </w:rPr>
            </w:pPr>
            <w:r>
              <w:rPr>
                <w:sz w:val="16"/>
              </w:rPr>
              <w:t>subcritical</w:t>
            </w:r>
          </w:p>
        </w:tc>
        <w:tc>
          <w:tcPr>
            <w:tcW w:w="1937" w:type="dxa"/>
            <w:shd w:val="clear" w:color="auto" w:fill="F9FCF9"/>
          </w:tcPr>
          <w:p>
            <w:pPr>
              <w:pStyle w:val="TableParagraph"/>
              <w:spacing w:line="159" w:lineRule="exact" w:before="16"/>
              <w:ind w:left="316" w:right="316"/>
              <w:rPr>
                <w:sz w:val="16"/>
              </w:rPr>
            </w:pPr>
            <w:r>
              <w:rPr>
                <w:sz w:val="16"/>
              </w:rPr>
              <w:t>super</w:t>
            </w:r>
          </w:p>
        </w:tc>
      </w:tr>
      <w:tr>
        <w:trPr>
          <w:trHeight w:val="195" w:hRule="atLeast"/>
        </w:trPr>
        <w:tc>
          <w:tcPr>
            <w:tcW w:w="2412" w:type="dxa"/>
            <w:shd w:val="clear" w:color="auto" w:fill="F9FCF9"/>
          </w:tcPr>
          <w:p>
            <w:pPr>
              <w:pStyle w:val="TableParagraph"/>
              <w:spacing w:line="159" w:lineRule="exact" w:before="16"/>
              <w:ind w:left="26"/>
              <w:jc w:val="left"/>
              <w:rPr>
                <w:sz w:val="16"/>
              </w:rPr>
            </w:pPr>
            <w:r>
              <w:rPr>
                <w:sz w:val="16"/>
              </w:rPr>
              <w:t>Coal type (bit, sub-bit, lig) and %S</w:t>
            </w:r>
          </w:p>
        </w:tc>
        <w:tc>
          <w:tcPr>
            <w:tcW w:w="893" w:type="dxa"/>
            <w:shd w:val="clear" w:color="auto" w:fill="F9FCF9"/>
          </w:tcPr>
          <w:p>
            <w:pPr>
              <w:pStyle w:val="TableParagraph"/>
              <w:spacing w:line="159" w:lineRule="exact" w:before="16"/>
              <w:ind w:left="48" w:right="43"/>
              <w:rPr>
                <w:sz w:val="16"/>
              </w:rPr>
            </w:pPr>
            <w:r>
              <w:rPr>
                <w:sz w:val="16"/>
              </w:rPr>
              <w:t>bit, 2.5% S</w:t>
            </w:r>
          </w:p>
        </w:tc>
        <w:tc>
          <w:tcPr>
            <w:tcW w:w="893" w:type="dxa"/>
            <w:shd w:val="clear" w:color="auto" w:fill="F9FCF9"/>
          </w:tcPr>
          <w:p>
            <w:pPr>
              <w:pStyle w:val="TableParagraph"/>
              <w:spacing w:line="159" w:lineRule="exact" w:before="16"/>
              <w:ind w:left="48" w:right="43"/>
              <w:rPr>
                <w:sz w:val="16"/>
              </w:rPr>
            </w:pPr>
            <w:r>
              <w:rPr>
                <w:sz w:val="16"/>
              </w:rPr>
              <w:t>bit, 2.5% S</w:t>
            </w:r>
          </w:p>
        </w:tc>
        <w:tc>
          <w:tcPr>
            <w:tcW w:w="893" w:type="dxa"/>
            <w:shd w:val="clear" w:color="auto" w:fill="F9FCF9"/>
          </w:tcPr>
          <w:p>
            <w:pPr>
              <w:pStyle w:val="TableParagraph"/>
              <w:spacing w:line="159" w:lineRule="exact" w:before="16"/>
              <w:ind w:left="48" w:right="44"/>
              <w:rPr>
                <w:sz w:val="16"/>
              </w:rPr>
            </w:pPr>
            <w:r>
              <w:rPr>
                <w:sz w:val="16"/>
              </w:rPr>
              <w:t>bit, 1% S</w:t>
            </w:r>
          </w:p>
        </w:tc>
        <w:tc>
          <w:tcPr>
            <w:tcW w:w="893" w:type="dxa"/>
            <w:shd w:val="clear" w:color="auto" w:fill="F9FCF9"/>
          </w:tcPr>
          <w:p>
            <w:pPr>
              <w:pStyle w:val="TableParagraph"/>
              <w:spacing w:line="159" w:lineRule="exact" w:before="16"/>
              <w:ind w:left="48" w:right="45"/>
              <w:rPr>
                <w:sz w:val="16"/>
              </w:rPr>
            </w:pPr>
            <w:r>
              <w:rPr>
                <w:sz w:val="16"/>
              </w:rPr>
              <w:t>bit, 1% S</w:t>
            </w:r>
          </w:p>
        </w:tc>
        <w:tc>
          <w:tcPr>
            <w:tcW w:w="893" w:type="dxa"/>
            <w:shd w:val="clear" w:color="auto" w:fill="F9FCF9"/>
          </w:tcPr>
          <w:p>
            <w:pPr>
              <w:pStyle w:val="TableParagraph"/>
              <w:spacing w:line="159" w:lineRule="exact" w:before="16"/>
              <w:ind w:left="48" w:right="45"/>
              <w:rPr>
                <w:sz w:val="16"/>
              </w:rPr>
            </w:pPr>
            <w:r>
              <w:rPr>
                <w:sz w:val="16"/>
              </w:rPr>
              <w:t>bit, 1% S</w:t>
            </w:r>
          </w:p>
        </w:tc>
        <w:tc>
          <w:tcPr>
            <w:tcW w:w="893" w:type="dxa"/>
            <w:shd w:val="clear" w:color="auto" w:fill="F9FCF9"/>
          </w:tcPr>
          <w:p>
            <w:pPr>
              <w:pStyle w:val="TableParagraph"/>
              <w:spacing w:line="159" w:lineRule="exact" w:before="16"/>
              <w:ind w:left="47" w:right="45"/>
              <w:rPr>
                <w:sz w:val="16"/>
              </w:rPr>
            </w:pPr>
            <w:r>
              <w:rPr>
                <w:sz w:val="16"/>
              </w:rPr>
              <w:t>bit, 2.1% S</w:t>
            </w:r>
          </w:p>
        </w:tc>
        <w:tc>
          <w:tcPr>
            <w:tcW w:w="893" w:type="dxa"/>
            <w:shd w:val="clear" w:color="auto" w:fill="F9FCF9"/>
          </w:tcPr>
          <w:p>
            <w:pPr>
              <w:pStyle w:val="TableParagraph"/>
              <w:jc w:val="left"/>
              <w:rPr>
                <w:sz w:val="12"/>
              </w:rPr>
            </w:pPr>
          </w:p>
        </w:tc>
        <w:tc>
          <w:tcPr>
            <w:tcW w:w="933" w:type="dxa"/>
            <w:tcBorders>
              <w:right w:val="double" w:sz="1" w:space="0" w:color="000000"/>
            </w:tcBorders>
            <w:shd w:val="clear" w:color="auto" w:fill="F9FCF9"/>
          </w:tcPr>
          <w:p>
            <w:pPr>
              <w:pStyle w:val="TableParagraph"/>
              <w:jc w:val="left"/>
              <w:rPr>
                <w:sz w:val="12"/>
              </w:rPr>
            </w:pPr>
          </w:p>
        </w:tc>
        <w:tc>
          <w:tcPr>
            <w:tcW w:w="995" w:type="dxa"/>
            <w:tcBorders>
              <w:left w:val="double" w:sz="1" w:space="0" w:color="000000"/>
            </w:tcBorders>
            <w:shd w:val="clear" w:color="auto" w:fill="F9FCF9"/>
          </w:tcPr>
          <w:p>
            <w:pPr>
              <w:pStyle w:val="TableParagraph"/>
              <w:spacing w:line="159" w:lineRule="exact" w:before="16"/>
              <w:ind w:left="146" w:right="116"/>
              <w:rPr>
                <w:sz w:val="16"/>
              </w:rPr>
            </w:pPr>
            <w:r>
              <w:rPr>
                <w:sz w:val="16"/>
              </w:rPr>
              <w:t>bit, 2.5%S</w:t>
            </w:r>
          </w:p>
        </w:tc>
        <w:tc>
          <w:tcPr>
            <w:tcW w:w="1033" w:type="dxa"/>
            <w:shd w:val="clear" w:color="auto" w:fill="F9FCF9"/>
          </w:tcPr>
          <w:p>
            <w:pPr>
              <w:pStyle w:val="TableParagraph"/>
              <w:spacing w:line="159" w:lineRule="exact" w:before="16"/>
              <w:ind w:left="18" w:right="18"/>
              <w:rPr>
                <w:sz w:val="16"/>
              </w:rPr>
            </w:pPr>
            <w:r>
              <w:rPr>
                <w:sz w:val="16"/>
              </w:rPr>
              <w:t>sub-bit, 0.5%S</w:t>
            </w:r>
          </w:p>
        </w:tc>
        <w:tc>
          <w:tcPr>
            <w:tcW w:w="1937" w:type="dxa"/>
            <w:shd w:val="clear" w:color="auto" w:fill="F9FCF9"/>
          </w:tcPr>
          <w:p>
            <w:pPr>
              <w:pStyle w:val="TableParagraph"/>
              <w:spacing w:line="159" w:lineRule="exact" w:before="16"/>
              <w:ind w:left="316" w:right="316"/>
              <w:rPr>
                <w:sz w:val="16"/>
              </w:rPr>
            </w:pPr>
            <w:r>
              <w:rPr>
                <w:sz w:val="16"/>
              </w:rPr>
              <w:t>lignite</w:t>
            </w:r>
          </w:p>
        </w:tc>
      </w:tr>
      <w:tr>
        <w:trPr>
          <w:trHeight w:val="375" w:hRule="atLeast"/>
        </w:trPr>
        <w:tc>
          <w:tcPr>
            <w:tcW w:w="2412" w:type="dxa"/>
            <w:shd w:val="clear" w:color="auto" w:fill="F9FCF9"/>
          </w:tcPr>
          <w:p>
            <w:pPr>
              <w:pStyle w:val="TableParagraph"/>
              <w:spacing w:line="180" w:lineRule="exact" w:before="21"/>
              <w:ind w:left="26" w:right="418"/>
              <w:jc w:val="left"/>
              <w:rPr>
                <w:sz w:val="16"/>
              </w:rPr>
            </w:pPr>
            <w:r>
              <w:rPr>
                <w:sz w:val="16"/>
              </w:rPr>
              <w:t>Emission control technologies (SO</w:t>
            </w:r>
            <w:r>
              <w:rPr>
                <w:position w:val="-4"/>
                <w:sz w:val="9"/>
              </w:rPr>
              <w:t>2</w:t>
            </w:r>
            <w:r>
              <w:rPr>
                <w:sz w:val="16"/>
              </w:rPr>
              <w:t>/NO</w:t>
            </w:r>
            <w:r>
              <w:rPr>
                <w:position w:val="-4"/>
                <w:sz w:val="9"/>
              </w:rPr>
              <w:t>x</w:t>
            </w:r>
            <w:r>
              <w:rPr>
                <w:sz w:val="16"/>
              </w:rPr>
              <w:t>)</w:t>
            </w:r>
          </w:p>
        </w:tc>
        <w:tc>
          <w:tcPr>
            <w:tcW w:w="893" w:type="dxa"/>
            <w:shd w:val="clear" w:color="auto" w:fill="F9FCF9"/>
          </w:tcPr>
          <w:p>
            <w:pPr>
              <w:pStyle w:val="TableParagraph"/>
              <w:spacing w:before="16"/>
              <w:ind w:left="48" w:right="43"/>
              <w:rPr>
                <w:sz w:val="16"/>
              </w:rPr>
            </w:pPr>
            <w:r>
              <w:rPr>
                <w:sz w:val="16"/>
              </w:rPr>
              <w:t>FGD, SCR</w:t>
            </w:r>
          </w:p>
        </w:tc>
        <w:tc>
          <w:tcPr>
            <w:tcW w:w="893" w:type="dxa"/>
            <w:shd w:val="clear" w:color="auto" w:fill="F9FCF9"/>
          </w:tcPr>
          <w:p>
            <w:pPr>
              <w:pStyle w:val="TableParagraph"/>
              <w:spacing w:before="16"/>
              <w:ind w:left="48" w:right="43"/>
              <w:rPr>
                <w:sz w:val="16"/>
              </w:rPr>
            </w:pPr>
            <w:r>
              <w:rPr>
                <w:sz w:val="16"/>
              </w:rPr>
              <w:t>FGD, SCR</w:t>
            </w:r>
          </w:p>
        </w:tc>
        <w:tc>
          <w:tcPr>
            <w:tcW w:w="893" w:type="dxa"/>
            <w:shd w:val="clear" w:color="auto" w:fill="F9FCF9"/>
          </w:tcPr>
          <w:p>
            <w:pPr>
              <w:pStyle w:val="TableParagraph"/>
              <w:spacing w:before="16"/>
              <w:ind w:left="48" w:right="44"/>
              <w:rPr>
                <w:sz w:val="16"/>
              </w:rPr>
            </w:pPr>
            <w:r>
              <w:rPr>
                <w:sz w:val="16"/>
              </w:rPr>
              <w:t>FGD, SCR</w:t>
            </w:r>
          </w:p>
        </w:tc>
        <w:tc>
          <w:tcPr>
            <w:tcW w:w="893" w:type="dxa"/>
            <w:shd w:val="clear" w:color="auto" w:fill="F9FCF9"/>
          </w:tcPr>
          <w:p>
            <w:pPr>
              <w:pStyle w:val="TableParagraph"/>
              <w:spacing w:before="16"/>
              <w:ind w:left="48" w:right="45"/>
              <w:rPr>
                <w:sz w:val="16"/>
              </w:rPr>
            </w:pPr>
            <w:r>
              <w:rPr>
                <w:sz w:val="16"/>
              </w:rPr>
              <w:t>FGD, SCR</w:t>
            </w:r>
          </w:p>
        </w:tc>
        <w:tc>
          <w:tcPr>
            <w:tcW w:w="893" w:type="dxa"/>
            <w:shd w:val="clear" w:color="auto" w:fill="F9FCF9"/>
          </w:tcPr>
          <w:p>
            <w:pPr>
              <w:pStyle w:val="TableParagraph"/>
              <w:spacing w:before="16"/>
              <w:ind w:left="47" w:right="45"/>
              <w:rPr>
                <w:sz w:val="16"/>
              </w:rPr>
            </w:pPr>
            <w:r>
              <w:rPr>
                <w:sz w:val="16"/>
              </w:rPr>
              <w:t>FGD, SCR</w:t>
            </w:r>
          </w:p>
        </w:tc>
        <w:tc>
          <w:tcPr>
            <w:tcW w:w="893" w:type="dxa"/>
            <w:shd w:val="clear" w:color="auto" w:fill="F9FCF9"/>
          </w:tcPr>
          <w:p>
            <w:pPr>
              <w:pStyle w:val="TableParagraph"/>
              <w:spacing w:before="16"/>
              <w:ind w:left="47" w:right="45"/>
              <w:rPr>
                <w:sz w:val="16"/>
              </w:rPr>
            </w:pPr>
            <w:r>
              <w:rPr>
                <w:sz w:val="16"/>
              </w:rPr>
              <w:t>FGD, SCR</w:t>
            </w:r>
          </w:p>
        </w:tc>
        <w:tc>
          <w:tcPr>
            <w:tcW w:w="893" w:type="dxa"/>
            <w:shd w:val="clear" w:color="auto" w:fill="F9FCF9"/>
          </w:tcPr>
          <w:p>
            <w:pPr>
              <w:pStyle w:val="TableParagraph"/>
              <w:jc w:val="left"/>
              <w:rPr>
                <w:sz w:val="16"/>
              </w:rPr>
            </w:pPr>
          </w:p>
        </w:tc>
        <w:tc>
          <w:tcPr>
            <w:tcW w:w="933" w:type="dxa"/>
            <w:tcBorders>
              <w:right w:val="double" w:sz="1" w:space="0" w:color="000000"/>
            </w:tcBorders>
            <w:shd w:val="clear" w:color="auto" w:fill="F9FCF9"/>
          </w:tcPr>
          <w:p>
            <w:pPr>
              <w:pStyle w:val="TableParagraph"/>
              <w:jc w:val="left"/>
              <w:rPr>
                <w:sz w:val="16"/>
              </w:rPr>
            </w:pPr>
          </w:p>
        </w:tc>
        <w:tc>
          <w:tcPr>
            <w:tcW w:w="995" w:type="dxa"/>
            <w:tcBorders>
              <w:left w:val="double" w:sz="1" w:space="0" w:color="000000"/>
            </w:tcBorders>
            <w:shd w:val="clear" w:color="auto" w:fill="F9FCF9"/>
          </w:tcPr>
          <w:p>
            <w:pPr>
              <w:pStyle w:val="TableParagraph"/>
              <w:spacing w:before="16"/>
              <w:ind w:left="146" w:right="116"/>
              <w:rPr>
                <w:sz w:val="16"/>
              </w:rPr>
            </w:pPr>
            <w:r>
              <w:rPr>
                <w:sz w:val="16"/>
              </w:rPr>
              <w:t>FGD</w:t>
            </w:r>
          </w:p>
        </w:tc>
        <w:tc>
          <w:tcPr>
            <w:tcW w:w="1033" w:type="dxa"/>
            <w:shd w:val="clear" w:color="auto" w:fill="F9FCF9"/>
          </w:tcPr>
          <w:p>
            <w:pPr>
              <w:pStyle w:val="TableParagraph"/>
              <w:spacing w:before="16"/>
              <w:ind w:left="18" w:right="18"/>
              <w:rPr>
                <w:sz w:val="16"/>
              </w:rPr>
            </w:pPr>
            <w:r>
              <w:rPr>
                <w:sz w:val="16"/>
              </w:rPr>
              <w:t>FGD, SCR</w:t>
            </w:r>
          </w:p>
        </w:tc>
        <w:tc>
          <w:tcPr>
            <w:tcW w:w="1937" w:type="dxa"/>
            <w:shd w:val="clear" w:color="auto" w:fill="F9FCF9"/>
          </w:tcPr>
          <w:p>
            <w:pPr>
              <w:pStyle w:val="TableParagraph"/>
              <w:spacing w:before="16"/>
              <w:ind w:left="316" w:right="316"/>
              <w:rPr>
                <w:sz w:val="16"/>
              </w:rPr>
            </w:pPr>
            <w:r>
              <w:rPr>
                <w:sz w:val="16"/>
              </w:rPr>
              <w:t>FGD, SCR, LoTOx</w:t>
            </w:r>
          </w:p>
        </w:tc>
      </w:tr>
      <w:tr>
        <w:trPr>
          <w:trHeight w:val="189" w:hRule="atLeast"/>
        </w:trPr>
        <w:tc>
          <w:tcPr>
            <w:tcW w:w="2412" w:type="dxa"/>
            <w:shd w:val="clear" w:color="auto" w:fill="F9FCF9"/>
          </w:tcPr>
          <w:p>
            <w:pPr>
              <w:pStyle w:val="TableParagraph"/>
              <w:spacing w:line="159" w:lineRule="exact" w:before="10"/>
              <w:ind w:left="26"/>
              <w:jc w:val="left"/>
              <w:rPr>
                <w:sz w:val="16"/>
              </w:rPr>
            </w:pPr>
            <w:r>
              <w:rPr>
                <w:sz w:val="16"/>
              </w:rPr>
              <w:t>Reference plant net output (MW)</w:t>
            </w:r>
          </w:p>
        </w:tc>
        <w:tc>
          <w:tcPr>
            <w:tcW w:w="893" w:type="dxa"/>
            <w:shd w:val="clear" w:color="auto" w:fill="F9FCF9"/>
          </w:tcPr>
          <w:p>
            <w:pPr>
              <w:pStyle w:val="TableParagraph"/>
              <w:spacing w:line="159" w:lineRule="exact" w:before="10"/>
              <w:ind w:left="48" w:right="42"/>
              <w:rPr>
                <w:sz w:val="16"/>
              </w:rPr>
            </w:pPr>
            <w:r>
              <w:rPr>
                <w:sz w:val="16"/>
              </w:rPr>
              <w:t>462</w:t>
            </w:r>
          </w:p>
        </w:tc>
        <w:tc>
          <w:tcPr>
            <w:tcW w:w="893" w:type="dxa"/>
            <w:shd w:val="clear" w:color="auto" w:fill="F9FCF9"/>
          </w:tcPr>
          <w:p>
            <w:pPr>
              <w:pStyle w:val="TableParagraph"/>
              <w:spacing w:line="159" w:lineRule="exact" w:before="10"/>
              <w:ind w:left="48" w:right="43"/>
              <w:rPr>
                <w:sz w:val="16"/>
              </w:rPr>
            </w:pPr>
            <w:r>
              <w:rPr>
                <w:sz w:val="16"/>
              </w:rPr>
              <w:t>506</w:t>
            </w:r>
          </w:p>
        </w:tc>
        <w:tc>
          <w:tcPr>
            <w:tcW w:w="893" w:type="dxa"/>
            <w:shd w:val="clear" w:color="auto" w:fill="F9FCF9"/>
          </w:tcPr>
          <w:p>
            <w:pPr>
              <w:pStyle w:val="TableParagraph"/>
              <w:spacing w:line="159" w:lineRule="exact" w:before="10"/>
              <w:ind w:left="48" w:right="44"/>
              <w:rPr>
                <w:sz w:val="16"/>
              </w:rPr>
            </w:pPr>
            <w:r>
              <w:rPr>
                <w:sz w:val="16"/>
              </w:rPr>
              <w:t>520</w:t>
            </w:r>
          </w:p>
        </w:tc>
        <w:tc>
          <w:tcPr>
            <w:tcW w:w="893" w:type="dxa"/>
            <w:shd w:val="clear" w:color="auto" w:fill="F9FCF9"/>
          </w:tcPr>
          <w:p>
            <w:pPr>
              <w:pStyle w:val="TableParagraph"/>
              <w:spacing w:line="159" w:lineRule="exact" w:before="10"/>
              <w:ind w:left="48" w:right="45"/>
              <w:rPr>
                <w:sz w:val="16"/>
              </w:rPr>
            </w:pPr>
            <w:r>
              <w:rPr>
                <w:sz w:val="16"/>
              </w:rPr>
              <w:t>758</w:t>
            </w:r>
          </w:p>
        </w:tc>
        <w:tc>
          <w:tcPr>
            <w:tcW w:w="893" w:type="dxa"/>
            <w:shd w:val="clear" w:color="auto" w:fill="F9FCF9"/>
          </w:tcPr>
          <w:p>
            <w:pPr>
              <w:pStyle w:val="TableParagraph"/>
              <w:spacing w:line="159" w:lineRule="exact" w:before="10"/>
              <w:ind w:left="48" w:right="45"/>
              <w:rPr>
                <w:sz w:val="16"/>
              </w:rPr>
            </w:pPr>
            <w:r>
              <w:rPr>
                <w:sz w:val="16"/>
              </w:rPr>
              <w:t>754</w:t>
            </w:r>
          </w:p>
        </w:tc>
        <w:tc>
          <w:tcPr>
            <w:tcW w:w="893" w:type="dxa"/>
            <w:shd w:val="clear" w:color="auto" w:fill="F9FCF9"/>
          </w:tcPr>
          <w:p>
            <w:pPr>
              <w:pStyle w:val="TableParagraph"/>
              <w:spacing w:line="159" w:lineRule="exact" w:before="10"/>
              <w:ind w:left="47" w:right="45"/>
              <w:rPr>
                <w:sz w:val="16"/>
              </w:rPr>
            </w:pPr>
            <w:r>
              <w:rPr>
                <w:sz w:val="16"/>
              </w:rPr>
              <w:t>524</w:t>
            </w:r>
          </w:p>
        </w:tc>
        <w:tc>
          <w:tcPr>
            <w:tcW w:w="893" w:type="dxa"/>
            <w:shd w:val="clear" w:color="auto" w:fill="F9FCF9"/>
          </w:tcPr>
          <w:p>
            <w:pPr>
              <w:pStyle w:val="TableParagraph"/>
              <w:spacing w:line="159" w:lineRule="exact" w:before="10"/>
              <w:ind w:left="46" w:right="45"/>
              <w:rPr>
                <w:b/>
                <w:sz w:val="16"/>
              </w:rPr>
            </w:pPr>
            <w:r>
              <w:rPr>
                <w:b/>
                <w:sz w:val="16"/>
              </w:rPr>
              <w:t>462</w:t>
            </w:r>
          </w:p>
        </w:tc>
        <w:tc>
          <w:tcPr>
            <w:tcW w:w="933" w:type="dxa"/>
            <w:tcBorders>
              <w:right w:val="double" w:sz="1" w:space="0" w:color="000000"/>
            </w:tcBorders>
            <w:shd w:val="clear" w:color="auto" w:fill="F9FCF9"/>
          </w:tcPr>
          <w:p>
            <w:pPr>
              <w:pStyle w:val="TableParagraph"/>
              <w:spacing w:line="159" w:lineRule="exact" w:before="10"/>
              <w:ind w:left="303" w:right="329"/>
              <w:rPr>
                <w:b/>
                <w:sz w:val="16"/>
              </w:rPr>
            </w:pPr>
            <w:r>
              <w:rPr>
                <w:b/>
                <w:sz w:val="16"/>
              </w:rPr>
              <w:t>758</w:t>
            </w:r>
          </w:p>
        </w:tc>
        <w:tc>
          <w:tcPr>
            <w:tcW w:w="995" w:type="dxa"/>
            <w:tcBorders>
              <w:left w:val="double" w:sz="1" w:space="0" w:color="000000"/>
            </w:tcBorders>
            <w:shd w:val="clear" w:color="auto" w:fill="F9FCF9"/>
          </w:tcPr>
          <w:p>
            <w:pPr>
              <w:pStyle w:val="TableParagraph"/>
              <w:spacing w:line="159" w:lineRule="exact" w:before="10"/>
              <w:ind w:left="146" w:right="116"/>
              <w:rPr>
                <w:sz w:val="16"/>
              </w:rPr>
            </w:pPr>
            <w:r>
              <w:rPr>
                <w:sz w:val="16"/>
              </w:rPr>
              <w:t>397</w:t>
            </w:r>
          </w:p>
        </w:tc>
        <w:tc>
          <w:tcPr>
            <w:tcW w:w="1033" w:type="dxa"/>
            <w:shd w:val="clear" w:color="auto" w:fill="F9FCF9"/>
          </w:tcPr>
          <w:p>
            <w:pPr>
              <w:pStyle w:val="TableParagraph"/>
              <w:spacing w:line="159" w:lineRule="exact" w:before="10"/>
              <w:ind w:left="18" w:right="18"/>
              <w:rPr>
                <w:sz w:val="16"/>
              </w:rPr>
            </w:pPr>
            <w:r>
              <w:rPr>
                <w:sz w:val="16"/>
              </w:rPr>
              <w:t>462</w:t>
            </w:r>
          </w:p>
        </w:tc>
        <w:tc>
          <w:tcPr>
            <w:tcW w:w="1937" w:type="dxa"/>
            <w:shd w:val="clear" w:color="auto" w:fill="F9FCF9"/>
          </w:tcPr>
          <w:p>
            <w:pPr>
              <w:pStyle w:val="TableParagraph"/>
              <w:spacing w:line="159" w:lineRule="exact" w:before="10"/>
              <w:ind w:left="316" w:right="316"/>
              <w:rPr>
                <w:sz w:val="16"/>
              </w:rPr>
            </w:pPr>
            <w:r>
              <w:rPr>
                <w:sz w:val="16"/>
              </w:rPr>
              <w:t>424</w:t>
            </w:r>
          </w:p>
        </w:tc>
      </w:tr>
      <w:tr>
        <w:trPr>
          <w:trHeight w:val="195" w:hRule="atLeast"/>
        </w:trPr>
        <w:tc>
          <w:tcPr>
            <w:tcW w:w="2412" w:type="dxa"/>
            <w:shd w:val="clear" w:color="auto" w:fill="F9FCF9"/>
          </w:tcPr>
          <w:p>
            <w:pPr>
              <w:pStyle w:val="TableParagraph"/>
              <w:spacing w:line="159" w:lineRule="exact" w:before="16"/>
              <w:ind w:left="26"/>
              <w:jc w:val="left"/>
              <w:rPr>
                <w:sz w:val="16"/>
              </w:rPr>
            </w:pPr>
            <w:r>
              <w:rPr>
                <w:sz w:val="16"/>
              </w:rPr>
              <w:t>Plant capacity factor (%)</w:t>
            </w:r>
          </w:p>
        </w:tc>
        <w:tc>
          <w:tcPr>
            <w:tcW w:w="893" w:type="dxa"/>
            <w:shd w:val="clear" w:color="auto" w:fill="F9FCF9"/>
          </w:tcPr>
          <w:p>
            <w:pPr>
              <w:pStyle w:val="TableParagraph"/>
              <w:spacing w:line="159" w:lineRule="exact" w:before="16"/>
              <w:ind w:left="48" w:right="42"/>
              <w:rPr>
                <w:sz w:val="16"/>
              </w:rPr>
            </w:pPr>
            <w:r>
              <w:rPr>
                <w:sz w:val="16"/>
              </w:rPr>
              <w:t>65</w:t>
            </w:r>
          </w:p>
        </w:tc>
        <w:tc>
          <w:tcPr>
            <w:tcW w:w="893" w:type="dxa"/>
            <w:shd w:val="clear" w:color="auto" w:fill="F9FCF9"/>
          </w:tcPr>
          <w:p>
            <w:pPr>
              <w:pStyle w:val="TableParagraph"/>
              <w:spacing w:line="159" w:lineRule="exact" w:before="16"/>
              <w:ind w:left="48" w:right="43"/>
              <w:rPr>
                <w:sz w:val="16"/>
              </w:rPr>
            </w:pPr>
            <w:r>
              <w:rPr>
                <w:sz w:val="16"/>
              </w:rPr>
              <w:t>65</w:t>
            </w:r>
          </w:p>
        </w:tc>
        <w:tc>
          <w:tcPr>
            <w:tcW w:w="893" w:type="dxa"/>
            <w:shd w:val="clear" w:color="auto" w:fill="F9FCF9"/>
          </w:tcPr>
          <w:p>
            <w:pPr>
              <w:pStyle w:val="TableParagraph"/>
              <w:spacing w:line="159" w:lineRule="exact" w:before="16"/>
              <w:ind w:left="48" w:right="44"/>
              <w:rPr>
                <w:sz w:val="16"/>
              </w:rPr>
            </w:pPr>
            <w:r>
              <w:rPr>
                <w:sz w:val="16"/>
              </w:rPr>
              <w:t>80</w:t>
            </w:r>
          </w:p>
        </w:tc>
        <w:tc>
          <w:tcPr>
            <w:tcW w:w="893" w:type="dxa"/>
            <w:shd w:val="clear" w:color="auto" w:fill="F9FCF9"/>
          </w:tcPr>
          <w:p>
            <w:pPr>
              <w:pStyle w:val="TableParagraph"/>
              <w:spacing w:line="159" w:lineRule="exact" w:before="16"/>
              <w:ind w:left="48" w:right="45"/>
              <w:rPr>
                <w:sz w:val="16"/>
              </w:rPr>
            </w:pPr>
            <w:r>
              <w:rPr>
                <w:sz w:val="16"/>
              </w:rPr>
              <w:t>85</w:t>
            </w:r>
          </w:p>
        </w:tc>
        <w:tc>
          <w:tcPr>
            <w:tcW w:w="893" w:type="dxa"/>
            <w:shd w:val="clear" w:color="auto" w:fill="F9FCF9"/>
          </w:tcPr>
          <w:p>
            <w:pPr>
              <w:pStyle w:val="TableParagraph"/>
              <w:spacing w:line="159" w:lineRule="exact" w:before="16"/>
              <w:ind w:left="48" w:right="45"/>
              <w:rPr>
                <w:sz w:val="16"/>
              </w:rPr>
            </w:pPr>
            <w:r>
              <w:rPr>
                <w:sz w:val="16"/>
              </w:rPr>
              <w:t>85</w:t>
            </w:r>
          </w:p>
        </w:tc>
        <w:tc>
          <w:tcPr>
            <w:tcW w:w="893" w:type="dxa"/>
            <w:shd w:val="clear" w:color="auto" w:fill="F9FCF9"/>
          </w:tcPr>
          <w:p>
            <w:pPr>
              <w:pStyle w:val="TableParagraph"/>
              <w:spacing w:line="159" w:lineRule="exact" w:before="16"/>
              <w:ind w:left="47" w:right="45"/>
              <w:rPr>
                <w:sz w:val="16"/>
              </w:rPr>
            </w:pPr>
            <w:r>
              <w:rPr>
                <w:sz w:val="16"/>
              </w:rPr>
              <w:t>75</w:t>
            </w:r>
          </w:p>
        </w:tc>
        <w:tc>
          <w:tcPr>
            <w:tcW w:w="893" w:type="dxa"/>
            <w:shd w:val="clear" w:color="auto" w:fill="F9FCF9"/>
          </w:tcPr>
          <w:p>
            <w:pPr>
              <w:pStyle w:val="TableParagraph"/>
              <w:spacing w:line="159" w:lineRule="exact" w:before="16"/>
              <w:ind w:left="46" w:right="45"/>
              <w:rPr>
                <w:b/>
                <w:sz w:val="16"/>
              </w:rPr>
            </w:pPr>
            <w:r>
              <w:rPr>
                <w:b/>
                <w:sz w:val="16"/>
              </w:rPr>
              <w:t>65</w:t>
            </w:r>
          </w:p>
        </w:tc>
        <w:tc>
          <w:tcPr>
            <w:tcW w:w="933" w:type="dxa"/>
            <w:tcBorders>
              <w:right w:val="double" w:sz="1" w:space="0" w:color="000000"/>
            </w:tcBorders>
            <w:shd w:val="clear" w:color="auto" w:fill="F9FCF9"/>
          </w:tcPr>
          <w:p>
            <w:pPr>
              <w:pStyle w:val="TableParagraph"/>
              <w:spacing w:line="159" w:lineRule="exact" w:before="16"/>
              <w:ind w:left="303" w:right="329"/>
              <w:rPr>
                <w:b/>
                <w:sz w:val="16"/>
              </w:rPr>
            </w:pPr>
            <w:r>
              <w:rPr>
                <w:b/>
                <w:sz w:val="16"/>
              </w:rPr>
              <w:t>85</w:t>
            </w:r>
          </w:p>
        </w:tc>
        <w:tc>
          <w:tcPr>
            <w:tcW w:w="995" w:type="dxa"/>
            <w:tcBorders>
              <w:left w:val="double" w:sz="1" w:space="0" w:color="000000"/>
            </w:tcBorders>
            <w:shd w:val="clear" w:color="auto" w:fill="F9FCF9"/>
          </w:tcPr>
          <w:p>
            <w:pPr>
              <w:pStyle w:val="TableParagraph"/>
              <w:spacing w:line="159" w:lineRule="exact" w:before="16"/>
              <w:ind w:left="146" w:right="116"/>
              <w:rPr>
                <w:sz w:val="16"/>
              </w:rPr>
            </w:pPr>
            <w:r>
              <w:rPr>
                <w:sz w:val="16"/>
              </w:rPr>
              <w:t>85</w:t>
            </w:r>
          </w:p>
        </w:tc>
        <w:tc>
          <w:tcPr>
            <w:tcW w:w="1033" w:type="dxa"/>
            <w:shd w:val="clear" w:color="auto" w:fill="F9FCF9"/>
          </w:tcPr>
          <w:p>
            <w:pPr>
              <w:pStyle w:val="TableParagraph"/>
              <w:spacing w:line="159" w:lineRule="exact" w:before="16"/>
              <w:ind w:left="18" w:right="18"/>
              <w:rPr>
                <w:sz w:val="16"/>
              </w:rPr>
            </w:pPr>
            <w:r>
              <w:rPr>
                <w:sz w:val="16"/>
              </w:rPr>
              <w:t>75</w:t>
            </w:r>
          </w:p>
        </w:tc>
        <w:tc>
          <w:tcPr>
            <w:tcW w:w="1937" w:type="dxa"/>
            <w:shd w:val="clear" w:color="auto" w:fill="F9FCF9"/>
          </w:tcPr>
          <w:p>
            <w:pPr>
              <w:pStyle w:val="TableParagraph"/>
              <w:spacing w:line="159" w:lineRule="exact" w:before="16"/>
              <w:ind w:left="316" w:right="316"/>
              <w:rPr>
                <w:sz w:val="16"/>
              </w:rPr>
            </w:pPr>
            <w:r>
              <w:rPr>
                <w:sz w:val="16"/>
              </w:rPr>
              <w:t>90</w:t>
            </w:r>
          </w:p>
        </w:tc>
      </w:tr>
      <w:tr>
        <w:trPr>
          <w:trHeight w:val="195" w:hRule="atLeast"/>
        </w:trPr>
        <w:tc>
          <w:tcPr>
            <w:tcW w:w="2412" w:type="dxa"/>
            <w:shd w:val="clear" w:color="auto" w:fill="F9FCF9"/>
          </w:tcPr>
          <w:p>
            <w:pPr>
              <w:pStyle w:val="TableParagraph"/>
              <w:spacing w:line="159" w:lineRule="exact" w:before="16"/>
              <w:ind w:left="26"/>
              <w:jc w:val="left"/>
              <w:rPr>
                <w:sz w:val="16"/>
              </w:rPr>
            </w:pPr>
            <w:r>
              <w:rPr>
                <w:sz w:val="16"/>
              </w:rPr>
              <w:t>Net plant efficiency, LHV (%)</w:t>
            </w:r>
          </w:p>
        </w:tc>
        <w:tc>
          <w:tcPr>
            <w:tcW w:w="893" w:type="dxa"/>
            <w:shd w:val="clear" w:color="auto" w:fill="F9FCF9"/>
          </w:tcPr>
          <w:p>
            <w:pPr>
              <w:pStyle w:val="TableParagraph"/>
              <w:spacing w:line="159" w:lineRule="exact" w:before="16"/>
              <w:ind w:left="48" w:right="42"/>
              <w:rPr>
                <w:sz w:val="16"/>
              </w:rPr>
            </w:pPr>
            <w:r>
              <w:rPr>
                <w:sz w:val="16"/>
              </w:rPr>
              <w:t>42.2</w:t>
            </w:r>
          </w:p>
        </w:tc>
        <w:tc>
          <w:tcPr>
            <w:tcW w:w="893" w:type="dxa"/>
            <w:shd w:val="clear" w:color="auto" w:fill="F9FCF9"/>
          </w:tcPr>
          <w:p>
            <w:pPr>
              <w:pStyle w:val="TableParagraph"/>
              <w:spacing w:line="159" w:lineRule="exact" w:before="16"/>
              <w:ind w:left="48" w:right="43"/>
              <w:rPr>
                <w:sz w:val="16"/>
              </w:rPr>
            </w:pPr>
            <w:r>
              <w:rPr>
                <w:sz w:val="16"/>
              </w:rPr>
              <w:t>44.8</w:t>
            </w:r>
          </w:p>
        </w:tc>
        <w:tc>
          <w:tcPr>
            <w:tcW w:w="893" w:type="dxa"/>
            <w:shd w:val="clear" w:color="auto" w:fill="F9FCF9"/>
          </w:tcPr>
          <w:p>
            <w:pPr>
              <w:pStyle w:val="TableParagraph"/>
              <w:spacing w:line="159" w:lineRule="exact" w:before="16"/>
              <w:ind w:left="48" w:right="44"/>
              <w:rPr>
                <w:sz w:val="16"/>
              </w:rPr>
            </w:pPr>
            <w:r>
              <w:rPr>
                <w:sz w:val="16"/>
              </w:rPr>
              <w:t>44.5</w:t>
            </w:r>
          </w:p>
        </w:tc>
        <w:tc>
          <w:tcPr>
            <w:tcW w:w="893" w:type="dxa"/>
            <w:shd w:val="clear" w:color="auto" w:fill="F9FCF9"/>
          </w:tcPr>
          <w:p>
            <w:pPr>
              <w:pStyle w:val="TableParagraph"/>
              <w:spacing w:line="159" w:lineRule="exact" w:before="16"/>
              <w:ind w:left="48" w:right="45"/>
              <w:rPr>
                <w:sz w:val="16"/>
              </w:rPr>
            </w:pPr>
            <w:r>
              <w:rPr>
                <w:sz w:val="16"/>
              </w:rPr>
              <w:t>44.0</w:t>
            </w:r>
          </w:p>
        </w:tc>
        <w:tc>
          <w:tcPr>
            <w:tcW w:w="893" w:type="dxa"/>
            <w:shd w:val="clear" w:color="auto" w:fill="F9FCF9"/>
          </w:tcPr>
          <w:p>
            <w:pPr>
              <w:pStyle w:val="TableParagraph"/>
              <w:spacing w:line="159" w:lineRule="exact" w:before="16"/>
              <w:ind w:left="48" w:right="45"/>
              <w:rPr>
                <w:sz w:val="16"/>
              </w:rPr>
            </w:pPr>
            <w:r>
              <w:rPr>
                <w:sz w:val="16"/>
              </w:rPr>
              <w:t>43.7</w:t>
            </w:r>
          </w:p>
        </w:tc>
        <w:tc>
          <w:tcPr>
            <w:tcW w:w="893" w:type="dxa"/>
            <w:shd w:val="clear" w:color="auto" w:fill="F9FCF9"/>
          </w:tcPr>
          <w:p>
            <w:pPr>
              <w:pStyle w:val="TableParagraph"/>
              <w:spacing w:line="159" w:lineRule="exact" w:before="16"/>
              <w:ind w:left="47" w:right="45"/>
              <w:rPr>
                <w:sz w:val="16"/>
              </w:rPr>
            </w:pPr>
            <w:r>
              <w:rPr>
                <w:sz w:val="16"/>
              </w:rPr>
              <w:t>40.9</w:t>
            </w:r>
          </w:p>
        </w:tc>
        <w:tc>
          <w:tcPr>
            <w:tcW w:w="893" w:type="dxa"/>
            <w:shd w:val="clear" w:color="auto" w:fill="F9FCF9"/>
          </w:tcPr>
          <w:p>
            <w:pPr>
              <w:pStyle w:val="TableParagraph"/>
              <w:spacing w:line="159" w:lineRule="exact" w:before="16"/>
              <w:ind w:left="46" w:right="45"/>
              <w:rPr>
                <w:b/>
                <w:sz w:val="16"/>
              </w:rPr>
            </w:pPr>
            <w:r>
              <w:rPr>
                <w:b/>
                <w:sz w:val="16"/>
              </w:rPr>
              <w:t>41</w:t>
            </w:r>
          </w:p>
        </w:tc>
        <w:tc>
          <w:tcPr>
            <w:tcW w:w="933" w:type="dxa"/>
            <w:tcBorders>
              <w:right w:val="double" w:sz="1" w:space="0" w:color="000000"/>
            </w:tcBorders>
            <w:shd w:val="clear" w:color="auto" w:fill="F9FCF9"/>
          </w:tcPr>
          <w:p>
            <w:pPr>
              <w:pStyle w:val="TableParagraph"/>
              <w:spacing w:line="159" w:lineRule="exact" w:before="16"/>
              <w:ind w:left="303" w:right="329"/>
              <w:rPr>
                <w:b/>
                <w:sz w:val="16"/>
              </w:rPr>
            </w:pPr>
            <w:r>
              <w:rPr>
                <w:b/>
                <w:sz w:val="16"/>
              </w:rPr>
              <w:t>45</w:t>
            </w:r>
          </w:p>
        </w:tc>
        <w:tc>
          <w:tcPr>
            <w:tcW w:w="995" w:type="dxa"/>
            <w:tcBorders>
              <w:left w:val="double" w:sz="1" w:space="0" w:color="000000"/>
            </w:tcBorders>
            <w:shd w:val="clear" w:color="auto" w:fill="F9FCF9"/>
          </w:tcPr>
          <w:p>
            <w:pPr>
              <w:pStyle w:val="TableParagraph"/>
              <w:spacing w:line="159" w:lineRule="exact" w:before="16"/>
              <w:ind w:left="146" w:right="116"/>
              <w:rPr>
                <w:sz w:val="16"/>
              </w:rPr>
            </w:pPr>
            <w:r>
              <w:rPr>
                <w:sz w:val="16"/>
              </w:rPr>
              <w:t>38.9</w:t>
            </w:r>
          </w:p>
        </w:tc>
        <w:tc>
          <w:tcPr>
            <w:tcW w:w="1033" w:type="dxa"/>
            <w:shd w:val="clear" w:color="auto" w:fill="F9FCF9"/>
          </w:tcPr>
          <w:p>
            <w:pPr>
              <w:pStyle w:val="TableParagraph"/>
              <w:spacing w:line="159" w:lineRule="exact" w:before="16"/>
              <w:ind w:left="18" w:right="18"/>
              <w:rPr>
                <w:sz w:val="16"/>
              </w:rPr>
            </w:pPr>
            <w:r>
              <w:rPr>
                <w:sz w:val="16"/>
              </w:rPr>
              <w:t>36.1</w:t>
            </w:r>
          </w:p>
        </w:tc>
        <w:tc>
          <w:tcPr>
            <w:tcW w:w="1937" w:type="dxa"/>
            <w:shd w:val="clear" w:color="auto" w:fill="F9FCF9"/>
          </w:tcPr>
          <w:p>
            <w:pPr>
              <w:pStyle w:val="TableParagraph"/>
              <w:spacing w:line="159" w:lineRule="exact" w:before="16"/>
              <w:ind w:left="316" w:right="316"/>
              <w:rPr>
                <w:sz w:val="16"/>
              </w:rPr>
            </w:pPr>
            <w:r>
              <w:rPr>
                <w:sz w:val="16"/>
              </w:rPr>
              <w:t>43.4</w:t>
            </w:r>
          </w:p>
        </w:tc>
      </w:tr>
      <w:tr>
        <w:trPr>
          <w:trHeight w:val="195" w:hRule="atLeast"/>
        </w:trPr>
        <w:tc>
          <w:tcPr>
            <w:tcW w:w="2412" w:type="dxa"/>
            <w:shd w:val="clear" w:color="auto" w:fill="F9FCF9"/>
          </w:tcPr>
          <w:p>
            <w:pPr>
              <w:pStyle w:val="TableParagraph"/>
              <w:spacing w:line="159" w:lineRule="exact" w:before="16"/>
              <w:ind w:left="26"/>
              <w:jc w:val="left"/>
              <w:rPr>
                <w:sz w:val="16"/>
              </w:rPr>
            </w:pPr>
            <w:r>
              <w:rPr>
                <w:sz w:val="16"/>
              </w:rPr>
              <w:t>Coal cost, LHV (US$ GJ</w:t>
            </w:r>
            <w:r>
              <w:rPr>
                <w:position w:val="5"/>
                <w:sz w:val="9"/>
              </w:rPr>
              <w:t>-1</w:t>
            </w:r>
            <w:r>
              <w:rPr>
                <w:sz w:val="16"/>
              </w:rPr>
              <w:t>)</w:t>
            </w:r>
          </w:p>
        </w:tc>
        <w:tc>
          <w:tcPr>
            <w:tcW w:w="893" w:type="dxa"/>
            <w:shd w:val="clear" w:color="auto" w:fill="F9FCF9"/>
          </w:tcPr>
          <w:p>
            <w:pPr>
              <w:pStyle w:val="TableParagraph"/>
              <w:spacing w:line="159" w:lineRule="exact" w:before="16"/>
              <w:ind w:left="48" w:right="42"/>
              <w:rPr>
                <w:sz w:val="16"/>
              </w:rPr>
            </w:pPr>
            <w:r>
              <w:rPr>
                <w:sz w:val="16"/>
              </w:rPr>
              <w:t>1.29</w:t>
            </w:r>
          </w:p>
        </w:tc>
        <w:tc>
          <w:tcPr>
            <w:tcW w:w="893" w:type="dxa"/>
            <w:shd w:val="clear" w:color="auto" w:fill="F9FCF9"/>
          </w:tcPr>
          <w:p>
            <w:pPr>
              <w:pStyle w:val="TableParagraph"/>
              <w:jc w:val="left"/>
              <w:rPr>
                <w:sz w:val="12"/>
              </w:rPr>
            </w:pPr>
          </w:p>
        </w:tc>
        <w:tc>
          <w:tcPr>
            <w:tcW w:w="893" w:type="dxa"/>
            <w:shd w:val="clear" w:color="auto" w:fill="F9FCF9"/>
          </w:tcPr>
          <w:p>
            <w:pPr>
              <w:pStyle w:val="TableParagraph"/>
              <w:spacing w:line="159" w:lineRule="exact" w:before="16"/>
              <w:ind w:left="48" w:right="44"/>
              <w:rPr>
                <w:sz w:val="16"/>
              </w:rPr>
            </w:pPr>
            <w:r>
              <w:rPr>
                <w:sz w:val="16"/>
              </w:rPr>
              <w:t>0.98</w:t>
            </w:r>
          </w:p>
        </w:tc>
        <w:tc>
          <w:tcPr>
            <w:tcW w:w="893" w:type="dxa"/>
            <w:shd w:val="clear" w:color="auto" w:fill="F9FCF9"/>
          </w:tcPr>
          <w:p>
            <w:pPr>
              <w:pStyle w:val="TableParagraph"/>
              <w:spacing w:line="159" w:lineRule="exact" w:before="16"/>
              <w:ind w:left="48" w:right="45"/>
              <w:rPr>
                <w:sz w:val="16"/>
              </w:rPr>
            </w:pPr>
            <w:r>
              <w:rPr>
                <w:sz w:val="16"/>
              </w:rPr>
              <w:t>1.50</w:t>
            </w:r>
          </w:p>
        </w:tc>
        <w:tc>
          <w:tcPr>
            <w:tcW w:w="893" w:type="dxa"/>
            <w:shd w:val="clear" w:color="auto" w:fill="F9FCF9"/>
          </w:tcPr>
          <w:p>
            <w:pPr>
              <w:pStyle w:val="TableParagraph"/>
              <w:spacing w:line="159" w:lineRule="exact" w:before="16"/>
              <w:ind w:left="48" w:right="45"/>
              <w:rPr>
                <w:sz w:val="16"/>
              </w:rPr>
            </w:pPr>
            <w:r>
              <w:rPr>
                <w:sz w:val="16"/>
              </w:rPr>
              <w:t>1.50</w:t>
            </w:r>
          </w:p>
        </w:tc>
        <w:tc>
          <w:tcPr>
            <w:tcW w:w="893" w:type="dxa"/>
            <w:shd w:val="clear" w:color="auto" w:fill="F9FCF9"/>
          </w:tcPr>
          <w:p>
            <w:pPr>
              <w:pStyle w:val="TableParagraph"/>
              <w:spacing w:line="159" w:lineRule="exact" w:before="16"/>
              <w:ind w:left="47" w:right="45"/>
              <w:rPr>
                <w:sz w:val="16"/>
              </w:rPr>
            </w:pPr>
            <w:r>
              <w:rPr>
                <w:sz w:val="16"/>
              </w:rPr>
              <w:t>1.25</w:t>
            </w:r>
          </w:p>
        </w:tc>
        <w:tc>
          <w:tcPr>
            <w:tcW w:w="893" w:type="dxa"/>
            <w:shd w:val="clear" w:color="auto" w:fill="F9FCF9"/>
          </w:tcPr>
          <w:p>
            <w:pPr>
              <w:pStyle w:val="TableParagraph"/>
              <w:spacing w:line="159" w:lineRule="exact" w:before="16"/>
              <w:ind w:left="302"/>
              <w:jc w:val="left"/>
              <w:rPr>
                <w:b/>
                <w:sz w:val="16"/>
              </w:rPr>
            </w:pPr>
            <w:r>
              <w:rPr>
                <w:b/>
                <w:sz w:val="16"/>
              </w:rPr>
              <w:t>0.98</w:t>
            </w:r>
          </w:p>
        </w:tc>
        <w:tc>
          <w:tcPr>
            <w:tcW w:w="933" w:type="dxa"/>
            <w:tcBorders>
              <w:right w:val="double" w:sz="1" w:space="0" w:color="000000"/>
            </w:tcBorders>
            <w:shd w:val="clear" w:color="auto" w:fill="F9FCF9"/>
          </w:tcPr>
          <w:p>
            <w:pPr>
              <w:pStyle w:val="TableParagraph"/>
              <w:spacing w:line="159" w:lineRule="exact" w:before="16"/>
              <w:ind w:right="328"/>
              <w:jc w:val="right"/>
              <w:rPr>
                <w:b/>
                <w:sz w:val="16"/>
              </w:rPr>
            </w:pPr>
            <w:r>
              <w:rPr>
                <w:b/>
                <w:sz w:val="16"/>
              </w:rPr>
              <w:t>1.50</w:t>
            </w:r>
          </w:p>
        </w:tc>
        <w:tc>
          <w:tcPr>
            <w:tcW w:w="995" w:type="dxa"/>
            <w:tcBorders>
              <w:left w:val="double" w:sz="1" w:space="0" w:color="000000"/>
            </w:tcBorders>
            <w:shd w:val="clear" w:color="auto" w:fill="F9FCF9"/>
          </w:tcPr>
          <w:p>
            <w:pPr>
              <w:pStyle w:val="TableParagraph"/>
              <w:spacing w:line="159" w:lineRule="exact" w:before="16"/>
              <w:ind w:left="146" w:right="116"/>
              <w:rPr>
                <w:sz w:val="16"/>
              </w:rPr>
            </w:pPr>
            <w:r>
              <w:rPr>
                <w:sz w:val="16"/>
              </w:rPr>
              <w:t>1.03</w:t>
            </w:r>
          </w:p>
        </w:tc>
        <w:tc>
          <w:tcPr>
            <w:tcW w:w="1033" w:type="dxa"/>
            <w:shd w:val="clear" w:color="auto" w:fill="F9FCF9"/>
          </w:tcPr>
          <w:p>
            <w:pPr>
              <w:pStyle w:val="TableParagraph"/>
              <w:spacing w:line="159" w:lineRule="exact" w:before="16"/>
              <w:ind w:left="18" w:right="18"/>
              <w:rPr>
                <w:sz w:val="16"/>
              </w:rPr>
            </w:pPr>
            <w:r>
              <w:rPr>
                <w:sz w:val="16"/>
              </w:rPr>
              <w:t>1.25</w:t>
            </w:r>
          </w:p>
        </w:tc>
        <w:tc>
          <w:tcPr>
            <w:tcW w:w="1937" w:type="dxa"/>
            <w:shd w:val="clear" w:color="auto" w:fill="F9FCF9"/>
          </w:tcPr>
          <w:p>
            <w:pPr>
              <w:pStyle w:val="TableParagraph"/>
              <w:spacing w:line="159" w:lineRule="exact" w:before="16"/>
              <w:ind w:left="316" w:right="316"/>
              <w:rPr>
                <w:sz w:val="16"/>
              </w:rPr>
            </w:pPr>
            <w:r>
              <w:rPr>
                <w:sz w:val="16"/>
              </w:rPr>
              <w:t>0.88</w:t>
            </w:r>
          </w:p>
        </w:tc>
      </w:tr>
      <w:tr>
        <w:trPr>
          <w:trHeight w:val="375" w:hRule="atLeast"/>
        </w:trPr>
        <w:tc>
          <w:tcPr>
            <w:tcW w:w="2412" w:type="dxa"/>
            <w:shd w:val="clear" w:color="auto" w:fill="F9FCF9"/>
          </w:tcPr>
          <w:p>
            <w:pPr>
              <w:pStyle w:val="TableParagraph"/>
              <w:spacing w:before="16"/>
              <w:ind w:left="26"/>
              <w:jc w:val="left"/>
              <w:rPr>
                <w:sz w:val="16"/>
              </w:rPr>
            </w:pPr>
            <w:r>
              <w:rPr>
                <w:sz w:val="16"/>
              </w:rPr>
              <w:t>Reference plant emission rate (t</w:t>
            </w:r>
          </w:p>
          <w:p>
            <w:pPr>
              <w:pStyle w:val="TableParagraph"/>
              <w:spacing w:line="45" w:lineRule="exact" w:before="8"/>
              <w:ind w:left="712"/>
              <w:jc w:val="left"/>
              <w:rPr>
                <w:sz w:val="9"/>
              </w:rPr>
            </w:pPr>
            <w:r>
              <w:rPr>
                <w:w w:val="105"/>
                <w:sz w:val="9"/>
              </w:rPr>
              <w:t>-1</w:t>
            </w:r>
          </w:p>
          <w:p>
            <w:pPr>
              <w:pStyle w:val="TableParagraph"/>
              <w:spacing w:line="101" w:lineRule="exact"/>
              <w:ind w:left="26"/>
              <w:jc w:val="left"/>
              <w:rPr>
                <w:sz w:val="16"/>
              </w:rPr>
            </w:pPr>
            <w:r>
              <w:rPr>
                <w:sz w:val="16"/>
              </w:rPr>
              <w:t>CO</w:t>
            </w:r>
            <w:r>
              <w:rPr>
                <w:position w:val="-4"/>
                <w:sz w:val="9"/>
              </w:rPr>
              <w:t>2 </w:t>
            </w:r>
            <w:r>
              <w:rPr>
                <w:sz w:val="16"/>
              </w:rPr>
              <w:t>MWh )</w:t>
            </w:r>
          </w:p>
        </w:tc>
        <w:tc>
          <w:tcPr>
            <w:tcW w:w="893" w:type="dxa"/>
            <w:shd w:val="clear" w:color="auto" w:fill="F9FCF9"/>
          </w:tcPr>
          <w:p>
            <w:pPr>
              <w:pStyle w:val="TableParagraph"/>
              <w:spacing w:before="16"/>
              <w:ind w:left="48" w:right="42"/>
              <w:rPr>
                <w:sz w:val="16"/>
              </w:rPr>
            </w:pPr>
            <w:r>
              <w:rPr>
                <w:sz w:val="16"/>
              </w:rPr>
              <w:t>0.774</w:t>
            </w:r>
          </w:p>
        </w:tc>
        <w:tc>
          <w:tcPr>
            <w:tcW w:w="893" w:type="dxa"/>
            <w:shd w:val="clear" w:color="auto" w:fill="F9FCF9"/>
          </w:tcPr>
          <w:p>
            <w:pPr>
              <w:pStyle w:val="TableParagraph"/>
              <w:spacing w:before="16"/>
              <w:ind w:left="48" w:right="43"/>
              <w:rPr>
                <w:sz w:val="16"/>
              </w:rPr>
            </w:pPr>
            <w:r>
              <w:rPr>
                <w:sz w:val="16"/>
              </w:rPr>
              <w:t>0.736</w:t>
            </w:r>
          </w:p>
        </w:tc>
        <w:tc>
          <w:tcPr>
            <w:tcW w:w="893" w:type="dxa"/>
            <w:shd w:val="clear" w:color="auto" w:fill="F9FCF9"/>
          </w:tcPr>
          <w:p>
            <w:pPr>
              <w:pStyle w:val="TableParagraph"/>
              <w:spacing w:before="16"/>
              <w:ind w:left="48" w:right="44"/>
              <w:rPr>
                <w:sz w:val="16"/>
              </w:rPr>
            </w:pPr>
            <w:r>
              <w:rPr>
                <w:sz w:val="16"/>
              </w:rPr>
              <w:t>0.76</w:t>
            </w:r>
          </w:p>
        </w:tc>
        <w:tc>
          <w:tcPr>
            <w:tcW w:w="893" w:type="dxa"/>
            <w:shd w:val="clear" w:color="auto" w:fill="F9FCF9"/>
          </w:tcPr>
          <w:p>
            <w:pPr>
              <w:pStyle w:val="TableParagraph"/>
              <w:spacing w:before="16"/>
              <w:ind w:left="48" w:right="45"/>
              <w:rPr>
                <w:sz w:val="16"/>
              </w:rPr>
            </w:pPr>
            <w:r>
              <w:rPr>
                <w:sz w:val="16"/>
              </w:rPr>
              <w:t>0.743</w:t>
            </w:r>
          </w:p>
        </w:tc>
        <w:tc>
          <w:tcPr>
            <w:tcW w:w="893" w:type="dxa"/>
            <w:shd w:val="clear" w:color="auto" w:fill="F9FCF9"/>
          </w:tcPr>
          <w:p>
            <w:pPr>
              <w:pStyle w:val="TableParagraph"/>
              <w:spacing w:before="16"/>
              <w:ind w:left="48" w:right="45"/>
              <w:rPr>
                <w:sz w:val="16"/>
              </w:rPr>
            </w:pPr>
            <w:r>
              <w:rPr>
                <w:sz w:val="16"/>
              </w:rPr>
              <w:t>0.747</w:t>
            </w:r>
          </w:p>
        </w:tc>
        <w:tc>
          <w:tcPr>
            <w:tcW w:w="893" w:type="dxa"/>
            <w:shd w:val="clear" w:color="auto" w:fill="F9FCF9"/>
          </w:tcPr>
          <w:p>
            <w:pPr>
              <w:pStyle w:val="TableParagraph"/>
              <w:spacing w:before="16"/>
              <w:ind w:left="47" w:right="45"/>
              <w:rPr>
                <w:sz w:val="16"/>
              </w:rPr>
            </w:pPr>
            <w:r>
              <w:rPr>
                <w:sz w:val="16"/>
              </w:rPr>
              <w:t>0.811</w:t>
            </w:r>
          </w:p>
        </w:tc>
        <w:tc>
          <w:tcPr>
            <w:tcW w:w="893" w:type="dxa"/>
            <w:shd w:val="clear" w:color="auto" w:fill="F9FCF9"/>
          </w:tcPr>
          <w:p>
            <w:pPr>
              <w:pStyle w:val="TableParagraph"/>
              <w:spacing w:before="16"/>
              <w:ind w:left="302"/>
              <w:jc w:val="left"/>
              <w:rPr>
                <w:b/>
                <w:sz w:val="16"/>
              </w:rPr>
            </w:pPr>
            <w:r>
              <w:rPr>
                <w:b/>
                <w:sz w:val="16"/>
              </w:rPr>
              <w:t>0.74</w:t>
            </w:r>
          </w:p>
        </w:tc>
        <w:tc>
          <w:tcPr>
            <w:tcW w:w="933" w:type="dxa"/>
            <w:tcBorders>
              <w:right w:val="double" w:sz="1" w:space="0" w:color="000000"/>
            </w:tcBorders>
            <w:shd w:val="clear" w:color="auto" w:fill="F9FCF9"/>
          </w:tcPr>
          <w:p>
            <w:pPr>
              <w:pStyle w:val="TableParagraph"/>
              <w:spacing w:before="16"/>
              <w:ind w:right="328"/>
              <w:jc w:val="right"/>
              <w:rPr>
                <w:b/>
                <w:sz w:val="16"/>
              </w:rPr>
            </w:pPr>
            <w:r>
              <w:rPr>
                <w:b/>
                <w:sz w:val="16"/>
              </w:rPr>
              <w:t>0.81</w:t>
            </w:r>
          </w:p>
        </w:tc>
        <w:tc>
          <w:tcPr>
            <w:tcW w:w="995" w:type="dxa"/>
            <w:tcBorders>
              <w:left w:val="double" w:sz="1" w:space="0" w:color="000000"/>
            </w:tcBorders>
            <w:shd w:val="clear" w:color="auto" w:fill="F9FCF9"/>
          </w:tcPr>
          <w:p>
            <w:pPr>
              <w:pStyle w:val="TableParagraph"/>
              <w:spacing w:before="16"/>
              <w:ind w:left="146" w:right="116"/>
              <w:rPr>
                <w:sz w:val="16"/>
              </w:rPr>
            </w:pPr>
            <w:r>
              <w:rPr>
                <w:sz w:val="16"/>
              </w:rPr>
              <w:t>0.835</w:t>
            </w:r>
          </w:p>
        </w:tc>
        <w:tc>
          <w:tcPr>
            <w:tcW w:w="1033" w:type="dxa"/>
            <w:shd w:val="clear" w:color="auto" w:fill="F9FCF9"/>
          </w:tcPr>
          <w:p>
            <w:pPr>
              <w:pStyle w:val="TableParagraph"/>
              <w:spacing w:before="16"/>
              <w:ind w:left="18" w:right="18"/>
              <w:rPr>
                <w:sz w:val="16"/>
              </w:rPr>
            </w:pPr>
            <w:r>
              <w:rPr>
                <w:sz w:val="16"/>
              </w:rPr>
              <w:t>0.941</w:t>
            </w:r>
          </w:p>
        </w:tc>
        <w:tc>
          <w:tcPr>
            <w:tcW w:w="1937" w:type="dxa"/>
            <w:shd w:val="clear" w:color="auto" w:fill="F9FCF9"/>
          </w:tcPr>
          <w:p>
            <w:pPr>
              <w:pStyle w:val="TableParagraph"/>
              <w:spacing w:before="16"/>
              <w:ind w:left="316" w:right="316"/>
              <w:rPr>
                <w:sz w:val="16"/>
              </w:rPr>
            </w:pPr>
            <w:r>
              <w:rPr>
                <w:sz w:val="16"/>
              </w:rPr>
              <w:t>0.883</w:t>
            </w:r>
          </w:p>
        </w:tc>
      </w:tr>
      <w:tr>
        <w:trPr>
          <w:trHeight w:val="195" w:hRule="atLeast"/>
        </w:trPr>
        <w:tc>
          <w:tcPr>
            <w:tcW w:w="2412" w:type="dxa"/>
            <w:shd w:val="clear" w:color="auto" w:fill="F9FCF9"/>
          </w:tcPr>
          <w:p>
            <w:pPr>
              <w:pStyle w:val="TableParagraph"/>
              <w:spacing w:line="159" w:lineRule="exact" w:before="16"/>
              <w:ind w:left="158"/>
              <w:jc w:val="left"/>
              <w:rPr>
                <w:b/>
                <w:i/>
                <w:sz w:val="16"/>
              </w:rPr>
            </w:pPr>
            <w:r>
              <w:rPr>
                <w:b/>
                <w:i/>
                <w:sz w:val="16"/>
              </w:rPr>
              <w:t>Capture Plant Design</w:t>
            </w:r>
          </w:p>
        </w:tc>
        <w:tc>
          <w:tcPr>
            <w:tcW w:w="893" w:type="dxa"/>
            <w:shd w:val="clear" w:color="auto" w:fill="F9FCF9"/>
          </w:tcPr>
          <w:p>
            <w:pPr>
              <w:pStyle w:val="TableParagraph"/>
              <w:jc w:val="left"/>
              <w:rPr>
                <w:sz w:val="12"/>
              </w:rPr>
            </w:pPr>
          </w:p>
        </w:tc>
        <w:tc>
          <w:tcPr>
            <w:tcW w:w="893" w:type="dxa"/>
            <w:shd w:val="clear" w:color="auto" w:fill="F9FCF9"/>
          </w:tcPr>
          <w:p>
            <w:pPr>
              <w:pStyle w:val="TableParagraph"/>
              <w:jc w:val="left"/>
              <w:rPr>
                <w:sz w:val="12"/>
              </w:rPr>
            </w:pPr>
          </w:p>
        </w:tc>
        <w:tc>
          <w:tcPr>
            <w:tcW w:w="893" w:type="dxa"/>
            <w:shd w:val="clear" w:color="auto" w:fill="F9FCF9"/>
          </w:tcPr>
          <w:p>
            <w:pPr>
              <w:pStyle w:val="TableParagraph"/>
              <w:jc w:val="left"/>
              <w:rPr>
                <w:sz w:val="12"/>
              </w:rPr>
            </w:pPr>
          </w:p>
        </w:tc>
        <w:tc>
          <w:tcPr>
            <w:tcW w:w="893" w:type="dxa"/>
            <w:shd w:val="clear" w:color="auto" w:fill="F9FCF9"/>
          </w:tcPr>
          <w:p>
            <w:pPr>
              <w:pStyle w:val="TableParagraph"/>
              <w:jc w:val="left"/>
              <w:rPr>
                <w:sz w:val="12"/>
              </w:rPr>
            </w:pPr>
          </w:p>
        </w:tc>
        <w:tc>
          <w:tcPr>
            <w:tcW w:w="893" w:type="dxa"/>
            <w:shd w:val="clear" w:color="auto" w:fill="F9FCF9"/>
          </w:tcPr>
          <w:p>
            <w:pPr>
              <w:pStyle w:val="TableParagraph"/>
              <w:jc w:val="left"/>
              <w:rPr>
                <w:sz w:val="12"/>
              </w:rPr>
            </w:pPr>
          </w:p>
        </w:tc>
        <w:tc>
          <w:tcPr>
            <w:tcW w:w="893" w:type="dxa"/>
            <w:shd w:val="clear" w:color="auto" w:fill="F9FCF9"/>
          </w:tcPr>
          <w:p>
            <w:pPr>
              <w:pStyle w:val="TableParagraph"/>
              <w:jc w:val="left"/>
              <w:rPr>
                <w:sz w:val="12"/>
              </w:rPr>
            </w:pPr>
          </w:p>
        </w:tc>
        <w:tc>
          <w:tcPr>
            <w:tcW w:w="893" w:type="dxa"/>
            <w:shd w:val="clear" w:color="auto" w:fill="F9FCF9"/>
          </w:tcPr>
          <w:p>
            <w:pPr>
              <w:pStyle w:val="TableParagraph"/>
              <w:jc w:val="left"/>
              <w:rPr>
                <w:sz w:val="12"/>
              </w:rPr>
            </w:pPr>
          </w:p>
        </w:tc>
        <w:tc>
          <w:tcPr>
            <w:tcW w:w="933" w:type="dxa"/>
            <w:tcBorders>
              <w:right w:val="double" w:sz="1" w:space="0" w:color="000000"/>
            </w:tcBorders>
            <w:shd w:val="clear" w:color="auto" w:fill="F9FCF9"/>
          </w:tcPr>
          <w:p>
            <w:pPr>
              <w:pStyle w:val="TableParagraph"/>
              <w:jc w:val="left"/>
              <w:rPr>
                <w:sz w:val="12"/>
              </w:rPr>
            </w:pPr>
          </w:p>
        </w:tc>
        <w:tc>
          <w:tcPr>
            <w:tcW w:w="995" w:type="dxa"/>
            <w:tcBorders>
              <w:left w:val="double" w:sz="1" w:space="0" w:color="000000"/>
            </w:tcBorders>
            <w:shd w:val="clear" w:color="auto" w:fill="F9FCF9"/>
          </w:tcPr>
          <w:p>
            <w:pPr>
              <w:pStyle w:val="TableParagraph"/>
              <w:jc w:val="left"/>
              <w:rPr>
                <w:sz w:val="12"/>
              </w:rPr>
            </w:pPr>
          </w:p>
        </w:tc>
        <w:tc>
          <w:tcPr>
            <w:tcW w:w="1033" w:type="dxa"/>
            <w:shd w:val="clear" w:color="auto" w:fill="F9FCF9"/>
          </w:tcPr>
          <w:p>
            <w:pPr>
              <w:pStyle w:val="TableParagraph"/>
              <w:jc w:val="left"/>
              <w:rPr>
                <w:sz w:val="12"/>
              </w:rPr>
            </w:pPr>
          </w:p>
        </w:tc>
        <w:tc>
          <w:tcPr>
            <w:tcW w:w="1937" w:type="dxa"/>
            <w:shd w:val="clear" w:color="auto" w:fill="F9FCF9"/>
          </w:tcPr>
          <w:p>
            <w:pPr>
              <w:pStyle w:val="TableParagraph"/>
              <w:jc w:val="left"/>
              <w:rPr>
                <w:sz w:val="12"/>
              </w:rPr>
            </w:pPr>
          </w:p>
        </w:tc>
      </w:tr>
      <w:tr>
        <w:trPr>
          <w:trHeight w:val="195" w:hRule="atLeast"/>
        </w:trPr>
        <w:tc>
          <w:tcPr>
            <w:tcW w:w="2412" w:type="dxa"/>
            <w:shd w:val="clear" w:color="auto" w:fill="F9FCF9"/>
          </w:tcPr>
          <w:p>
            <w:pPr>
              <w:pStyle w:val="TableParagraph"/>
              <w:spacing w:line="159" w:lineRule="exact" w:before="16"/>
              <w:ind w:left="26"/>
              <w:jc w:val="left"/>
              <w:rPr>
                <w:sz w:val="16"/>
              </w:rPr>
            </w:pPr>
            <w:r>
              <w:rPr>
                <w:sz w:val="16"/>
              </w:rPr>
              <w:t>CO</w:t>
            </w:r>
            <w:r>
              <w:rPr>
                <w:position w:val="-4"/>
                <w:sz w:val="9"/>
              </w:rPr>
              <w:t>2 </w:t>
            </w:r>
            <w:r>
              <w:rPr>
                <w:sz w:val="16"/>
              </w:rPr>
              <w:t>capture technology</w:t>
            </w:r>
          </w:p>
        </w:tc>
        <w:tc>
          <w:tcPr>
            <w:tcW w:w="893" w:type="dxa"/>
            <w:shd w:val="clear" w:color="auto" w:fill="F9FCF9"/>
          </w:tcPr>
          <w:p>
            <w:pPr>
              <w:pStyle w:val="TableParagraph"/>
              <w:spacing w:line="159" w:lineRule="exact" w:before="16"/>
              <w:ind w:left="48" w:right="34"/>
              <w:rPr>
                <w:sz w:val="16"/>
              </w:rPr>
            </w:pPr>
            <w:r>
              <w:rPr>
                <w:sz w:val="16"/>
              </w:rPr>
              <w:t>MEA</w:t>
            </w:r>
          </w:p>
        </w:tc>
        <w:tc>
          <w:tcPr>
            <w:tcW w:w="893" w:type="dxa"/>
            <w:shd w:val="clear" w:color="auto" w:fill="F9FCF9"/>
          </w:tcPr>
          <w:p>
            <w:pPr>
              <w:pStyle w:val="TableParagraph"/>
              <w:spacing w:line="159" w:lineRule="exact" w:before="16"/>
              <w:ind w:left="48" w:right="35"/>
              <w:rPr>
                <w:sz w:val="16"/>
              </w:rPr>
            </w:pPr>
            <w:r>
              <w:rPr>
                <w:sz w:val="16"/>
              </w:rPr>
              <w:t>MEA</w:t>
            </w:r>
          </w:p>
        </w:tc>
        <w:tc>
          <w:tcPr>
            <w:tcW w:w="893" w:type="dxa"/>
            <w:shd w:val="clear" w:color="auto" w:fill="F9FCF9"/>
          </w:tcPr>
          <w:p>
            <w:pPr>
              <w:pStyle w:val="TableParagraph"/>
              <w:spacing w:line="159" w:lineRule="exact" w:before="16"/>
              <w:ind w:left="48" w:right="35"/>
              <w:rPr>
                <w:sz w:val="16"/>
              </w:rPr>
            </w:pPr>
            <w:r>
              <w:rPr>
                <w:sz w:val="16"/>
              </w:rPr>
              <w:t>MEA</w:t>
            </w:r>
          </w:p>
        </w:tc>
        <w:tc>
          <w:tcPr>
            <w:tcW w:w="893" w:type="dxa"/>
            <w:shd w:val="clear" w:color="auto" w:fill="F9FCF9"/>
          </w:tcPr>
          <w:p>
            <w:pPr>
              <w:pStyle w:val="TableParagraph"/>
              <w:spacing w:line="159" w:lineRule="exact" w:before="16"/>
              <w:ind w:left="48" w:right="36"/>
              <w:rPr>
                <w:sz w:val="16"/>
              </w:rPr>
            </w:pPr>
            <w:r>
              <w:rPr>
                <w:sz w:val="16"/>
              </w:rPr>
              <w:t>MEA</w:t>
            </w:r>
          </w:p>
        </w:tc>
        <w:tc>
          <w:tcPr>
            <w:tcW w:w="893" w:type="dxa"/>
            <w:shd w:val="clear" w:color="auto" w:fill="F9FCF9"/>
          </w:tcPr>
          <w:p>
            <w:pPr>
              <w:pStyle w:val="TableParagraph"/>
              <w:spacing w:line="159" w:lineRule="exact" w:before="16"/>
              <w:ind w:left="48" w:right="45"/>
              <w:rPr>
                <w:sz w:val="16"/>
              </w:rPr>
            </w:pPr>
            <w:r>
              <w:rPr>
                <w:sz w:val="16"/>
              </w:rPr>
              <w:t>KS-1</w:t>
            </w:r>
          </w:p>
        </w:tc>
        <w:tc>
          <w:tcPr>
            <w:tcW w:w="893" w:type="dxa"/>
            <w:shd w:val="clear" w:color="auto" w:fill="F9FCF9"/>
          </w:tcPr>
          <w:p>
            <w:pPr>
              <w:pStyle w:val="TableParagraph"/>
              <w:spacing w:line="159" w:lineRule="exact" w:before="16"/>
              <w:ind w:left="48" w:right="37"/>
              <w:rPr>
                <w:sz w:val="16"/>
              </w:rPr>
            </w:pPr>
            <w:r>
              <w:rPr>
                <w:sz w:val="16"/>
              </w:rPr>
              <w:t>MEA</w:t>
            </w:r>
          </w:p>
        </w:tc>
        <w:tc>
          <w:tcPr>
            <w:tcW w:w="893" w:type="dxa"/>
            <w:shd w:val="clear" w:color="auto" w:fill="F9FCF9"/>
          </w:tcPr>
          <w:p>
            <w:pPr>
              <w:pStyle w:val="TableParagraph"/>
              <w:jc w:val="left"/>
              <w:rPr>
                <w:sz w:val="12"/>
              </w:rPr>
            </w:pPr>
          </w:p>
        </w:tc>
        <w:tc>
          <w:tcPr>
            <w:tcW w:w="933" w:type="dxa"/>
            <w:tcBorders>
              <w:right w:val="double" w:sz="1" w:space="0" w:color="000000"/>
            </w:tcBorders>
            <w:shd w:val="clear" w:color="auto" w:fill="F9FCF9"/>
          </w:tcPr>
          <w:p>
            <w:pPr>
              <w:pStyle w:val="TableParagraph"/>
              <w:jc w:val="left"/>
              <w:rPr>
                <w:sz w:val="12"/>
              </w:rPr>
            </w:pPr>
          </w:p>
        </w:tc>
        <w:tc>
          <w:tcPr>
            <w:tcW w:w="995" w:type="dxa"/>
            <w:tcBorders>
              <w:left w:val="double" w:sz="1" w:space="0" w:color="000000"/>
            </w:tcBorders>
            <w:shd w:val="clear" w:color="auto" w:fill="F9FCF9"/>
          </w:tcPr>
          <w:p>
            <w:pPr>
              <w:pStyle w:val="TableParagraph"/>
              <w:spacing w:line="159" w:lineRule="exact" w:before="16"/>
              <w:ind w:left="146" w:right="108"/>
              <w:rPr>
                <w:sz w:val="16"/>
              </w:rPr>
            </w:pPr>
            <w:r>
              <w:rPr>
                <w:sz w:val="16"/>
              </w:rPr>
              <w:t>MEA</w:t>
            </w:r>
          </w:p>
        </w:tc>
        <w:tc>
          <w:tcPr>
            <w:tcW w:w="1033" w:type="dxa"/>
            <w:shd w:val="clear" w:color="auto" w:fill="F9FCF9"/>
          </w:tcPr>
          <w:p>
            <w:pPr>
              <w:pStyle w:val="TableParagraph"/>
              <w:spacing w:line="159" w:lineRule="exact" w:before="16"/>
              <w:ind w:left="18" w:right="10"/>
              <w:rPr>
                <w:sz w:val="16"/>
              </w:rPr>
            </w:pPr>
            <w:r>
              <w:rPr>
                <w:sz w:val="16"/>
              </w:rPr>
              <w:t>MEA</w:t>
            </w:r>
          </w:p>
        </w:tc>
        <w:tc>
          <w:tcPr>
            <w:tcW w:w="1937" w:type="dxa"/>
            <w:shd w:val="clear" w:color="auto" w:fill="F9FCF9"/>
          </w:tcPr>
          <w:p>
            <w:pPr>
              <w:pStyle w:val="TableParagraph"/>
              <w:spacing w:line="159" w:lineRule="exact" w:before="16"/>
              <w:ind w:left="316" w:right="308"/>
              <w:rPr>
                <w:sz w:val="16"/>
              </w:rPr>
            </w:pPr>
            <w:r>
              <w:rPr>
                <w:sz w:val="16"/>
              </w:rPr>
              <w:t>MEA</w:t>
            </w:r>
          </w:p>
        </w:tc>
      </w:tr>
      <w:tr>
        <w:trPr>
          <w:trHeight w:val="195" w:hRule="atLeast"/>
        </w:trPr>
        <w:tc>
          <w:tcPr>
            <w:tcW w:w="2412" w:type="dxa"/>
            <w:shd w:val="clear" w:color="auto" w:fill="F9FCF9"/>
          </w:tcPr>
          <w:p>
            <w:pPr>
              <w:pStyle w:val="TableParagraph"/>
              <w:spacing w:line="159" w:lineRule="exact" w:before="16"/>
              <w:ind w:left="26"/>
              <w:jc w:val="left"/>
              <w:rPr>
                <w:sz w:val="16"/>
              </w:rPr>
            </w:pPr>
            <w:r>
              <w:rPr>
                <w:sz w:val="16"/>
              </w:rPr>
              <w:t>Net plant output with capture (MW)</w:t>
            </w:r>
          </w:p>
        </w:tc>
        <w:tc>
          <w:tcPr>
            <w:tcW w:w="893" w:type="dxa"/>
            <w:shd w:val="clear" w:color="auto" w:fill="F9FCF9"/>
          </w:tcPr>
          <w:p>
            <w:pPr>
              <w:pStyle w:val="TableParagraph"/>
              <w:spacing w:line="159" w:lineRule="exact" w:before="16"/>
              <w:ind w:left="48" w:right="42"/>
              <w:rPr>
                <w:sz w:val="16"/>
              </w:rPr>
            </w:pPr>
            <w:r>
              <w:rPr>
                <w:sz w:val="16"/>
              </w:rPr>
              <w:t>329</w:t>
            </w:r>
          </w:p>
        </w:tc>
        <w:tc>
          <w:tcPr>
            <w:tcW w:w="893" w:type="dxa"/>
            <w:shd w:val="clear" w:color="auto" w:fill="F9FCF9"/>
          </w:tcPr>
          <w:p>
            <w:pPr>
              <w:pStyle w:val="TableParagraph"/>
              <w:spacing w:line="159" w:lineRule="exact" w:before="16"/>
              <w:ind w:left="48" w:right="43"/>
              <w:rPr>
                <w:sz w:val="16"/>
              </w:rPr>
            </w:pPr>
            <w:r>
              <w:rPr>
                <w:sz w:val="16"/>
              </w:rPr>
              <w:t>367</w:t>
            </w:r>
          </w:p>
        </w:tc>
        <w:tc>
          <w:tcPr>
            <w:tcW w:w="893" w:type="dxa"/>
            <w:shd w:val="clear" w:color="auto" w:fill="F9FCF9"/>
          </w:tcPr>
          <w:p>
            <w:pPr>
              <w:pStyle w:val="TableParagraph"/>
              <w:spacing w:line="159" w:lineRule="exact" w:before="16"/>
              <w:ind w:left="48" w:right="44"/>
              <w:rPr>
                <w:sz w:val="16"/>
              </w:rPr>
            </w:pPr>
            <w:r>
              <w:rPr>
                <w:sz w:val="16"/>
              </w:rPr>
              <w:t>408</w:t>
            </w:r>
          </w:p>
        </w:tc>
        <w:tc>
          <w:tcPr>
            <w:tcW w:w="893" w:type="dxa"/>
            <w:shd w:val="clear" w:color="auto" w:fill="F9FCF9"/>
          </w:tcPr>
          <w:p>
            <w:pPr>
              <w:pStyle w:val="TableParagraph"/>
              <w:spacing w:line="159" w:lineRule="exact" w:before="16"/>
              <w:ind w:left="48" w:right="45"/>
              <w:rPr>
                <w:sz w:val="16"/>
              </w:rPr>
            </w:pPr>
            <w:r>
              <w:rPr>
                <w:sz w:val="16"/>
              </w:rPr>
              <w:t>666</w:t>
            </w:r>
          </w:p>
        </w:tc>
        <w:tc>
          <w:tcPr>
            <w:tcW w:w="893" w:type="dxa"/>
            <w:shd w:val="clear" w:color="auto" w:fill="F9FCF9"/>
          </w:tcPr>
          <w:p>
            <w:pPr>
              <w:pStyle w:val="TableParagraph"/>
              <w:spacing w:line="159" w:lineRule="exact" w:before="16"/>
              <w:ind w:left="48" w:right="45"/>
              <w:rPr>
                <w:sz w:val="16"/>
              </w:rPr>
            </w:pPr>
            <w:r>
              <w:rPr>
                <w:sz w:val="16"/>
              </w:rPr>
              <w:t>676</w:t>
            </w:r>
          </w:p>
        </w:tc>
        <w:tc>
          <w:tcPr>
            <w:tcW w:w="893" w:type="dxa"/>
            <w:shd w:val="clear" w:color="auto" w:fill="F9FCF9"/>
          </w:tcPr>
          <w:p>
            <w:pPr>
              <w:pStyle w:val="TableParagraph"/>
              <w:spacing w:line="159" w:lineRule="exact" w:before="16"/>
              <w:ind w:left="47" w:right="45"/>
              <w:rPr>
                <w:sz w:val="16"/>
              </w:rPr>
            </w:pPr>
            <w:r>
              <w:rPr>
                <w:sz w:val="16"/>
              </w:rPr>
              <w:t>492</w:t>
            </w:r>
          </w:p>
        </w:tc>
        <w:tc>
          <w:tcPr>
            <w:tcW w:w="893" w:type="dxa"/>
            <w:shd w:val="clear" w:color="auto" w:fill="F9FCF9"/>
          </w:tcPr>
          <w:p>
            <w:pPr>
              <w:pStyle w:val="TableParagraph"/>
              <w:spacing w:line="159" w:lineRule="exact" w:before="16"/>
              <w:ind w:left="46" w:right="45"/>
              <w:rPr>
                <w:b/>
                <w:sz w:val="16"/>
              </w:rPr>
            </w:pPr>
            <w:r>
              <w:rPr>
                <w:b/>
                <w:sz w:val="16"/>
              </w:rPr>
              <w:t>329</w:t>
            </w:r>
          </w:p>
        </w:tc>
        <w:tc>
          <w:tcPr>
            <w:tcW w:w="933" w:type="dxa"/>
            <w:tcBorders>
              <w:right w:val="double" w:sz="1" w:space="0" w:color="000000"/>
            </w:tcBorders>
            <w:shd w:val="clear" w:color="auto" w:fill="F9FCF9"/>
          </w:tcPr>
          <w:p>
            <w:pPr>
              <w:pStyle w:val="TableParagraph"/>
              <w:spacing w:line="159" w:lineRule="exact" w:before="16"/>
              <w:ind w:left="303" w:right="329"/>
              <w:rPr>
                <w:b/>
                <w:sz w:val="16"/>
              </w:rPr>
            </w:pPr>
            <w:r>
              <w:rPr>
                <w:b/>
                <w:sz w:val="16"/>
              </w:rPr>
              <w:t>676</w:t>
            </w:r>
          </w:p>
        </w:tc>
        <w:tc>
          <w:tcPr>
            <w:tcW w:w="995" w:type="dxa"/>
            <w:tcBorders>
              <w:left w:val="double" w:sz="1" w:space="0" w:color="000000"/>
            </w:tcBorders>
            <w:shd w:val="clear" w:color="auto" w:fill="F9FCF9"/>
          </w:tcPr>
          <w:p>
            <w:pPr>
              <w:pStyle w:val="TableParagraph"/>
              <w:spacing w:line="159" w:lineRule="exact" w:before="16"/>
              <w:ind w:left="146" w:right="116"/>
              <w:rPr>
                <w:sz w:val="16"/>
              </w:rPr>
            </w:pPr>
            <w:r>
              <w:rPr>
                <w:sz w:val="16"/>
              </w:rPr>
              <w:t>283</w:t>
            </w:r>
          </w:p>
        </w:tc>
        <w:tc>
          <w:tcPr>
            <w:tcW w:w="1033" w:type="dxa"/>
            <w:shd w:val="clear" w:color="auto" w:fill="F9FCF9"/>
          </w:tcPr>
          <w:p>
            <w:pPr>
              <w:pStyle w:val="TableParagraph"/>
              <w:spacing w:line="159" w:lineRule="exact" w:before="16"/>
              <w:ind w:left="18" w:right="18"/>
              <w:rPr>
                <w:sz w:val="16"/>
              </w:rPr>
            </w:pPr>
            <w:r>
              <w:rPr>
                <w:sz w:val="16"/>
              </w:rPr>
              <w:t>326</w:t>
            </w:r>
          </w:p>
        </w:tc>
        <w:tc>
          <w:tcPr>
            <w:tcW w:w="1937" w:type="dxa"/>
            <w:shd w:val="clear" w:color="auto" w:fill="F9FCF9"/>
          </w:tcPr>
          <w:p>
            <w:pPr>
              <w:pStyle w:val="TableParagraph"/>
              <w:spacing w:line="159" w:lineRule="exact" w:before="16"/>
              <w:ind w:left="316" w:right="316"/>
              <w:rPr>
                <w:sz w:val="16"/>
              </w:rPr>
            </w:pPr>
            <w:r>
              <w:rPr>
                <w:sz w:val="16"/>
              </w:rPr>
              <w:t>311.0</w:t>
            </w:r>
          </w:p>
        </w:tc>
      </w:tr>
      <w:tr>
        <w:trPr>
          <w:trHeight w:val="195" w:hRule="atLeast"/>
        </w:trPr>
        <w:tc>
          <w:tcPr>
            <w:tcW w:w="2412" w:type="dxa"/>
            <w:shd w:val="clear" w:color="auto" w:fill="F9FCF9"/>
          </w:tcPr>
          <w:p>
            <w:pPr>
              <w:pStyle w:val="TableParagraph"/>
              <w:spacing w:line="159" w:lineRule="exact" w:before="16"/>
              <w:ind w:left="26"/>
              <w:jc w:val="left"/>
              <w:rPr>
                <w:sz w:val="16"/>
              </w:rPr>
            </w:pPr>
            <w:r>
              <w:rPr>
                <w:sz w:val="16"/>
              </w:rPr>
              <w:t>Net plant efficiency, LHV (%)</w:t>
            </w:r>
          </w:p>
        </w:tc>
        <w:tc>
          <w:tcPr>
            <w:tcW w:w="893" w:type="dxa"/>
            <w:shd w:val="clear" w:color="auto" w:fill="F9FCF9"/>
          </w:tcPr>
          <w:p>
            <w:pPr>
              <w:pStyle w:val="TableParagraph"/>
              <w:spacing w:line="159" w:lineRule="exact" w:before="16"/>
              <w:ind w:left="48" w:right="42"/>
              <w:rPr>
                <w:sz w:val="16"/>
              </w:rPr>
            </w:pPr>
            <w:r>
              <w:rPr>
                <w:sz w:val="16"/>
              </w:rPr>
              <w:t>30.1</w:t>
            </w:r>
          </w:p>
        </w:tc>
        <w:tc>
          <w:tcPr>
            <w:tcW w:w="893" w:type="dxa"/>
            <w:shd w:val="clear" w:color="auto" w:fill="F9FCF9"/>
          </w:tcPr>
          <w:p>
            <w:pPr>
              <w:pStyle w:val="TableParagraph"/>
              <w:spacing w:line="159" w:lineRule="exact" w:before="16"/>
              <w:ind w:left="48" w:right="43"/>
              <w:rPr>
                <w:sz w:val="16"/>
              </w:rPr>
            </w:pPr>
            <w:r>
              <w:rPr>
                <w:sz w:val="16"/>
              </w:rPr>
              <w:t>32.5</w:t>
            </w:r>
          </w:p>
        </w:tc>
        <w:tc>
          <w:tcPr>
            <w:tcW w:w="893" w:type="dxa"/>
            <w:shd w:val="clear" w:color="auto" w:fill="F9FCF9"/>
          </w:tcPr>
          <w:p>
            <w:pPr>
              <w:pStyle w:val="TableParagraph"/>
              <w:spacing w:line="159" w:lineRule="exact" w:before="16"/>
              <w:ind w:left="48" w:right="44"/>
              <w:rPr>
                <w:sz w:val="16"/>
              </w:rPr>
            </w:pPr>
            <w:r>
              <w:rPr>
                <w:sz w:val="16"/>
              </w:rPr>
              <w:t>34.9</w:t>
            </w:r>
          </w:p>
        </w:tc>
        <w:tc>
          <w:tcPr>
            <w:tcW w:w="893" w:type="dxa"/>
            <w:shd w:val="clear" w:color="auto" w:fill="F9FCF9"/>
          </w:tcPr>
          <w:p>
            <w:pPr>
              <w:pStyle w:val="TableParagraph"/>
              <w:spacing w:line="159" w:lineRule="exact" w:before="16"/>
              <w:ind w:left="48" w:right="45"/>
              <w:rPr>
                <w:sz w:val="16"/>
              </w:rPr>
            </w:pPr>
            <w:r>
              <w:rPr>
                <w:sz w:val="16"/>
              </w:rPr>
              <w:t>34.8</w:t>
            </w:r>
          </w:p>
        </w:tc>
        <w:tc>
          <w:tcPr>
            <w:tcW w:w="893" w:type="dxa"/>
            <w:shd w:val="clear" w:color="auto" w:fill="F9FCF9"/>
          </w:tcPr>
          <w:p>
            <w:pPr>
              <w:pStyle w:val="TableParagraph"/>
              <w:spacing w:line="159" w:lineRule="exact" w:before="16"/>
              <w:ind w:left="48" w:right="45"/>
              <w:rPr>
                <w:sz w:val="16"/>
              </w:rPr>
            </w:pPr>
            <w:r>
              <w:rPr>
                <w:sz w:val="16"/>
              </w:rPr>
              <w:t>35.4</w:t>
            </w:r>
          </w:p>
        </w:tc>
        <w:tc>
          <w:tcPr>
            <w:tcW w:w="893" w:type="dxa"/>
            <w:shd w:val="clear" w:color="auto" w:fill="F9FCF9"/>
          </w:tcPr>
          <w:p>
            <w:pPr>
              <w:pStyle w:val="TableParagraph"/>
              <w:spacing w:line="159" w:lineRule="exact" w:before="16"/>
              <w:ind w:left="47" w:right="45"/>
              <w:rPr>
                <w:sz w:val="16"/>
              </w:rPr>
            </w:pPr>
            <w:r>
              <w:rPr>
                <w:sz w:val="16"/>
              </w:rPr>
              <w:t>31.1</w:t>
            </w:r>
          </w:p>
        </w:tc>
        <w:tc>
          <w:tcPr>
            <w:tcW w:w="893" w:type="dxa"/>
            <w:shd w:val="clear" w:color="auto" w:fill="F9FCF9"/>
          </w:tcPr>
          <w:p>
            <w:pPr>
              <w:pStyle w:val="TableParagraph"/>
              <w:spacing w:line="159" w:lineRule="exact" w:before="16"/>
              <w:ind w:left="46" w:right="45"/>
              <w:rPr>
                <w:b/>
                <w:sz w:val="16"/>
              </w:rPr>
            </w:pPr>
            <w:r>
              <w:rPr>
                <w:b/>
                <w:sz w:val="16"/>
              </w:rPr>
              <w:t>30</w:t>
            </w:r>
          </w:p>
        </w:tc>
        <w:tc>
          <w:tcPr>
            <w:tcW w:w="933" w:type="dxa"/>
            <w:tcBorders>
              <w:right w:val="double" w:sz="1" w:space="0" w:color="000000"/>
            </w:tcBorders>
            <w:shd w:val="clear" w:color="auto" w:fill="F9FCF9"/>
          </w:tcPr>
          <w:p>
            <w:pPr>
              <w:pStyle w:val="TableParagraph"/>
              <w:spacing w:line="159" w:lineRule="exact" w:before="16"/>
              <w:ind w:left="303" w:right="329"/>
              <w:rPr>
                <w:b/>
                <w:sz w:val="16"/>
              </w:rPr>
            </w:pPr>
            <w:r>
              <w:rPr>
                <w:b/>
                <w:sz w:val="16"/>
              </w:rPr>
              <w:t>35</w:t>
            </w:r>
          </w:p>
        </w:tc>
        <w:tc>
          <w:tcPr>
            <w:tcW w:w="995" w:type="dxa"/>
            <w:tcBorders>
              <w:left w:val="double" w:sz="1" w:space="0" w:color="000000"/>
            </w:tcBorders>
            <w:shd w:val="clear" w:color="auto" w:fill="F9FCF9"/>
          </w:tcPr>
          <w:p>
            <w:pPr>
              <w:pStyle w:val="TableParagraph"/>
              <w:spacing w:line="159" w:lineRule="exact" w:before="16"/>
              <w:ind w:left="146" w:right="116"/>
              <w:rPr>
                <w:sz w:val="16"/>
              </w:rPr>
            </w:pPr>
            <w:r>
              <w:rPr>
                <w:sz w:val="16"/>
              </w:rPr>
              <w:t>27.7</w:t>
            </w:r>
          </w:p>
        </w:tc>
        <w:tc>
          <w:tcPr>
            <w:tcW w:w="1033" w:type="dxa"/>
            <w:shd w:val="clear" w:color="auto" w:fill="F9FCF9"/>
          </w:tcPr>
          <w:p>
            <w:pPr>
              <w:pStyle w:val="TableParagraph"/>
              <w:spacing w:line="159" w:lineRule="exact" w:before="16"/>
              <w:ind w:left="18" w:right="18"/>
              <w:rPr>
                <w:sz w:val="16"/>
              </w:rPr>
            </w:pPr>
            <w:r>
              <w:rPr>
                <w:sz w:val="16"/>
              </w:rPr>
              <w:t>25.4</w:t>
            </w:r>
          </w:p>
        </w:tc>
        <w:tc>
          <w:tcPr>
            <w:tcW w:w="1937" w:type="dxa"/>
            <w:shd w:val="clear" w:color="auto" w:fill="F9FCF9"/>
          </w:tcPr>
          <w:p>
            <w:pPr>
              <w:pStyle w:val="TableParagraph"/>
              <w:spacing w:line="159" w:lineRule="exact" w:before="16"/>
              <w:ind w:left="316" w:right="316"/>
              <w:rPr>
                <w:sz w:val="16"/>
              </w:rPr>
            </w:pPr>
            <w:r>
              <w:rPr>
                <w:sz w:val="16"/>
              </w:rPr>
              <w:t>31.8</w:t>
            </w:r>
          </w:p>
        </w:tc>
      </w:tr>
      <w:tr>
        <w:trPr>
          <w:trHeight w:val="195" w:hRule="atLeast"/>
        </w:trPr>
        <w:tc>
          <w:tcPr>
            <w:tcW w:w="2412" w:type="dxa"/>
            <w:shd w:val="clear" w:color="auto" w:fill="F9FCF9"/>
          </w:tcPr>
          <w:p>
            <w:pPr>
              <w:pStyle w:val="TableParagraph"/>
              <w:spacing w:line="159" w:lineRule="exact" w:before="16"/>
              <w:ind w:left="26"/>
              <w:jc w:val="left"/>
              <w:rPr>
                <w:sz w:val="16"/>
              </w:rPr>
            </w:pPr>
            <w:r>
              <w:rPr>
                <w:sz w:val="16"/>
              </w:rPr>
              <w:t>CO</w:t>
            </w:r>
            <w:r>
              <w:rPr>
                <w:position w:val="-4"/>
                <w:sz w:val="9"/>
              </w:rPr>
              <w:t>2 </w:t>
            </w:r>
            <w:r>
              <w:rPr>
                <w:sz w:val="16"/>
              </w:rPr>
              <w:t>capture system efficiency (%)</w:t>
            </w:r>
          </w:p>
        </w:tc>
        <w:tc>
          <w:tcPr>
            <w:tcW w:w="893" w:type="dxa"/>
            <w:shd w:val="clear" w:color="auto" w:fill="F9FCF9"/>
          </w:tcPr>
          <w:p>
            <w:pPr>
              <w:pStyle w:val="TableParagraph"/>
              <w:spacing w:line="159" w:lineRule="exact" w:before="16"/>
              <w:ind w:left="48" w:right="42"/>
              <w:rPr>
                <w:sz w:val="16"/>
              </w:rPr>
            </w:pPr>
            <w:r>
              <w:rPr>
                <w:sz w:val="16"/>
              </w:rPr>
              <w:t>90</w:t>
            </w:r>
          </w:p>
        </w:tc>
        <w:tc>
          <w:tcPr>
            <w:tcW w:w="893" w:type="dxa"/>
            <w:shd w:val="clear" w:color="auto" w:fill="F9FCF9"/>
          </w:tcPr>
          <w:p>
            <w:pPr>
              <w:pStyle w:val="TableParagraph"/>
              <w:spacing w:line="159" w:lineRule="exact" w:before="16"/>
              <w:ind w:left="48" w:right="43"/>
              <w:rPr>
                <w:sz w:val="16"/>
              </w:rPr>
            </w:pPr>
            <w:r>
              <w:rPr>
                <w:sz w:val="16"/>
              </w:rPr>
              <w:t>90</w:t>
            </w:r>
          </w:p>
        </w:tc>
        <w:tc>
          <w:tcPr>
            <w:tcW w:w="893" w:type="dxa"/>
            <w:shd w:val="clear" w:color="auto" w:fill="F9FCF9"/>
          </w:tcPr>
          <w:p>
            <w:pPr>
              <w:pStyle w:val="TableParagraph"/>
              <w:spacing w:line="159" w:lineRule="exact" w:before="16"/>
              <w:ind w:left="48" w:right="44"/>
              <w:rPr>
                <w:sz w:val="16"/>
              </w:rPr>
            </w:pPr>
            <w:r>
              <w:rPr>
                <w:sz w:val="16"/>
              </w:rPr>
              <w:t>85</w:t>
            </w:r>
          </w:p>
        </w:tc>
        <w:tc>
          <w:tcPr>
            <w:tcW w:w="893" w:type="dxa"/>
            <w:shd w:val="clear" w:color="auto" w:fill="F9FCF9"/>
          </w:tcPr>
          <w:p>
            <w:pPr>
              <w:pStyle w:val="TableParagraph"/>
              <w:spacing w:line="159" w:lineRule="exact" w:before="16"/>
              <w:ind w:left="48" w:right="45"/>
              <w:rPr>
                <w:sz w:val="16"/>
              </w:rPr>
            </w:pPr>
            <w:r>
              <w:rPr>
                <w:sz w:val="16"/>
              </w:rPr>
              <w:t>87.5</w:t>
            </w:r>
          </w:p>
        </w:tc>
        <w:tc>
          <w:tcPr>
            <w:tcW w:w="893" w:type="dxa"/>
            <w:shd w:val="clear" w:color="auto" w:fill="F9FCF9"/>
          </w:tcPr>
          <w:p>
            <w:pPr>
              <w:pStyle w:val="TableParagraph"/>
              <w:spacing w:line="159" w:lineRule="exact" w:before="16"/>
              <w:ind w:left="48" w:right="45"/>
              <w:rPr>
                <w:sz w:val="16"/>
              </w:rPr>
            </w:pPr>
            <w:r>
              <w:rPr>
                <w:sz w:val="16"/>
              </w:rPr>
              <w:t>90</w:t>
            </w:r>
          </w:p>
        </w:tc>
        <w:tc>
          <w:tcPr>
            <w:tcW w:w="893" w:type="dxa"/>
            <w:shd w:val="clear" w:color="auto" w:fill="F9FCF9"/>
          </w:tcPr>
          <w:p>
            <w:pPr>
              <w:pStyle w:val="TableParagraph"/>
              <w:spacing w:line="159" w:lineRule="exact" w:before="16"/>
              <w:ind w:left="47" w:right="45"/>
              <w:rPr>
                <w:sz w:val="16"/>
              </w:rPr>
            </w:pPr>
            <w:r>
              <w:rPr>
                <w:sz w:val="16"/>
              </w:rPr>
              <w:t>90</w:t>
            </w:r>
          </w:p>
        </w:tc>
        <w:tc>
          <w:tcPr>
            <w:tcW w:w="893" w:type="dxa"/>
            <w:shd w:val="clear" w:color="auto" w:fill="F9FCF9"/>
          </w:tcPr>
          <w:p>
            <w:pPr>
              <w:pStyle w:val="TableParagraph"/>
              <w:spacing w:line="159" w:lineRule="exact" w:before="16"/>
              <w:ind w:left="46" w:right="45"/>
              <w:rPr>
                <w:b/>
                <w:sz w:val="16"/>
              </w:rPr>
            </w:pPr>
            <w:r>
              <w:rPr>
                <w:b/>
                <w:sz w:val="16"/>
              </w:rPr>
              <w:t>85</w:t>
            </w:r>
          </w:p>
        </w:tc>
        <w:tc>
          <w:tcPr>
            <w:tcW w:w="933" w:type="dxa"/>
            <w:tcBorders>
              <w:right w:val="double" w:sz="1" w:space="0" w:color="000000"/>
            </w:tcBorders>
            <w:shd w:val="clear" w:color="auto" w:fill="F9FCF9"/>
          </w:tcPr>
          <w:p>
            <w:pPr>
              <w:pStyle w:val="TableParagraph"/>
              <w:spacing w:line="159" w:lineRule="exact" w:before="16"/>
              <w:ind w:left="303" w:right="329"/>
              <w:rPr>
                <w:b/>
                <w:sz w:val="16"/>
              </w:rPr>
            </w:pPr>
            <w:r>
              <w:rPr>
                <w:b/>
                <w:sz w:val="16"/>
              </w:rPr>
              <w:t>90</w:t>
            </w:r>
          </w:p>
        </w:tc>
        <w:tc>
          <w:tcPr>
            <w:tcW w:w="995" w:type="dxa"/>
            <w:tcBorders>
              <w:left w:val="double" w:sz="1" w:space="0" w:color="000000"/>
            </w:tcBorders>
            <w:shd w:val="clear" w:color="auto" w:fill="F9FCF9"/>
          </w:tcPr>
          <w:p>
            <w:pPr>
              <w:pStyle w:val="TableParagraph"/>
              <w:spacing w:line="159" w:lineRule="exact" w:before="16"/>
              <w:ind w:left="146" w:right="116"/>
              <w:rPr>
                <w:sz w:val="16"/>
              </w:rPr>
            </w:pPr>
            <w:r>
              <w:rPr>
                <w:sz w:val="16"/>
              </w:rPr>
              <w:t>95</w:t>
            </w:r>
          </w:p>
        </w:tc>
        <w:tc>
          <w:tcPr>
            <w:tcW w:w="1033" w:type="dxa"/>
            <w:shd w:val="clear" w:color="auto" w:fill="F9FCF9"/>
          </w:tcPr>
          <w:p>
            <w:pPr>
              <w:pStyle w:val="TableParagraph"/>
              <w:spacing w:line="159" w:lineRule="exact" w:before="16"/>
              <w:ind w:left="18" w:right="18"/>
              <w:rPr>
                <w:sz w:val="16"/>
              </w:rPr>
            </w:pPr>
            <w:r>
              <w:rPr>
                <w:sz w:val="16"/>
              </w:rPr>
              <w:t>90</w:t>
            </w:r>
          </w:p>
        </w:tc>
        <w:tc>
          <w:tcPr>
            <w:tcW w:w="1937" w:type="dxa"/>
            <w:shd w:val="clear" w:color="auto" w:fill="F9FCF9"/>
          </w:tcPr>
          <w:p>
            <w:pPr>
              <w:pStyle w:val="TableParagraph"/>
              <w:spacing w:line="159" w:lineRule="exact" w:before="16"/>
              <w:ind w:left="316" w:right="316"/>
              <w:rPr>
                <w:sz w:val="16"/>
              </w:rPr>
            </w:pPr>
            <w:r>
              <w:rPr>
                <w:sz w:val="16"/>
              </w:rPr>
              <w:t>95</w:t>
            </w:r>
          </w:p>
        </w:tc>
      </w:tr>
      <w:tr>
        <w:trPr>
          <w:trHeight w:val="375" w:hRule="atLeast"/>
        </w:trPr>
        <w:tc>
          <w:tcPr>
            <w:tcW w:w="2412" w:type="dxa"/>
            <w:shd w:val="clear" w:color="auto" w:fill="F9FCF9"/>
          </w:tcPr>
          <w:p>
            <w:pPr>
              <w:pStyle w:val="TableParagraph"/>
              <w:spacing w:line="180" w:lineRule="exact" w:before="21"/>
              <w:ind w:left="26" w:right="214"/>
              <w:jc w:val="left"/>
              <w:rPr>
                <w:sz w:val="16"/>
              </w:rPr>
            </w:pPr>
            <w:r>
              <w:rPr>
                <w:sz w:val="16"/>
              </w:rPr>
              <w:t>CO</w:t>
            </w:r>
            <w:r>
              <w:rPr>
                <w:position w:val="-4"/>
                <w:sz w:val="9"/>
              </w:rPr>
              <w:t>2 </w:t>
            </w:r>
            <w:r>
              <w:rPr>
                <w:sz w:val="16"/>
              </w:rPr>
              <w:t>emission rate after capture (t MWh</w:t>
            </w:r>
            <w:r>
              <w:rPr>
                <w:position w:val="5"/>
                <w:sz w:val="9"/>
              </w:rPr>
              <w:t>-1</w:t>
            </w:r>
            <w:r>
              <w:rPr>
                <w:sz w:val="16"/>
              </w:rPr>
              <w:t>)</w:t>
            </w:r>
          </w:p>
        </w:tc>
        <w:tc>
          <w:tcPr>
            <w:tcW w:w="893" w:type="dxa"/>
            <w:shd w:val="clear" w:color="auto" w:fill="F9FCF9"/>
          </w:tcPr>
          <w:p>
            <w:pPr>
              <w:pStyle w:val="TableParagraph"/>
              <w:spacing w:before="16"/>
              <w:ind w:left="48" w:right="42"/>
              <w:rPr>
                <w:sz w:val="16"/>
              </w:rPr>
            </w:pPr>
            <w:r>
              <w:rPr>
                <w:sz w:val="16"/>
              </w:rPr>
              <w:t>0.108</w:t>
            </w:r>
          </w:p>
        </w:tc>
        <w:tc>
          <w:tcPr>
            <w:tcW w:w="893" w:type="dxa"/>
            <w:shd w:val="clear" w:color="auto" w:fill="F9FCF9"/>
          </w:tcPr>
          <w:p>
            <w:pPr>
              <w:pStyle w:val="TableParagraph"/>
              <w:spacing w:before="16"/>
              <w:ind w:left="48" w:right="43"/>
              <w:rPr>
                <w:sz w:val="16"/>
              </w:rPr>
            </w:pPr>
            <w:r>
              <w:rPr>
                <w:sz w:val="16"/>
              </w:rPr>
              <w:t>0.101</w:t>
            </w:r>
          </w:p>
        </w:tc>
        <w:tc>
          <w:tcPr>
            <w:tcW w:w="893" w:type="dxa"/>
            <w:shd w:val="clear" w:color="auto" w:fill="F9FCF9"/>
          </w:tcPr>
          <w:p>
            <w:pPr>
              <w:pStyle w:val="TableParagraph"/>
              <w:spacing w:before="16"/>
              <w:ind w:left="48" w:right="44"/>
              <w:rPr>
                <w:sz w:val="16"/>
              </w:rPr>
            </w:pPr>
            <w:r>
              <w:rPr>
                <w:sz w:val="16"/>
              </w:rPr>
              <w:t>0.145</w:t>
            </w:r>
          </w:p>
        </w:tc>
        <w:tc>
          <w:tcPr>
            <w:tcW w:w="893" w:type="dxa"/>
            <w:shd w:val="clear" w:color="auto" w:fill="F9FCF9"/>
          </w:tcPr>
          <w:p>
            <w:pPr>
              <w:pStyle w:val="TableParagraph"/>
              <w:spacing w:before="16"/>
              <w:ind w:left="48" w:right="45"/>
              <w:rPr>
                <w:sz w:val="16"/>
              </w:rPr>
            </w:pPr>
            <w:r>
              <w:rPr>
                <w:sz w:val="16"/>
              </w:rPr>
              <w:t>0.117</w:t>
            </w:r>
          </w:p>
        </w:tc>
        <w:tc>
          <w:tcPr>
            <w:tcW w:w="893" w:type="dxa"/>
            <w:shd w:val="clear" w:color="auto" w:fill="F9FCF9"/>
          </w:tcPr>
          <w:p>
            <w:pPr>
              <w:pStyle w:val="TableParagraph"/>
              <w:spacing w:before="16"/>
              <w:ind w:left="48" w:right="45"/>
              <w:rPr>
                <w:sz w:val="16"/>
              </w:rPr>
            </w:pPr>
            <w:r>
              <w:rPr>
                <w:sz w:val="16"/>
              </w:rPr>
              <w:t>0.092</w:t>
            </w:r>
          </w:p>
        </w:tc>
        <w:tc>
          <w:tcPr>
            <w:tcW w:w="893" w:type="dxa"/>
            <w:shd w:val="clear" w:color="auto" w:fill="F9FCF9"/>
          </w:tcPr>
          <w:p>
            <w:pPr>
              <w:pStyle w:val="TableParagraph"/>
              <w:spacing w:before="16"/>
              <w:ind w:left="47" w:right="45"/>
              <w:rPr>
                <w:sz w:val="16"/>
              </w:rPr>
            </w:pPr>
            <w:r>
              <w:rPr>
                <w:sz w:val="16"/>
              </w:rPr>
              <w:t>0.107</w:t>
            </w:r>
          </w:p>
        </w:tc>
        <w:tc>
          <w:tcPr>
            <w:tcW w:w="893" w:type="dxa"/>
            <w:shd w:val="clear" w:color="auto" w:fill="F9FCF9"/>
          </w:tcPr>
          <w:p>
            <w:pPr>
              <w:pStyle w:val="TableParagraph"/>
              <w:spacing w:before="16"/>
              <w:ind w:left="302"/>
              <w:jc w:val="left"/>
              <w:rPr>
                <w:b/>
                <w:sz w:val="16"/>
              </w:rPr>
            </w:pPr>
            <w:r>
              <w:rPr>
                <w:b/>
                <w:sz w:val="16"/>
              </w:rPr>
              <w:t>0.09</w:t>
            </w:r>
          </w:p>
        </w:tc>
        <w:tc>
          <w:tcPr>
            <w:tcW w:w="933" w:type="dxa"/>
            <w:tcBorders>
              <w:right w:val="double" w:sz="1" w:space="0" w:color="000000"/>
            </w:tcBorders>
            <w:shd w:val="clear" w:color="auto" w:fill="F9FCF9"/>
          </w:tcPr>
          <w:p>
            <w:pPr>
              <w:pStyle w:val="TableParagraph"/>
              <w:spacing w:before="16"/>
              <w:ind w:right="328"/>
              <w:jc w:val="right"/>
              <w:rPr>
                <w:b/>
                <w:sz w:val="16"/>
              </w:rPr>
            </w:pPr>
            <w:r>
              <w:rPr>
                <w:b/>
                <w:sz w:val="16"/>
              </w:rPr>
              <w:t>0.15</w:t>
            </w:r>
          </w:p>
        </w:tc>
        <w:tc>
          <w:tcPr>
            <w:tcW w:w="995" w:type="dxa"/>
            <w:tcBorders>
              <w:left w:val="double" w:sz="1" w:space="0" w:color="000000"/>
            </w:tcBorders>
            <w:shd w:val="clear" w:color="auto" w:fill="F9FCF9"/>
          </w:tcPr>
          <w:p>
            <w:pPr>
              <w:pStyle w:val="TableParagraph"/>
              <w:spacing w:before="16"/>
              <w:ind w:left="146" w:right="116"/>
              <w:rPr>
                <w:sz w:val="16"/>
              </w:rPr>
            </w:pPr>
            <w:r>
              <w:rPr>
                <w:sz w:val="16"/>
              </w:rPr>
              <w:t>0.059</w:t>
            </w:r>
          </w:p>
        </w:tc>
        <w:tc>
          <w:tcPr>
            <w:tcW w:w="1033" w:type="dxa"/>
            <w:shd w:val="clear" w:color="auto" w:fill="F9FCF9"/>
          </w:tcPr>
          <w:p>
            <w:pPr>
              <w:pStyle w:val="TableParagraph"/>
              <w:spacing w:before="16"/>
              <w:ind w:left="18" w:right="18"/>
              <w:rPr>
                <w:sz w:val="16"/>
              </w:rPr>
            </w:pPr>
            <w:r>
              <w:rPr>
                <w:sz w:val="16"/>
              </w:rPr>
              <w:t>0.133</w:t>
            </w:r>
          </w:p>
        </w:tc>
        <w:tc>
          <w:tcPr>
            <w:tcW w:w="1937" w:type="dxa"/>
            <w:shd w:val="clear" w:color="auto" w:fill="F9FCF9"/>
          </w:tcPr>
          <w:p>
            <w:pPr>
              <w:pStyle w:val="TableParagraph"/>
              <w:spacing w:before="16"/>
              <w:ind w:left="316" w:right="316"/>
              <w:rPr>
                <w:sz w:val="16"/>
              </w:rPr>
            </w:pPr>
            <w:r>
              <w:rPr>
                <w:sz w:val="16"/>
              </w:rPr>
              <w:t>0.060</w:t>
            </w:r>
          </w:p>
        </w:tc>
      </w:tr>
      <w:tr>
        <w:trPr>
          <w:trHeight w:val="287" w:hRule="atLeast"/>
        </w:trPr>
        <w:tc>
          <w:tcPr>
            <w:tcW w:w="2412" w:type="dxa"/>
            <w:shd w:val="clear" w:color="auto" w:fill="F9FCF9"/>
          </w:tcPr>
          <w:p>
            <w:pPr>
              <w:pStyle w:val="TableParagraph"/>
              <w:spacing w:line="45" w:lineRule="exact" w:before="22"/>
              <w:ind w:left="1327" w:right="956"/>
              <w:rPr>
                <w:sz w:val="9"/>
              </w:rPr>
            </w:pPr>
            <w:r>
              <w:rPr>
                <w:w w:val="105"/>
                <w:sz w:val="9"/>
              </w:rPr>
              <w:t>-1</w:t>
            </w:r>
          </w:p>
          <w:p>
            <w:pPr>
              <w:pStyle w:val="TableParagraph"/>
              <w:spacing w:line="146" w:lineRule="auto"/>
              <w:ind w:left="26"/>
              <w:jc w:val="left"/>
              <w:rPr>
                <w:sz w:val="16"/>
              </w:rPr>
            </w:pPr>
            <w:r>
              <w:rPr>
                <w:sz w:val="16"/>
              </w:rPr>
              <w:t>CO</w:t>
            </w:r>
            <w:r>
              <w:rPr>
                <w:position w:val="-4"/>
                <w:sz w:val="9"/>
              </w:rPr>
              <w:t>2 </w:t>
            </w:r>
            <w:r>
              <w:rPr>
                <w:sz w:val="16"/>
              </w:rPr>
              <w:t>captured (Mt yr )</w:t>
            </w:r>
          </w:p>
        </w:tc>
        <w:tc>
          <w:tcPr>
            <w:tcW w:w="893" w:type="dxa"/>
            <w:shd w:val="clear" w:color="auto" w:fill="F9FCF9"/>
          </w:tcPr>
          <w:p>
            <w:pPr>
              <w:pStyle w:val="TableParagraph"/>
              <w:spacing w:before="10"/>
              <w:ind w:left="48" w:right="42"/>
              <w:rPr>
                <w:sz w:val="16"/>
              </w:rPr>
            </w:pPr>
            <w:r>
              <w:rPr>
                <w:sz w:val="16"/>
              </w:rPr>
              <w:t>1.830</w:t>
            </w:r>
          </w:p>
        </w:tc>
        <w:tc>
          <w:tcPr>
            <w:tcW w:w="893" w:type="dxa"/>
            <w:shd w:val="clear" w:color="auto" w:fill="F9FCF9"/>
          </w:tcPr>
          <w:p>
            <w:pPr>
              <w:pStyle w:val="TableParagraph"/>
              <w:spacing w:before="10"/>
              <w:ind w:left="48" w:right="43"/>
              <w:rPr>
                <w:sz w:val="16"/>
              </w:rPr>
            </w:pPr>
            <w:r>
              <w:rPr>
                <w:sz w:val="16"/>
              </w:rPr>
              <w:t>2.350</w:t>
            </w:r>
          </w:p>
        </w:tc>
        <w:tc>
          <w:tcPr>
            <w:tcW w:w="893" w:type="dxa"/>
            <w:shd w:val="clear" w:color="auto" w:fill="F9FCF9"/>
          </w:tcPr>
          <w:p>
            <w:pPr>
              <w:pStyle w:val="TableParagraph"/>
              <w:spacing w:before="10"/>
              <w:ind w:left="48" w:right="44"/>
              <w:rPr>
                <w:sz w:val="16"/>
              </w:rPr>
            </w:pPr>
            <w:r>
              <w:rPr>
                <w:sz w:val="16"/>
              </w:rPr>
              <w:t>2.360</w:t>
            </w:r>
          </w:p>
        </w:tc>
        <w:tc>
          <w:tcPr>
            <w:tcW w:w="893" w:type="dxa"/>
            <w:shd w:val="clear" w:color="auto" w:fill="F9FCF9"/>
          </w:tcPr>
          <w:p>
            <w:pPr>
              <w:pStyle w:val="TableParagraph"/>
              <w:spacing w:before="10"/>
              <w:ind w:left="48" w:right="45"/>
              <w:rPr>
                <w:sz w:val="16"/>
              </w:rPr>
            </w:pPr>
            <w:r>
              <w:rPr>
                <w:sz w:val="16"/>
              </w:rPr>
              <w:t>4.061</w:t>
            </w:r>
          </w:p>
        </w:tc>
        <w:tc>
          <w:tcPr>
            <w:tcW w:w="893" w:type="dxa"/>
            <w:shd w:val="clear" w:color="auto" w:fill="F9FCF9"/>
          </w:tcPr>
          <w:p>
            <w:pPr>
              <w:pStyle w:val="TableParagraph"/>
              <w:spacing w:before="10"/>
              <w:ind w:left="48" w:right="45"/>
              <w:rPr>
                <w:sz w:val="16"/>
              </w:rPr>
            </w:pPr>
            <w:r>
              <w:rPr>
                <w:sz w:val="16"/>
              </w:rPr>
              <w:t>4.168</w:t>
            </w:r>
          </w:p>
        </w:tc>
        <w:tc>
          <w:tcPr>
            <w:tcW w:w="893" w:type="dxa"/>
            <w:shd w:val="clear" w:color="auto" w:fill="F9FCF9"/>
          </w:tcPr>
          <w:p>
            <w:pPr>
              <w:pStyle w:val="TableParagraph"/>
              <w:spacing w:before="10"/>
              <w:ind w:left="47" w:right="45"/>
              <w:rPr>
                <w:sz w:val="16"/>
              </w:rPr>
            </w:pPr>
            <w:r>
              <w:rPr>
                <w:sz w:val="16"/>
              </w:rPr>
              <w:t>3.102</w:t>
            </w:r>
          </w:p>
        </w:tc>
        <w:tc>
          <w:tcPr>
            <w:tcW w:w="893" w:type="dxa"/>
            <w:shd w:val="clear" w:color="auto" w:fill="F9FCF9"/>
          </w:tcPr>
          <w:p>
            <w:pPr>
              <w:pStyle w:val="TableParagraph"/>
              <w:spacing w:before="10"/>
              <w:ind w:left="302"/>
              <w:jc w:val="left"/>
              <w:rPr>
                <w:b/>
                <w:sz w:val="16"/>
              </w:rPr>
            </w:pPr>
            <w:r>
              <w:rPr>
                <w:b/>
                <w:sz w:val="16"/>
              </w:rPr>
              <w:t>1.83</w:t>
            </w:r>
          </w:p>
        </w:tc>
        <w:tc>
          <w:tcPr>
            <w:tcW w:w="933" w:type="dxa"/>
            <w:tcBorders>
              <w:right w:val="double" w:sz="1" w:space="0" w:color="000000"/>
            </w:tcBorders>
            <w:shd w:val="clear" w:color="auto" w:fill="F9FCF9"/>
          </w:tcPr>
          <w:p>
            <w:pPr>
              <w:pStyle w:val="TableParagraph"/>
              <w:spacing w:before="10"/>
              <w:ind w:right="328"/>
              <w:jc w:val="right"/>
              <w:rPr>
                <w:b/>
                <w:sz w:val="16"/>
              </w:rPr>
            </w:pPr>
            <w:r>
              <w:rPr>
                <w:b/>
                <w:sz w:val="16"/>
              </w:rPr>
              <w:t>4.17</w:t>
            </w:r>
          </w:p>
        </w:tc>
        <w:tc>
          <w:tcPr>
            <w:tcW w:w="995" w:type="dxa"/>
            <w:tcBorders>
              <w:left w:val="double" w:sz="1" w:space="0" w:color="000000"/>
            </w:tcBorders>
            <w:shd w:val="clear" w:color="auto" w:fill="F9FCF9"/>
          </w:tcPr>
          <w:p>
            <w:pPr>
              <w:pStyle w:val="TableParagraph"/>
              <w:spacing w:before="10"/>
              <w:ind w:left="146" w:right="116"/>
              <w:rPr>
                <w:sz w:val="16"/>
              </w:rPr>
            </w:pPr>
            <w:r>
              <w:rPr>
                <w:sz w:val="16"/>
              </w:rPr>
              <w:t>2.346</w:t>
            </w:r>
          </w:p>
        </w:tc>
        <w:tc>
          <w:tcPr>
            <w:tcW w:w="1033" w:type="dxa"/>
            <w:shd w:val="clear" w:color="auto" w:fill="F9FCF9"/>
          </w:tcPr>
          <w:p>
            <w:pPr>
              <w:pStyle w:val="TableParagraph"/>
              <w:spacing w:before="10"/>
              <w:ind w:left="18" w:right="18"/>
              <w:rPr>
                <w:sz w:val="16"/>
              </w:rPr>
            </w:pPr>
            <w:r>
              <w:rPr>
                <w:sz w:val="16"/>
              </w:rPr>
              <w:t>2.580</w:t>
            </w:r>
          </w:p>
        </w:tc>
        <w:tc>
          <w:tcPr>
            <w:tcW w:w="1937" w:type="dxa"/>
            <w:shd w:val="clear" w:color="auto" w:fill="F9FCF9"/>
          </w:tcPr>
          <w:p>
            <w:pPr>
              <w:pStyle w:val="TableParagraph"/>
              <w:spacing w:before="10"/>
              <w:ind w:left="316" w:right="316"/>
              <w:rPr>
                <w:sz w:val="16"/>
              </w:rPr>
            </w:pPr>
            <w:r>
              <w:rPr>
                <w:sz w:val="16"/>
              </w:rPr>
              <w:t>2.795</w:t>
            </w:r>
          </w:p>
        </w:tc>
      </w:tr>
      <w:tr>
        <w:trPr>
          <w:trHeight w:val="195" w:hRule="atLeast"/>
        </w:trPr>
        <w:tc>
          <w:tcPr>
            <w:tcW w:w="2412" w:type="dxa"/>
            <w:shd w:val="clear" w:color="auto" w:fill="F9FCF9"/>
          </w:tcPr>
          <w:p>
            <w:pPr>
              <w:pStyle w:val="TableParagraph"/>
              <w:spacing w:line="159" w:lineRule="exact" w:before="16"/>
              <w:ind w:left="26"/>
              <w:jc w:val="left"/>
              <w:rPr>
                <w:sz w:val="16"/>
              </w:rPr>
            </w:pPr>
            <w:r>
              <w:rPr>
                <w:sz w:val="16"/>
              </w:rPr>
              <w:t>CO</w:t>
            </w:r>
            <w:r>
              <w:rPr>
                <w:position w:val="-4"/>
                <w:sz w:val="9"/>
              </w:rPr>
              <w:t>2 </w:t>
            </w:r>
            <w:r>
              <w:rPr>
                <w:sz w:val="16"/>
              </w:rPr>
              <w:t>product pressure (MPa)</w:t>
            </w:r>
          </w:p>
        </w:tc>
        <w:tc>
          <w:tcPr>
            <w:tcW w:w="893" w:type="dxa"/>
            <w:shd w:val="clear" w:color="auto" w:fill="F9FCF9"/>
          </w:tcPr>
          <w:p>
            <w:pPr>
              <w:pStyle w:val="TableParagraph"/>
              <w:spacing w:line="159" w:lineRule="exact" w:before="16"/>
              <w:ind w:left="48" w:right="42"/>
              <w:rPr>
                <w:sz w:val="16"/>
              </w:rPr>
            </w:pPr>
            <w:r>
              <w:rPr>
                <w:sz w:val="16"/>
              </w:rPr>
              <w:t>8.4</w:t>
            </w:r>
          </w:p>
        </w:tc>
        <w:tc>
          <w:tcPr>
            <w:tcW w:w="893" w:type="dxa"/>
            <w:shd w:val="clear" w:color="auto" w:fill="F9FCF9"/>
          </w:tcPr>
          <w:p>
            <w:pPr>
              <w:pStyle w:val="TableParagraph"/>
              <w:spacing w:line="159" w:lineRule="exact" w:before="16"/>
              <w:ind w:left="48" w:right="43"/>
              <w:rPr>
                <w:sz w:val="16"/>
              </w:rPr>
            </w:pPr>
            <w:r>
              <w:rPr>
                <w:sz w:val="16"/>
              </w:rPr>
              <w:t>8.4</w:t>
            </w:r>
          </w:p>
        </w:tc>
        <w:tc>
          <w:tcPr>
            <w:tcW w:w="893" w:type="dxa"/>
            <w:shd w:val="clear" w:color="auto" w:fill="F9FCF9"/>
          </w:tcPr>
          <w:p>
            <w:pPr>
              <w:pStyle w:val="TableParagraph"/>
              <w:spacing w:line="159" w:lineRule="exact" w:before="16"/>
              <w:ind w:left="48" w:right="44"/>
              <w:rPr>
                <w:sz w:val="16"/>
              </w:rPr>
            </w:pPr>
            <w:r>
              <w:rPr>
                <w:sz w:val="16"/>
              </w:rPr>
              <w:t>13.7</w:t>
            </w:r>
          </w:p>
        </w:tc>
        <w:tc>
          <w:tcPr>
            <w:tcW w:w="893" w:type="dxa"/>
            <w:shd w:val="clear" w:color="auto" w:fill="F9FCF9"/>
          </w:tcPr>
          <w:p>
            <w:pPr>
              <w:pStyle w:val="TableParagraph"/>
              <w:spacing w:line="159" w:lineRule="exact" w:before="16"/>
              <w:ind w:left="48" w:right="45"/>
              <w:rPr>
                <w:sz w:val="16"/>
              </w:rPr>
            </w:pPr>
            <w:r>
              <w:rPr>
                <w:sz w:val="16"/>
              </w:rPr>
              <w:t>11.0</w:t>
            </w:r>
          </w:p>
        </w:tc>
        <w:tc>
          <w:tcPr>
            <w:tcW w:w="893" w:type="dxa"/>
            <w:shd w:val="clear" w:color="auto" w:fill="F9FCF9"/>
          </w:tcPr>
          <w:p>
            <w:pPr>
              <w:pStyle w:val="TableParagraph"/>
              <w:spacing w:line="159" w:lineRule="exact" w:before="16"/>
              <w:ind w:left="48" w:right="45"/>
              <w:rPr>
                <w:sz w:val="16"/>
              </w:rPr>
            </w:pPr>
            <w:r>
              <w:rPr>
                <w:sz w:val="16"/>
              </w:rPr>
              <w:t>11.0</w:t>
            </w:r>
          </w:p>
        </w:tc>
        <w:tc>
          <w:tcPr>
            <w:tcW w:w="893" w:type="dxa"/>
            <w:shd w:val="clear" w:color="auto" w:fill="F9FCF9"/>
          </w:tcPr>
          <w:p>
            <w:pPr>
              <w:pStyle w:val="TableParagraph"/>
              <w:spacing w:line="159" w:lineRule="exact" w:before="16"/>
              <w:ind w:left="47" w:right="45"/>
              <w:rPr>
                <w:sz w:val="16"/>
              </w:rPr>
            </w:pPr>
            <w:r>
              <w:rPr>
                <w:sz w:val="16"/>
              </w:rPr>
              <w:t>13.9</w:t>
            </w:r>
          </w:p>
        </w:tc>
        <w:tc>
          <w:tcPr>
            <w:tcW w:w="893" w:type="dxa"/>
            <w:shd w:val="clear" w:color="auto" w:fill="F9FCF9"/>
          </w:tcPr>
          <w:p>
            <w:pPr>
              <w:pStyle w:val="TableParagraph"/>
              <w:spacing w:line="159" w:lineRule="exact" w:before="16"/>
              <w:ind w:left="1"/>
              <w:rPr>
                <w:b/>
                <w:sz w:val="16"/>
              </w:rPr>
            </w:pPr>
            <w:r>
              <w:rPr>
                <w:b/>
                <w:sz w:val="16"/>
              </w:rPr>
              <w:t>8</w:t>
            </w:r>
          </w:p>
        </w:tc>
        <w:tc>
          <w:tcPr>
            <w:tcW w:w="933" w:type="dxa"/>
            <w:tcBorders>
              <w:right w:val="double" w:sz="1" w:space="0" w:color="000000"/>
            </w:tcBorders>
            <w:shd w:val="clear" w:color="auto" w:fill="F9FCF9"/>
          </w:tcPr>
          <w:p>
            <w:pPr>
              <w:pStyle w:val="TableParagraph"/>
              <w:spacing w:line="159" w:lineRule="exact" w:before="16"/>
              <w:ind w:left="303" w:right="329"/>
              <w:rPr>
                <w:b/>
                <w:sz w:val="16"/>
              </w:rPr>
            </w:pPr>
            <w:r>
              <w:rPr>
                <w:b/>
                <w:sz w:val="16"/>
              </w:rPr>
              <w:t>14</w:t>
            </w:r>
          </w:p>
        </w:tc>
        <w:tc>
          <w:tcPr>
            <w:tcW w:w="995" w:type="dxa"/>
            <w:tcBorders>
              <w:left w:val="double" w:sz="1" w:space="0" w:color="000000"/>
            </w:tcBorders>
            <w:shd w:val="clear" w:color="auto" w:fill="F9FCF9"/>
          </w:tcPr>
          <w:p>
            <w:pPr>
              <w:pStyle w:val="TableParagraph"/>
              <w:spacing w:line="159" w:lineRule="exact" w:before="16"/>
              <w:ind w:left="146" w:right="116"/>
              <w:rPr>
                <w:sz w:val="16"/>
              </w:rPr>
            </w:pPr>
            <w:r>
              <w:rPr>
                <w:sz w:val="16"/>
              </w:rPr>
              <w:t>10.3</w:t>
            </w:r>
          </w:p>
        </w:tc>
        <w:tc>
          <w:tcPr>
            <w:tcW w:w="1033" w:type="dxa"/>
            <w:shd w:val="clear" w:color="auto" w:fill="F9FCF9"/>
          </w:tcPr>
          <w:p>
            <w:pPr>
              <w:pStyle w:val="TableParagraph"/>
              <w:spacing w:line="159" w:lineRule="exact" w:before="16"/>
              <w:ind w:left="18" w:right="18"/>
              <w:rPr>
                <w:sz w:val="16"/>
              </w:rPr>
            </w:pPr>
            <w:r>
              <w:rPr>
                <w:sz w:val="16"/>
              </w:rPr>
              <w:t>13.9</w:t>
            </w:r>
          </w:p>
        </w:tc>
        <w:tc>
          <w:tcPr>
            <w:tcW w:w="1937" w:type="dxa"/>
            <w:shd w:val="clear" w:color="auto" w:fill="F9FCF9"/>
          </w:tcPr>
          <w:p>
            <w:pPr>
              <w:pStyle w:val="TableParagraph"/>
              <w:spacing w:line="159" w:lineRule="exact" w:before="16"/>
              <w:ind w:left="316" w:right="316"/>
              <w:rPr>
                <w:sz w:val="16"/>
              </w:rPr>
            </w:pPr>
            <w:r>
              <w:rPr>
                <w:sz w:val="16"/>
              </w:rPr>
              <w:t>13.9</w:t>
            </w:r>
          </w:p>
        </w:tc>
      </w:tr>
      <w:tr>
        <w:trPr>
          <w:trHeight w:val="375" w:hRule="atLeast"/>
        </w:trPr>
        <w:tc>
          <w:tcPr>
            <w:tcW w:w="2412" w:type="dxa"/>
            <w:shd w:val="clear" w:color="auto" w:fill="F9FCF9"/>
          </w:tcPr>
          <w:p>
            <w:pPr>
              <w:pStyle w:val="TableParagraph"/>
              <w:spacing w:line="180" w:lineRule="exact" w:before="21"/>
              <w:ind w:left="26" w:right="169"/>
              <w:jc w:val="left"/>
              <w:rPr>
                <w:sz w:val="16"/>
              </w:rPr>
            </w:pPr>
            <w:r>
              <w:rPr>
                <w:sz w:val="16"/>
              </w:rPr>
              <w:t>CCS energy requirement (% more input MWh</w:t>
            </w:r>
            <w:r>
              <w:rPr>
                <w:position w:val="5"/>
                <w:sz w:val="9"/>
              </w:rPr>
              <w:t>-1</w:t>
            </w:r>
            <w:r>
              <w:rPr>
                <w:sz w:val="16"/>
              </w:rPr>
              <w:t>)</w:t>
            </w:r>
          </w:p>
        </w:tc>
        <w:tc>
          <w:tcPr>
            <w:tcW w:w="893" w:type="dxa"/>
            <w:shd w:val="clear" w:color="auto" w:fill="F9FCF9"/>
          </w:tcPr>
          <w:p>
            <w:pPr>
              <w:pStyle w:val="TableParagraph"/>
              <w:spacing w:before="16"/>
              <w:ind w:left="48" w:right="42"/>
              <w:rPr>
                <w:sz w:val="16"/>
              </w:rPr>
            </w:pPr>
            <w:r>
              <w:rPr>
                <w:sz w:val="16"/>
              </w:rPr>
              <w:t>40</w:t>
            </w:r>
          </w:p>
        </w:tc>
        <w:tc>
          <w:tcPr>
            <w:tcW w:w="893" w:type="dxa"/>
            <w:shd w:val="clear" w:color="auto" w:fill="F9FCF9"/>
          </w:tcPr>
          <w:p>
            <w:pPr>
              <w:pStyle w:val="TableParagraph"/>
              <w:spacing w:before="16"/>
              <w:ind w:left="48" w:right="43"/>
              <w:rPr>
                <w:sz w:val="16"/>
              </w:rPr>
            </w:pPr>
            <w:r>
              <w:rPr>
                <w:sz w:val="16"/>
              </w:rPr>
              <w:t>38</w:t>
            </w:r>
          </w:p>
        </w:tc>
        <w:tc>
          <w:tcPr>
            <w:tcW w:w="893" w:type="dxa"/>
            <w:shd w:val="clear" w:color="auto" w:fill="F9FCF9"/>
          </w:tcPr>
          <w:p>
            <w:pPr>
              <w:pStyle w:val="TableParagraph"/>
              <w:spacing w:before="16"/>
              <w:ind w:left="48" w:right="44"/>
              <w:rPr>
                <w:sz w:val="16"/>
              </w:rPr>
            </w:pPr>
            <w:r>
              <w:rPr>
                <w:sz w:val="16"/>
              </w:rPr>
              <w:t>28</w:t>
            </w:r>
          </w:p>
        </w:tc>
        <w:tc>
          <w:tcPr>
            <w:tcW w:w="893" w:type="dxa"/>
            <w:shd w:val="clear" w:color="auto" w:fill="F9FCF9"/>
          </w:tcPr>
          <w:p>
            <w:pPr>
              <w:pStyle w:val="TableParagraph"/>
              <w:spacing w:before="16"/>
              <w:ind w:left="48" w:right="45"/>
              <w:rPr>
                <w:sz w:val="16"/>
              </w:rPr>
            </w:pPr>
            <w:r>
              <w:rPr>
                <w:sz w:val="16"/>
              </w:rPr>
              <w:t>26</w:t>
            </w:r>
          </w:p>
        </w:tc>
        <w:tc>
          <w:tcPr>
            <w:tcW w:w="893" w:type="dxa"/>
            <w:shd w:val="clear" w:color="auto" w:fill="F9FCF9"/>
          </w:tcPr>
          <w:p>
            <w:pPr>
              <w:pStyle w:val="TableParagraph"/>
              <w:spacing w:before="16"/>
              <w:ind w:left="48" w:right="45"/>
              <w:rPr>
                <w:sz w:val="16"/>
              </w:rPr>
            </w:pPr>
            <w:r>
              <w:rPr>
                <w:sz w:val="16"/>
              </w:rPr>
              <w:t>24</w:t>
            </w:r>
          </w:p>
        </w:tc>
        <w:tc>
          <w:tcPr>
            <w:tcW w:w="893" w:type="dxa"/>
            <w:shd w:val="clear" w:color="auto" w:fill="F9FCF9"/>
          </w:tcPr>
          <w:p>
            <w:pPr>
              <w:pStyle w:val="TableParagraph"/>
              <w:spacing w:before="16"/>
              <w:ind w:left="47" w:right="45"/>
              <w:rPr>
                <w:sz w:val="16"/>
              </w:rPr>
            </w:pPr>
            <w:r>
              <w:rPr>
                <w:sz w:val="16"/>
              </w:rPr>
              <w:t>31</w:t>
            </w:r>
          </w:p>
        </w:tc>
        <w:tc>
          <w:tcPr>
            <w:tcW w:w="893" w:type="dxa"/>
            <w:shd w:val="clear" w:color="auto" w:fill="F9FCF9"/>
          </w:tcPr>
          <w:p>
            <w:pPr>
              <w:pStyle w:val="TableParagraph"/>
              <w:spacing w:before="16"/>
              <w:ind w:left="46" w:right="45"/>
              <w:rPr>
                <w:b/>
                <w:sz w:val="16"/>
              </w:rPr>
            </w:pPr>
            <w:r>
              <w:rPr>
                <w:b/>
                <w:sz w:val="16"/>
              </w:rPr>
              <w:t>24</w:t>
            </w:r>
          </w:p>
        </w:tc>
        <w:tc>
          <w:tcPr>
            <w:tcW w:w="933" w:type="dxa"/>
            <w:tcBorders>
              <w:right w:val="double" w:sz="1" w:space="0" w:color="000000"/>
            </w:tcBorders>
            <w:shd w:val="clear" w:color="auto" w:fill="F9FCF9"/>
          </w:tcPr>
          <w:p>
            <w:pPr>
              <w:pStyle w:val="TableParagraph"/>
              <w:spacing w:before="16"/>
              <w:ind w:left="303" w:right="329"/>
              <w:rPr>
                <w:b/>
                <w:sz w:val="16"/>
              </w:rPr>
            </w:pPr>
            <w:r>
              <w:rPr>
                <w:b/>
                <w:sz w:val="16"/>
              </w:rPr>
              <w:t>40</w:t>
            </w:r>
          </w:p>
        </w:tc>
        <w:tc>
          <w:tcPr>
            <w:tcW w:w="995" w:type="dxa"/>
            <w:tcBorders>
              <w:left w:val="double" w:sz="1" w:space="0" w:color="000000"/>
            </w:tcBorders>
            <w:shd w:val="clear" w:color="auto" w:fill="F9FCF9"/>
          </w:tcPr>
          <w:p>
            <w:pPr>
              <w:pStyle w:val="TableParagraph"/>
              <w:spacing w:before="16"/>
              <w:ind w:left="146" w:right="116"/>
              <w:rPr>
                <w:sz w:val="16"/>
              </w:rPr>
            </w:pPr>
            <w:r>
              <w:rPr>
                <w:sz w:val="16"/>
              </w:rPr>
              <w:t>40</w:t>
            </w:r>
          </w:p>
        </w:tc>
        <w:tc>
          <w:tcPr>
            <w:tcW w:w="1033" w:type="dxa"/>
            <w:shd w:val="clear" w:color="auto" w:fill="F9FCF9"/>
          </w:tcPr>
          <w:p>
            <w:pPr>
              <w:pStyle w:val="TableParagraph"/>
              <w:spacing w:before="16"/>
              <w:ind w:left="18" w:right="18"/>
              <w:rPr>
                <w:sz w:val="16"/>
              </w:rPr>
            </w:pPr>
            <w:r>
              <w:rPr>
                <w:sz w:val="16"/>
              </w:rPr>
              <w:t>42</w:t>
            </w:r>
          </w:p>
        </w:tc>
        <w:tc>
          <w:tcPr>
            <w:tcW w:w="1937" w:type="dxa"/>
            <w:shd w:val="clear" w:color="auto" w:fill="F9FCF9"/>
          </w:tcPr>
          <w:p>
            <w:pPr>
              <w:pStyle w:val="TableParagraph"/>
              <w:spacing w:before="16"/>
              <w:ind w:left="316" w:right="316"/>
              <w:rPr>
                <w:sz w:val="16"/>
              </w:rPr>
            </w:pPr>
            <w:r>
              <w:rPr>
                <w:sz w:val="16"/>
              </w:rPr>
              <w:t>36</w:t>
            </w:r>
          </w:p>
        </w:tc>
      </w:tr>
      <w:tr>
        <w:trPr>
          <w:trHeight w:val="189" w:hRule="atLeast"/>
        </w:trPr>
        <w:tc>
          <w:tcPr>
            <w:tcW w:w="2412" w:type="dxa"/>
            <w:shd w:val="clear" w:color="auto" w:fill="F9FCF9"/>
          </w:tcPr>
          <w:p>
            <w:pPr>
              <w:pStyle w:val="TableParagraph"/>
              <w:spacing w:line="159" w:lineRule="exact" w:before="10"/>
              <w:ind w:left="26"/>
              <w:jc w:val="left"/>
              <w:rPr>
                <w:b/>
                <w:sz w:val="16"/>
              </w:rPr>
            </w:pPr>
            <w:r>
              <w:rPr>
                <w:b/>
                <w:sz w:val="16"/>
              </w:rPr>
              <w:t>CO</w:t>
            </w:r>
            <w:r>
              <w:rPr>
                <w:b/>
                <w:position w:val="-4"/>
                <w:sz w:val="9"/>
              </w:rPr>
              <w:t>2 </w:t>
            </w:r>
            <w:r>
              <w:rPr>
                <w:b/>
                <w:sz w:val="16"/>
              </w:rPr>
              <w:t>reduction per kWh (%)</w:t>
            </w:r>
          </w:p>
        </w:tc>
        <w:tc>
          <w:tcPr>
            <w:tcW w:w="893" w:type="dxa"/>
            <w:shd w:val="clear" w:color="auto" w:fill="F9FCF9"/>
          </w:tcPr>
          <w:p>
            <w:pPr>
              <w:pStyle w:val="TableParagraph"/>
              <w:spacing w:line="159" w:lineRule="exact" w:before="10"/>
              <w:ind w:left="48" w:right="42"/>
              <w:rPr>
                <w:b/>
                <w:sz w:val="16"/>
              </w:rPr>
            </w:pPr>
            <w:r>
              <w:rPr>
                <w:b/>
                <w:sz w:val="16"/>
              </w:rPr>
              <w:t>86</w:t>
            </w:r>
          </w:p>
        </w:tc>
        <w:tc>
          <w:tcPr>
            <w:tcW w:w="893" w:type="dxa"/>
            <w:shd w:val="clear" w:color="auto" w:fill="F9FCF9"/>
          </w:tcPr>
          <w:p>
            <w:pPr>
              <w:pStyle w:val="TableParagraph"/>
              <w:spacing w:line="159" w:lineRule="exact" w:before="10"/>
              <w:ind w:left="48" w:right="43"/>
              <w:rPr>
                <w:b/>
                <w:sz w:val="16"/>
              </w:rPr>
            </w:pPr>
            <w:r>
              <w:rPr>
                <w:b/>
                <w:sz w:val="16"/>
              </w:rPr>
              <w:t>86</w:t>
            </w:r>
          </w:p>
        </w:tc>
        <w:tc>
          <w:tcPr>
            <w:tcW w:w="893" w:type="dxa"/>
            <w:shd w:val="clear" w:color="auto" w:fill="F9FCF9"/>
          </w:tcPr>
          <w:p>
            <w:pPr>
              <w:pStyle w:val="TableParagraph"/>
              <w:spacing w:line="159" w:lineRule="exact" w:before="10"/>
              <w:ind w:left="48" w:right="44"/>
              <w:rPr>
                <w:b/>
                <w:sz w:val="16"/>
              </w:rPr>
            </w:pPr>
            <w:r>
              <w:rPr>
                <w:b/>
                <w:sz w:val="16"/>
              </w:rPr>
              <w:t>81</w:t>
            </w:r>
          </w:p>
        </w:tc>
        <w:tc>
          <w:tcPr>
            <w:tcW w:w="893" w:type="dxa"/>
            <w:shd w:val="clear" w:color="auto" w:fill="F9FCF9"/>
          </w:tcPr>
          <w:p>
            <w:pPr>
              <w:pStyle w:val="TableParagraph"/>
              <w:spacing w:line="159" w:lineRule="exact" w:before="10"/>
              <w:ind w:left="48" w:right="45"/>
              <w:rPr>
                <w:b/>
                <w:sz w:val="16"/>
              </w:rPr>
            </w:pPr>
            <w:r>
              <w:rPr>
                <w:b/>
                <w:sz w:val="16"/>
              </w:rPr>
              <w:t>84</w:t>
            </w:r>
          </w:p>
        </w:tc>
        <w:tc>
          <w:tcPr>
            <w:tcW w:w="893" w:type="dxa"/>
            <w:shd w:val="clear" w:color="auto" w:fill="F9FCF9"/>
          </w:tcPr>
          <w:p>
            <w:pPr>
              <w:pStyle w:val="TableParagraph"/>
              <w:spacing w:line="159" w:lineRule="exact" w:before="10"/>
              <w:ind w:left="48" w:right="45"/>
              <w:rPr>
                <w:b/>
                <w:sz w:val="16"/>
              </w:rPr>
            </w:pPr>
            <w:r>
              <w:rPr>
                <w:b/>
                <w:sz w:val="16"/>
              </w:rPr>
              <w:t>88</w:t>
            </w:r>
          </w:p>
        </w:tc>
        <w:tc>
          <w:tcPr>
            <w:tcW w:w="893" w:type="dxa"/>
            <w:shd w:val="clear" w:color="auto" w:fill="F9FCF9"/>
          </w:tcPr>
          <w:p>
            <w:pPr>
              <w:pStyle w:val="TableParagraph"/>
              <w:spacing w:line="159" w:lineRule="exact" w:before="10"/>
              <w:ind w:left="47" w:right="45"/>
              <w:rPr>
                <w:b/>
                <w:sz w:val="16"/>
              </w:rPr>
            </w:pPr>
            <w:r>
              <w:rPr>
                <w:b/>
                <w:sz w:val="16"/>
              </w:rPr>
              <w:t>87</w:t>
            </w:r>
          </w:p>
        </w:tc>
        <w:tc>
          <w:tcPr>
            <w:tcW w:w="893" w:type="dxa"/>
            <w:shd w:val="clear" w:color="auto" w:fill="F9FCF9"/>
          </w:tcPr>
          <w:p>
            <w:pPr>
              <w:pStyle w:val="TableParagraph"/>
              <w:spacing w:line="159" w:lineRule="exact" w:before="10"/>
              <w:ind w:left="46" w:right="45"/>
              <w:rPr>
                <w:b/>
                <w:sz w:val="16"/>
              </w:rPr>
            </w:pPr>
            <w:r>
              <w:rPr>
                <w:b/>
                <w:sz w:val="16"/>
              </w:rPr>
              <w:t>81</w:t>
            </w:r>
          </w:p>
        </w:tc>
        <w:tc>
          <w:tcPr>
            <w:tcW w:w="933" w:type="dxa"/>
            <w:tcBorders>
              <w:right w:val="double" w:sz="1" w:space="0" w:color="000000"/>
            </w:tcBorders>
            <w:shd w:val="clear" w:color="auto" w:fill="F9FCF9"/>
          </w:tcPr>
          <w:p>
            <w:pPr>
              <w:pStyle w:val="TableParagraph"/>
              <w:spacing w:line="159" w:lineRule="exact" w:before="10"/>
              <w:ind w:left="303" w:right="329"/>
              <w:rPr>
                <w:b/>
                <w:sz w:val="16"/>
              </w:rPr>
            </w:pPr>
            <w:r>
              <w:rPr>
                <w:b/>
                <w:sz w:val="16"/>
              </w:rPr>
              <w:t>88</w:t>
            </w:r>
          </w:p>
        </w:tc>
        <w:tc>
          <w:tcPr>
            <w:tcW w:w="995" w:type="dxa"/>
            <w:tcBorders>
              <w:left w:val="double" w:sz="1" w:space="0" w:color="000000"/>
            </w:tcBorders>
            <w:shd w:val="clear" w:color="auto" w:fill="F9FCF9"/>
          </w:tcPr>
          <w:p>
            <w:pPr>
              <w:pStyle w:val="TableParagraph"/>
              <w:spacing w:line="159" w:lineRule="exact" w:before="10"/>
              <w:ind w:left="146" w:right="116"/>
              <w:rPr>
                <w:b/>
                <w:sz w:val="16"/>
              </w:rPr>
            </w:pPr>
            <w:r>
              <w:rPr>
                <w:b/>
                <w:sz w:val="16"/>
              </w:rPr>
              <w:t>93</w:t>
            </w:r>
          </w:p>
        </w:tc>
        <w:tc>
          <w:tcPr>
            <w:tcW w:w="1033" w:type="dxa"/>
            <w:shd w:val="clear" w:color="auto" w:fill="F9FCF9"/>
          </w:tcPr>
          <w:p>
            <w:pPr>
              <w:pStyle w:val="TableParagraph"/>
              <w:spacing w:line="159" w:lineRule="exact" w:before="10"/>
              <w:ind w:left="18" w:right="18"/>
              <w:rPr>
                <w:b/>
                <w:sz w:val="16"/>
              </w:rPr>
            </w:pPr>
            <w:r>
              <w:rPr>
                <w:b/>
                <w:sz w:val="16"/>
              </w:rPr>
              <w:t>86</w:t>
            </w:r>
          </w:p>
        </w:tc>
        <w:tc>
          <w:tcPr>
            <w:tcW w:w="1937" w:type="dxa"/>
            <w:shd w:val="clear" w:color="auto" w:fill="F9FCF9"/>
          </w:tcPr>
          <w:p>
            <w:pPr>
              <w:pStyle w:val="TableParagraph"/>
              <w:spacing w:line="159" w:lineRule="exact" w:before="10"/>
              <w:ind w:left="316" w:right="316"/>
              <w:rPr>
                <w:b/>
                <w:sz w:val="16"/>
              </w:rPr>
            </w:pPr>
            <w:r>
              <w:rPr>
                <w:b/>
                <w:sz w:val="16"/>
              </w:rPr>
              <w:t>93</w:t>
            </w:r>
          </w:p>
        </w:tc>
      </w:tr>
      <w:tr>
        <w:trPr>
          <w:trHeight w:val="195" w:hRule="atLeast"/>
        </w:trPr>
        <w:tc>
          <w:tcPr>
            <w:tcW w:w="2412" w:type="dxa"/>
            <w:shd w:val="clear" w:color="auto" w:fill="F9FCF9"/>
          </w:tcPr>
          <w:p>
            <w:pPr>
              <w:pStyle w:val="TableParagraph"/>
              <w:spacing w:line="159" w:lineRule="exact" w:before="16"/>
              <w:ind w:left="158"/>
              <w:jc w:val="left"/>
              <w:rPr>
                <w:b/>
                <w:i/>
                <w:sz w:val="16"/>
              </w:rPr>
            </w:pPr>
            <w:r>
              <w:rPr>
                <w:b/>
                <w:i/>
                <w:sz w:val="16"/>
              </w:rPr>
              <w:t>Cost Results</w:t>
            </w:r>
          </w:p>
        </w:tc>
        <w:tc>
          <w:tcPr>
            <w:tcW w:w="893" w:type="dxa"/>
            <w:shd w:val="clear" w:color="auto" w:fill="F9FCF9"/>
          </w:tcPr>
          <w:p>
            <w:pPr>
              <w:pStyle w:val="TableParagraph"/>
              <w:jc w:val="left"/>
              <w:rPr>
                <w:sz w:val="12"/>
              </w:rPr>
            </w:pPr>
          </w:p>
        </w:tc>
        <w:tc>
          <w:tcPr>
            <w:tcW w:w="893" w:type="dxa"/>
            <w:shd w:val="clear" w:color="auto" w:fill="F9FCF9"/>
          </w:tcPr>
          <w:p>
            <w:pPr>
              <w:pStyle w:val="TableParagraph"/>
              <w:jc w:val="left"/>
              <w:rPr>
                <w:sz w:val="12"/>
              </w:rPr>
            </w:pPr>
          </w:p>
        </w:tc>
        <w:tc>
          <w:tcPr>
            <w:tcW w:w="893" w:type="dxa"/>
            <w:shd w:val="clear" w:color="auto" w:fill="F9FCF9"/>
          </w:tcPr>
          <w:p>
            <w:pPr>
              <w:pStyle w:val="TableParagraph"/>
              <w:spacing w:line="159" w:lineRule="exact" w:before="16"/>
              <w:ind w:left="48" w:right="44"/>
              <w:rPr>
                <w:sz w:val="16"/>
              </w:rPr>
            </w:pPr>
            <w:r>
              <w:rPr>
                <w:sz w:val="16"/>
              </w:rPr>
              <w:t>***</w:t>
            </w:r>
          </w:p>
        </w:tc>
        <w:tc>
          <w:tcPr>
            <w:tcW w:w="893" w:type="dxa"/>
            <w:shd w:val="clear" w:color="auto" w:fill="F9FCF9"/>
          </w:tcPr>
          <w:p>
            <w:pPr>
              <w:pStyle w:val="TableParagraph"/>
              <w:spacing w:line="159" w:lineRule="exact" w:before="16"/>
              <w:ind w:left="48" w:right="45"/>
              <w:rPr>
                <w:sz w:val="16"/>
              </w:rPr>
            </w:pPr>
            <w:r>
              <w:rPr>
                <w:sz w:val="16"/>
              </w:rPr>
              <w:t>**</w:t>
            </w:r>
          </w:p>
        </w:tc>
        <w:tc>
          <w:tcPr>
            <w:tcW w:w="893" w:type="dxa"/>
            <w:shd w:val="clear" w:color="auto" w:fill="F9FCF9"/>
          </w:tcPr>
          <w:p>
            <w:pPr>
              <w:pStyle w:val="TableParagraph"/>
              <w:spacing w:line="159" w:lineRule="exact" w:before="16"/>
              <w:ind w:left="48" w:right="45"/>
              <w:rPr>
                <w:sz w:val="16"/>
              </w:rPr>
            </w:pPr>
            <w:r>
              <w:rPr>
                <w:sz w:val="16"/>
              </w:rPr>
              <w:t>**</w:t>
            </w:r>
          </w:p>
        </w:tc>
        <w:tc>
          <w:tcPr>
            <w:tcW w:w="893" w:type="dxa"/>
            <w:shd w:val="clear" w:color="auto" w:fill="F9FCF9"/>
          </w:tcPr>
          <w:p>
            <w:pPr>
              <w:pStyle w:val="TableParagraph"/>
              <w:jc w:val="left"/>
              <w:rPr>
                <w:sz w:val="12"/>
              </w:rPr>
            </w:pPr>
          </w:p>
        </w:tc>
        <w:tc>
          <w:tcPr>
            <w:tcW w:w="893" w:type="dxa"/>
            <w:shd w:val="clear" w:color="auto" w:fill="F9FCF9"/>
          </w:tcPr>
          <w:p>
            <w:pPr>
              <w:pStyle w:val="TableParagraph"/>
              <w:jc w:val="left"/>
              <w:rPr>
                <w:sz w:val="12"/>
              </w:rPr>
            </w:pPr>
          </w:p>
        </w:tc>
        <w:tc>
          <w:tcPr>
            <w:tcW w:w="933" w:type="dxa"/>
            <w:tcBorders>
              <w:right w:val="double" w:sz="1" w:space="0" w:color="000000"/>
            </w:tcBorders>
            <w:shd w:val="clear" w:color="auto" w:fill="F9FCF9"/>
          </w:tcPr>
          <w:p>
            <w:pPr>
              <w:pStyle w:val="TableParagraph"/>
              <w:jc w:val="left"/>
              <w:rPr>
                <w:sz w:val="12"/>
              </w:rPr>
            </w:pPr>
          </w:p>
        </w:tc>
        <w:tc>
          <w:tcPr>
            <w:tcW w:w="995" w:type="dxa"/>
            <w:tcBorders>
              <w:left w:val="double" w:sz="1" w:space="0" w:color="000000"/>
            </w:tcBorders>
            <w:shd w:val="clear" w:color="auto" w:fill="F9FCF9"/>
          </w:tcPr>
          <w:p>
            <w:pPr>
              <w:pStyle w:val="TableParagraph"/>
              <w:jc w:val="left"/>
              <w:rPr>
                <w:sz w:val="12"/>
              </w:rPr>
            </w:pPr>
          </w:p>
        </w:tc>
        <w:tc>
          <w:tcPr>
            <w:tcW w:w="1033" w:type="dxa"/>
            <w:shd w:val="clear" w:color="auto" w:fill="F9FCF9"/>
          </w:tcPr>
          <w:p>
            <w:pPr>
              <w:pStyle w:val="TableParagraph"/>
              <w:jc w:val="left"/>
              <w:rPr>
                <w:sz w:val="12"/>
              </w:rPr>
            </w:pPr>
          </w:p>
        </w:tc>
        <w:tc>
          <w:tcPr>
            <w:tcW w:w="1937" w:type="dxa"/>
            <w:shd w:val="clear" w:color="auto" w:fill="F9FCF9"/>
          </w:tcPr>
          <w:p>
            <w:pPr>
              <w:pStyle w:val="TableParagraph"/>
              <w:spacing w:line="159" w:lineRule="exact" w:before="16"/>
              <w:ind w:left="316" w:right="316"/>
              <w:rPr>
                <w:sz w:val="16"/>
              </w:rPr>
            </w:pPr>
            <w:r>
              <w:rPr>
                <w:sz w:val="16"/>
              </w:rPr>
              <w:t>***</w:t>
            </w:r>
          </w:p>
        </w:tc>
      </w:tr>
      <w:tr>
        <w:trPr>
          <w:trHeight w:val="195" w:hRule="atLeast"/>
        </w:trPr>
        <w:tc>
          <w:tcPr>
            <w:tcW w:w="2412" w:type="dxa"/>
            <w:shd w:val="clear" w:color="auto" w:fill="F9FCF9"/>
          </w:tcPr>
          <w:p>
            <w:pPr>
              <w:pStyle w:val="TableParagraph"/>
              <w:spacing w:line="159" w:lineRule="exact" w:before="16"/>
              <w:ind w:left="26"/>
              <w:jc w:val="left"/>
              <w:rPr>
                <w:sz w:val="16"/>
              </w:rPr>
            </w:pPr>
            <w:r>
              <w:rPr>
                <w:sz w:val="16"/>
              </w:rPr>
              <w:t>Cost year basis (constant dollars)</w:t>
            </w:r>
          </w:p>
        </w:tc>
        <w:tc>
          <w:tcPr>
            <w:tcW w:w="893" w:type="dxa"/>
            <w:shd w:val="clear" w:color="auto" w:fill="F9FCF9"/>
          </w:tcPr>
          <w:p>
            <w:pPr>
              <w:pStyle w:val="TableParagraph"/>
              <w:spacing w:line="159" w:lineRule="exact" w:before="16"/>
              <w:ind w:left="48" w:right="42"/>
              <w:rPr>
                <w:sz w:val="16"/>
              </w:rPr>
            </w:pPr>
            <w:r>
              <w:rPr>
                <w:sz w:val="16"/>
              </w:rPr>
              <w:t>2000</w:t>
            </w:r>
          </w:p>
        </w:tc>
        <w:tc>
          <w:tcPr>
            <w:tcW w:w="893" w:type="dxa"/>
            <w:shd w:val="clear" w:color="auto" w:fill="F9FCF9"/>
          </w:tcPr>
          <w:p>
            <w:pPr>
              <w:pStyle w:val="TableParagraph"/>
              <w:spacing w:line="159" w:lineRule="exact" w:before="16"/>
              <w:ind w:left="48" w:right="43"/>
              <w:rPr>
                <w:sz w:val="16"/>
              </w:rPr>
            </w:pPr>
            <w:r>
              <w:rPr>
                <w:sz w:val="16"/>
              </w:rPr>
              <w:t>2000</w:t>
            </w:r>
          </w:p>
        </w:tc>
        <w:tc>
          <w:tcPr>
            <w:tcW w:w="893" w:type="dxa"/>
            <w:shd w:val="clear" w:color="auto" w:fill="F9FCF9"/>
          </w:tcPr>
          <w:p>
            <w:pPr>
              <w:pStyle w:val="TableParagraph"/>
              <w:spacing w:line="159" w:lineRule="exact" w:before="16"/>
              <w:ind w:left="48" w:right="44"/>
              <w:rPr>
                <w:sz w:val="16"/>
              </w:rPr>
            </w:pPr>
            <w:r>
              <w:rPr>
                <w:sz w:val="16"/>
              </w:rPr>
              <w:t>2000</w:t>
            </w:r>
          </w:p>
        </w:tc>
        <w:tc>
          <w:tcPr>
            <w:tcW w:w="893" w:type="dxa"/>
            <w:shd w:val="clear" w:color="auto" w:fill="F9FCF9"/>
          </w:tcPr>
          <w:p>
            <w:pPr>
              <w:pStyle w:val="TableParagraph"/>
              <w:spacing w:line="159" w:lineRule="exact" w:before="16"/>
              <w:ind w:left="48" w:right="45"/>
              <w:rPr>
                <w:sz w:val="16"/>
              </w:rPr>
            </w:pPr>
            <w:r>
              <w:rPr>
                <w:sz w:val="16"/>
              </w:rPr>
              <w:t>2004</w:t>
            </w:r>
          </w:p>
        </w:tc>
        <w:tc>
          <w:tcPr>
            <w:tcW w:w="893" w:type="dxa"/>
            <w:shd w:val="clear" w:color="auto" w:fill="F9FCF9"/>
          </w:tcPr>
          <w:p>
            <w:pPr>
              <w:pStyle w:val="TableParagraph"/>
              <w:spacing w:line="159" w:lineRule="exact" w:before="16"/>
              <w:ind w:left="48" w:right="45"/>
              <w:rPr>
                <w:sz w:val="16"/>
              </w:rPr>
            </w:pPr>
            <w:r>
              <w:rPr>
                <w:sz w:val="16"/>
              </w:rPr>
              <w:t>2004</w:t>
            </w:r>
          </w:p>
        </w:tc>
        <w:tc>
          <w:tcPr>
            <w:tcW w:w="893" w:type="dxa"/>
            <w:shd w:val="clear" w:color="auto" w:fill="F9FCF9"/>
          </w:tcPr>
          <w:p>
            <w:pPr>
              <w:pStyle w:val="TableParagraph"/>
              <w:spacing w:line="159" w:lineRule="exact" w:before="16"/>
              <w:ind w:left="47" w:right="45"/>
              <w:rPr>
                <w:sz w:val="16"/>
              </w:rPr>
            </w:pPr>
            <w:r>
              <w:rPr>
                <w:sz w:val="16"/>
              </w:rPr>
              <w:t>2002</w:t>
            </w:r>
          </w:p>
        </w:tc>
        <w:tc>
          <w:tcPr>
            <w:tcW w:w="893" w:type="dxa"/>
            <w:shd w:val="clear" w:color="auto" w:fill="F9FCF9"/>
          </w:tcPr>
          <w:p>
            <w:pPr>
              <w:pStyle w:val="TableParagraph"/>
              <w:jc w:val="left"/>
              <w:rPr>
                <w:sz w:val="12"/>
              </w:rPr>
            </w:pPr>
          </w:p>
        </w:tc>
        <w:tc>
          <w:tcPr>
            <w:tcW w:w="933" w:type="dxa"/>
            <w:tcBorders>
              <w:right w:val="double" w:sz="1" w:space="0" w:color="000000"/>
            </w:tcBorders>
            <w:shd w:val="clear" w:color="auto" w:fill="F9FCF9"/>
          </w:tcPr>
          <w:p>
            <w:pPr>
              <w:pStyle w:val="TableParagraph"/>
              <w:jc w:val="left"/>
              <w:rPr>
                <w:sz w:val="12"/>
              </w:rPr>
            </w:pPr>
          </w:p>
        </w:tc>
        <w:tc>
          <w:tcPr>
            <w:tcW w:w="995" w:type="dxa"/>
            <w:tcBorders>
              <w:left w:val="double" w:sz="1" w:space="0" w:color="000000"/>
            </w:tcBorders>
            <w:shd w:val="clear" w:color="auto" w:fill="F9FCF9"/>
          </w:tcPr>
          <w:p>
            <w:pPr>
              <w:pStyle w:val="TableParagraph"/>
              <w:spacing w:line="159" w:lineRule="exact" w:before="16"/>
              <w:ind w:left="146" w:right="116"/>
              <w:rPr>
                <w:sz w:val="16"/>
              </w:rPr>
            </w:pPr>
            <w:r>
              <w:rPr>
                <w:sz w:val="16"/>
              </w:rPr>
              <w:t>2002</w:t>
            </w:r>
          </w:p>
        </w:tc>
        <w:tc>
          <w:tcPr>
            <w:tcW w:w="1033" w:type="dxa"/>
            <w:shd w:val="clear" w:color="auto" w:fill="F9FCF9"/>
          </w:tcPr>
          <w:p>
            <w:pPr>
              <w:pStyle w:val="TableParagraph"/>
              <w:spacing w:line="159" w:lineRule="exact" w:before="16"/>
              <w:ind w:left="18" w:right="18"/>
              <w:rPr>
                <w:sz w:val="16"/>
              </w:rPr>
            </w:pPr>
            <w:r>
              <w:rPr>
                <w:sz w:val="16"/>
              </w:rPr>
              <w:t>2000</w:t>
            </w:r>
          </w:p>
        </w:tc>
        <w:tc>
          <w:tcPr>
            <w:tcW w:w="1937" w:type="dxa"/>
            <w:shd w:val="clear" w:color="auto" w:fill="F9FCF9"/>
          </w:tcPr>
          <w:p>
            <w:pPr>
              <w:pStyle w:val="TableParagraph"/>
              <w:spacing w:line="159" w:lineRule="exact" w:before="16"/>
              <w:ind w:left="316" w:right="316"/>
              <w:rPr>
                <w:sz w:val="16"/>
              </w:rPr>
            </w:pPr>
            <w:r>
              <w:rPr>
                <w:sz w:val="16"/>
              </w:rPr>
              <w:t>2003</w:t>
            </w:r>
          </w:p>
        </w:tc>
      </w:tr>
      <w:tr>
        <w:trPr>
          <w:trHeight w:val="195" w:hRule="atLeast"/>
        </w:trPr>
        <w:tc>
          <w:tcPr>
            <w:tcW w:w="2412" w:type="dxa"/>
            <w:shd w:val="clear" w:color="auto" w:fill="F9FCF9"/>
          </w:tcPr>
          <w:p>
            <w:pPr>
              <w:pStyle w:val="TableParagraph"/>
              <w:spacing w:line="159" w:lineRule="exact" w:before="16"/>
              <w:ind w:left="26"/>
              <w:jc w:val="left"/>
              <w:rPr>
                <w:sz w:val="16"/>
              </w:rPr>
            </w:pPr>
            <w:r>
              <w:rPr>
                <w:sz w:val="16"/>
              </w:rPr>
              <w:t>Fixed charge factor (%)</w:t>
            </w:r>
          </w:p>
        </w:tc>
        <w:tc>
          <w:tcPr>
            <w:tcW w:w="893" w:type="dxa"/>
            <w:shd w:val="clear" w:color="auto" w:fill="F9FCF9"/>
          </w:tcPr>
          <w:p>
            <w:pPr>
              <w:pStyle w:val="TableParagraph"/>
              <w:spacing w:line="159" w:lineRule="exact" w:before="16"/>
              <w:ind w:left="48" w:right="42"/>
              <w:rPr>
                <w:sz w:val="16"/>
              </w:rPr>
            </w:pPr>
            <w:r>
              <w:rPr>
                <w:sz w:val="16"/>
              </w:rPr>
              <w:t>15.5</w:t>
            </w:r>
          </w:p>
        </w:tc>
        <w:tc>
          <w:tcPr>
            <w:tcW w:w="893" w:type="dxa"/>
            <w:shd w:val="clear" w:color="auto" w:fill="F9FCF9"/>
          </w:tcPr>
          <w:p>
            <w:pPr>
              <w:pStyle w:val="TableParagraph"/>
              <w:spacing w:line="159" w:lineRule="exact" w:before="16"/>
              <w:ind w:left="48" w:right="43"/>
              <w:rPr>
                <w:sz w:val="16"/>
              </w:rPr>
            </w:pPr>
            <w:r>
              <w:rPr>
                <w:sz w:val="16"/>
              </w:rPr>
              <w:t>15.5</w:t>
            </w:r>
          </w:p>
        </w:tc>
        <w:tc>
          <w:tcPr>
            <w:tcW w:w="893" w:type="dxa"/>
            <w:shd w:val="clear" w:color="auto" w:fill="F9FCF9"/>
          </w:tcPr>
          <w:p>
            <w:pPr>
              <w:pStyle w:val="TableParagraph"/>
              <w:spacing w:line="159" w:lineRule="exact" w:before="16"/>
              <w:ind w:left="48" w:right="44"/>
              <w:rPr>
                <w:sz w:val="16"/>
              </w:rPr>
            </w:pPr>
            <w:r>
              <w:rPr>
                <w:sz w:val="16"/>
              </w:rPr>
              <w:t>12.7</w:t>
            </w:r>
          </w:p>
        </w:tc>
        <w:tc>
          <w:tcPr>
            <w:tcW w:w="893" w:type="dxa"/>
            <w:shd w:val="clear" w:color="auto" w:fill="F9FCF9"/>
          </w:tcPr>
          <w:p>
            <w:pPr>
              <w:pStyle w:val="TableParagraph"/>
              <w:spacing w:line="159" w:lineRule="exact" w:before="16"/>
              <w:ind w:left="48" w:right="45"/>
              <w:rPr>
                <w:sz w:val="16"/>
              </w:rPr>
            </w:pPr>
            <w:r>
              <w:rPr>
                <w:sz w:val="16"/>
              </w:rPr>
              <w:t>11.0</w:t>
            </w:r>
          </w:p>
        </w:tc>
        <w:tc>
          <w:tcPr>
            <w:tcW w:w="893" w:type="dxa"/>
            <w:shd w:val="clear" w:color="auto" w:fill="F9FCF9"/>
          </w:tcPr>
          <w:p>
            <w:pPr>
              <w:pStyle w:val="TableParagraph"/>
              <w:spacing w:line="159" w:lineRule="exact" w:before="16"/>
              <w:ind w:left="48" w:right="45"/>
              <w:rPr>
                <w:sz w:val="16"/>
              </w:rPr>
            </w:pPr>
            <w:r>
              <w:rPr>
                <w:sz w:val="16"/>
              </w:rPr>
              <w:t>11.0</w:t>
            </w:r>
          </w:p>
        </w:tc>
        <w:tc>
          <w:tcPr>
            <w:tcW w:w="893" w:type="dxa"/>
            <w:shd w:val="clear" w:color="auto" w:fill="F9FCF9"/>
          </w:tcPr>
          <w:p>
            <w:pPr>
              <w:pStyle w:val="TableParagraph"/>
              <w:spacing w:line="159" w:lineRule="exact" w:before="16"/>
              <w:ind w:left="47" w:right="45"/>
              <w:rPr>
                <w:sz w:val="16"/>
              </w:rPr>
            </w:pPr>
            <w:r>
              <w:rPr>
                <w:sz w:val="16"/>
              </w:rPr>
              <w:t>14.8</w:t>
            </w:r>
          </w:p>
        </w:tc>
        <w:tc>
          <w:tcPr>
            <w:tcW w:w="893" w:type="dxa"/>
            <w:shd w:val="clear" w:color="auto" w:fill="F9FCF9"/>
          </w:tcPr>
          <w:p>
            <w:pPr>
              <w:pStyle w:val="TableParagraph"/>
              <w:spacing w:line="159" w:lineRule="exact" w:before="16"/>
              <w:ind w:left="46" w:right="45"/>
              <w:rPr>
                <w:b/>
                <w:sz w:val="16"/>
              </w:rPr>
            </w:pPr>
            <w:r>
              <w:rPr>
                <w:b/>
                <w:sz w:val="16"/>
              </w:rPr>
              <w:t>11.0</w:t>
            </w:r>
          </w:p>
        </w:tc>
        <w:tc>
          <w:tcPr>
            <w:tcW w:w="933" w:type="dxa"/>
            <w:tcBorders>
              <w:right w:val="double" w:sz="1" w:space="0" w:color="000000"/>
            </w:tcBorders>
            <w:shd w:val="clear" w:color="auto" w:fill="F9FCF9"/>
          </w:tcPr>
          <w:p>
            <w:pPr>
              <w:pStyle w:val="TableParagraph"/>
              <w:spacing w:line="159" w:lineRule="exact" w:before="16"/>
              <w:ind w:right="328"/>
              <w:jc w:val="right"/>
              <w:rPr>
                <w:b/>
                <w:sz w:val="16"/>
              </w:rPr>
            </w:pPr>
            <w:r>
              <w:rPr>
                <w:b/>
                <w:sz w:val="16"/>
              </w:rPr>
              <w:t>15.5</w:t>
            </w:r>
          </w:p>
        </w:tc>
        <w:tc>
          <w:tcPr>
            <w:tcW w:w="995" w:type="dxa"/>
            <w:tcBorders>
              <w:left w:val="double" w:sz="1" w:space="0" w:color="000000"/>
            </w:tcBorders>
            <w:shd w:val="clear" w:color="auto" w:fill="F9FCF9"/>
          </w:tcPr>
          <w:p>
            <w:pPr>
              <w:pStyle w:val="TableParagraph"/>
              <w:spacing w:line="159" w:lineRule="exact" w:before="16"/>
              <w:ind w:left="146" w:right="116"/>
              <w:rPr>
                <w:sz w:val="16"/>
              </w:rPr>
            </w:pPr>
            <w:r>
              <w:rPr>
                <w:sz w:val="16"/>
              </w:rPr>
              <w:t>14.8</w:t>
            </w:r>
          </w:p>
        </w:tc>
        <w:tc>
          <w:tcPr>
            <w:tcW w:w="1033" w:type="dxa"/>
            <w:shd w:val="clear" w:color="auto" w:fill="F9FCF9"/>
          </w:tcPr>
          <w:p>
            <w:pPr>
              <w:pStyle w:val="TableParagraph"/>
              <w:spacing w:line="159" w:lineRule="exact" w:before="16"/>
              <w:ind w:left="18" w:right="18"/>
              <w:rPr>
                <w:sz w:val="16"/>
              </w:rPr>
            </w:pPr>
            <w:r>
              <w:rPr>
                <w:sz w:val="16"/>
              </w:rPr>
              <w:t>15.0</w:t>
            </w:r>
          </w:p>
        </w:tc>
        <w:tc>
          <w:tcPr>
            <w:tcW w:w="1937" w:type="dxa"/>
            <w:shd w:val="clear" w:color="auto" w:fill="F9FCF9"/>
          </w:tcPr>
          <w:p>
            <w:pPr>
              <w:pStyle w:val="TableParagraph"/>
              <w:jc w:val="left"/>
              <w:rPr>
                <w:sz w:val="12"/>
              </w:rPr>
            </w:pPr>
          </w:p>
        </w:tc>
      </w:tr>
      <w:tr>
        <w:trPr>
          <w:trHeight w:val="195" w:hRule="atLeast"/>
        </w:trPr>
        <w:tc>
          <w:tcPr>
            <w:tcW w:w="2412" w:type="dxa"/>
            <w:shd w:val="clear" w:color="auto" w:fill="F9FCF9"/>
          </w:tcPr>
          <w:p>
            <w:pPr>
              <w:pStyle w:val="TableParagraph"/>
              <w:spacing w:line="159" w:lineRule="exact" w:before="16"/>
              <w:ind w:left="26"/>
              <w:jc w:val="left"/>
              <w:rPr>
                <w:sz w:val="16"/>
              </w:rPr>
            </w:pPr>
            <w:r>
              <w:rPr>
                <w:sz w:val="16"/>
              </w:rPr>
              <w:t>Reference plant TCR (US$ kW</w:t>
            </w:r>
            <w:r>
              <w:rPr>
                <w:position w:val="5"/>
                <w:sz w:val="9"/>
              </w:rPr>
              <w:t>-1</w:t>
            </w:r>
            <w:r>
              <w:rPr>
                <w:sz w:val="16"/>
              </w:rPr>
              <w:t>)</w:t>
            </w:r>
          </w:p>
        </w:tc>
        <w:tc>
          <w:tcPr>
            <w:tcW w:w="893" w:type="dxa"/>
            <w:shd w:val="clear" w:color="auto" w:fill="F9FCF9"/>
          </w:tcPr>
          <w:p>
            <w:pPr>
              <w:pStyle w:val="TableParagraph"/>
              <w:spacing w:line="159" w:lineRule="exact" w:before="16"/>
              <w:ind w:left="48" w:right="42"/>
              <w:rPr>
                <w:sz w:val="16"/>
              </w:rPr>
            </w:pPr>
            <w:r>
              <w:rPr>
                <w:sz w:val="16"/>
              </w:rPr>
              <w:t>1281</w:t>
            </w:r>
          </w:p>
        </w:tc>
        <w:tc>
          <w:tcPr>
            <w:tcW w:w="893" w:type="dxa"/>
            <w:shd w:val="clear" w:color="auto" w:fill="F9FCF9"/>
          </w:tcPr>
          <w:p>
            <w:pPr>
              <w:pStyle w:val="TableParagraph"/>
              <w:spacing w:line="159" w:lineRule="exact" w:before="16"/>
              <w:ind w:left="48" w:right="43"/>
              <w:rPr>
                <w:sz w:val="16"/>
              </w:rPr>
            </w:pPr>
            <w:r>
              <w:rPr>
                <w:sz w:val="16"/>
              </w:rPr>
              <w:t>1161</w:t>
            </w:r>
          </w:p>
        </w:tc>
        <w:tc>
          <w:tcPr>
            <w:tcW w:w="893" w:type="dxa"/>
            <w:shd w:val="clear" w:color="auto" w:fill="F9FCF9"/>
          </w:tcPr>
          <w:p>
            <w:pPr>
              <w:pStyle w:val="TableParagraph"/>
              <w:spacing w:line="159" w:lineRule="exact" w:before="16"/>
              <w:ind w:left="48" w:right="44"/>
              <w:rPr>
                <w:sz w:val="16"/>
              </w:rPr>
            </w:pPr>
            <w:r>
              <w:rPr>
                <w:sz w:val="16"/>
              </w:rPr>
              <w:t>1486</w:t>
            </w:r>
          </w:p>
        </w:tc>
        <w:tc>
          <w:tcPr>
            <w:tcW w:w="893" w:type="dxa"/>
            <w:shd w:val="clear" w:color="auto" w:fill="F9FCF9"/>
          </w:tcPr>
          <w:p>
            <w:pPr>
              <w:pStyle w:val="TableParagraph"/>
              <w:spacing w:line="159" w:lineRule="exact" w:before="16"/>
              <w:ind w:left="48" w:right="45"/>
              <w:rPr>
                <w:sz w:val="16"/>
              </w:rPr>
            </w:pPr>
            <w:r>
              <w:rPr>
                <w:sz w:val="16"/>
              </w:rPr>
              <w:t>1319</w:t>
            </w:r>
          </w:p>
        </w:tc>
        <w:tc>
          <w:tcPr>
            <w:tcW w:w="893" w:type="dxa"/>
            <w:shd w:val="clear" w:color="auto" w:fill="F9FCF9"/>
          </w:tcPr>
          <w:p>
            <w:pPr>
              <w:pStyle w:val="TableParagraph"/>
              <w:spacing w:line="159" w:lineRule="exact" w:before="16"/>
              <w:ind w:left="48" w:right="45"/>
              <w:rPr>
                <w:sz w:val="16"/>
              </w:rPr>
            </w:pPr>
            <w:r>
              <w:rPr>
                <w:sz w:val="16"/>
              </w:rPr>
              <w:t>1265</w:t>
            </w:r>
          </w:p>
        </w:tc>
        <w:tc>
          <w:tcPr>
            <w:tcW w:w="893" w:type="dxa"/>
            <w:shd w:val="clear" w:color="auto" w:fill="F9FCF9"/>
          </w:tcPr>
          <w:p>
            <w:pPr>
              <w:pStyle w:val="TableParagraph"/>
              <w:spacing w:line="159" w:lineRule="exact" w:before="16"/>
              <w:ind w:left="47" w:right="45"/>
              <w:rPr>
                <w:sz w:val="16"/>
              </w:rPr>
            </w:pPr>
            <w:r>
              <w:rPr>
                <w:sz w:val="16"/>
              </w:rPr>
              <w:t>1205</w:t>
            </w:r>
          </w:p>
        </w:tc>
        <w:tc>
          <w:tcPr>
            <w:tcW w:w="893" w:type="dxa"/>
            <w:shd w:val="clear" w:color="auto" w:fill="F9FCF9"/>
          </w:tcPr>
          <w:p>
            <w:pPr>
              <w:pStyle w:val="TableParagraph"/>
              <w:spacing w:line="159" w:lineRule="exact" w:before="16"/>
              <w:ind w:left="286"/>
              <w:jc w:val="left"/>
              <w:rPr>
                <w:b/>
                <w:sz w:val="16"/>
              </w:rPr>
            </w:pPr>
            <w:r>
              <w:rPr>
                <w:b/>
                <w:sz w:val="16"/>
              </w:rPr>
              <w:t>1161</w:t>
            </w:r>
          </w:p>
        </w:tc>
        <w:tc>
          <w:tcPr>
            <w:tcW w:w="933" w:type="dxa"/>
            <w:tcBorders>
              <w:right w:val="double" w:sz="1" w:space="0" w:color="000000"/>
            </w:tcBorders>
            <w:shd w:val="clear" w:color="auto" w:fill="F9FCF9"/>
          </w:tcPr>
          <w:p>
            <w:pPr>
              <w:pStyle w:val="TableParagraph"/>
              <w:spacing w:line="159" w:lineRule="exact" w:before="16"/>
              <w:ind w:right="308"/>
              <w:jc w:val="right"/>
              <w:rPr>
                <w:b/>
                <w:sz w:val="16"/>
              </w:rPr>
            </w:pPr>
            <w:r>
              <w:rPr>
                <w:b/>
                <w:sz w:val="16"/>
              </w:rPr>
              <w:t>1486</w:t>
            </w:r>
          </w:p>
        </w:tc>
        <w:tc>
          <w:tcPr>
            <w:tcW w:w="995" w:type="dxa"/>
            <w:tcBorders>
              <w:left w:val="double" w:sz="1" w:space="0" w:color="000000"/>
            </w:tcBorders>
            <w:shd w:val="clear" w:color="auto" w:fill="F9FCF9"/>
          </w:tcPr>
          <w:p>
            <w:pPr>
              <w:pStyle w:val="TableParagraph"/>
              <w:spacing w:line="159" w:lineRule="exact" w:before="16"/>
              <w:ind w:left="146" w:right="116"/>
              <w:rPr>
                <w:sz w:val="16"/>
              </w:rPr>
            </w:pPr>
            <w:r>
              <w:rPr>
                <w:sz w:val="16"/>
              </w:rPr>
              <w:t>1268</w:t>
            </w:r>
          </w:p>
        </w:tc>
        <w:tc>
          <w:tcPr>
            <w:tcW w:w="1033" w:type="dxa"/>
            <w:shd w:val="clear" w:color="auto" w:fill="F9FCF9"/>
          </w:tcPr>
          <w:p>
            <w:pPr>
              <w:pStyle w:val="TableParagraph"/>
              <w:spacing w:line="159" w:lineRule="exact" w:before="16"/>
              <w:ind w:left="18" w:right="18"/>
              <w:rPr>
                <w:sz w:val="16"/>
              </w:rPr>
            </w:pPr>
            <w:r>
              <w:rPr>
                <w:sz w:val="16"/>
              </w:rPr>
              <w:t>1236</w:t>
            </w:r>
          </w:p>
        </w:tc>
        <w:tc>
          <w:tcPr>
            <w:tcW w:w="1937" w:type="dxa"/>
            <w:shd w:val="clear" w:color="auto" w:fill="F9FCF9"/>
          </w:tcPr>
          <w:p>
            <w:pPr>
              <w:pStyle w:val="TableParagraph"/>
              <w:spacing w:line="159" w:lineRule="exact" w:before="16"/>
              <w:ind w:left="316" w:right="316"/>
              <w:rPr>
                <w:sz w:val="16"/>
              </w:rPr>
            </w:pPr>
            <w:r>
              <w:rPr>
                <w:sz w:val="16"/>
              </w:rPr>
              <w:t>1891</w:t>
            </w:r>
          </w:p>
        </w:tc>
      </w:tr>
      <w:tr>
        <w:trPr>
          <w:trHeight w:val="195" w:hRule="atLeast"/>
        </w:trPr>
        <w:tc>
          <w:tcPr>
            <w:tcW w:w="2412" w:type="dxa"/>
            <w:shd w:val="clear" w:color="auto" w:fill="F9FCF9"/>
          </w:tcPr>
          <w:p>
            <w:pPr>
              <w:pStyle w:val="TableParagraph"/>
              <w:spacing w:line="159" w:lineRule="exact" w:before="16"/>
              <w:ind w:left="26"/>
              <w:jc w:val="left"/>
              <w:rPr>
                <w:sz w:val="16"/>
              </w:rPr>
            </w:pPr>
            <w:r>
              <w:rPr>
                <w:sz w:val="16"/>
              </w:rPr>
              <w:t>Capture plant TCR (US$ kW</w:t>
            </w:r>
            <w:r>
              <w:rPr>
                <w:position w:val="5"/>
                <w:sz w:val="9"/>
              </w:rPr>
              <w:t>-1</w:t>
            </w:r>
            <w:r>
              <w:rPr>
                <w:sz w:val="16"/>
              </w:rPr>
              <w:t>)</w:t>
            </w:r>
          </w:p>
        </w:tc>
        <w:tc>
          <w:tcPr>
            <w:tcW w:w="893" w:type="dxa"/>
            <w:shd w:val="clear" w:color="auto" w:fill="F9FCF9"/>
          </w:tcPr>
          <w:p>
            <w:pPr>
              <w:pStyle w:val="TableParagraph"/>
              <w:spacing w:line="159" w:lineRule="exact" w:before="16"/>
              <w:ind w:left="48" w:right="42"/>
              <w:rPr>
                <w:sz w:val="16"/>
              </w:rPr>
            </w:pPr>
            <w:r>
              <w:rPr>
                <w:sz w:val="16"/>
              </w:rPr>
              <w:t>2219</w:t>
            </w:r>
          </w:p>
        </w:tc>
        <w:tc>
          <w:tcPr>
            <w:tcW w:w="893" w:type="dxa"/>
            <w:shd w:val="clear" w:color="auto" w:fill="F9FCF9"/>
          </w:tcPr>
          <w:p>
            <w:pPr>
              <w:pStyle w:val="TableParagraph"/>
              <w:spacing w:line="159" w:lineRule="exact" w:before="16"/>
              <w:ind w:left="48" w:right="43"/>
              <w:rPr>
                <w:sz w:val="16"/>
              </w:rPr>
            </w:pPr>
            <w:r>
              <w:rPr>
                <w:sz w:val="16"/>
              </w:rPr>
              <w:t>1943</w:t>
            </w:r>
          </w:p>
        </w:tc>
        <w:tc>
          <w:tcPr>
            <w:tcW w:w="893" w:type="dxa"/>
            <w:shd w:val="clear" w:color="auto" w:fill="F9FCF9"/>
          </w:tcPr>
          <w:p>
            <w:pPr>
              <w:pStyle w:val="TableParagraph"/>
              <w:spacing w:line="159" w:lineRule="exact" w:before="16"/>
              <w:ind w:left="48" w:right="44"/>
              <w:rPr>
                <w:sz w:val="16"/>
              </w:rPr>
            </w:pPr>
            <w:r>
              <w:rPr>
                <w:sz w:val="16"/>
              </w:rPr>
              <w:t>2578</w:t>
            </w:r>
          </w:p>
        </w:tc>
        <w:tc>
          <w:tcPr>
            <w:tcW w:w="893" w:type="dxa"/>
            <w:shd w:val="clear" w:color="auto" w:fill="F9FCF9"/>
          </w:tcPr>
          <w:p>
            <w:pPr>
              <w:pStyle w:val="TableParagraph"/>
              <w:spacing w:line="159" w:lineRule="exact" w:before="16"/>
              <w:ind w:left="48" w:right="45"/>
              <w:rPr>
                <w:sz w:val="16"/>
              </w:rPr>
            </w:pPr>
            <w:r>
              <w:rPr>
                <w:sz w:val="16"/>
              </w:rPr>
              <w:t>1894</w:t>
            </w:r>
          </w:p>
        </w:tc>
        <w:tc>
          <w:tcPr>
            <w:tcW w:w="893" w:type="dxa"/>
            <w:shd w:val="clear" w:color="auto" w:fill="F9FCF9"/>
          </w:tcPr>
          <w:p>
            <w:pPr>
              <w:pStyle w:val="TableParagraph"/>
              <w:spacing w:line="159" w:lineRule="exact" w:before="16"/>
              <w:ind w:left="48" w:right="45"/>
              <w:rPr>
                <w:sz w:val="16"/>
              </w:rPr>
            </w:pPr>
            <w:r>
              <w:rPr>
                <w:sz w:val="16"/>
              </w:rPr>
              <w:t>2007</w:t>
            </w:r>
          </w:p>
        </w:tc>
        <w:tc>
          <w:tcPr>
            <w:tcW w:w="893" w:type="dxa"/>
            <w:shd w:val="clear" w:color="auto" w:fill="F9FCF9"/>
          </w:tcPr>
          <w:p>
            <w:pPr>
              <w:pStyle w:val="TableParagraph"/>
              <w:spacing w:line="159" w:lineRule="exact" w:before="16"/>
              <w:ind w:left="47" w:right="45"/>
              <w:rPr>
                <w:sz w:val="16"/>
              </w:rPr>
            </w:pPr>
            <w:r>
              <w:rPr>
                <w:sz w:val="16"/>
              </w:rPr>
              <w:t>1936</w:t>
            </w:r>
          </w:p>
        </w:tc>
        <w:tc>
          <w:tcPr>
            <w:tcW w:w="893" w:type="dxa"/>
            <w:shd w:val="clear" w:color="auto" w:fill="F9FCF9"/>
          </w:tcPr>
          <w:p>
            <w:pPr>
              <w:pStyle w:val="TableParagraph"/>
              <w:spacing w:line="159" w:lineRule="exact" w:before="16"/>
              <w:ind w:left="282"/>
              <w:jc w:val="left"/>
              <w:rPr>
                <w:b/>
                <w:sz w:val="16"/>
              </w:rPr>
            </w:pPr>
            <w:r>
              <w:rPr>
                <w:b/>
                <w:sz w:val="16"/>
              </w:rPr>
              <w:t>1894</w:t>
            </w:r>
          </w:p>
        </w:tc>
        <w:tc>
          <w:tcPr>
            <w:tcW w:w="933" w:type="dxa"/>
            <w:tcBorders>
              <w:right w:val="double" w:sz="1" w:space="0" w:color="000000"/>
            </w:tcBorders>
            <w:shd w:val="clear" w:color="auto" w:fill="F9FCF9"/>
          </w:tcPr>
          <w:p>
            <w:pPr>
              <w:pStyle w:val="TableParagraph"/>
              <w:spacing w:line="159" w:lineRule="exact" w:before="16"/>
              <w:ind w:right="308"/>
              <w:jc w:val="right"/>
              <w:rPr>
                <w:b/>
                <w:sz w:val="16"/>
              </w:rPr>
            </w:pPr>
            <w:r>
              <w:rPr>
                <w:b/>
                <w:sz w:val="16"/>
              </w:rPr>
              <w:t>2578</w:t>
            </w:r>
          </w:p>
        </w:tc>
        <w:tc>
          <w:tcPr>
            <w:tcW w:w="995" w:type="dxa"/>
            <w:tcBorders>
              <w:left w:val="double" w:sz="1" w:space="0" w:color="000000"/>
            </w:tcBorders>
            <w:shd w:val="clear" w:color="auto" w:fill="F9FCF9"/>
          </w:tcPr>
          <w:p>
            <w:pPr>
              <w:pStyle w:val="TableParagraph"/>
              <w:spacing w:line="159" w:lineRule="exact" w:before="16"/>
              <w:ind w:left="146" w:right="116"/>
              <w:rPr>
                <w:sz w:val="16"/>
              </w:rPr>
            </w:pPr>
            <w:r>
              <w:rPr>
                <w:sz w:val="16"/>
              </w:rPr>
              <w:t>2373</w:t>
            </w:r>
          </w:p>
        </w:tc>
        <w:tc>
          <w:tcPr>
            <w:tcW w:w="1033" w:type="dxa"/>
            <w:shd w:val="clear" w:color="auto" w:fill="F9FCF9"/>
          </w:tcPr>
          <w:p>
            <w:pPr>
              <w:pStyle w:val="TableParagraph"/>
              <w:spacing w:line="159" w:lineRule="exact" w:before="16"/>
              <w:ind w:left="18" w:right="18"/>
              <w:rPr>
                <w:sz w:val="16"/>
              </w:rPr>
            </w:pPr>
            <w:r>
              <w:rPr>
                <w:sz w:val="16"/>
              </w:rPr>
              <w:t>2163</w:t>
            </w:r>
          </w:p>
        </w:tc>
        <w:tc>
          <w:tcPr>
            <w:tcW w:w="1937" w:type="dxa"/>
            <w:shd w:val="clear" w:color="auto" w:fill="F9FCF9"/>
          </w:tcPr>
          <w:p>
            <w:pPr>
              <w:pStyle w:val="TableParagraph"/>
              <w:spacing w:line="159" w:lineRule="exact" w:before="16"/>
              <w:ind w:left="316" w:right="316"/>
              <w:rPr>
                <w:sz w:val="16"/>
              </w:rPr>
            </w:pPr>
            <w:r>
              <w:rPr>
                <w:sz w:val="16"/>
              </w:rPr>
              <w:t>3252</w:t>
            </w:r>
          </w:p>
        </w:tc>
      </w:tr>
      <w:tr>
        <w:trPr>
          <w:trHeight w:val="375" w:hRule="atLeast"/>
        </w:trPr>
        <w:tc>
          <w:tcPr>
            <w:tcW w:w="2412" w:type="dxa"/>
            <w:shd w:val="clear" w:color="auto" w:fill="F9FCF9"/>
          </w:tcPr>
          <w:p>
            <w:pPr>
              <w:pStyle w:val="TableParagraph"/>
              <w:spacing w:line="180" w:lineRule="exact" w:before="21"/>
              <w:ind w:left="26" w:right="503"/>
              <w:jc w:val="left"/>
              <w:rPr>
                <w:sz w:val="16"/>
              </w:rPr>
            </w:pPr>
            <w:r>
              <w:rPr>
                <w:sz w:val="16"/>
              </w:rPr>
              <w:t>Incremental TCR for capture (US$ kW</w:t>
            </w:r>
            <w:r>
              <w:rPr>
                <w:position w:val="5"/>
                <w:sz w:val="9"/>
              </w:rPr>
              <w:t>-1</w:t>
            </w:r>
            <w:r>
              <w:rPr>
                <w:sz w:val="16"/>
              </w:rPr>
              <w:t>)</w:t>
            </w:r>
          </w:p>
        </w:tc>
        <w:tc>
          <w:tcPr>
            <w:tcW w:w="893" w:type="dxa"/>
            <w:shd w:val="clear" w:color="auto" w:fill="F9FCF9"/>
          </w:tcPr>
          <w:p>
            <w:pPr>
              <w:pStyle w:val="TableParagraph"/>
              <w:spacing w:before="16"/>
              <w:ind w:left="48" w:right="42"/>
              <w:rPr>
                <w:sz w:val="16"/>
              </w:rPr>
            </w:pPr>
            <w:r>
              <w:rPr>
                <w:sz w:val="16"/>
              </w:rPr>
              <w:t>938</w:t>
            </w:r>
          </w:p>
        </w:tc>
        <w:tc>
          <w:tcPr>
            <w:tcW w:w="893" w:type="dxa"/>
            <w:shd w:val="clear" w:color="auto" w:fill="F9FCF9"/>
          </w:tcPr>
          <w:p>
            <w:pPr>
              <w:pStyle w:val="TableParagraph"/>
              <w:spacing w:before="16"/>
              <w:ind w:left="48" w:right="43"/>
              <w:rPr>
                <w:sz w:val="16"/>
              </w:rPr>
            </w:pPr>
            <w:r>
              <w:rPr>
                <w:sz w:val="16"/>
              </w:rPr>
              <w:t>782</w:t>
            </w:r>
          </w:p>
        </w:tc>
        <w:tc>
          <w:tcPr>
            <w:tcW w:w="893" w:type="dxa"/>
            <w:shd w:val="clear" w:color="auto" w:fill="F9FCF9"/>
          </w:tcPr>
          <w:p>
            <w:pPr>
              <w:pStyle w:val="TableParagraph"/>
              <w:spacing w:before="16"/>
              <w:ind w:left="48" w:right="44"/>
              <w:rPr>
                <w:sz w:val="16"/>
              </w:rPr>
            </w:pPr>
            <w:r>
              <w:rPr>
                <w:sz w:val="16"/>
              </w:rPr>
              <w:t>1092</w:t>
            </w:r>
          </w:p>
        </w:tc>
        <w:tc>
          <w:tcPr>
            <w:tcW w:w="893" w:type="dxa"/>
            <w:shd w:val="clear" w:color="auto" w:fill="F9FCF9"/>
          </w:tcPr>
          <w:p>
            <w:pPr>
              <w:pStyle w:val="TableParagraph"/>
              <w:spacing w:before="16"/>
              <w:ind w:left="48" w:right="45"/>
              <w:rPr>
                <w:sz w:val="16"/>
              </w:rPr>
            </w:pPr>
            <w:r>
              <w:rPr>
                <w:sz w:val="16"/>
              </w:rPr>
              <w:t>575</w:t>
            </w:r>
          </w:p>
        </w:tc>
        <w:tc>
          <w:tcPr>
            <w:tcW w:w="893" w:type="dxa"/>
            <w:shd w:val="clear" w:color="auto" w:fill="F9FCF9"/>
          </w:tcPr>
          <w:p>
            <w:pPr>
              <w:pStyle w:val="TableParagraph"/>
              <w:spacing w:before="16"/>
              <w:ind w:left="48" w:right="45"/>
              <w:rPr>
                <w:sz w:val="16"/>
              </w:rPr>
            </w:pPr>
            <w:r>
              <w:rPr>
                <w:sz w:val="16"/>
              </w:rPr>
              <w:t>742</w:t>
            </w:r>
          </w:p>
        </w:tc>
        <w:tc>
          <w:tcPr>
            <w:tcW w:w="893" w:type="dxa"/>
            <w:shd w:val="clear" w:color="auto" w:fill="F9FCF9"/>
          </w:tcPr>
          <w:p>
            <w:pPr>
              <w:pStyle w:val="TableParagraph"/>
              <w:spacing w:before="16"/>
              <w:ind w:left="47" w:right="45"/>
              <w:rPr>
                <w:sz w:val="16"/>
              </w:rPr>
            </w:pPr>
            <w:r>
              <w:rPr>
                <w:sz w:val="16"/>
              </w:rPr>
              <w:t>731</w:t>
            </w:r>
          </w:p>
        </w:tc>
        <w:tc>
          <w:tcPr>
            <w:tcW w:w="893" w:type="dxa"/>
            <w:shd w:val="clear" w:color="auto" w:fill="F9FCF9"/>
          </w:tcPr>
          <w:p>
            <w:pPr>
              <w:pStyle w:val="TableParagraph"/>
              <w:spacing w:before="16"/>
              <w:ind w:left="46" w:right="45"/>
              <w:rPr>
                <w:b/>
                <w:sz w:val="16"/>
              </w:rPr>
            </w:pPr>
            <w:r>
              <w:rPr>
                <w:b/>
                <w:sz w:val="16"/>
              </w:rPr>
              <w:t>575</w:t>
            </w:r>
          </w:p>
        </w:tc>
        <w:tc>
          <w:tcPr>
            <w:tcW w:w="933" w:type="dxa"/>
            <w:tcBorders>
              <w:right w:val="double" w:sz="1" w:space="0" w:color="000000"/>
            </w:tcBorders>
            <w:shd w:val="clear" w:color="auto" w:fill="F9FCF9"/>
          </w:tcPr>
          <w:p>
            <w:pPr>
              <w:pStyle w:val="TableParagraph"/>
              <w:spacing w:before="16"/>
              <w:ind w:right="308"/>
              <w:jc w:val="right"/>
              <w:rPr>
                <w:b/>
                <w:sz w:val="16"/>
              </w:rPr>
            </w:pPr>
            <w:r>
              <w:rPr>
                <w:b/>
                <w:sz w:val="16"/>
              </w:rPr>
              <w:t>1092</w:t>
            </w:r>
          </w:p>
        </w:tc>
        <w:tc>
          <w:tcPr>
            <w:tcW w:w="995" w:type="dxa"/>
            <w:tcBorders>
              <w:left w:val="double" w:sz="1" w:space="0" w:color="000000"/>
            </w:tcBorders>
            <w:shd w:val="clear" w:color="auto" w:fill="F9FCF9"/>
          </w:tcPr>
          <w:p>
            <w:pPr>
              <w:pStyle w:val="TableParagraph"/>
              <w:spacing w:before="16"/>
              <w:ind w:left="146" w:right="116"/>
              <w:rPr>
                <w:sz w:val="16"/>
              </w:rPr>
            </w:pPr>
            <w:r>
              <w:rPr>
                <w:sz w:val="16"/>
              </w:rPr>
              <w:t>1105</w:t>
            </w:r>
          </w:p>
        </w:tc>
        <w:tc>
          <w:tcPr>
            <w:tcW w:w="1033" w:type="dxa"/>
            <w:shd w:val="clear" w:color="auto" w:fill="F9FCF9"/>
          </w:tcPr>
          <w:p>
            <w:pPr>
              <w:pStyle w:val="TableParagraph"/>
              <w:spacing w:before="16"/>
              <w:ind w:left="18" w:right="18"/>
              <w:rPr>
                <w:sz w:val="16"/>
              </w:rPr>
            </w:pPr>
            <w:r>
              <w:rPr>
                <w:sz w:val="16"/>
              </w:rPr>
              <w:t>927</w:t>
            </w:r>
          </w:p>
        </w:tc>
        <w:tc>
          <w:tcPr>
            <w:tcW w:w="1937" w:type="dxa"/>
            <w:shd w:val="clear" w:color="auto" w:fill="F9FCF9"/>
          </w:tcPr>
          <w:p>
            <w:pPr>
              <w:pStyle w:val="TableParagraph"/>
              <w:spacing w:before="16"/>
              <w:ind w:left="316" w:right="316"/>
              <w:rPr>
                <w:sz w:val="16"/>
              </w:rPr>
            </w:pPr>
            <w:r>
              <w:rPr>
                <w:sz w:val="16"/>
              </w:rPr>
              <w:t>1361</w:t>
            </w:r>
          </w:p>
        </w:tc>
      </w:tr>
      <w:tr>
        <w:trPr>
          <w:trHeight w:val="369" w:hRule="atLeast"/>
        </w:trPr>
        <w:tc>
          <w:tcPr>
            <w:tcW w:w="2412" w:type="dxa"/>
            <w:shd w:val="clear" w:color="auto" w:fill="F9FCF9"/>
          </w:tcPr>
          <w:p>
            <w:pPr>
              <w:pStyle w:val="TableParagraph"/>
              <w:spacing w:line="180" w:lineRule="exact" w:before="15"/>
              <w:ind w:left="26" w:right="418"/>
              <w:jc w:val="left"/>
              <w:rPr>
                <w:b/>
                <w:sz w:val="16"/>
              </w:rPr>
            </w:pPr>
            <w:r>
              <w:rPr>
                <w:b/>
                <w:sz w:val="16"/>
              </w:rPr>
              <w:t>Reference plant COE (uS$ mWh</w:t>
            </w:r>
            <w:r>
              <w:rPr>
                <w:b/>
                <w:position w:val="5"/>
                <w:sz w:val="9"/>
              </w:rPr>
              <w:t>1</w:t>
            </w:r>
            <w:r>
              <w:rPr>
                <w:b/>
                <w:sz w:val="16"/>
              </w:rPr>
              <w:t>)</w:t>
            </w:r>
          </w:p>
        </w:tc>
        <w:tc>
          <w:tcPr>
            <w:tcW w:w="893" w:type="dxa"/>
            <w:shd w:val="clear" w:color="auto" w:fill="F9FCF9"/>
          </w:tcPr>
          <w:p>
            <w:pPr>
              <w:pStyle w:val="TableParagraph"/>
              <w:spacing w:before="10"/>
              <w:ind w:left="48" w:right="42"/>
              <w:rPr>
                <w:b/>
                <w:sz w:val="16"/>
              </w:rPr>
            </w:pPr>
            <w:r>
              <w:rPr>
                <w:b/>
                <w:sz w:val="16"/>
              </w:rPr>
              <w:t>51.5</w:t>
            </w:r>
          </w:p>
        </w:tc>
        <w:tc>
          <w:tcPr>
            <w:tcW w:w="893" w:type="dxa"/>
            <w:shd w:val="clear" w:color="auto" w:fill="F9FCF9"/>
          </w:tcPr>
          <w:p>
            <w:pPr>
              <w:pStyle w:val="TableParagraph"/>
              <w:spacing w:before="10"/>
              <w:ind w:left="48" w:right="43"/>
              <w:rPr>
                <w:b/>
                <w:sz w:val="16"/>
              </w:rPr>
            </w:pPr>
            <w:r>
              <w:rPr>
                <w:b/>
                <w:sz w:val="16"/>
              </w:rPr>
              <w:t>51.0</w:t>
            </w:r>
          </w:p>
        </w:tc>
        <w:tc>
          <w:tcPr>
            <w:tcW w:w="893" w:type="dxa"/>
            <w:shd w:val="clear" w:color="auto" w:fill="F9FCF9"/>
          </w:tcPr>
          <w:p>
            <w:pPr>
              <w:pStyle w:val="TableParagraph"/>
              <w:spacing w:before="10"/>
              <w:ind w:left="48" w:right="44"/>
              <w:rPr>
                <w:b/>
                <w:sz w:val="16"/>
              </w:rPr>
            </w:pPr>
            <w:r>
              <w:rPr>
                <w:b/>
                <w:sz w:val="16"/>
              </w:rPr>
              <w:t>42.9</w:t>
            </w:r>
          </w:p>
        </w:tc>
        <w:tc>
          <w:tcPr>
            <w:tcW w:w="893" w:type="dxa"/>
            <w:shd w:val="clear" w:color="auto" w:fill="F9FCF9"/>
          </w:tcPr>
          <w:p>
            <w:pPr>
              <w:pStyle w:val="TableParagraph"/>
              <w:spacing w:before="10"/>
              <w:ind w:left="48" w:right="45"/>
              <w:rPr>
                <w:b/>
                <w:sz w:val="16"/>
              </w:rPr>
            </w:pPr>
            <w:r>
              <w:rPr>
                <w:b/>
                <w:sz w:val="16"/>
              </w:rPr>
              <w:t>43.9</w:t>
            </w:r>
          </w:p>
        </w:tc>
        <w:tc>
          <w:tcPr>
            <w:tcW w:w="893" w:type="dxa"/>
            <w:shd w:val="clear" w:color="auto" w:fill="F9FCF9"/>
          </w:tcPr>
          <w:p>
            <w:pPr>
              <w:pStyle w:val="TableParagraph"/>
              <w:spacing w:before="10"/>
              <w:ind w:left="48" w:right="45"/>
              <w:rPr>
                <w:b/>
                <w:sz w:val="16"/>
              </w:rPr>
            </w:pPr>
            <w:r>
              <w:rPr>
                <w:b/>
                <w:sz w:val="16"/>
              </w:rPr>
              <w:t>42.8</w:t>
            </w:r>
          </w:p>
        </w:tc>
        <w:tc>
          <w:tcPr>
            <w:tcW w:w="893" w:type="dxa"/>
            <w:shd w:val="clear" w:color="auto" w:fill="F9FCF9"/>
          </w:tcPr>
          <w:p>
            <w:pPr>
              <w:pStyle w:val="TableParagraph"/>
              <w:spacing w:before="10"/>
              <w:ind w:left="47" w:right="45"/>
              <w:rPr>
                <w:b/>
                <w:sz w:val="16"/>
              </w:rPr>
            </w:pPr>
            <w:r>
              <w:rPr>
                <w:b/>
                <w:sz w:val="16"/>
              </w:rPr>
              <w:t>46.1</w:t>
            </w:r>
          </w:p>
        </w:tc>
        <w:tc>
          <w:tcPr>
            <w:tcW w:w="893" w:type="dxa"/>
            <w:shd w:val="clear" w:color="auto" w:fill="F9FCF9"/>
          </w:tcPr>
          <w:p>
            <w:pPr>
              <w:pStyle w:val="TableParagraph"/>
              <w:spacing w:before="10"/>
              <w:ind w:left="46" w:right="45"/>
              <w:rPr>
                <w:b/>
                <w:sz w:val="16"/>
              </w:rPr>
            </w:pPr>
            <w:r>
              <w:rPr>
                <w:b/>
                <w:sz w:val="16"/>
              </w:rPr>
              <w:t>43</w:t>
            </w:r>
          </w:p>
        </w:tc>
        <w:tc>
          <w:tcPr>
            <w:tcW w:w="933" w:type="dxa"/>
            <w:tcBorders>
              <w:right w:val="double" w:sz="1" w:space="0" w:color="000000"/>
            </w:tcBorders>
            <w:shd w:val="clear" w:color="auto" w:fill="F9FCF9"/>
          </w:tcPr>
          <w:p>
            <w:pPr>
              <w:pStyle w:val="TableParagraph"/>
              <w:spacing w:before="10"/>
              <w:ind w:left="303" w:right="329"/>
              <w:rPr>
                <w:b/>
                <w:sz w:val="16"/>
              </w:rPr>
            </w:pPr>
            <w:r>
              <w:rPr>
                <w:b/>
                <w:sz w:val="16"/>
              </w:rPr>
              <w:t>52</w:t>
            </w:r>
          </w:p>
        </w:tc>
        <w:tc>
          <w:tcPr>
            <w:tcW w:w="995" w:type="dxa"/>
            <w:tcBorders>
              <w:left w:val="double" w:sz="1" w:space="0" w:color="000000"/>
            </w:tcBorders>
            <w:shd w:val="clear" w:color="auto" w:fill="F9FCF9"/>
          </w:tcPr>
          <w:p>
            <w:pPr>
              <w:pStyle w:val="TableParagraph"/>
              <w:spacing w:before="10"/>
              <w:ind w:left="146" w:right="116"/>
              <w:rPr>
                <w:b/>
                <w:sz w:val="16"/>
              </w:rPr>
            </w:pPr>
            <w:r>
              <w:rPr>
                <w:b/>
                <w:sz w:val="16"/>
              </w:rPr>
              <w:t>42.3</w:t>
            </w:r>
          </w:p>
        </w:tc>
        <w:tc>
          <w:tcPr>
            <w:tcW w:w="1033" w:type="dxa"/>
            <w:shd w:val="clear" w:color="auto" w:fill="F9FCF9"/>
          </w:tcPr>
          <w:p>
            <w:pPr>
              <w:pStyle w:val="TableParagraph"/>
              <w:spacing w:before="10"/>
              <w:ind w:left="18" w:right="18"/>
              <w:rPr>
                <w:b/>
                <w:sz w:val="16"/>
              </w:rPr>
            </w:pPr>
            <w:r>
              <w:rPr>
                <w:b/>
                <w:sz w:val="16"/>
              </w:rPr>
              <w:t>49.2</w:t>
            </w:r>
          </w:p>
        </w:tc>
        <w:tc>
          <w:tcPr>
            <w:tcW w:w="1937" w:type="dxa"/>
            <w:shd w:val="clear" w:color="auto" w:fill="F9FCF9"/>
          </w:tcPr>
          <w:p>
            <w:pPr>
              <w:pStyle w:val="TableParagraph"/>
              <w:spacing w:before="10"/>
              <w:ind w:left="316" w:right="316"/>
              <w:rPr>
                <w:b/>
                <w:sz w:val="16"/>
              </w:rPr>
            </w:pPr>
            <w:r>
              <w:rPr>
                <w:b/>
                <w:sz w:val="16"/>
              </w:rPr>
              <w:t>44.5</w:t>
            </w:r>
          </w:p>
        </w:tc>
      </w:tr>
      <w:tr>
        <w:trPr>
          <w:trHeight w:val="189" w:hRule="atLeast"/>
        </w:trPr>
        <w:tc>
          <w:tcPr>
            <w:tcW w:w="2412" w:type="dxa"/>
            <w:shd w:val="clear" w:color="auto" w:fill="F9FCF9"/>
          </w:tcPr>
          <w:p>
            <w:pPr>
              <w:pStyle w:val="TableParagraph"/>
              <w:spacing w:line="159" w:lineRule="exact" w:before="10"/>
              <w:ind w:left="26"/>
              <w:jc w:val="left"/>
              <w:rPr>
                <w:b/>
                <w:sz w:val="16"/>
              </w:rPr>
            </w:pPr>
            <w:r>
              <w:rPr>
                <w:b/>
                <w:sz w:val="16"/>
              </w:rPr>
              <w:t>Capture plant COE (uS$ mWh</w:t>
            </w:r>
            <w:r>
              <w:rPr>
                <w:b/>
                <w:position w:val="5"/>
                <w:sz w:val="9"/>
              </w:rPr>
              <w:t>1</w:t>
            </w:r>
            <w:r>
              <w:rPr>
                <w:b/>
                <w:sz w:val="16"/>
              </w:rPr>
              <w:t>)</w:t>
            </w:r>
          </w:p>
        </w:tc>
        <w:tc>
          <w:tcPr>
            <w:tcW w:w="893" w:type="dxa"/>
            <w:shd w:val="clear" w:color="auto" w:fill="F9FCF9"/>
          </w:tcPr>
          <w:p>
            <w:pPr>
              <w:pStyle w:val="TableParagraph"/>
              <w:spacing w:line="159" w:lineRule="exact" w:before="10"/>
              <w:ind w:left="48" w:right="42"/>
              <w:rPr>
                <w:b/>
                <w:sz w:val="16"/>
              </w:rPr>
            </w:pPr>
            <w:r>
              <w:rPr>
                <w:b/>
                <w:sz w:val="16"/>
              </w:rPr>
              <w:t>85.6</w:t>
            </w:r>
          </w:p>
        </w:tc>
        <w:tc>
          <w:tcPr>
            <w:tcW w:w="893" w:type="dxa"/>
            <w:shd w:val="clear" w:color="auto" w:fill="F9FCF9"/>
          </w:tcPr>
          <w:p>
            <w:pPr>
              <w:pStyle w:val="TableParagraph"/>
              <w:spacing w:line="159" w:lineRule="exact" w:before="10"/>
              <w:ind w:left="48" w:right="43"/>
              <w:rPr>
                <w:b/>
                <w:sz w:val="16"/>
              </w:rPr>
            </w:pPr>
            <w:r>
              <w:rPr>
                <w:b/>
                <w:sz w:val="16"/>
              </w:rPr>
              <w:t>82.4</w:t>
            </w:r>
          </w:p>
        </w:tc>
        <w:tc>
          <w:tcPr>
            <w:tcW w:w="893" w:type="dxa"/>
            <w:shd w:val="clear" w:color="auto" w:fill="F9FCF9"/>
          </w:tcPr>
          <w:p>
            <w:pPr>
              <w:pStyle w:val="TableParagraph"/>
              <w:spacing w:line="159" w:lineRule="exact" w:before="10"/>
              <w:ind w:left="48" w:right="44"/>
              <w:rPr>
                <w:b/>
                <w:sz w:val="16"/>
              </w:rPr>
            </w:pPr>
            <w:r>
              <w:rPr>
                <w:b/>
                <w:sz w:val="16"/>
              </w:rPr>
              <w:t>70.9</w:t>
            </w:r>
          </w:p>
        </w:tc>
        <w:tc>
          <w:tcPr>
            <w:tcW w:w="893" w:type="dxa"/>
            <w:shd w:val="clear" w:color="auto" w:fill="F9FCF9"/>
          </w:tcPr>
          <w:p>
            <w:pPr>
              <w:pStyle w:val="TableParagraph"/>
              <w:spacing w:line="159" w:lineRule="exact" w:before="10"/>
              <w:ind w:left="48" w:right="45"/>
              <w:rPr>
                <w:b/>
                <w:sz w:val="16"/>
              </w:rPr>
            </w:pPr>
            <w:r>
              <w:rPr>
                <w:b/>
                <w:sz w:val="16"/>
              </w:rPr>
              <w:t>62.4</w:t>
            </w:r>
          </w:p>
        </w:tc>
        <w:tc>
          <w:tcPr>
            <w:tcW w:w="893" w:type="dxa"/>
            <w:shd w:val="clear" w:color="auto" w:fill="F9FCF9"/>
          </w:tcPr>
          <w:p>
            <w:pPr>
              <w:pStyle w:val="TableParagraph"/>
              <w:spacing w:line="159" w:lineRule="exact" w:before="10"/>
              <w:ind w:left="48" w:right="45"/>
              <w:rPr>
                <w:b/>
                <w:sz w:val="16"/>
              </w:rPr>
            </w:pPr>
            <w:r>
              <w:rPr>
                <w:b/>
                <w:sz w:val="16"/>
              </w:rPr>
              <w:t>63.0</w:t>
            </w:r>
          </w:p>
        </w:tc>
        <w:tc>
          <w:tcPr>
            <w:tcW w:w="893" w:type="dxa"/>
            <w:shd w:val="clear" w:color="auto" w:fill="F9FCF9"/>
          </w:tcPr>
          <w:p>
            <w:pPr>
              <w:pStyle w:val="TableParagraph"/>
              <w:spacing w:line="159" w:lineRule="exact" w:before="10"/>
              <w:ind w:left="47" w:right="45"/>
              <w:rPr>
                <w:b/>
                <w:sz w:val="16"/>
              </w:rPr>
            </w:pPr>
            <w:r>
              <w:rPr>
                <w:b/>
                <w:sz w:val="16"/>
              </w:rPr>
              <w:t>74.1</w:t>
            </w:r>
          </w:p>
        </w:tc>
        <w:tc>
          <w:tcPr>
            <w:tcW w:w="893" w:type="dxa"/>
            <w:shd w:val="clear" w:color="auto" w:fill="F9FCF9"/>
          </w:tcPr>
          <w:p>
            <w:pPr>
              <w:pStyle w:val="TableParagraph"/>
              <w:spacing w:line="159" w:lineRule="exact" w:before="10"/>
              <w:ind w:left="46" w:right="45"/>
              <w:rPr>
                <w:b/>
                <w:sz w:val="16"/>
              </w:rPr>
            </w:pPr>
            <w:r>
              <w:rPr>
                <w:b/>
                <w:sz w:val="16"/>
              </w:rPr>
              <w:t>62</w:t>
            </w:r>
          </w:p>
        </w:tc>
        <w:tc>
          <w:tcPr>
            <w:tcW w:w="933" w:type="dxa"/>
            <w:tcBorders>
              <w:right w:val="double" w:sz="1" w:space="0" w:color="000000"/>
            </w:tcBorders>
            <w:shd w:val="clear" w:color="auto" w:fill="F9FCF9"/>
          </w:tcPr>
          <w:p>
            <w:pPr>
              <w:pStyle w:val="TableParagraph"/>
              <w:spacing w:line="159" w:lineRule="exact" w:before="10"/>
              <w:ind w:left="303" w:right="329"/>
              <w:rPr>
                <w:b/>
                <w:sz w:val="16"/>
              </w:rPr>
            </w:pPr>
            <w:r>
              <w:rPr>
                <w:b/>
                <w:sz w:val="16"/>
              </w:rPr>
              <w:t>86</w:t>
            </w:r>
          </w:p>
        </w:tc>
        <w:tc>
          <w:tcPr>
            <w:tcW w:w="995" w:type="dxa"/>
            <w:tcBorders>
              <w:left w:val="double" w:sz="1" w:space="0" w:color="000000"/>
            </w:tcBorders>
            <w:shd w:val="clear" w:color="auto" w:fill="F9FCF9"/>
          </w:tcPr>
          <w:p>
            <w:pPr>
              <w:pStyle w:val="TableParagraph"/>
              <w:spacing w:line="159" w:lineRule="exact" w:before="10"/>
              <w:ind w:left="146" w:right="116"/>
              <w:rPr>
                <w:b/>
                <w:sz w:val="16"/>
              </w:rPr>
            </w:pPr>
            <w:r>
              <w:rPr>
                <w:b/>
                <w:sz w:val="16"/>
              </w:rPr>
              <w:t>76.6</w:t>
            </w:r>
          </w:p>
        </w:tc>
        <w:tc>
          <w:tcPr>
            <w:tcW w:w="1033" w:type="dxa"/>
            <w:shd w:val="clear" w:color="auto" w:fill="F9FCF9"/>
          </w:tcPr>
          <w:p>
            <w:pPr>
              <w:pStyle w:val="TableParagraph"/>
              <w:spacing w:line="159" w:lineRule="exact" w:before="10"/>
              <w:ind w:left="18" w:right="18"/>
              <w:rPr>
                <w:b/>
                <w:sz w:val="16"/>
              </w:rPr>
            </w:pPr>
            <w:r>
              <w:rPr>
                <w:b/>
                <w:sz w:val="16"/>
              </w:rPr>
              <w:t>87.0</w:t>
            </w:r>
          </w:p>
        </w:tc>
        <w:tc>
          <w:tcPr>
            <w:tcW w:w="1937" w:type="dxa"/>
            <w:shd w:val="clear" w:color="auto" w:fill="F9FCF9"/>
          </w:tcPr>
          <w:p>
            <w:pPr>
              <w:pStyle w:val="TableParagraph"/>
              <w:spacing w:line="159" w:lineRule="exact" w:before="10"/>
              <w:ind w:left="316" w:right="316"/>
              <w:rPr>
                <w:b/>
                <w:sz w:val="16"/>
              </w:rPr>
            </w:pPr>
            <w:r>
              <w:rPr>
                <w:b/>
                <w:sz w:val="16"/>
              </w:rPr>
              <w:t>74.3</w:t>
            </w:r>
          </w:p>
        </w:tc>
      </w:tr>
      <w:tr>
        <w:trPr>
          <w:trHeight w:val="375" w:hRule="atLeast"/>
        </w:trPr>
        <w:tc>
          <w:tcPr>
            <w:tcW w:w="2412" w:type="dxa"/>
            <w:shd w:val="clear" w:color="auto" w:fill="F9FCF9"/>
          </w:tcPr>
          <w:p>
            <w:pPr>
              <w:pStyle w:val="TableParagraph"/>
              <w:spacing w:line="180" w:lineRule="exact" w:before="21"/>
              <w:ind w:left="26" w:right="242"/>
              <w:jc w:val="left"/>
              <w:rPr>
                <w:b/>
                <w:sz w:val="16"/>
              </w:rPr>
            </w:pPr>
            <w:r>
              <w:rPr>
                <w:b/>
                <w:w w:val="105"/>
                <w:sz w:val="16"/>
              </w:rPr>
              <w:t>incremental COE for capture (uS$ mWh</w:t>
            </w:r>
            <w:r>
              <w:rPr>
                <w:b/>
                <w:w w:val="105"/>
                <w:position w:val="5"/>
                <w:sz w:val="9"/>
              </w:rPr>
              <w:t>1</w:t>
            </w:r>
            <w:r>
              <w:rPr>
                <w:b/>
                <w:w w:val="105"/>
                <w:sz w:val="16"/>
              </w:rPr>
              <w:t>)</w:t>
            </w:r>
          </w:p>
        </w:tc>
        <w:tc>
          <w:tcPr>
            <w:tcW w:w="893" w:type="dxa"/>
            <w:shd w:val="clear" w:color="auto" w:fill="F9FCF9"/>
          </w:tcPr>
          <w:p>
            <w:pPr>
              <w:pStyle w:val="TableParagraph"/>
              <w:spacing w:before="16"/>
              <w:ind w:left="48" w:right="42"/>
              <w:rPr>
                <w:b/>
                <w:sz w:val="16"/>
              </w:rPr>
            </w:pPr>
            <w:r>
              <w:rPr>
                <w:b/>
                <w:sz w:val="16"/>
              </w:rPr>
              <w:t>34.1</w:t>
            </w:r>
          </w:p>
        </w:tc>
        <w:tc>
          <w:tcPr>
            <w:tcW w:w="893" w:type="dxa"/>
            <w:shd w:val="clear" w:color="auto" w:fill="F9FCF9"/>
          </w:tcPr>
          <w:p>
            <w:pPr>
              <w:pStyle w:val="TableParagraph"/>
              <w:spacing w:before="16"/>
              <w:ind w:left="48" w:right="43"/>
              <w:rPr>
                <w:b/>
                <w:sz w:val="16"/>
              </w:rPr>
            </w:pPr>
            <w:r>
              <w:rPr>
                <w:b/>
                <w:sz w:val="16"/>
              </w:rPr>
              <w:t>31.4</w:t>
            </w:r>
          </w:p>
        </w:tc>
        <w:tc>
          <w:tcPr>
            <w:tcW w:w="893" w:type="dxa"/>
            <w:shd w:val="clear" w:color="auto" w:fill="F9FCF9"/>
          </w:tcPr>
          <w:p>
            <w:pPr>
              <w:pStyle w:val="TableParagraph"/>
              <w:spacing w:before="16"/>
              <w:ind w:left="48" w:right="44"/>
              <w:rPr>
                <w:b/>
                <w:sz w:val="16"/>
              </w:rPr>
            </w:pPr>
            <w:r>
              <w:rPr>
                <w:b/>
                <w:sz w:val="16"/>
              </w:rPr>
              <w:t>28</w:t>
            </w:r>
          </w:p>
        </w:tc>
        <w:tc>
          <w:tcPr>
            <w:tcW w:w="893" w:type="dxa"/>
            <w:shd w:val="clear" w:color="auto" w:fill="F9FCF9"/>
          </w:tcPr>
          <w:p>
            <w:pPr>
              <w:pStyle w:val="TableParagraph"/>
              <w:spacing w:before="16"/>
              <w:ind w:left="48" w:right="45"/>
              <w:rPr>
                <w:b/>
                <w:sz w:val="16"/>
              </w:rPr>
            </w:pPr>
            <w:r>
              <w:rPr>
                <w:b/>
                <w:sz w:val="16"/>
              </w:rPr>
              <w:t>18.5</w:t>
            </w:r>
          </w:p>
        </w:tc>
        <w:tc>
          <w:tcPr>
            <w:tcW w:w="893" w:type="dxa"/>
            <w:shd w:val="clear" w:color="auto" w:fill="F9FCF9"/>
          </w:tcPr>
          <w:p>
            <w:pPr>
              <w:pStyle w:val="TableParagraph"/>
              <w:spacing w:before="16"/>
              <w:ind w:left="48" w:right="45"/>
              <w:rPr>
                <w:b/>
                <w:sz w:val="16"/>
              </w:rPr>
            </w:pPr>
            <w:r>
              <w:rPr>
                <w:b/>
                <w:sz w:val="16"/>
              </w:rPr>
              <w:t>20.2</w:t>
            </w:r>
          </w:p>
        </w:tc>
        <w:tc>
          <w:tcPr>
            <w:tcW w:w="893" w:type="dxa"/>
            <w:shd w:val="clear" w:color="auto" w:fill="F9FCF9"/>
          </w:tcPr>
          <w:p>
            <w:pPr>
              <w:pStyle w:val="TableParagraph"/>
              <w:spacing w:before="16"/>
              <w:ind w:left="47" w:right="45"/>
              <w:rPr>
                <w:b/>
                <w:sz w:val="16"/>
              </w:rPr>
            </w:pPr>
            <w:r>
              <w:rPr>
                <w:b/>
                <w:sz w:val="16"/>
              </w:rPr>
              <w:t>28</w:t>
            </w:r>
          </w:p>
        </w:tc>
        <w:tc>
          <w:tcPr>
            <w:tcW w:w="893" w:type="dxa"/>
            <w:shd w:val="clear" w:color="auto" w:fill="F9FCF9"/>
          </w:tcPr>
          <w:p>
            <w:pPr>
              <w:pStyle w:val="TableParagraph"/>
              <w:spacing w:before="16"/>
              <w:ind w:left="46" w:right="45"/>
              <w:rPr>
                <w:b/>
                <w:sz w:val="16"/>
              </w:rPr>
            </w:pPr>
            <w:r>
              <w:rPr>
                <w:b/>
                <w:sz w:val="16"/>
              </w:rPr>
              <w:t>18</w:t>
            </w:r>
          </w:p>
        </w:tc>
        <w:tc>
          <w:tcPr>
            <w:tcW w:w="933" w:type="dxa"/>
            <w:tcBorders>
              <w:right w:val="double" w:sz="1" w:space="0" w:color="000000"/>
            </w:tcBorders>
            <w:shd w:val="clear" w:color="auto" w:fill="F9FCF9"/>
          </w:tcPr>
          <w:p>
            <w:pPr>
              <w:pStyle w:val="TableParagraph"/>
              <w:spacing w:before="16"/>
              <w:ind w:left="303" w:right="329"/>
              <w:rPr>
                <w:b/>
                <w:sz w:val="16"/>
              </w:rPr>
            </w:pPr>
            <w:r>
              <w:rPr>
                <w:b/>
                <w:sz w:val="16"/>
              </w:rPr>
              <w:t>34</w:t>
            </w:r>
          </w:p>
        </w:tc>
        <w:tc>
          <w:tcPr>
            <w:tcW w:w="995" w:type="dxa"/>
            <w:tcBorders>
              <w:left w:val="double" w:sz="1" w:space="0" w:color="000000"/>
            </w:tcBorders>
            <w:shd w:val="clear" w:color="auto" w:fill="F9FCF9"/>
          </w:tcPr>
          <w:p>
            <w:pPr>
              <w:pStyle w:val="TableParagraph"/>
              <w:spacing w:before="16"/>
              <w:ind w:left="146" w:right="116"/>
              <w:rPr>
                <w:b/>
                <w:sz w:val="16"/>
              </w:rPr>
            </w:pPr>
            <w:r>
              <w:rPr>
                <w:b/>
                <w:sz w:val="16"/>
              </w:rPr>
              <w:t>37.8</w:t>
            </w:r>
          </w:p>
        </w:tc>
        <w:tc>
          <w:tcPr>
            <w:tcW w:w="1033" w:type="dxa"/>
            <w:shd w:val="clear" w:color="auto" w:fill="F9FCF9"/>
          </w:tcPr>
          <w:p>
            <w:pPr>
              <w:pStyle w:val="TableParagraph"/>
              <w:spacing w:before="16"/>
              <w:ind w:left="18" w:right="18"/>
              <w:rPr>
                <w:b/>
                <w:sz w:val="16"/>
              </w:rPr>
            </w:pPr>
            <w:r>
              <w:rPr>
                <w:b/>
                <w:sz w:val="16"/>
              </w:rPr>
              <w:t>37.8</w:t>
            </w:r>
          </w:p>
        </w:tc>
        <w:tc>
          <w:tcPr>
            <w:tcW w:w="1937" w:type="dxa"/>
            <w:shd w:val="clear" w:color="auto" w:fill="F9FCF9"/>
          </w:tcPr>
          <w:p>
            <w:pPr>
              <w:pStyle w:val="TableParagraph"/>
              <w:spacing w:before="16"/>
              <w:ind w:left="316" w:right="316"/>
              <w:rPr>
                <w:b/>
                <w:sz w:val="16"/>
              </w:rPr>
            </w:pPr>
            <w:r>
              <w:rPr>
                <w:b/>
                <w:sz w:val="16"/>
              </w:rPr>
              <w:t>29.8</w:t>
            </w:r>
          </w:p>
        </w:tc>
      </w:tr>
      <w:tr>
        <w:trPr>
          <w:trHeight w:val="369" w:hRule="atLeast"/>
        </w:trPr>
        <w:tc>
          <w:tcPr>
            <w:tcW w:w="2412" w:type="dxa"/>
            <w:shd w:val="clear" w:color="auto" w:fill="F9FCF9"/>
          </w:tcPr>
          <w:p>
            <w:pPr>
              <w:pStyle w:val="TableParagraph"/>
              <w:spacing w:line="180" w:lineRule="exact" w:before="15"/>
              <w:ind w:left="26"/>
              <w:jc w:val="left"/>
              <w:rPr>
                <w:sz w:val="16"/>
              </w:rPr>
            </w:pPr>
            <w:r>
              <w:rPr>
                <w:sz w:val="16"/>
              </w:rPr>
              <w:t>% increase in capital cost (over ref. plant)</w:t>
            </w:r>
          </w:p>
        </w:tc>
        <w:tc>
          <w:tcPr>
            <w:tcW w:w="893" w:type="dxa"/>
            <w:shd w:val="clear" w:color="auto" w:fill="F9FCF9"/>
          </w:tcPr>
          <w:p>
            <w:pPr>
              <w:pStyle w:val="TableParagraph"/>
              <w:spacing w:before="10"/>
              <w:ind w:left="48" w:right="42"/>
              <w:rPr>
                <w:sz w:val="16"/>
              </w:rPr>
            </w:pPr>
            <w:r>
              <w:rPr>
                <w:sz w:val="16"/>
              </w:rPr>
              <w:t>73</w:t>
            </w:r>
          </w:p>
        </w:tc>
        <w:tc>
          <w:tcPr>
            <w:tcW w:w="893" w:type="dxa"/>
            <w:shd w:val="clear" w:color="auto" w:fill="F9FCF9"/>
          </w:tcPr>
          <w:p>
            <w:pPr>
              <w:pStyle w:val="TableParagraph"/>
              <w:spacing w:before="10"/>
              <w:ind w:left="48" w:right="43"/>
              <w:rPr>
                <w:sz w:val="16"/>
              </w:rPr>
            </w:pPr>
            <w:r>
              <w:rPr>
                <w:sz w:val="16"/>
              </w:rPr>
              <w:t>67</w:t>
            </w:r>
          </w:p>
        </w:tc>
        <w:tc>
          <w:tcPr>
            <w:tcW w:w="893" w:type="dxa"/>
            <w:shd w:val="clear" w:color="auto" w:fill="F9FCF9"/>
          </w:tcPr>
          <w:p>
            <w:pPr>
              <w:pStyle w:val="TableParagraph"/>
              <w:spacing w:before="10"/>
              <w:ind w:left="48" w:right="44"/>
              <w:rPr>
                <w:sz w:val="16"/>
              </w:rPr>
            </w:pPr>
            <w:r>
              <w:rPr>
                <w:sz w:val="16"/>
              </w:rPr>
              <w:t>74</w:t>
            </w:r>
          </w:p>
        </w:tc>
        <w:tc>
          <w:tcPr>
            <w:tcW w:w="893" w:type="dxa"/>
            <w:shd w:val="clear" w:color="auto" w:fill="F9FCF9"/>
          </w:tcPr>
          <w:p>
            <w:pPr>
              <w:pStyle w:val="TableParagraph"/>
              <w:spacing w:before="10"/>
              <w:ind w:left="48" w:right="45"/>
              <w:rPr>
                <w:sz w:val="16"/>
              </w:rPr>
            </w:pPr>
            <w:r>
              <w:rPr>
                <w:sz w:val="16"/>
              </w:rPr>
              <w:t>44</w:t>
            </w:r>
          </w:p>
        </w:tc>
        <w:tc>
          <w:tcPr>
            <w:tcW w:w="893" w:type="dxa"/>
            <w:shd w:val="clear" w:color="auto" w:fill="F9FCF9"/>
          </w:tcPr>
          <w:p>
            <w:pPr>
              <w:pStyle w:val="TableParagraph"/>
              <w:spacing w:before="10"/>
              <w:ind w:left="48" w:right="45"/>
              <w:rPr>
                <w:sz w:val="16"/>
              </w:rPr>
            </w:pPr>
            <w:r>
              <w:rPr>
                <w:sz w:val="16"/>
              </w:rPr>
              <w:t>59</w:t>
            </w:r>
          </w:p>
        </w:tc>
        <w:tc>
          <w:tcPr>
            <w:tcW w:w="893" w:type="dxa"/>
            <w:shd w:val="clear" w:color="auto" w:fill="F9FCF9"/>
          </w:tcPr>
          <w:p>
            <w:pPr>
              <w:pStyle w:val="TableParagraph"/>
              <w:spacing w:before="10"/>
              <w:ind w:left="47" w:right="45"/>
              <w:rPr>
                <w:sz w:val="16"/>
              </w:rPr>
            </w:pPr>
            <w:r>
              <w:rPr>
                <w:sz w:val="16"/>
              </w:rPr>
              <w:t>61</w:t>
            </w:r>
          </w:p>
        </w:tc>
        <w:tc>
          <w:tcPr>
            <w:tcW w:w="893" w:type="dxa"/>
            <w:shd w:val="clear" w:color="auto" w:fill="F9FCF9"/>
          </w:tcPr>
          <w:p>
            <w:pPr>
              <w:pStyle w:val="TableParagraph"/>
              <w:spacing w:before="10"/>
              <w:ind w:left="46" w:right="45"/>
              <w:rPr>
                <w:b/>
                <w:sz w:val="16"/>
              </w:rPr>
            </w:pPr>
            <w:r>
              <w:rPr>
                <w:b/>
                <w:sz w:val="16"/>
              </w:rPr>
              <w:t>44</w:t>
            </w:r>
          </w:p>
        </w:tc>
        <w:tc>
          <w:tcPr>
            <w:tcW w:w="933" w:type="dxa"/>
            <w:tcBorders>
              <w:right w:val="double" w:sz="1" w:space="0" w:color="000000"/>
            </w:tcBorders>
            <w:shd w:val="clear" w:color="auto" w:fill="F9FCF9"/>
          </w:tcPr>
          <w:p>
            <w:pPr>
              <w:pStyle w:val="TableParagraph"/>
              <w:spacing w:before="10"/>
              <w:ind w:left="303" w:right="329"/>
              <w:rPr>
                <w:b/>
                <w:sz w:val="16"/>
              </w:rPr>
            </w:pPr>
            <w:r>
              <w:rPr>
                <w:b/>
                <w:sz w:val="16"/>
              </w:rPr>
              <w:t>74</w:t>
            </w:r>
          </w:p>
        </w:tc>
        <w:tc>
          <w:tcPr>
            <w:tcW w:w="995" w:type="dxa"/>
            <w:tcBorders>
              <w:left w:val="double" w:sz="1" w:space="0" w:color="000000"/>
            </w:tcBorders>
            <w:shd w:val="clear" w:color="auto" w:fill="F9FCF9"/>
          </w:tcPr>
          <w:p>
            <w:pPr>
              <w:pStyle w:val="TableParagraph"/>
              <w:spacing w:before="10"/>
              <w:ind w:left="146" w:right="116"/>
              <w:rPr>
                <w:sz w:val="16"/>
              </w:rPr>
            </w:pPr>
            <w:r>
              <w:rPr>
                <w:sz w:val="16"/>
              </w:rPr>
              <w:t>87</w:t>
            </w:r>
          </w:p>
        </w:tc>
        <w:tc>
          <w:tcPr>
            <w:tcW w:w="1033" w:type="dxa"/>
            <w:shd w:val="clear" w:color="auto" w:fill="F9FCF9"/>
          </w:tcPr>
          <w:p>
            <w:pPr>
              <w:pStyle w:val="TableParagraph"/>
              <w:spacing w:before="10"/>
              <w:ind w:left="18" w:right="18"/>
              <w:rPr>
                <w:sz w:val="16"/>
              </w:rPr>
            </w:pPr>
            <w:r>
              <w:rPr>
                <w:sz w:val="16"/>
              </w:rPr>
              <w:t>75</w:t>
            </w:r>
          </w:p>
        </w:tc>
        <w:tc>
          <w:tcPr>
            <w:tcW w:w="1937" w:type="dxa"/>
            <w:shd w:val="clear" w:color="auto" w:fill="F9FCF9"/>
          </w:tcPr>
          <w:p>
            <w:pPr>
              <w:pStyle w:val="TableParagraph"/>
              <w:spacing w:before="10"/>
              <w:ind w:left="316" w:right="316"/>
              <w:rPr>
                <w:sz w:val="16"/>
              </w:rPr>
            </w:pPr>
            <w:r>
              <w:rPr>
                <w:sz w:val="16"/>
              </w:rPr>
              <w:t>72</w:t>
            </w:r>
          </w:p>
        </w:tc>
      </w:tr>
      <w:tr>
        <w:trPr>
          <w:trHeight w:val="369" w:hRule="atLeast"/>
        </w:trPr>
        <w:tc>
          <w:tcPr>
            <w:tcW w:w="2412" w:type="dxa"/>
            <w:shd w:val="clear" w:color="auto" w:fill="F9FCF9"/>
          </w:tcPr>
          <w:p>
            <w:pPr>
              <w:pStyle w:val="TableParagraph"/>
              <w:spacing w:line="180" w:lineRule="exact" w:before="15"/>
              <w:ind w:left="26" w:right="365"/>
              <w:jc w:val="left"/>
              <w:rPr>
                <w:b/>
                <w:sz w:val="16"/>
              </w:rPr>
            </w:pPr>
            <w:r>
              <w:rPr>
                <w:b/>
                <w:sz w:val="16"/>
              </w:rPr>
              <w:t>% increase in COE (over ref. plant)</w:t>
            </w:r>
          </w:p>
        </w:tc>
        <w:tc>
          <w:tcPr>
            <w:tcW w:w="893" w:type="dxa"/>
            <w:shd w:val="clear" w:color="auto" w:fill="F9FCF9"/>
          </w:tcPr>
          <w:p>
            <w:pPr>
              <w:pStyle w:val="TableParagraph"/>
              <w:spacing w:before="10"/>
              <w:ind w:left="48" w:right="42"/>
              <w:rPr>
                <w:b/>
                <w:sz w:val="16"/>
              </w:rPr>
            </w:pPr>
            <w:r>
              <w:rPr>
                <w:b/>
                <w:sz w:val="16"/>
              </w:rPr>
              <w:t>66</w:t>
            </w:r>
          </w:p>
        </w:tc>
        <w:tc>
          <w:tcPr>
            <w:tcW w:w="893" w:type="dxa"/>
            <w:shd w:val="clear" w:color="auto" w:fill="F9FCF9"/>
          </w:tcPr>
          <w:p>
            <w:pPr>
              <w:pStyle w:val="TableParagraph"/>
              <w:spacing w:before="10"/>
              <w:ind w:left="48" w:right="43"/>
              <w:rPr>
                <w:b/>
                <w:sz w:val="16"/>
              </w:rPr>
            </w:pPr>
            <w:r>
              <w:rPr>
                <w:b/>
                <w:sz w:val="16"/>
              </w:rPr>
              <w:t>62</w:t>
            </w:r>
          </w:p>
        </w:tc>
        <w:tc>
          <w:tcPr>
            <w:tcW w:w="893" w:type="dxa"/>
            <w:shd w:val="clear" w:color="auto" w:fill="F9FCF9"/>
          </w:tcPr>
          <w:p>
            <w:pPr>
              <w:pStyle w:val="TableParagraph"/>
              <w:spacing w:before="10"/>
              <w:ind w:left="48" w:right="44"/>
              <w:rPr>
                <w:b/>
                <w:sz w:val="16"/>
              </w:rPr>
            </w:pPr>
            <w:r>
              <w:rPr>
                <w:b/>
                <w:sz w:val="16"/>
              </w:rPr>
              <w:t>65</w:t>
            </w:r>
          </w:p>
        </w:tc>
        <w:tc>
          <w:tcPr>
            <w:tcW w:w="893" w:type="dxa"/>
            <w:shd w:val="clear" w:color="auto" w:fill="F9FCF9"/>
          </w:tcPr>
          <w:p>
            <w:pPr>
              <w:pStyle w:val="TableParagraph"/>
              <w:spacing w:before="10"/>
              <w:ind w:left="48" w:right="45"/>
              <w:rPr>
                <w:b/>
                <w:sz w:val="16"/>
              </w:rPr>
            </w:pPr>
            <w:r>
              <w:rPr>
                <w:b/>
                <w:sz w:val="16"/>
              </w:rPr>
              <w:t>42</w:t>
            </w:r>
          </w:p>
        </w:tc>
        <w:tc>
          <w:tcPr>
            <w:tcW w:w="893" w:type="dxa"/>
            <w:shd w:val="clear" w:color="auto" w:fill="F9FCF9"/>
          </w:tcPr>
          <w:p>
            <w:pPr>
              <w:pStyle w:val="TableParagraph"/>
              <w:spacing w:before="10"/>
              <w:ind w:left="48" w:right="45"/>
              <w:rPr>
                <w:b/>
                <w:sz w:val="16"/>
              </w:rPr>
            </w:pPr>
            <w:r>
              <w:rPr>
                <w:b/>
                <w:sz w:val="16"/>
              </w:rPr>
              <w:t>47</w:t>
            </w:r>
          </w:p>
        </w:tc>
        <w:tc>
          <w:tcPr>
            <w:tcW w:w="893" w:type="dxa"/>
            <w:shd w:val="clear" w:color="auto" w:fill="F9FCF9"/>
          </w:tcPr>
          <w:p>
            <w:pPr>
              <w:pStyle w:val="TableParagraph"/>
              <w:spacing w:before="10"/>
              <w:ind w:left="47" w:right="45"/>
              <w:rPr>
                <w:b/>
                <w:sz w:val="16"/>
              </w:rPr>
            </w:pPr>
            <w:r>
              <w:rPr>
                <w:b/>
                <w:sz w:val="16"/>
              </w:rPr>
              <w:t>61</w:t>
            </w:r>
          </w:p>
        </w:tc>
        <w:tc>
          <w:tcPr>
            <w:tcW w:w="893" w:type="dxa"/>
            <w:shd w:val="clear" w:color="auto" w:fill="F9FCF9"/>
          </w:tcPr>
          <w:p>
            <w:pPr>
              <w:pStyle w:val="TableParagraph"/>
              <w:spacing w:before="10"/>
              <w:ind w:left="46" w:right="45"/>
              <w:rPr>
                <w:b/>
                <w:sz w:val="16"/>
              </w:rPr>
            </w:pPr>
            <w:r>
              <w:rPr>
                <w:b/>
                <w:sz w:val="16"/>
              </w:rPr>
              <w:t>42</w:t>
            </w:r>
          </w:p>
        </w:tc>
        <w:tc>
          <w:tcPr>
            <w:tcW w:w="933" w:type="dxa"/>
            <w:tcBorders>
              <w:right w:val="double" w:sz="1" w:space="0" w:color="000000"/>
            </w:tcBorders>
            <w:shd w:val="clear" w:color="auto" w:fill="F9FCF9"/>
          </w:tcPr>
          <w:p>
            <w:pPr>
              <w:pStyle w:val="TableParagraph"/>
              <w:spacing w:before="10"/>
              <w:ind w:left="303" w:right="329"/>
              <w:rPr>
                <w:b/>
                <w:sz w:val="16"/>
              </w:rPr>
            </w:pPr>
            <w:r>
              <w:rPr>
                <w:b/>
                <w:sz w:val="16"/>
              </w:rPr>
              <w:t>66</w:t>
            </w:r>
          </w:p>
        </w:tc>
        <w:tc>
          <w:tcPr>
            <w:tcW w:w="995" w:type="dxa"/>
            <w:tcBorders>
              <w:left w:val="double" w:sz="1" w:space="0" w:color="000000"/>
            </w:tcBorders>
            <w:shd w:val="clear" w:color="auto" w:fill="F9FCF9"/>
          </w:tcPr>
          <w:p>
            <w:pPr>
              <w:pStyle w:val="TableParagraph"/>
              <w:spacing w:before="10"/>
              <w:ind w:left="146" w:right="116"/>
              <w:rPr>
                <w:b/>
                <w:sz w:val="16"/>
              </w:rPr>
            </w:pPr>
            <w:r>
              <w:rPr>
                <w:b/>
                <w:sz w:val="16"/>
              </w:rPr>
              <w:t>81</w:t>
            </w:r>
          </w:p>
        </w:tc>
        <w:tc>
          <w:tcPr>
            <w:tcW w:w="1033" w:type="dxa"/>
            <w:shd w:val="clear" w:color="auto" w:fill="F9FCF9"/>
          </w:tcPr>
          <w:p>
            <w:pPr>
              <w:pStyle w:val="TableParagraph"/>
              <w:spacing w:before="10"/>
              <w:ind w:left="18" w:right="18"/>
              <w:rPr>
                <w:b/>
                <w:sz w:val="16"/>
              </w:rPr>
            </w:pPr>
            <w:r>
              <w:rPr>
                <w:b/>
                <w:sz w:val="16"/>
              </w:rPr>
              <w:t>77</w:t>
            </w:r>
          </w:p>
        </w:tc>
        <w:tc>
          <w:tcPr>
            <w:tcW w:w="1937" w:type="dxa"/>
            <w:shd w:val="clear" w:color="auto" w:fill="F9FCF9"/>
          </w:tcPr>
          <w:p>
            <w:pPr>
              <w:pStyle w:val="TableParagraph"/>
              <w:spacing w:before="10"/>
              <w:ind w:left="316" w:right="316"/>
              <w:rPr>
                <w:b/>
                <w:sz w:val="16"/>
              </w:rPr>
            </w:pPr>
            <w:r>
              <w:rPr>
                <w:b/>
                <w:sz w:val="16"/>
              </w:rPr>
              <w:t>67</w:t>
            </w:r>
          </w:p>
        </w:tc>
      </w:tr>
      <w:tr>
        <w:trPr>
          <w:trHeight w:val="189" w:hRule="atLeast"/>
        </w:trPr>
        <w:tc>
          <w:tcPr>
            <w:tcW w:w="2412" w:type="dxa"/>
            <w:shd w:val="clear" w:color="auto" w:fill="F9FCF9"/>
          </w:tcPr>
          <w:p>
            <w:pPr>
              <w:pStyle w:val="TableParagraph"/>
              <w:spacing w:line="159" w:lineRule="exact" w:before="10"/>
              <w:ind w:left="26"/>
              <w:jc w:val="left"/>
              <w:rPr>
                <w:sz w:val="16"/>
              </w:rPr>
            </w:pPr>
            <w:r>
              <w:rPr>
                <w:sz w:val="16"/>
              </w:rPr>
              <w:t>Cost of CO</w:t>
            </w:r>
            <w:r>
              <w:rPr>
                <w:position w:val="-4"/>
                <w:sz w:val="9"/>
              </w:rPr>
              <w:t>2 </w:t>
            </w:r>
            <w:r>
              <w:rPr>
                <w:sz w:val="16"/>
              </w:rPr>
              <w:t>captured (US$/tCO</w:t>
            </w:r>
            <w:r>
              <w:rPr>
                <w:position w:val="-4"/>
                <w:sz w:val="9"/>
              </w:rPr>
              <w:t>2</w:t>
            </w:r>
            <w:r>
              <w:rPr>
                <w:sz w:val="16"/>
              </w:rPr>
              <w:t>)</w:t>
            </w:r>
          </w:p>
        </w:tc>
        <w:tc>
          <w:tcPr>
            <w:tcW w:w="893" w:type="dxa"/>
            <w:shd w:val="clear" w:color="auto" w:fill="F9FCF9"/>
          </w:tcPr>
          <w:p>
            <w:pPr>
              <w:pStyle w:val="TableParagraph"/>
              <w:spacing w:line="159" w:lineRule="exact" w:before="10"/>
              <w:ind w:left="48" w:right="42"/>
              <w:rPr>
                <w:sz w:val="16"/>
              </w:rPr>
            </w:pPr>
            <w:r>
              <w:rPr>
                <w:sz w:val="16"/>
              </w:rPr>
              <w:t>35</w:t>
            </w:r>
          </w:p>
        </w:tc>
        <w:tc>
          <w:tcPr>
            <w:tcW w:w="893" w:type="dxa"/>
            <w:shd w:val="clear" w:color="auto" w:fill="F9FCF9"/>
          </w:tcPr>
          <w:p>
            <w:pPr>
              <w:pStyle w:val="TableParagraph"/>
              <w:spacing w:line="159" w:lineRule="exact" w:before="10"/>
              <w:ind w:left="48" w:right="43"/>
              <w:rPr>
                <w:sz w:val="16"/>
              </w:rPr>
            </w:pPr>
            <w:r>
              <w:rPr>
                <w:sz w:val="16"/>
              </w:rPr>
              <w:t>28</w:t>
            </w:r>
          </w:p>
        </w:tc>
        <w:tc>
          <w:tcPr>
            <w:tcW w:w="893" w:type="dxa"/>
            <w:shd w:val="clear" w:color="auto" w:fill="F9FCF9"/>
          </w:tcPr>
          <w:p>
            <w:pPr>
              <w:pStyle w:val="TableParagraph"/>
              <w:spacing w:line="159" w:lineRule="exact" w:before="10"/>
              <w:ind w:left="48" w:right="44"/>
              <w:rPr>
                <w:sz w:val="16"/>
              </w:rPr>
            </w:pPr>
            <w:r>
              <w:rPr>
                <w:sz w:val="16"/>
              </w:rPr>
              <w:t>34</w:t>
            </w:r>
          </w:p>
        </w:tc>
        <w:tc>
          <w:tcPr>
            <w:tcW w:w="893" w:type="dxa"/>
            <w:shd w:val="clear" w:color="auto" w:fill="F9FCF9"/>
          </w:tcPr>
          <w:p>
            <w:pPr>
              <w:pStyle w:val="TableParagraph"/>
              <w:spacing w:line="159" w:lineRule="exact" w:before="10"/>
              <w:ind w:left="48" w:right="45"/>
              <w:rPr>
                <w:sz w:val="16"/>
              </w:rPr>
            </w:pPr>
            <w:r>
              <w:rPr>
                <w:sz w:val="16"/>
              </w:rPr>
              <w:t>23</w:t>
            </w:r>
          </w:p>
        </w:tc>
        <w:tc>
          <w:tcPr>
            <w:tcW w:w="893" w:type="dxa"/>
            <w:shd w:val="clear" w:color="auto" w:fill="F9FCF9"/>
          </w:tcPr>
          <w:p>
            <w:pPr>
              <w:pStyle w:val="TableParagraph"/>
              <w:spacing w:line="159" w:lineRule="exact" w:before="10"/>
              <w:ind w:left="48" w:right="45"/>
              <w:rPr>
                <w:sz w:val="16"/>
              </w:rPr>
            </w:pPr>
            <w:r>
              <w:rPr>
                <w:sz w:val="16"/>
              </w:rPr>
              <w:t>24</w:t>
            </w:r>
          </w:p>
        </w:tc>
        <w:tc>
          <w:tcPr>
            <w:tcW w:w="893" w:type="dxa"/>
            <w:shd w:val="clear" w:color="auto" w:fill="F9FCF9"/>
          </w:tcPr>
          <w:p>
            <w:pPr>
              <w:pStyle w:val="TableParagraph"/>
              <w:spacing w:line="159" w:lineRule="exact" w:before="10"/>
              <w:ind w:left="47" w:right="45"/>
              <w:rPr>
                <w:sz w:val="16"/>
              </w:rPr>
            </w:pPr>
            <w:r>
              <w:rPr>
                <w:sz w:val="16"/>
              </w:rPr>
              <w:t>29</w:t>
            </w:r>
          </w:p>
        </w:tc>
        <w:tc>
          <w:tcPr>
            <w:tcW w:w="893" w:type="dxa"/>
            <w:shd w:val="clear" w:color="auto" w:fill="F9FCF9"/>
          </w:tcPr>
          <w:p>
            <w:pPr>
              <w:pStyle w:val="TableParagraph"/>
              <w:spacing w:line="159" w:lineRule="exact" w:before="10"/>
              <w:ind w:left="46" w:right="45"/>
              <w:rPr>
                <w:b/>
                <w:sz w:val="16"/>
              </w:rPr>
            </w:pPr>
            <w:r>
              <w:rPr>
                <w:b/>
                <w:sz w:val="16"/>
              </w:rPr>
              <w:t>23</w:t>
            </w:r>
          </w:p>
        </w:tc>
        <w:tc>
          <w:tcPr>
            <w:tcW w:w="933" w:type="dxa"/>
            <w:tcBorders>
              <w:right w:val="double" w:sz="1" w:space="0" w:color="000000"/>
            </w:tcBorders>
            <w:shd w:val="clear" w:color="auto" w:fill="F9FCF9"/>
          </w:tcPr>
          <w:p>
            <w:pPr>
              <w:pStyle w:val="TableParagraph"/>
              <w:spacing w:line="159" w:lineRule="exact" w:before="10"/>
              <w:ind w:left="303" w:right="329"/>
              <w:rPr>
                <w:b/>
                <w:sz w:val="16"/>
              </w:rPr>
            </w:pPr>
            <w:r>
              <w:rPr>
                <w:b/>
                <w:sz w:val="16"/>
              </w:rPr>
              <w:t>35</w:t>
            </w:r>
          </w:p>
        </w:tc>
        <w:tc>
          <w:tcPr>
            <w:tcW w:w="995" w:type="dxa"/>
            <w:tcBorders>
              <w:left w:val="double" w:sz="1" w:space="0" w:color="000000"/>
            </w:tcBorders>
            <w:shd w:val="clear" w:color="auto" w:fill="F9FCF9"/>
          </w:tcPr>
          <w:p>
            <w:pPr>
              <w:pStyle w:val="TableParagraph"/>
              <w:spacing w:line="159" w:lineRule="exact" w:before="10"/>
              <w:ind w:left="146" w:right="116"/>
              <w:rPr>
                <w:sz w:val="16"/>
              </w:rPr>
            </w:pPr>
            <w:r>
              <w:rPr>
                <w:sz w:val="16"/>
              </w:rPr>
              <w:t>31</w:t>
            </w:r>
          </w:p>
        </w:tc>
        <w:tc>
          <w:tcPr>
            <w:tcW w:w="1033" w:type="dxa"/>
            <w:shd w:val="clear" w:color="auto" w:fill="F9FCF9"/>
          </w:tcPr>
          <w:p>
            <w:pPr>
              <w:pStyle w:val="TableParagraph"/>
              <w:spacing w:line="159" w:lineRule="exact" w:before="10"/>
              <w:ind w:left="18" w:right="18"/>
              <w:rPr>
                <w:sz w:val="16"/>
              </w:rPr>
            </w:pPr>
            <w:r>
              <w:rPr>
                <w:sz w:val="16"/>
              </w:rPr>
              <w:t>31</w:t>
            </w:r>
          </w:p>
        </w:tc>
        <w:tc>
          <w:tcPr>
            <w:tcW w:w="1937" w:type="dxa"/>
            <w:shd w:val="clear" w:color="auto" w:fill="F9FCF9"/>
          </w:tcPr>
          <w:p>
            <w:pPr>
              <w:pStyle w:val="TableParagraph"/>
              <w:spacing w:line="159" w:lineRule="exact" w:before="10"/>
              <w:ind w:left="316" w:right="316"/>
              <w:rPr>
                <w:sz w:val="16"/>
              </w:rPr>
            </w:pPr>
            <w:r>
              <w:rPr>
                <w:sz w:val="16"/>
              </w:rPr>
              <w:t>26</w:t>
            </w:r>
          </w:p>
        </w:tc>
      </w:tr>
      <w:tr>
        <w:trPr>
          <w:trHeight w:val="195" w:hRule="atLeast"/>
        </w:trPr>
        <w:tc>
          <w:tcPr>
            <w:tcW w:w="2412" w:type="dxa"/>
            <w:shd w:val="clear" w:color="auto" w:fill="F9FCF9"/>
          </w:tcPr>
          <w:p>
            <w:pPr>
              <w:pStyle w:val="TableParagraph"/>
              <w:spacing w:line="159" w:lineRule="exact" w:before="16"/>
              <w:ind w:left="26"/>
              <w:jc w:val="left"/>
              <w:rPr>
                <w:sz w:val="16"/>
              </w:rPr>
            </w:pPr>
            <w:r>
              <w:rPr>
                <w:sz w:val="16"/>
              </w:rPr>
              <w:t>Cost of CO</w:t>
            </w:r>
            <w:r>
              <w:rPr>
                <w:position w:val="-4"/>
                <w:sz w:val="9"/>
              </w:rPr>
              <w:t>2 </w:t>
            </w:r>
            <w:r>
              <w:rPr>
                <w:sz w:val="16"/>
              </w:rPr>
              <w:t>avoided (US$/tCO</w:t>
            </w:r>
            <w:r>
              <w:rPr>
                <w:position w:val="-4"/>
                <w:sz w:val="9"/>
              </w:rPr>
              <w:t>2</w:t>
            </w:r>
            <w:r>
              <w:rPr>
                <w:sz w:val="16"/>
              </w:rPr>
              <w:t>)</w:t>
            </w:r>
          </w:p>
        </w:tc>
        <w:tc>
          <w:tcPr>
            <w:tcW w:w="893" w:type="dxa"/>
            <w:shd w:val="clear" w:color="auto" w:fill="F9FCF9"/>
          </w:tcPr>
          <w:p>
            <w:pPr>
              <w:pStyle w:val="TableParagraph"/>
              <w:spacing w:line="159" w:lineRule="exact" w:before="16"/>
              <w:ind w:left="48" w:right="42"/>
              <w:rPr>
                <w:sz w:val="16"/>
              </w:rPr>
            </w:pPr>
            <w:r>
              <w:rPr>
                <w:sz w:val="16"/>
              </w:rPr>
              <w:t>51</w:t>
            </w:r>
          </w:p>
        </w:tc>
        <w:tc>
          <w:tcPr>
            <w:tcW w:w="893" w:type="dxa"/>
            <w:shd w:val="clear" w:color="auto" w:fill="F9FCF9"/>
          </w:tcPr>
          <w:p>
            <w:pPr>
              <w:pStyle w:val="TableParagraph"/>
              <w:spacing w:line="159" w:lineRule="exact" w:before="16"/>
              <w:ind w:left="48" w:right="43"/>
              <w:rPr>
                <w:sz w:val="16"/>
              </w:rPr>
            </w:pPr>
            <w:r>
              <w:rPr>
                <w:sz w:val="16"/>
              </w:rPr>
              <w:t>49</w:t>
            </w:r>
          </w:p>
        </w:tc>
        <w:tc>
          <w:tcPr>
            <w:tcW w:w="893" w:type="dxa"/>
            <w:shd w:val="clear" w:color="auto" w:fill="F9FCF9"/>
          </w:tcPr>
          <w:p>
            <w:pPr>
              <w:pStyle w:val="TableParagraph"/>
              <w:spacing w:line="159" w:lineRule="exact" w:before="16"/>
              <w:ind w:left="48" w:right="44"/>
              <w:rPr>
                <w:sz w:val="16"/>
              </w:rPr>
            </w:pPr>
            <w:r>
              <w:rPr>
                <w:sz w:val="16"/>
              </w:rPr>
              <w:t>43</w:t>
            </w:r>
          </w:p>
        </w:tc>
        <w:tc>
          <w:tcPr>
            <w:tcW w:w="893" w:type="dxa"/>
            <w:shd w:val="clear" w:color="auto" w:fill="F9FCF9"/>
          </w:tcPr>
          <w:p>
            <w:pPr>
              <w:pStyle w:val="TableParagraph"/>
              <w:spacing w:line="159" w:lineRule="exact" w:before="16"/>
              <w:ind w:left="48" w:right="45"/>
              <w:rPr>
                <w:sz w:val="16"/>
              </w:rPr>
            </w:pPr>
            <w:r>
              <w:rPr>
                <w:sz w:val="16"/>
              </w:rPr>
              <w:t>29</w:t>
            </w:r>
          </w:p>
        </w:tc>
        <w:tc>
          <w:tcPr>
            <w:tcW w:w="893" w:type="dxa"/>
            <w:shd w:val="clear" w:color="auto" w:fill="F9FCF9"/>
          </w:tcPr>
          <w:p>
            <w:pPr>
              <w:pStyle w:val="TableParagraph"/>
              <w:spacing w:line="159" w:lineRule="exact" w:before="16"/>
              <w:ind w:left="48" w:right="45"/>
              <w:rPr>
                <w:sz w:val="16"/>
              </w:rPr>
            </w:pPr>
            <w:r>
              <w:rPr>
                <w:sz w:val="16"/>
              </w:rPr>
              <w:t>31</w:t>
            </w:r>
          </w:p>
        </w:tc>
        <w:tc>
          <w:tcPr>
            <w:tcW w:w="893" w:type="dxa"/>
            <w:shd w:val="clear" w:color="auto" w:fill="F9FCF9"/>
          </w:tcPr>
          <w:p>
            <w:pPr>
              <w:pStyle w:val="TableParagraph"/>
              <w:spacing w:line="159" w:lineRule="exact" w:before="16"/>
              <w:ind w:left="47" w:right="45"/>
              <w:rPr>
                <w:sz w:val="16"/>
              </w:rPr>
            </w:pPr>
            <w:r>
              <w:rPr>
                <w:sz w:val="16"/>
              </w:rPr>
              <w:t>40</w:t>
            </w:r>
          </w:p>
        </w:tc>
        <w:tc>
          <w:tcPr>
            <w:tcW w:w="893" w:type="dxa"/>
            <w:shd w:val="clear" w:color="auto" w:fill="F9FCF9"/>
          </w:tcPr>
          <w:p>
            <w:pPr>
              <w:pStyle w:val="TableParagraph"/>
              <w:spacing w:line="159" w:lineRule="exact" w:before="16"/>
              <w:ind w:left="46" w:right="45"/>
              <w:rPr>
                <w:b/>
                <w:sz w:val="16"/>
              </w:rPr>
            </w:pPr>
            <w:r>
              <w:rPr>
                <w:b/>
                <w:sz w:val="16"/>
              </w:rPr>
              <w:t>29</w:t>
            </w:r>
          </w:p>
        </w:tc>
        <w:tc>
          <w:tcPr>
            <w:tcW w:w="933" w:type="dxa"/>
            <w:tcBorders>
              <w:right w:val="double" w:sz="1" w:space="0" w:color="000000"/>
            </w:tcBorders>
            <w:shd w:val="clear" w:color="auto" w:fill="F9FCF9"/>
          </w:tcPr>
          <w:p>
            <w:pPr>
              <w:pStyle w:val="TableParagraph"/>
              <w:spacing w:line="159" w:lineRule="exact" w:before="16"/>
              <w:ind w:left="303" w:right="329"/>
              <w:rPr>
                <w:b/>
                <w:sz w:val="16"/>
              </w:rPr>
            </w:pPr>
            <w:r>
              <w:rPr>
                <w:b/>
                <w:sz w:val="16"/>
              </w:rPr>
              <w:t>51</w:t>
            </w:r>
          </w:p>
        </w:tc>
        <w:tc>
          <w:tcPr>
            <w:tcW w:w="995" w:type="dxa"/>
            <w:tcBorders>
              <w:left w:val="double" w:sz="1" w:space="0" w:color="000000"/>
            </w:tcBorders>
            <w:shd w:val="clear" w:color="auto" w:fill="F9FCF9"/>
          </w:tcPr>
          <w:p>
            <w:pPr>
              <w:pStyle w:val="TableParagraph"/>
              <w:spacing w:line="159" w:lineRule="exact" w:before="16"/>
              <w:ind w:left="146" w:right="116"/>
              <w:rPr>
                <w:sz w:val="16"/>
              </w:rPr>
            </w:pPr>
            <w:r>
              <w:rPr>
                <w:sz w:val="16"/>
              </w:rPr>
              <w:t>43</w:t>
            </w:r>
          </w:p>
        </w:tc>
        <w:tc>
          <w:tcPr>
            <w:tcW w:w="1033" w:type="dxa"/>
            <w:shd w:val="clear" w:color="auto" w:fill="F9FCF9"/>
          </w:tcPr>
          <w:p>
            <w:pPr>
              <w:pStyle w:val="TableParagraph"/>
              <w:spacing w:line="159" w:lineRule="exact" w:before="16"/>
              <w:ind w:left="18" w:right="18"/>
              <w:rPr>
                <w:sz w:val="16"/>
              </w:rPr>
            </w:pPr>
            <w:r>
              <w:rPr>
                <w:sz w:val="16"/>
              </w:rPr>
              <w:t>47</w:t>
            </w:r>
          </w:p>
        </w:tc>
        <w:tc>
          <w:tcPr>
            <w:tcW w:w="1937" w:type="dxa"/>
            <w:shd w:val="clear" w:color="auto" w:fill="F9FCF9"/>
          </w:tcPr>
          <w:p>
            <w:pPr>
              <w:pStyle w:val="TableParagraph"/>
              <w:spacing w:line="159" w:lineRule="exact" w:before="16"/>
              <w:ind w:left="316" w:right="316"/>
              <w:rPr>
                <w:sz w:val="16"/>
              </w:rPr>
            </w:pPr>
            <w:r>
              <w:rPr>
                <w:sz w:val="16"/>
              </w:rPr>
              <w:t>36</w:t>
            </w:r>
          </w:p>
        </w:tc>
      </w:tr>
      <w:tr>
        <w:trPr>
          <w:trHeight w:val="375" w:hRule="atLeast"/>
        </w:trPr>
        <w:tc>
          <w:tcPr>
            <w:tcW w:w="2412" w:type="dxa"/>
            <w:shd w:val="clear" w:color="auto" w:fill="F9FCF9"/>
          </w:tcPr>
          <w:p>
            <w:pPr>
              <w:pStyle w:val="TableParagraph"/>
              <w:spacing w:line="180" w:lineRule="exact" w:before="21"/>
              <w:ind w:left="26" w:right="161"/>
              <w:jc w:val="left"/>
              <w:rPr>
                <w:sz w:val="16"/>
              </w:rPr>
            </w:pPr>
            <w:r>
              <w:rPr>
                <w:sz w:val="16"/>
              </w:rPr>
              <w:t>Capture cost confidence level (see Table 3.6)</w:t>
            </w:r>
          </w:p>
        </w:tc>
        <w:tc>
          <w:tcPr>
            <w:tcW w:w="7184" w:type="dxa"/>
            <w:gridSpan w:val="8"/>
            <w:tcBorders>
              <w:right w:val="double" w:sz="1" w:space="0" w:color="000000"/>
            </w:tcBorders>
            <w:shd w:val="clear" w:color="auto" w:fill="F9FCF9"/>
          </w:tcPr>
          <w:p>
            <w:pPr>
              <w:pStyle w:val="TableParagraph"/>
              <w:spacing w:before="16"/>
              <w:ind w:left="3272" w:right="3255"/>
              <w:rPr>
                <w:sz w:val="16"/>
              </w:rPr>
            </w:pPr>
            <w:r>
              <w:rPr>
                <w:sz w:val="16"/>
              </w:rPr>
              <w:t>moderate</w:t>
            </w:r>
          </w:p>
        </w:tc>
        <w:tc>
          <w:tcPr>
            <w:tcW w:w="3965" w:type="dxa"/>
            <w:gridSpan w:val="3"/>
            <w:tcBorders>
              <w:left w:val="double" w:sz="1" w:space="0" w:color="000000"/>
            </w:tcBorders>
            <w:shd w:val="clear" w:color="auto" w:fill="F9FCF9"/>
          </w:tcPr>
          <w:p>
            <w:pPr>
              <w:pStyle w:val="TableParagraph"/>
              <w:spacing w:before="16"/>
              <w:ind w:left="1669" w:right="1639"/>
              <w:rPr>
                <w:sz w:val="16"/>
              </w:rPr>
            </w:pPr>
            <w:r>
              <w:rPr>
                <w:sz w:val="16"/>
              </w:rPr>
              <w:t>moderate</w:t>
            </w:r>
          </w:p>
        </w:tc>
      </w:tr>
    </w:tbl>
    <w:p>
      <w:pPr>
        <w:spacing w:line="192" w:lineRule="auto" w:before="0"/>
        <w:ind w:left="153" w:right="0" w:firstLine="0"/>
        <w:jc w:val="left"/>
        <w:rPr>
          <w:sz w:val="16"/>
        </w:rPr>
      </w:pPr>
      <w:bookmarkStart w:name="_bookmark34" w:id="82"/>
      <w:bookmarkEnd w:id="82"/>
      <w:r>
        <w:rPr/>
      </w:r>
      <w:r>
        <w:rPr>
          <w:sz w:val="16"/>
        </w:rPr>
        <w:t>Notes: All costs in this table are for capture only and do not include the costs of CO</w:t>
      </w:r>
      <w:r>
        <w:rPr>
          <w:position w:val="-4"/>
          <w:sz w:val="9"/>
        </w:rPr>
        <w:t>2 </w:t>
      </w:r>
      <w:r>
        <w:rPr>
          <w:sz w:val="16"/>
        </w:rPr>
        <w:t>transport and storage; see Chapter 8 for total CCS costs. * Reported HHV values converted to LHV assuming LHV/HHV =</w:t>
      </w:r>
    </w:p>
    <w:p>
      <w:pPr>
        <w:spacing w:line="171" w:lineRule="exact" w:before="0"/>
        <w:ind w:left="153" w:right="0" w:firstLine="0"/>
        <w:jc w:val="left"/>
        <w:rPr>
          <w:sz w:val="16"/>
        </w:rPr>
      </w:pPr>
      <w:r>
        <w:rPr>
          <w:sz w:val="16"/>
        </w:rPr>
        <w:t>0.96 for coal. ** Reported capital costs increased by 8% to include interest during construction. ***Reported capital costs increased by 15% to estimate interest during construction and other owners’ costs.</w:t>
      </w:r>
    </w:p>
    <w:p>
      <w:pPr>
        <w:spacing w:after="0" w:line="171" w:lineRule="exact"/>
        <w:jc w:val="left"/>
        <w:rPr>
          <w:sz w:val="16"/>
        </w:rPr>
        <w:sectPr>
          <w:headerReference w:type="default" r:id="rId181"/>
          <w:headerReference w:type="even" r:id="rId182"/>
          <w:pgSz w:w="15840" w:h="12240" w:orient="landscape"/>
          <w:pgMar w:header="934" w:footer="0" w:top="1120" w:bottom="280" w:left="1000" w:right="1000"/>
        </w:sectPr>
      </w:pPr>
    </w:p>
    <w:p>
      <w:pPr>
        <w:pStyle w:val="BodyText"/>
        <w:spacing w:line="240" w:lineRule="exact" w:before="48"/>
        <w:ind w:left="116" w:right="38"/>
        <w:jc w:val="both"/>
      </w:pPr>
      <w:r>
        <w:rPr/>
        <w:t>CO</w:t>
      </w:r>
      <w:r>
        <w:rPr>
          <w:position w:val="-6"/>
          <w:sz w:val="11"/>
        </w:rPr>
        <w:t>2</w:t>
      </w:r>
      <w:r>
        <w:rPr>
          <w:spacing w:val="-6"/>
          <w:position w:val="-6"/>
          <w:sz w:val="11"/>
        </w:rPr>
        <w:t> </w:t>
      </w:r>
      <w:r>
        <w:rPr/>
        <w:t>capture</w:t>
      </w:r>
      <w:r>
        <w:rPr>
          <w:spacing w:val="-13"/>
        </w:rPr>
        <w:t> </w:t>
      </w:r>
      <w:r>
        <w:rPr/>
        <w:t>system</w:t>
      </w:r>
      <w:r>
        <w:rPr>
          <w:spacing w:val="-12"/>
        </w:rPr>
        <w:t> </w:t>
      </w:r>
      <w:r>
        <w:rPr/>
        <w:t>energy</w:t>
      </w:r>
      <w:r>
        <w:rPr>
          <w:spacing w:val="-12"/>
        </w:rPr>
        <w:t> </w:t>
      </w:r>
      <w:r>
        <w:rPr/>
        <w:t>requirement,</w:t>
      </w:r>
      <w:r>
        <w:rPr>
          <w:spacing w:val="-13"/>
        </w:rPr>
        <w:t> </w:t>
      </w:r>
      <w:r>
        <w:rPr/>
        <w:t>power</w:t>
      </w:r>
      <w:r>
        <w:rPr>
          <w:spacing w:val="-12"/>
        </w:rPr>
        <w:t> </w:t>
      </w:r>
      <w:r>
        <w:rPr/>
        <w:t>plant</w:t>
      </w:r>
      <w:r>
        <w:rPr>
          <w:spacing w:val="-13"/>
        </w:rPr>
        <w:t> </w:t>
      </w:r>
      <w:r>
        <w:rPr/>
        <w:t>efficiency, fuel type, plant capacity factor and fixed charge rate (Rao and Rubin, 2002). In this regard, it is useful to note that the lowest- cost capture systems </w:t>
      </w:r>
      <w:hyperlink w:history="true" w:anchor="_bookmark37">
        <w:r>
          <w:rPr/>
          <w:t>in </w:t>
        </w:r>
        <w:r>
          <w:rPr>
            <w:spacing w:val="-3"/>
          </w:rPr>
          <w:t>Table </w:t>
        </w:r>
        <w:r>
          <w:rPr/>
          <w:t>3.7 </w:t>
        </w:r>
      </w:hyperlink>
      <w:r>
        <w:rPr/>
        <w:t>(in terms of COE and cost of CO</w:t>
      </w:r>
      <w:r>
        <w:rPr>
          <w:position w:val="-6"/>
          <w:sz w:val="11"/>
        </w:rPr>
        <w:t>2 </w:t>
      </w:r>
      <w:r>
        <w:rPr/>
        <w:t>avoided) come from a recent study (IEA GHG, 2004) that combines an efficient supercritical power plant design using bituminous</w:t>
      </w:r>
      <w:r>
        <w:rPr>
          <w:spacing w:val="-11"/>
        </w:rPr>
        <w:t> </w:t>
      </w:r>
      <w:r>
        <w:rPr/>
        <w:t>coal,</w:t>
      </w:r>
      <w:r>
        <w:rPr>
          <w:spacing w:val="-12"/>
        </w:rPr>
        <w:t> </w:t>
      </w:r>
      <w:r>
        <w:rPr/>
        <w:t>with</w:t>
      </w:r>
      <w:r>
        <w:rPr>
          <w:spacing w:val="-10"/>
        </w:rPr>
        <w:t> </w:t>
      </w:r>
      <w:r>
        <w:rPr/>
        <w:t>high</w:t>
      </w:r>
      <w:r>
        <w:rPr>
          <w:spacing w:val="-11"/>
        </w:rPr>
        <w:t> </w:t>
      </w:r>
      <w:r>
        <w:rPr/>
        <w:t>plant</w:t>
      </w:r>
      <w:r>
        <w:rPr>
          <w:spacing w:val="-11"/>
        </w:rPr>
        <w:t> </w:t>
      </w:r>
      <w:r>
        <w:rPr/>
        <w:t>utilization,</w:t>
      </w:r>
      <w:r>
        <w:rPr>
          <w:spacing w:val="-10"/>
        </w:rPr>
        <w:t> </w:t>
      </w:r>
      <w:r>
        <w:rPr/>
        <w:t>lowest</w:t>
      </w:r>
      <w:r>
        <w:rPr>
          <w:spacing w:val="-12"/>
        </w:rPr>
        <w:t> </w:t>
      </w:r>
      <w:r>
        <w:rPr/>
        <w:t>fixed</w:t>
      </w:r>
      <w:r>
        <w:rPr>
          <w:spacing w:val="-11"/>
        </w:rPr>
        <w:t> </w:t>
      </w:r>
      <w:r>
        <w:rPr/>
        <w:t>charge rate</w:t>
      </w:r>
      <w:r>
        <w:rPr>
          <w:spacing w:val="-19"/>
        </w:rPr>
        <w:t> </w:t>
      </w:r>
      <w:r>
        <w:rPr/>
        <w:t>and</w:t>
      </w:r>
      <w:r>
        <w:rPr>
          <w:spacing w:val="-18"/>
        </w:rPr>
        <w:t> </w:t>
      </w:r>
      <w:r>
        <w:rPr/>
        <w:t>more</w:t>
      </w:r>
      <w:r>
        <w:rPr>
          <w:spacing w:val="-19"/>
        </w:rPr>
        <w:t> </w:t>
      </w:r>
      <w:r>
        <w:rPr/>
        <w:t>energy-efficient</w:t>
      </w:r>
      <w:r>
        <w:rPr>
          <w:spacing w:val="-18"/>
        </w:rPr>
        <w:t> </w:t>
      </w:r>
      <w:r>
        <w:rPr/>
        <w:t>amine</w:t>
      </w:r>
      <w:r>
        <w:rPr>
          <w:spacing w:val="-18"/>
        </w:rPr>
        <w:t> </w:t>
      </w:r>
      <w:r>
        <w:rPr/>
        <w:t>system</w:t>
      </w:r>
      <w:r>
        <w:rPr>
          <w:spacing w:val="-19"/>
        </w:rPr>
        <w:t> </w:t>
      </w:r>
      <w:r>
        <w:rPr/>
        <w:t>designs,</w:t>
      </w:r>
      <w:r>
        <w:rPr>
          <w:spacing w:val="-18"/>
        </w:rPr>
        <w:t> </w:t>
      </w:r>
      <w:r>
        <w:rPr/>
        <w:t>as</w:t>
      </w:r>
      <w:r>
        <w:rPr>
          <w:spacing w:val="-18"/>
        </w:rPr>
        <w:t> </w:t>
      </w:r>
      <w:r>
        <w:rPr/>
        <w:t>recently announced by two major vendors (but not yet demonstrated </w:t>
      </w:r>
      <w:r>
        <w:rPr>
          <w:spacing w:val="-8"/>
        </w:rPr>
        <w:t>on </w:t>
      </w:r>
      <w:r>
        <w:rPr/>
        <w:t>coal-fired power plants). In contrast, the highest reported </w:t>
      </w:r>
      <w:r>
        <w:rPr>
          <w:spacing w:val="-4"/>
        </w:rPr>
        <w:t>COE </w:t>
      </w:r>
      <w:r>
        <w:rPr/>
        <w:t>values are for less efficient subcritical plant designs using low rank coal, combined with lower capacity factors, higher fixed charge rates and employing amine system designs typical of units currently in operation at small power</w:t>
      </w:r>
      <w:r>
        <w:rPr>
          <w:spacing w:val="-2"/>
        </w:rPr>
        <w:t> </w:t>
      </w:r>
      <w:r>
        <w:rPr/>
        <w:t>plants.</w:t>
      </w:r>
    </w:p>
    <w:p>
      <w:pPr>
        <w:pStyle w:val="BodyText"/>
        <w:spacing w:line="249" w:lineRule="auto" w:before="5"/>
        <w:ind w:left="117" w:right="39" w:firstLine="283"/>
        <w:jc w:val="both"/>
      </w:pPr>
      <w:r>
        <w:rPr/>
        <w:t>Recent increases in world coal prices, if sustained, also would affect the levelized COE values reported here. Based on</w:t>
      </w:r>
    </w:p>
    <w:p>
      <w:pPr>
        <w:pStyle w:val="BodyText"/>
        <w:spacing w:line="249" w:lineRule="auto" w:before="53"/>
        <w:ind w:left="116" w:right="110"/>
        <w:jc w:val="both"/>
      </w:pPr>
      <w:r>
        <w:rPr/>
        <w:br w:type="column"/>
      </w:r>
      <w:r>
        <w:rPr/>
        <w:t>plant installation. Nonetheless, in cases where the capital cost of the existing plant has been fully or substantially amortized,</w:t>
      </w:r>
      <w:hyperlink w:history="true" w:anchor="_bookmark37">
        <w:r>
          <w:rPr/>
          <w:t> </w:t>
        </w:r>
        <w:r>
          <w:rPr>
            <w:spacing w:val="-3"/>
          </w:rPr>
          <w:t>Table</w:t>
        </w:r>
        <w:r>
          <w:rPr>
            <w:spacing w:val="-5"/>
          </w:rPr>
          <w:t> </w:t>
        </w:r>
        <w:r>
          <w:rPr/>
          <w:t>3.8</w:t>
        </w:r>
        <w:r>
          <w:rPr>
            <w:spacing w:val="-4"/>
          </w:rPr>
          <w:t> </w:t>
        </w:r>
      </w:hyperlink>
      <w:r>
        <w:rPr/>
        <w:t>shows</w:t>
      </w:r>
      <w:r>
        <w:rPr>
          <w:spacing w:val="-5"/>
        </w:rPr>
        <w:t> </w:t>
      </w:r>
      <w:r>
        <w:rPr/>
        <w:t>that</w:t>
      </w:r>
      <w:r>
        <w:rPr>
          <w:spacing w:val="-4"/>
        </w:rPr>
        <w:t> </w:t>
      </w:r>
      <w:r>
        <w:rPr/>
        <w:t>the</w:t>
      </w:r>
      <w:r>
        <w:rPr>
          <w:spacing w:val="-5"/>
        </w:rPr>
        <w:t> </w:t>
      </w:r>
      <w:r>
        <w:rPr/>
        <w:t>COE</w:t>
      </w:r>
      <w:r>
        <w:rPr>
          <w:spacing w:val="-4"/>
        </w:rPr>
        <w:t> </w:t>
      </w:r>
      <w:r>
        <w:rPr/>
        <w:t>of</w:t>
      </w:r>
      <w:r>
        <w:rPr>
          <w:spacing w:val="-5"/>
        </w:rPr>
        <w:t> </w:t>
      </w:r>
      <w:r>
        <w:rPr/>
        <w:t>a</w:t>
      </w:r>
      <w:r>
        <w:rPr>
          <w:spacing w:val="-4"/>
        </w:rPr>
        <w:t> </w:t>
      </w:r>
      <w:r>
        <w:rPr/>
        <w:t>retrofitted</w:t>
      </w:r>
      <w:r>
        <w:rPr>
          <w:spacing w:val="-5"/>
        </w:rPr>
        <w:t> </w:t>
      </w:r>
      <w:r>
        <w:rPr/>
        <w:t>plant</w:t>
      </w:r>
      <w:r>
        <w:rPr>
          <w:spacing w:val="-4"/>
        </w:rPr>
        <w:t> </w:t>
      </w:r>
      <w:r>
        <w:rPr/>
        <w:t>with</w:t>
      </w:r>
      <w:r>
        <w:rPr>
          <w:spacing w:val="-5"/>
        </w:rPr>
        <w:t> </w:t>
      </w:r>
      <w:r>
        <w:rPr/>
        <w:t>capture (including all new capital requirements) can be comparable </w:t>
      </w:r>
      <w:r>
        <w:rPr>
          <w:spacing w:val="-7"/>
        </w:rPr>
        <w:t>to </w:t>
      </w:r>
      <w:r>
        <w:rPr/>
        <w:t>or</w:t>
      </w:r>
      <w:r>
        <w:rPr>
          <w:spacing w:val="-10"/>
        </w:rPr>
        <w:t> </w:t>
      </w:r>
      <w:r>
        <w:rPr/>
        <w:t>lower</w:t>
      </w:r>
      <w:r>
        <w:rPr>
          <w:spacing w:val="-10"/>
        </w:rPr>
        <w:t> </w:t>
      </w:r>
      <w:r>
        <w:rPr/>
        <w:t>than</w:t>
      </w:r>
      <w:r>
        <w:rPr>
          <w:spacing w:val="-10"/>
        </w:rPr>
        <w:t> </w:t>
      </w:r>
      <w:r>
        <w:rPr/>
        <w:t>that</w:t>
      </w:r>
      <w:r>
        <w:rPr>
          <w:spacing w:val="-10"/>
        </w:rPr>
        <w:t> </w:t>
      </w:r>
      <w:r>
        <w:rPr/>
        <w:t>of</w:t>
      </w:r>
      <w:r>
        <w:rPr>
          <w:spacing w:val="-10"/>
        </w:rPr>
        <w:t> </w:t>
      </w:r>
      <w:r>
        <w:rPr/>
        <w:t>a</w:t>
      </w:r>
      <w:r>
        <w:rPr>
          <w:spacing w:val="-10"/>
        </w:rPr>
        <w:t> </w:t>
      </w:r>
      <w:r>
        <w:rPr/>
        <w:t>new</w:t>
      </w:r>
      <w:r>
        <w:rPr>
          <w:spacing w:val="-10"/>
        </w:rPr>
        <w:t> </w:t>
      </w:r>
      <w:r>
        <w:rPr/>
        <w:t>plant,</w:t>
      </w:r>
      <w:r>
        <w:rPr>
          <w:spacing w:val="-10"/>
        </w:rPr>
        <w:t> </w:t>
      </w:r>
      <w:r>
        <w:rPr/>
        <w:t>although</w:t>
      </w:r>
      <w:r>
        <w:rPr>
          <w:spacing w:val="-10"/>
        </w:rPr>
        <w:t> </w:t>
      </w:r>
      <w:r>
        <w:rPr/>
        <w:t>the</w:t>
      </w:r>
      <w:r>
        <w:rPr>
          <w:spacing w:val="-10"/>
        </w:rPr>
        <w:t> </w:t>
      </w:r>
      <w:r>
        <w:rPr/>
        <w:t>incremental</w:t>
      </w:r>
      <w:r>
        <w:rPr>
          <w:spacing w:val="-10"/>
        </w:rPr>
        <w:t> </w:t>
      </w:r>
      <w:r>
        <w:rPr/>
        <w:t>COE is </w:t>
      </w:r>
      <w:hyperlink w:history="true" w:anchor="_bookmark37">
        <w:r>
          <w:rPr/>
          <w:t>typically </w:t>
        </w:r>
      </w:hyperlink>
      <w:r>
        <w:rPr/>
        <w:t>higher because of the factors noted above.</w:t>
      </w:r>
    </w:p>
    <w:p>
      <w:pPr>
        <w:pStyle w:val="BodyText"/>
        <w:spacing w:line="225" w:lineRule="auto" w:before="16"/>
        <w:ind w:left="116" w:right="111" w:firstLine="284"/>
        <w:jc w:val="both"/>
      </w:pPr>
      <w:hyperlink w:history="true" w:anchor="_bookmark37">
        <w:r>
          <w:rPr>
            <w:spacing w:val="-3"/>
          </w:rPr>
          <w:t>Table </w:t>
        </w:r>
        <w:r>
          <w:rPr/>
          <w:t>3.8</w:t>
        </w:r>
      </w:hyperlink>
      <w:r>
        <w:rPr/>
        <w:t> further shows that for comparable levels of  about 85% CO</w:t>
      </w:r>
      <w:r>
        <w:rPr>
          <w:position w:val="-6"/>
          <w:sz w:val="11"/>
        </w:rPr>
        <w:t>2 </w:t>
      </w:r>
      <w:r>
        <w:rPr/>
        <w:t>reduction per kWh, the average cost of CO</w:t>
      </w:r>
      <w:r>
        <w:rPr>
          <w:position w:val="-6"/>
          <w:sz w:val="11"/>
        </w:rPr>
        <w:t>2 </w:t>
      </w:r>
      <w:r>
        <w:rPr/>
        <w:t>avoided</w:t>
      </w:r>
      <w:r>
        <w:rPr>
          <w:spacing w:val="-11"/>
        </w:rPr>
        <w:t> </w:t>
      </w:r>
      <w:r>
        <w:rPr/>
        <w:t>for</w:t>
      </w:r>
      <w:r>
        <w:rPr>
          <w:spacing w:val="-10"/>
        </w:rPr>
        <w:t> </w:t>
      </w:r>
      <w:r>
        <w:rPr/>
        <w:t>retrofits</w:t>
      </w:r>
      <w:r>
        <w:rPr>
          <w:spacing w:val="-10"/>
        </w:rPr>
        <w:t> </w:t>
      </w:r>
      <w:r>
        <w:rPr/>
        <w:t>is</w:t>
      </w:r>
      <w:r>
        <w:rPr>
          <w:spacing w:val="-10"/>
        </w:rPr>
        <w:t> </w:t>
      </w:r>
      <w:r>
        <w:rPr/>
        <w:t>about</w:t>
      </w:r>
      <w:r>
        <w:rPr>
          <w:spacing w:val="-10"/>
        </w:rPr>
        <w:t> </w:t>
      </w:r>
      <w:r>
        <w:rPr/>
        <w:t>35%</w:t>
      </w:r>
      <w:r>
        <w:rPr>
          <w:spacing w:val="-10"/>
        </w:rPr>
        <w:t> </w:t>
      </w:r>
      <w:r>
        <w:rPr/>
        <w:t>higher</w:t>
      </w:r>
      <w:r>
        <w:rPr>
          <w:spacing w:val="-10"/>
        </w:rPr>
        <w:t> </w:t>
      </w:r>
      <w:r>
        <w:rPr/>
        <w:t>than</w:t>
      </w:r>
      <w:r>
        <w:rPr>
          <w:spacing w:val="-10"/>
        </w:rPr>
        <w:t> </w:t>
      </w:r>
      <w:r>
        <w:rPr/>
        <w:t>for</w:t>
      </w:r>
      <w:r>
        <w:rPr>
          <w:spacing w:val="-10"/>
        </w:rPr>
        <w:t> </w:t>
      </w:r>
      <w:r>
        <w:rPr/>
        <w:t>the</w:t>
      </w:r>
      <w:r>
        <w:rPr>
          <w:spacing w:val="-10"/>
        </w:rPr>
        <w:t> </w:t>
      </w:r>
      <w:r>
        <w:rPr/>
        <w:t>new</w:t>
      </w:r>
      <w:r>
        <w:rPr>
          <w:spacing w:val="-10"/>
        </w:rPr>
        <w:t> </w:t>
      </w:r>
      <w:r>
        <w:rPr/>
        <w:t>plants</w:t>
      </w:r>
    </w:p>
    <w:p>
      <w:pPr>
        <w:pStyle w:val="BodyText"/>
        <w:spacing w:line="240" w:lineRule="exact" w:before="5"/>
        <w:ind w:left="116" w:right="110"/>
        <w:jc w:val="both"/>
      </w:pPr>
      <w:r>
        <w:rPr/>
        <w:t>analyzed in </w:t>
      </w:r>
      <w:hyperlink w:history="true" w:anchor="_bookmark37">
        <w:r>
          <w:rPr>
            <w:spacing w:val="-3"/>
          </w:rPr>
          <w:t>Table </w:t>
        </w:r>
        <w:r>
          <w:rPr/>
          <w:t>3.7. </w:t>
        </w:r>
      </w:hyperlink>
      <w:r>
        <w:rPr/>
        <w:t>The incremental capital cost and </w:t>
      </w:r>
      <w:r>
        <w:rPr>
          <w:spacing w:val="-4"/>
        </w:rPr>
        <w:t>COE </w:t>
      </w:r>
      <w:r>
        <w:rPr/>
        <w:t>depend strongly on site-specific assumptions, including the degree</w:t>
      </w:r>
      <w:r>
        <w:rPr>
          <w:spacing w:val="-13"/>
        </w:rPr>
        <w:t> </w:t>
      </w:r>
      <w:r>
        <w:rPr/>
        <w:t>of</w:t>
      </w:r>
      <w:r>
        <w:rPr>
          <w:spacing w:val="-12"/>
        </w:rPr>
        <w:t> </w:t>
      </w:r>
      <w:r>
        <w:rPr/>
        <w:t>amortization</w:t>
      </w:r>
      <w:r>
        <w:rPr>
          <w:spacing w:val="-12"/>
        </w:rPr>
        <w:t> </w:t>
      </w:r>
      <w:r>
        <w:rPr/>
        <w:t>and</w:t>
      </w:r>
      <w:r>
        <w:rPr>
          <w:spacing w:val="-13"/>
        </w:rPr>
        <w:t> </w:t>
      </w:r>
      <w:r>
        <w:rPr/>
        <w:t>options</w:t>
      </w:r>
      <w:r>
        <w:rPr>
          <w:spacing w:val="-12"/>
        </w:rPr>
        <w:t> </w:t>
      </w:r>
      <w:r>
        <w:rPr/>
        <w:t>for</w:t>
      </w:r>
      <w:r>
        <w:rPr>
          <w:spacing w:val="-12"/>
        </w:rPr>
        <w:t> </w:t>
      </w:r>
      <w:r>
        <w:rPr/>
        <w:t>providing</w:t>
      </w:r>
      <w:r>
        <w:rPr>
          <w:spacing w:val="-12"/>
        </w:rPr>
        <w:t> </w:t>
      </w:r>
      <w:r>
        <w:rPr/>
        <w:t>process</w:t>
      </w:r>
      <w:r>
        <w:rPr>
          <w:spacing w:val="-12"/>
        </w:rPr>
        <w:t> </w:t>
      </w:r>
      <w:r>
        <w:rPr>
          <w:spacing w:val="-3"/>
        </w:rPr>
        <w:t>energy </w:t>
      </w:r>
      <w:r>
        <w:rPr/>
        <w:t>needs. As with new plants, heat and power for CO</w:t>
      </w:r>
      <w:r>
        <w:rPr>
          <w:position w:val="-6"/>
          <w:sz w:val="11"/>
        </w:rPr>
        <w:t>2 </w:t>
      </w:r>
      <w:r>
        <w:rPr/>
        <w:t>capture are usually assumed to be provided by the base (reference) </w:t>
      </w:r>
      <w:r>
        <w:rPr>
          <w:spacing w:val="-3"/>
        </w:rPr>
        <w:t>plant, </w:t>
      </w:r>
      <w:r>
        <w:rPr/>
        <w:t>resulting</w:t>
      </w:r>
      <w:r>
        <w:rPr>
          <w:spacing w:val="-10"/>
        </w:rPr>
        <w:t> </w:t>
      </w:r>
      <w:r>
        <w:rPr/>
        <w:t>in</w:t>
      </w:r>
      <w:r>
        <w:rPr>
          <w:spacing w:val="-9"/>
        </w:rPr>
        <w:t> </w:t>
      </w:r>
      <w:r>
        <w:rPr/>
        <w:t>a</w:t>
      </w:r>
      <w:r>
        <w:rPr>
          <w:spacing w:val="-9"/>
        </w:rPr>
        <w:t> </w:t>
      </w:r>
      <w:r>
        <w:rPr/>
        <w:t>sizeable</w:t>
      </w:r>
      <w:r>
        <w:rPr>
          <w:spacing w:val="-9"/>
        </w:rPr>
        <w:t> </w:t>
      </w:r>
      <w:r>
        <w:rPr/>
        <w:t>(30</w:t>
      </w:r>
      <w:r>
        <w:rPr>
          <w:spacing w:val="-9"/>
        </w:rPr>
        <w:t> </w:t>
      </w:r>
      <w:r>
        <w:rPr/>
        <w:t>to</w:t>
      </w:r>
      <w:r>
        <w:rPr>
          <w:spacing w:val="-9"/>
        </w:rPr>
        <w:t> </w:t>
      </w:r>
      <w:r>
        <w:rPr/>
        <w:t>40%)</w:t>
      </w:r>
      <w:r>
        <w:rPr>
          <w:spacing w:val="-9"/>
        </w:rPr>
        <w:t> </w:t>
      </w:r>
      <w:r>
        <w:rPr/>
        <w:t>plant</w:t>
      </w:r>
      <w:r>
        <w:rPr>
          <w:spacing w:val="-10"/>
        </w:rPr>
        <w:t> </w:t>
      </w:r>
      <w:r>
        <w:rPr/>
        <w:t>output</w:t>
      </w:r>
      <w:r>
        <w:rPr>
          <w:spacing w:val="-9"/>
        </w:rPr>
        <w:t> </w:t>
      </w:r>
      <w:r>
        <w:rPr/>
        <w:t>reduction.</w:t>
      </w:r>
      <w:r>
        <w:rPr>
          <w:spacing w:val="-9"/>
        </w:rPr>
        <w:t> </w:t>
      </w:r>
      <w:r>
        <w:rPr/>
        <w:t>Other studies assume that an auxiliary gas-fired boiler is </w:t>
      </w:r>
      <w:r>
        <w:rPr>
          <w:spacing w:val="5"/>
        </w:rPr>
        <w:t> </w:t>
      </w:r>
      <w:r>
        <w:rPr/>
        <w:t>constructed</w:t>
      </w:r>
    </w:p>
    <w:p>
      <w:pPr>
        <w:spacing w:after="0" w:line="240" w:lineRule="exact"/>
        <w:jc w:val="both"/>
        <w:sectPr>
          <w:pgSz w:w="12240" w:h="15840"/>
          <w:pgMar w:header="567" w:footer="0" w:top="1200" w:bottom="280" w:left="620" w:right="1020"/>
          <w:cols w:num="2" w:equalWidth="0">
            <w:col w:w="5202" w:space="125"/>
            <w:col w:w="5273"/>
          </w:cols>
        </w:sectPr>
      </w:pPr>
    </w:p>
    <w:p>
      <w:pPr>
        <w:pStyle w:val="BodyText"/>
        <w:spacing w:before="2"/>
        <w:ind w:left="117"/>
      </w:pPr>
      <w:r>
        <w:rPr/>
        <w:t>one</w:t>
      </w:r>
      <w:r>
        <w:rPr>
          <w:spacing w:val="-12"/>
        </w:rPr>
        <w:t> </w:t>
      </w:r>
      <w:r>
        <w:rPr/>
        <w:t>recent</w:t>
      </w:r>
      <w:r>
        <w:rPr>
          <w:spacing w:val="-11"/>
        </w:rPr>
        <w:t> </w:t>
      </w:r>
      <w:r>
        <w:rPr/>
        <w:t>study</w:t>
      </w:r>
      <w:r>
        <w:rPr>
          <w:spacing w:val="-12"/>
        </w:rPr>
        <w:t> </w:t>
      </w:r>
      <w:r>
        <w:rPr/>
        <w:t>(IEA</w:t>
      </w:r>
      <w:r>
        <w:rPr>
          <w:spacing w:val="-22"/>
        </w:rPr>
        <w:t> </w:t>
      </w:r>
      <w:r>
        <w:rPr/>
        <w:t>GHG,</w:t>
      </w:r>
      <w:r>
        <w:rPr>
          <w:spacing w:val="-12"/>
        </w:rPr>
        <w:t> </w:t>
      </w:r>
      <w:r>
        <w:rPr/>
        <w:t>2004),</w:t>
      </w:r>
      <w:r>
        <w:rPr>
          <w:spacing w:val="-11"/>
        </w:rPr>
        <w:t> </w:t>
      </w:r>
      <w:r>
        <w:rPr/>
        <w:t>each</w:t>
      </w:r>
      <w:r>
        <w:rPr>
          <w:spacing w:val="-11"/>
        </w:rPr>
        <w:t> </w:t>
      </w:r>
      <w:r>
        <w:rPr/>
        <w:t>1.00</w:t>
      </w:r>
      <w:r>
        <w:rPr>
          <w:spacing w:val="-12"/>
        </w:rPr>
        <w:t> </w:t>
      </w:r>
      <w:r>
        <w:rPr/>
        <w:t>US$</w:t>
      </w:r>
      <w:r>
        <w:rPr>
          <w:spacing w:val="-11"/>
        </w:rPr>
        <w:t> </w:t>
      </w:r>
      <w:r>
        <w:rPr/>
        <w:t>GJ</w:t>
      </w:r>
      <w:r>
        <w:rPr>
          <w:position w:val="7"/>
          <w:sz w:val="11"/>
        </w:rPr>
        <w:t>-1</w:t>
      </w:r>
      <w:r>
        <w:rPr>
          <w:spacing w:val="11"/>
          <w:position w:val="7"/>
          <w:sz w:val="11"/>
        </w:rPr>
        <w:t> </w:t>
      </w:r>
      <w:r>
        <w:rPr/>
        <w:t>increase</w:t>
      </w:r>
    </w:p>
    <w:p>
      <w:pPr>
        <w:pStyle w:val="BodyText"/>
        <w:spacing w:line="274" w:lineRule="exact" w:before="2"/>
        <w:ind w:left="117"/>
        <w:rPr>
          <w:sz w:val="11"/>
        </w:rPr>
      </w:pPr>
      <w:r>
        <w:rPr/>
        <w:br w:type="column"/>
      </w:r>
      <w:r>
        <w:rPr/>
        <w:t>to provide the CO</w:t>
      </w:r>
      <w:r>
        <w:rPr>
          <w:position w:val="-6"/>
          <w:sz w:val="11"/>
        </w:rPr>
        <w:t>2</w:t>
      </w:r>
    </w:p>
    <w:p>
      <w:pPr>
        <w:pStyle w:val="BodyText"/>
        <w:spacing w:before="2"/>
        <w:ind w:left="33"/>
      </w:pPr>
      <w:r>
        <w:rPr/>
        <w:br w:type="column"/>
      </w:r>
      <w:r>
        <w:rPr/>
        <w:t>capture steam requirements and (in some</w:t>
      </w:r>
    </w:p>
    <w:p>
      <w:pPr>
        <w:spacing w:after="0"/>
        <w:sectPr>
          <w:type w:val="continuous"/>
          <w:pgSz w:w="12240" w:h="15840"/>
          <w:pgMar w:top="480" w:bottom="280" w:left="620" w:right="1020"/>
          <w:cols w:num="3" w:equalWidth="0">
            <w:col w:w="5201" w:space="125"/>
            <w:col w:w="1686" w:space="40"/>
            <w:col w:w="3548"/>
          </w:cols>
        </w:sectPr>
      </w:pPr>
    </w:p>
    <w:p>
      <w:pPr>
        <w:pStyle w:val="BodyText"/>
        <w:spacing w:line="196" w:lineRule="exact"/>
        <w:ind w:left="117"/>
        <w:jc w:val="both"/>
      </w:pPr>
      <w:r>
        <w:rPr/>
        <w:t>in coal price would increase the COE by 8.2 US$ MWh</w:t>
      </w:r>
      <w:r>
        <w:rPr>
          <w:position w:val="7"/>
          <w:sz w:val="11"/>
        </w:rPr>
        <w:t>-1 </w:t>
      </w:r>
      <w:r>
        <w:rPr/>
        <w:t>for a</w:t>
      </w:r>
    </w:p>
    <w:p>
      <w:pPr>
        <w:pStyle w:val="BodyText"/>
        <w:spacing w:line="249" w:lineRule="auto" w:before="10"/>
        <w:ind w:left="117" w:right="39" w:hanging="1"/>
        <w:jc w:val="both"/>
      </w:pPr>
      <w:r>
        <w:rPr/>
        <w:t>new PC plant without capture and by 10.1 US$ MWh</w:t>
      </w:r>
      <w:r>
        <w:rPr>
          <w:position w:val="7"/>
          <w:sz w:val="11"/>
        </w:rPr>
        <w:t>-1 </w:t>
      </w:r>
      <w:r>
        <w:rPr/>
        <w:t>for a plant with capture.</w:t>
      </w:r>
    </w:p>
    <w:p>
      <w:pPr>
        <w:pStyle w:val="BodyText"/>
        <w:spacing w:line="225" w:lineRule="auto" w:before="13"/>
        <w:ind w:left="117" w:right="38" w:firstLine="284"/>
        <w:jc w:val="both"/>
      </w:pPr>
      <w:r>
        <w:rPr/>
        <w:t>These results indicate that new power plants equipped  with CO</w:t>
      </w:r>
      <w:r>
        <w:rPr>
          <w:position w:val="-6"/>
          <w:sz w:val="11"/>
        </w:rPr>
        <w:t>2 </w:t>
      </w:r>
      <w:r>
        <w:rPr/>
        <w:t>capture are likely to be high-efficiency supercritical units,</w:t>
      </w:r>
      <w:r>
        <w:rPr>
          <w:spacing w:val="13"/>
        </w:rPr>
        <w:t> </w:t>
      </w:r>
      <w:r>
        <w:rPr/>
        <w:t>which</w:t>
      </w:r>
      <w:r>
        <w:rPr>
          <w:spacing w:val="14"/>
        </w:rPr>
        <w:t> </w:t>
      </w:r>
      <w:r>
        <w:rPr/>
        <w:t>yield</w:t>
      </w:r>
      <w:r>
        <w:rPr>
          <w:spacing w:val="13"/>
        </w:rPr>
        <w:t> </w:t>
      </w:r>
      <w:r>
        <w:rPr/>
        <w:t>lowest</w:t>
      </w:r>
      <w:r>
        <w:rPr>
          <w:spacing w:val="14"/>
        </w:rPr>
        <w:t> </w:t>
      </w:r>
      <w:r>
        <w:rPr/>
        <w:t>overall</w:t>
      </w:r>
      <w:r>
        <w:rPr>
          <w:spacing w:val="14"/>
        </w:rPr>
        <w:t> </w:t>
      </w:r>
      <w:r>
        <w:rPr/>
        <w:t>costs.</w:t>
      </w:r>
      <w:r>
        <w:rPr>
          <w:spacing w:val="11"/>
        </w:rPr>
        <w:t> </w:t>
      </w:r>
      <w:r>
        <w:rPr/>
        <w:t>The</w:t>
      </w:r>
      <w:r>
        <w:rPr>
          <w:spacing w:val="13"/>
        </w:rPr>
        <w:t> </w:t>
      </w:r>
      <w:r>
        <w:rPr/>
        <w:t>worldwide</w:t>
      </w:r>
      <w:r>
        <w:rPr>
          <w:spacing w:val="14"/>
        </w:rPr>
        <w:t> </w:t>
      </w:r>
      <w:r>
        <w:rPr/>
        <w:t>use</w:t>
      </w:r>
      <w:r>
        <w:rPr>
          <w:spacing w:val="14"/>
        </w:rPr>
        <w:t> </w:t>
      </w:r>
      <w:r>
        <w:rPr/>
        <w:t>of</w:t>
      </w:r>
    </w:p>
    <w:p>
      <w:pPr>
        <w:pStyle w:val="BodyText"/>
        <w:spacing w:line="240" w:lineRule="exact" w:before="4"/>
        <w:ind w:left="117" w:right="38"/>
        <w:jc w:val="both"/>
      </w:pPr>
      <w:r>
        <w:rPr/>
        <w:t>supercritical units (without capture) with current usage at 155 </w:t>
      </w:r>
      <w:r>
        <w:rPr>
          <w:spacing w:val="-6"/>
        </w:rPr>
        <w:t>GW</w:t>
      </w:r>
      <w:r>
        <w:rPr>
          <w:spacing w:val="-6"/>
          <w:position w:val="-6"/>
          <w:sz w:val="11"/>
        </w:rPr>
        <w:t>e</w:t>
      </w:r>
      <w:r>
        <w:rPr>
          <w:spacing w:val="9"/>
          <w:position w:val="-6"/>
          <w:sz w:val="11"/>
        </w:rPr>
        <w:t> </w:t>
      </w:r>
      <w:r>
        <w:rPr/>
        <w:t>(Section</w:t>
      </w:r>
      <w:r>
        <w:rPr>
          <w:spacing w:val="-13"/>
        </w:rPr>
        <w:t> </w:t>
      </w:r>
      <w:r>
        <w:rPr/>
        <w:t>3.1.2.2),</w:t>
      </w:r>
      <w:r>
        <w:rPr>
          <w:spacing w:val="-12"/>
        </w:rPr>
        <w:t> </w:t>
      </w:r>
      <w:r>
        <w:rPr/>
        <w:t>is</w:t>
      </w:r>
      <w:r>
        <w:rPr>
          <w:spacing w:val="-12"/>
        </w:rPr>
        <w:t> </w:t>
      </w:r>
      <w:r>
        <w:rPr/>
        <w:t>rapidly</w:t>
      </w:r>
      <w:r>
        <w:rPr>
          <w:spacing w:val="-14"/>
        </w:rPr>
        <w:t> </w:t>
      </w:r>
      <w:r>
        <w:rPr/>
        <w:t>increasing</w:t>
      </w:r>
      <w:r>
        <w:rPr>
          <w:spacing w:val="-13"/>
        </w:rPr>
        <w:t> </w:t>
      </w:r>
      <w:r>
        <w:rPr/>
        <w:t>in</w:t>
      </w:r>
      <w:r>
        <w:rPr>
          <w:spacing w:val="-12"/>
        </w:rPr>
        <w:t> </w:t>
      </w:r>
      <w:r>
        <w:rPr/>
        <w:t>several</w:t>
      </w:r>
      <w:r>
        <w:rPr>
          <w:spacing w:val="-13"/>
        </w:rPr>
        <w:t> </w:t>
      </w:r>
      <w:r>
        <w:rPr/>
        <w:t>regions</w:t>
      </w:r>
      <w:r>
        <w:rPr>
          <w:spacing w:val="-13"/>
        </w:rPr>
        <w:t> </w:t>
      </w:r>
      <w:r>
        <w:rPr/>
        <w:t>of the</w:t>
      </w:r>
      <w:r>
        <w:rPr>
          <w:spacing w:val="-6"/>
        </w:rPr>
        <w:t> </w:t>
      </w:r>
      <w:r>
        <w:rPr/>
        <w:t>world</w:t>
      </w:r>
      <w:r>
        <w:rPr>
          <w:spacing w:val="-6"/>
        </w:rPr>
        <w:t> </w:t>
      </w:r>
      <w:r>
        <w:rPr/>
        <w:t>and,</w:t>
      </w:r>
      <w:r>
        <w:rPr>
          <w:spacing w:val="-5"/>
        </w:rPr>
        <w:t> </w:t>
      </w:r>
      <w:r>
        <w:rPr/>
        <w:t>as</w:t>
      </w:r>
      <w:r>
        <w:rPr>
          <w:spacing w:val="-6"/>
        </w:rPr>
        <w:t> </w:t>
      </w:r>
      <w:r>
        <w:rPr/>
        <w:t>seen</w:t>
      </w:r>
      <w:r>
        <w:rPr>
          <w:spacing w:val="-5"/>
        </w:rPr>
        <w:t> </w:t>
      </w:r>
      <w:r>
        <w:rPr/>
        <w:t>in</w:t>
      </w:r>
      <w:r>
        <w:rPr>
          <w:spacing w:val="-9"/>
        </w:rPr>
        <w:t> </w:t>
      </w:r>
      <w:hyperlink w:history="true" w:anchor="_bookmark37">
        <w:r>
          <w:rPr>
            <w:spacing w:val="-3"/>
          </w:rPr>
          <w:t>Table</w:t>
        </w:r>
        <w:r>
          <w:rPr>
            <w:spacing w:val="-5"/>
          </w:rPr>
          <w:t> </w:t>
        </w:r>
        <w:r>
          <w:rPr/>
          <w:t>3.7,</w:t>
        </w:r>
        <w:r>
          <w:rPr>
            <w:spacing w:val="-6"/>
          </w:rPr>
          <w:t> </w:t>
        </w:r>
      </w:hyperlink>
      <w:r>
        <w:rPr/>
        <w:t>the</w:t>
      </w:r>
      <w:r>
        <w:rPr>
          <w:spacing w:val="-5"/>
        </w:rPr>
        <w:t> </w:t>
      </w:r>
      <w:r>
        <w:rPr/>
        <w:t>preponderance</w:t>
      </w:r>
      <w:r>
        <w:rPr>
          <w:spacing w:val="-6"/>
        </w:rPr>
        <w:t> </w:t>
      </w:r>
      <w:r>
        <w:rPr/>
        <w:t>of</w:t>
      </w:r>
      <w:r>
        <w:rPr>
          <w:spacing w:val="-5"/>
        </w:rPr>
        <w:t> </w:t>
      </w:r>
      <w:r>
        <w:rPr/>
        <w:t>recent studies of CO</w:t>
      </w:r>
      <w:r>
        <w:rPr>
          <w:position w:val="-6"/>
          <w:sz w:val="11"/>
        </w:rPr>
        <w:t>2 </w:t>
      </w:r>
      <w:r>
        <w:rPr/>
        <w:t>capture are based on supercritical units using bituminous</w:t>
      </w:r>
      <w:r>
        <w:rPr>
          <w:spacing w:val="-8"/>
        </w:rPr>
        <w:t> </w:t>
      </w:r>
      <w:r>
        <w:rPr/>
        <w:t>coals.</w:t>
      </w:r>
      <w:r>
        <w:rPr>
          <w:spacing w:val="-8"/>
        </w:rPr>
        <w:t> </w:t>
      </w:r>
      <w:r>
        <w:rPr/>
        <w:t>For</w:t>
      </w:r>
      <w:r>
        <w:rPr>
          <w:spacing w:val="-7"/>
        </w:rPr>
        <w:t> </w:t>
      </w:r>
      <w:r>
        <w:rPr/>
        <w:t>these</w:t>
      </w:r>
      <w:r>
        <w:rPr>
          <w:spacing w:val="-8"/>
        </w:rPr>
        <w:t> </w:t>
      </w:r>
      <w:r>
        <w:rPr/>
        <w:t>plants,</w:t>
      </w:r>
      <w:r>
        <w:rPr>
          <w:spacing w:val="-11"/>
        </w:rPr>
        <w:t> </w:t>
      </w:r>
      <w:hyperlink w:history="true" w:anchor="_bookmark37">
        <w:r>
          <w:rPr>
            <w:spacing w:val="-3"/>
          </w:rPr>
          <w:t>Table</w:t>
        </w:r>
        <w:r>
          <w:rPr>
            <w:spacing w:val="-8"/>
          </w:rPr>
          <w:t> </w:t>
        </w:r>
        <w:r>
          <w:rPr/>
          <w:t>3.7</w:t>
        </w:r>
        <w:r>
          <w:rPr>
            <w:spacing w:val="-7"/>
          </w:rPr>
          <w:t> </w:t>
        </w:r>
      </w:hyperlink>
      <w:r>
        <w:rPr/>
        <w:t>shows</w:t>
      </w:r>
      <w:r>
        <w:rPr>
          <w:spacing w:val="-8"/>
        </w:rPr>
        <w:t> </w:t>
      </w:r>
      <w:r>
        <w:rPr/>
        <w:t>that</w:t>
      </w:r>
      <w:r>
        <w:rPr>
          <w:spacing w:val="-7"/>
        </w:rPr>
        <w:t> </w:t>
      </w:r>
      <w:r>
        <w:rPr/>
        <w:t>capture systems</w:t>
      </w:r>
      <w:r>
        <w:rPr>
          <w:spacing w:val="17"/>
        </w:rPr>
        <w:t> </w:t>
      </w:r>
      <w:r>
        <w:rPr/>
        <w:t>increase</w:t>
      </w:r>
      <w:r>
        <w:rPr>
          <w:spacing w:val="17"/>
        </w:rPr>
        <w:t> </w:t>
      </w:r>
      <w:r>
        <w:rPr/>
        <w:t>the</w:t>
      </w:r>
      <w:r>
        <w:rPr>
          <w:spacing w:val="18"/>
        </w:rPr>
        <w:t> </w:t>
      </w:r>
      <w:r>
        <w:rPr/>
        <w:t>capital</w:t>
      </w:r>
      <w:r>
        <w:rPr>
          <w:spacing w:val="17"/>
        </w:rPr>
        <w:t> </w:t>
      </w:r>
      <w:r>
        <w:rPr/>
        <w:t>cost</w:t>
      </w:r>
      <w:r>
        <w:rPr>
          <w:spacing w:val="18"/>
        </w:rPr>
        <w:t> </w:t>
      </w:r>
      <w:r>
        <w:rPr/>
        <w:t>by</w:t>
      </w:r>
      <w:r>
        <w:rPr>
          <w:spacing w:val="17"/>
        </w:rPr>
        <w:t> </w:t>
      </w:r>
      <w:r>
        <w:rPr/>
        <w:t>44-74%</w:t>
      </w:r>
      <w:r>
        <w:rPr>
          <w:spacing w:val="17"/>
        </w:rPr>
        <w:t> </w:t>
      </w:r>
      <w:r>
        <w:rPr/>
        <w:t>and</w:t>
      </w:r>
      <w:r>
        <w:rPr>
          <w:spacing w:val="18"/>
        </w:rPr>
        <w:t> </w:t>
      </w:r>
      <w:r>
        <w:rPr/>
        <w:t>the</w:t>
      </w:r>
      <w:r>
        <w:rPr>
          <w:spacing w:val="17"/>
        </w:rPr>
        <w:t> </w:t>
      </w:r>
      <w:r>
        <w:rPr/>
        <w:t>COE</w:t>
      </w:r>
      <w:r>
        <w:rPr>
          <w:spacing w:val="18"/>
        </w:rPr>
        <w:t> </w:t>
      </w:r>
      <w:r>
        <w:rPr/>
        <w:t>by</w:t>
      </w:r>
    </w:p>
    <w:p>
      <w:pPr>
        <w:pStyle w:val="BodyText"/>
        <w:spacing w:line="196" w:lineRule="exact"/>
        <w:ind w:left="116"/>
        <w:jc w:val="both"/>
      </w:pPr>
      <w:r>
        <w:rPr/>
        <w:br w:type="column"/>
      </w:r>
      <w:r>
        <w:rPr/>
        <w:t>cases) additional power. Low natural gas prices can make this</w:t>
      </w:r>
    </w:p>
    <w:p>
      <w:pPr>
        <w:pStyle w:val="BodyText"/>
        <w:spacing w:line="240" w:lineRule="exact" w:before="4"/>
        <w:ind w:left="116" w:right="110"/>
        <w:jc w:val="both"/>
      </w:pPr>
      <w:r>
        <w:rPr/>
        <w:t>option more attractive than plant output reduction (based on COE), but such systems yield lower CO</w:t>
      </w:r>
      <w:r>
        <w:rPr>
          <w:position w:val="-6"/>
          <w:sz w:val="11"/>
        </w:rPr>
        <w:t>2 </w:t>
      </w:r>
      <w:r>
        <w:rPr/>
        <w:t>reductions (around 60%) since the emissions from natural gas combustion are typically not captured. For this reason, the avoided cost values for this option are not directly comparable to those with higher CO</w:t>
      </w:r>
      <w:r>
        <w:rPr>
          <w:position w:val="-6"/>
          <w:sz w:val="11"/>
        </w:rPr>
        <w:t>2 </w:t>
      </w:r>
      <w:r>
        <w:rPr/>
        <w:t>reductions.</w:t>
      </w:r>
    </w:p>
    <w:p>
      <w:pPr>
        <w:pStyle w:val="BodyText"/>
        <w:spacing w:line="240" w:lineRule="exact"/>
        <w:ind w:left="116" w:right="110" w:firstLine="284"/>
        <w:jc w:val="both"/>
      </w:pPr>
      <w:r>
        <w:rPr/>
        <w:t>Also reflected in </w:t>
      </w:r>
      <w:hyperlink w:history="true" w:anchor="_bookmark37">
        <w:r>
          <w:rPr>
            <w:spacing w:val="-3"/>
          </w:rPr>
          <w:t>Table </w:t>
        </w:r>
        <w:r>
          <w:rPr/>
          <w:t>3.8</w:t>
        </w:r>
      </w:hyperlink>
      <w:r>
        <w:rPr/>
        <w:t>  is  the  option  of  rebuilding  an existing boiler and steam turbine as a supercritical unit      to gain efficiency improvements in conjunction with CO</w:t>
      </w:r>
      <w:r>
        <w:rPr>
          <w:position w:val="-6"/>
          <w:sz w:val="11"/>
        </w:rPr>
        <w:t>2 </w:t>
      </w:r>
      <w:r>
        <w:rPr/>
        <w:t>capture. One recent study (Gibbins </w:t>
      </w:r>
      <w:r>
        <w:rPr>
          <w:i/>
        </w:rPr>
        <w:t>et al.</w:t>
      </w:r>
      <w:r>
        <w:rPr/>
        <w:t>, 2005) suggests this option</w:t>
      </w:r>
      <w:r>
        <w:rPr>
          <w:spacing w:val="37"/>
        </w:rPr>
        <w:t> </w:t>
      </w:r>
      <w:r>
        <w:rPr/>
        <w:t>could</w:t>
      </w:r>
      <w:r>
        <w:rPr>
          <w:spacing w:val="37"/>
        </w:rPr>
        <w:t> </w:t>
      </w:r>
      <w:r>
        <w:rPr/>
        <w:t>be</w:t>
      </w:r>
      <w:r>
        <w:rPr>
          <w:spacing w:val="38"/>
        </w:rPr>
        <w:t> </w:t>
      </w:r>
      <w:r>
        <w:rPr/>
        <w:t>economically</w:t>
      </w:r>
      <w:r>
        <w:rPr>
          <w:spacing w:val="37"/>
        </w:rPr>
        <w:t> </w:t>
      </w:r>
      <w:r>
        <w:rPr/>
        <w:t>attractive</w:t>
      </w:r>
      <w:r>
        <w:rPr>
          <w:spacing w:val="38"/>
        </w:rPr>
        <w:t> </w:t>
      </w:r>
      <w:r>
        <w:rPr/>
        <w:t>in</w:t>
      </w:r>
      <w:r>
        <w:rPr>
          <w:spacing w:val="37"/>
        </w:rPr>
        <w:t> </w:t>
      </w:r>
      <w:r>
        <w:rPr/>
        <w:t>conjunction</w:t>
      </w:r>
      <w:r>
        <w:rPr>
          <w:spacing w:val="38"/>
        </w:rPr>
        <w:t> </w:t>
      </w:r>
      <w:r>
        <w:rPr/>
        <w:t>with</w:t>
      </w:r>
    </w:p>
    <w:p>
      <w:pPr>
        <w:spacing w:after="0" w:line="240" w:lineRule="exact"/>
        <w:jc w:val="both"/>
        <w:sectPr>
          <w:type w:val="continuous"/>
          <w:pgSz w:w="12240" w:h="15840"/>
          <w:pgMar w:top="480" w:bottom="280" w:left="620" w:right="1020"/>
          <w:cols w:num="2" w:equalWidth="0">
            <w:col w:w="5202" w:space="125"/>
            <w:col w:w="5273"/>
          </w:cols>
        </w:sectPr>
      </w:pPr>
    </w:p>
    <w:p>
      <w:pPr>
        <w:pStyle w:val="BodyText"/>
        <w:spacing w:before="5"/>
        <w:ind w:left="117"/>
      </w:pPr>
      <w:r>
        <w:rPr/>
        <w:t>42-66% (18-34 US$ MWh</w:t>
      </w:r>
      <w:r>
        <w:rPr>
          <w:position w:val="7"/>
          <w:sz w:val="11"/>
        </w:rPr>
        <w:t>-1</w:t>
      </w:r>
      <w:r>
        <w:rPr/>
        <w:t>). The major factors contributing</w:t>
      </w:r>
    </w:p>
    <w:p>
      <w:pPr>
        <w:spacing w:line="277" w:lineRule="exact" w:before="5"/>
        <w:ind w:left="117" w:right="0" w:firstLine="0"/>
        <w:jc w:val="left"/>
        <w:rPr>
          <w:sz w:val="11"/>
        </w:rPr>
      </w:pPr>
      <w:r>
        <w:rPr/>
        <w:br w:type="column"/>
      </w:r>
      <w:r>
        <w:rPr>
          <w:sz w:val="20"/>
        </w:rPr>
        <w:t>CO</w:t>
      </w:r>
      <w:r>
        <w:rPr>
          <w:position w:val="-6"/>
          <w:sz w:val="11"/>
        </w:rPr>
        <w:t>2</w:t>
      </w:r>
    </w:p>
    <w:p>
      <w:pPr>
        <w:pStyle w:val="BodyText"/>
        <w:spacing w:before="5"/>
        <w:ind w:left="36"/>
      </w:pPr>
      <w:r>
        <w:rPr/>
        <w:br w:type="column"/>
      </w:r>
      <w:r>
        <w:rPr/>
        <w:t>capture since the more efficient unit minimizes the cost</w:t>
      </w:r>
    </w:p>
    <w:p>
      <w:pPr>
        <w:spacing w:after="0"/>
        <w:sectPr>
          <w:type w:val="continuous"/>
          <w:pgSz w:w="12240" w:h="15840"/>
          <w:pgMar w:top="480" w:bottom="280" w:left="620" w:right="1020"/>
          <w:cols w:num="3" w:equalWidth="0">
            <w:col w:w="5201" w:space="125"/>
            <w:col w:w="453" w:space="40"/>
            <w:col w:w="4781"/>
          </w:cols>
        </w:sectPr>
      </w:pPr>
    </w:p>
    <w:p>
      <w:pPr>
        <w:pStyle w:val="BodyText"/>
        <w:spacing w:line="194" w:lineRule="exact"/>
        <w:ind w:left="117"/>
        <w:jc w:val="both"/>
      </w:pPr>
      <w:r>
        <w:rPr/>
        <w:t>to these ranges were differences in plant size, capacity factor</w:t>
      </w:r>
    </w:p>
    <w:p>
      <w:pPr>
        <w:pStyle w:val="BodyText"/>
        <w:spacing w:line="240" w:lineRule="exact" w:before="4"/>
        <w:ind w:left="117" w:right="38"/>
        <w:jc w:val="both"/>
      </w:pPr>
      <w:r>
        <w:rPr/>
        <w:t>and fixed charge factor. New or improved capture systems and power plant designs that promise to further reduce the costs </w:t>
      </w:r>
      <w:r>
        <w:rPr>
          <w:spacing w:val="-6"/>
        </w:rPr>
        <w:t>of </w:t>
      </w:r>
      <w:r>
        <w:rPr/>
        <w:t>CO</w:t>
      </w:r>
      <w:r>
        <w:rPr>
          <w:position w:val="-6"/>
          <w:sz w:val="11"/>
        </w:rPr>
        <w:t>2</w:t>
      </w:r>
      <w:r>
        <w:rPr>
          <w:spacing w:val="14"/>
          <w:position w:val="-6"/>
          <w:sz w:val="11"/>
        </w:rPr>
        <w:t> </w:t>
      </w:r>
      <w:r>
        <w:rPr/>
        <w:t>capture</w:t>
      </w:r>
      <w:r>
        <w:rPr>
          <w:spacing w:val="-7"/>
        </w:rPr>
        <w:t> </w:t>
      </w:r>
      <w:r>
        <w:rPr/>
        <w:t>are</w:t>
      </w:r>
      <w:r>
        <w:rPr>
          <w:spacing w:val="-8"/>
        </w:rPr>
        <w:t> </w:t>
      </w:r>
      <w:r>
        <w:rPr/>
        <w:t>discussed</w:t>
      </w:r>
      <w:r>
        <w:rPr>
          <w:spacing w:val="-8"/>
        </w:rPr>
        <w:t> </w:t>
      </w:r>
      <w:r>
        <w:rPr/>
        <w:t>later</w:t>
      </w:r>
      <w:r>
        <w:rPr>
          <w:spacing w:val="-7"/>
        </w:rPr>
        <w:t> </w:t>
      </w:r>
      <w:r>
        <w:rPr/>
        <w:t>in</w:t>
      </w:r>
      <w:r>
        <w:rPr>
          <w:spacing w:val="-8"/>
        </w:rPr>
        <w:t> </w:t>
      </w:r>
      <w:r>
        <w:rPr/>
        <w:t>Section</w:t>
      </w:r>
      <w:r>
        <w:rPr>
          <w:spacing w:val="-8"/>
        </w:rPr>
        <w:t> </w:t>
      </w:r>
      <w:r>
        <w:rPr/>
        <w:t>3.7.7.</w:t>
      </w:r>
      <w:r>
        <w:rPr>
          <w:spacing w:val="-8"/>
        </w:rPr>
        <w:t> </w:t>
      </w:r>
      <w:r>
        <w:rPr/>
        <w:t>First,</w:t>
      </w:r>
      <w:r>
        <w:rPr>
          <w:spacing w:val="-7"/>
        </w:rPr>
        <w:t> </w:t>
      </w:r>
      <w:r>
        <w:rPr/>
        <w:t>however, we examine CO</w:t>
      </w:r>
      <w:r>
        <w:rPr>
          <w:position w:val="-6"/>
          <w:sz w:val="11"/>
        </w:rPr>
        <w:t>2 </w:t>
      </w:r>
      <w:r>
        <w:rPr/>
        <w:t>capture costs at existing</w:t>
      </w:r>
      <w:r>
        <w:rPr>
          <w:spacing w:val="-6"/>
        </w:rPr>
        <w:t> </w:t>
      </w:r>
      <w:r>
        <w:rPr/>
        <w:t>plants.</w:t>
      </w:r>
    </w:p>
    <w:p>
      <w:pPr>
        <w:pStyle w:val="BodyText"/>
        <w:spacing w:before="4"/>
        <w:rPr>
          <w:sz w:val="21"/>
        </w:rPr>
      </w:pPr>
    </w:p>
    <w:p>
      <w:pPr>
        <w:pStyle w:val="ListParagraph"/>
        <w:numPr>
          <w:ilvl w:val="3"/>
          <w:numId w:val="28"/>
        </w:numPr>
        <w:tabs>
          <w:tab w:pos="938" w:val="left" w:leader="none"/>
        </w:tabs>
        <w:spacing w:line="240" w:lineRule="auto" w:before="0" w:after="0"/>
        <w:ind w:left="937" w:right="0" w:hanging="821"/>
        <w:jc w:val="both"/>
        <w:rPr>
          <w:i/>
          <w:sz w:val="20"/>
        </w:rPr>
      </w:pPr>
      <w:r>
        <w:rPr>
          <w:i/>
          <w:sz w:val="20"/>
        </w:rPr>
        <w:t>Existing coal-fired</w:t>
      </w:r>
      <w:r>
        <w:rPr>
          <w:i/>
          <w:spacing w:val="-1"/>
          <w:sz w:val="20"/>
        </w:rPr>
        <w:t> </w:t>
      </w:r>
      <w:r>
        <w:rPr>
          <w:i/>
          <w:sz w:val="20"/>
        </w:rPr>
        <w:t>plants</w:t>
      </w:r>
    </w:p>
    <w:p>
      <w:pPr>
        <w:pStyle w:val="BodyText"/>
        <w:spacing w:line="240" w:lineRule="exact" w:before="5"/>
        <w:ind w:left="116" w:right="38"/>
        <w:jc w:val="both"/>
      </w:pPr>
      <w:r>
        <w:rPr/>
        <w:t>Compared to the study of new plants, CO</w:t>
      </w:r>
      <w:r>
        <w:rPr>
          <w:position w:val="-6"/>
          <w:sz w:val="11"/>
        </w:rPr>
        <w:t>2 </w:t>
      </w:r>
      <w:r>
        <w:rPr/>
        <w:t>capture options for </w:t>
      </w:r>
      <w:hyperlink w:history="true" w:anchor="_bookmark37">
        <w:r>
          <w:rPr/>
          <w:t>existing</w:t>
        </w:r>
        <w:r>
          <w:rPr>
            <w:spacing w:val="-20"/>
          </w:rPr>
          <w:t> </w:t>
        </w:r>
      </w:hyperlink>
      <w:r>
        <w:rPr/>
        <w:t>power</w:t>
      </w:r>
      <w:r>
        <w:rPr>
          <w:spacing w:val="-19"/>
        </w:rPr>
        <w:t> </w:t>
      </w:r>
      <w:r>
        <w:rPr/>
        <w:t>plants</w:t>
      </w:r>
      <w:r>
        <w:rPr>
          <w:spacing w:val="-20"/>
        </w:rPr>
        <w:t> </w:t>
      </w:r>
      <w:r>
        <w:rPr/>
        <w:t>have</w:t>
      </w:r>
      <w:r>
        <w:rPr>
          <w:spacing w:val="-19"/>
        </w:rPr>
        <w:t> </w:t>
      </w:r>
      <w:r>
        <w:rPr/>
        <w:t>received</w:t>
      </w:r>
      <w:r>
        <w:rPr>
          <w:spacing w:val="-20"/>
        </w:rPr>
        <w:t> </w:t>
      </w:r>
      <w:r>
        <w:rPr/>
        <w:t>relatively</w:t>
      </w:r>
      <w:r>
        <w:rPr>
          <w:spacing w:val="-19"/>
        </w:rPr>
        <w:t> </w:t>
      </w:r>
      <w:r>
        <w:rPr/>
        <w:t>little</w:t>
      </w:r>
      <w:r>
        <w:rPr>
          <w:spacing w:val="-19"/>
        </w:rPr>
        <w:t> </w:t>
      </w:r>
      <w:r>
        <w:rPr/>
        <w:t>study</w:t>
      </w:r>
      <w:r>
        <w:rPr>
          <w:spacing w:val="-20"/>
        </w:rPr>
        <w:t> </w:t>
      </w:r>
      <w:r>
        <w:rPr/>
        <w:t>to</w:t>
      </w:r>
      <w:r>
        <w:rPr>
          <w:spacing w:val="-19"/>
        </w:rPr>
        <w:t> </w:t>
      </w:r>
      <w:r>
        <w:rPr/>
        <w:t>date. </w:t>
      </w:r>
      <w:hyperlink w:history="true" w:anchor="_bookmark37">
        <w:r>
          <w:rPr>
            <w:spacing w:val="-3"/>
          </w:rPr>
          <w:t>Table </w:t>
        </w:r>
        <w:r>
          <w:rPr/>
          <w:t>3.8</w:t>
        </w:r>
      </w:hyperlink>
      <w:r>
        <w:rPr/>
        <w:t> summarizes the assumptions and results of several studies estimating the cost of retrofitting an amine-based CO</w:t>
      </w:r>
      <w:r>
        <w:rPr>
          <w:position w:val="-6"/>
          <w:sz w:val="11"/>
        </w:rPr>
        <w:t>2 </w:t>
      </w:r>
      <w:r>
        <w:rPr/>
        <w:t>capture system to an existing coal-fired power plant. Several factors</w:t>
      </w:r>
      <w:r>
        <w:rPr>
          <w:spacing w:val="-11"/>
        </w:rPr>
        <w:t> </w:t>
      </w:r>
      <w:r>
        <w:rPr/>
        <w:t>significantly</w:t>
      </w:r>
      <w:r>
        <w:rPr>
          <w:spacing w:val="-9"/>
        </w:rPr>
        <w:t> </w:t>
      </w:r>
      <w:r>
        <w:rPr/>
        <w:t>affect</w:t>
      </w:r>
      <w:r>
        <w:rPr>
          <w:spacing w:val="-10"/>
        </w:rPr>
        <w:t> </w:t>
      </w:r>
      <w:r>
        <w:rPr/>
        <w:t>the</w:t>
      </w:r>
      <w:r>
        <w:rPr>
          <w:spacing w:val="-10"/>
        </w:rPr>
        <w:t> </w:t>
      </w:r>
      <w:r>
        <w:rPr/>
        <w:t>economics</w:t>
      </w:r>
      <w:r>
        <w:rPr>
          <w:spacing w:val="-10"/>
        </w:rPr>
        <w:t> </w:t>
      </w:r>
      <w:r>
        <w:rPr/>
        <w:t>of</w:t>
      </w:r>
      <w:r>
        <w:rPr>
          <w:spacing w:val="-10"/>
        </w:rPr>
        <w:t> </w:t>
      </w:r>
      <w:r>
        <w:rPr/>
        <w:t>retrofits,</w:t>
      </w:r>
      <w:r>
        <w:rPr>
          <w:spacing w:val="-10"/>
        </w:rPr>
        <w:t> </w:t>
      </w:r>
      <w:r>
        <w:rPr/>
        <w:t>especially the age, smaller sizes and lower efficiencies typical of existing plants relative to new builds. The energy requirement for </w:t>
      </w:r>
      <w:r>
        <w:rPr>
          <w:spacing w:val="-4"/>
        </w:rPr>
        <w:t>CO</w:t>
      </w:r>
      <w:r>
        <w:rPr>
          <w:spacing w:val="-4"/>
          <w:position w:val="-6"/>
          <w:sz w:val="11"/>
        </w:rPr>
        <w:t>2 </w:t>
      </w:r>
      <w:r>
        <w:rPr/>
        <w:t>capture also is usually higher because of less efficient </w:t>
      </w:r>
      <w:r>
        <w:rPr>
          <w:spacing w:val="-4"/>
        </w:rPr>
        <w:t>heat </w:t>
      </w:r>
      <w:r>
        <w:rPr/>
        <w:t>integration for sorbent regeneration. All of these factors lead</w:t>
      </w:r>
      <w:r>
        <w:rPr>
          <w:spacing w:val="-24"/>
        </w:rPr>
        <w:t> </w:t>
      </w:r>
      <w:r>
        <w:rPr/>
        <w:t>to higher</w:t>
      </w:r>
      <w:r>
        <w:rPr>
          <w:spacing w:val="-12"/>
        </w:rPr>
        <w:t> </w:t>
      </w:r>
      <w:r>
        <w:rPr/>
        <w:t>overall</w:t>
      </w:r>
      <w:r>
        <w:rPr>
          <w:spacing w:val="-12"/>
        </w:rPr>
        <w:t> </w:t>
      </w:r>
      <w:r>
        <w:rPr/>
        <w:t>costs.</w:t>
      </w:r>
      <w:r>
        <w:rPr>
          <w:spacing w:val="-12"/>
        </w:rPr>
        <w:t> </w:t>
      </w:r>
      <w:r>
        <w:rPr/>
        <w:t>Existing</w:t>
      </w:r>
      <w:r>
        <w:rPr>
          <w:spacing w:val="-11"/>
        </w:rPr>
        <w:t> </w:t>
      </w:r>
      <w:r>
        <w:rPr/>
        <w:t>plants</w:t>
      </w:r>
      <w:r>
        <w:rPr>
          <w:spacing w:val="-12"/>
        </w:rPr>
        <w:t> </w:t>
      </w:r>
      <w:r>
        <w:rPr/>
        <w:t>not</w:t>
      </w:r>
      <w:r>
        <w:rPr>
          <w:spacing w:val="-12"/>
        </w:rPr>
        <w:t> </w:t>
      </w:r>
      <w:r>
        <w:rPr/>
        <w:t>yet</w:t>
      </w:r>
      <w:r>
        <w:rPr>
          <w:spacing w:val="-12"/>
        </w:rPr>
        <w:t> </w:t>
      </w:r>
      <w:r>
        <w:rPr/>
        <w:t>equipped</w:t>
      </w:r>
      <w:r>
        <w:rPr>
          <w:spacing w:val="-11"/>
        </w:rPr>
        <w:t> </w:t>
      </w:r>
      <w:r>
        <w:rPr/>
        <w:t>with</w:t>
      </w:r>
      <w:r>
        <w:rPr>
          <w:spacing w:val="-12"/>
        </w:rPr>
        <w:t> </w:t>
      </w:r>
      <w:r>
        <w:rPr/>
        <w:t>a</w:t>
      </w:r>
      <w:r>
        <w:rPr>
          <w:spacing w:val="-12"/>
        </w:rPr>
        <w:t> </w:t>
      </w:r>
      <w:r>
        <w:rPr/>
        <w:t>flue gas desulphurization (FGD) system for SO</w:t>
      </w:r>
      <w:r>
        <w:rPr>
          <w:position w:val="-6"/>
          <w:sz w:val="11"/>
        </w:rPr>
        <w:t>2 </w:t>
      </w:r>
      <w:r>
        <w:rPr/>
        <w:t>control also must be</w:t>
      </w:r>
      <w:r>
        <w:rPr>
          <w:spacing w:val="-9"/>
        </w:rPr>
        <w:t> </w:t>
      </w:r>
      <w:r>
        <w:rPr/>
        <w:t>retrofitted</w:t>
      </w:r>
      <w:r>
        <w:rPr>
          <w:spacing w:val="-8"/>
        </w:rPr>
        <w:t> </w:t>
      </w:r>
      <w:r>
        <w:rPr/>
        <w:t>or</w:t>
      </w:r>
      <w:r>
        <w:rPr>
          <w:spacing w:val="-8"/>
        </w:rPr>
        <w:t> </w:t>
      </w:r>
      <w:r>
        <w:rPr/>
        <w:t>upgraded</w:t>
      </w:r>
      <w:r>
        <w:rPr>
          <w:spacing w:val="-9"/>
        </w:rPr>
        <w:t> </w:t>
      </w:r>
      <w:r>
        <w:rPr/>
        <w:t>for</w:t>
      </w:r>
      <w:r>
        <w:rPr>
          <w:spacing w:val="-8"/>
        </w:rPr>
        <w:t> </w:t>
      </w:r>
      <w:r>
        <w:rPr/>
        <w:t>high-efficiency</w:t>
      </w:r>
      <w:r>
        <w:rPr>
          <w:spacing w:val="-8"/>
        </w:rPr>
        <w:t> </w:t>
      </w:r>
      <w:r>
        <w:rPr/>
        <w:t>sulphur</w:t>
      </w:r>
      <w:r>
        <w:rPr>
          <w:spacing w:val="-8"/>
        </w:rPr>
        <w:t> </w:t>
      </w:r>
      <w:r>
        <w:rPr/>
        <w:t>capture</w:t>
      </w:r>
      <w:r>
        <w:rPr>
          <w:spacing w:val="-8"/>
        </w:rPr>
        <w:t> </w:t>
      </w:r>
      <w:r>
        <w:rPr/>
        <w:t>in addition to the CO</w:t>
      </w:r>
      <w:r>
        <w:rPr>
          <w:position w:val="-6"/>
          <w:sz w:val="11"/>
        </w:rPr>
        <w:t>2 </w:t>
      </w:r>
      <w:r>
        <w:rPr/>
        <w:t>capture device. For plants with high NO</w:t>
      </w:r>
      <w:r>
        <w:rPr>
          <w:position w:val="-6"/>
          <w:sz w:val="11"/>
        </w:rPr>
        <w:t>x </w:t>
      </w:r>
      <w:r>
        <w:rPr/>
        <w:t>levels,</w:t>
      </w:r>
      <w:r>
        <w:rPr>
          <w:spacing w:val="-7"/>
        </w:rPr>
        <w:t> </w:t>
      </w:r>
      <w:r>
        <w:rPr/>
        <w:t>a</w:t>
      </w:r>
      <w:r>
        <w:rPr>
          <w:spacing w:val="-6"/>
        </w:rPr>
        <w:t> </w:t>
      </w:r>
      <w:r>
        <w:rPr/>
        <w:t>NO</w:t>
      </w:r>
      <w:r>
        <w:rPr>
          <w:position w:val="-6"/>
          <w:sz w:val="11"/>
        </w:rPr>
        <w:t>2</w:t>
      </w:r>
      <w:r>
        <w:rPr>
          <w:spacing w:val="16"/>
          <w:position w:val="-6"/>
          <w:sz w:val="11"/>
        </w:rPr>
        <w:t> </w:t>
      </w:r>
      <w:r>
        <w:rPr/>
        <w:t>removal</w:t>
      </w:r>
      <w:r>
        <w:rPr>
          <w:spacing w:val="-7"/>
        </w:rPr>
        <w:t> </w:t>
      </w:r>
      <w:r>
        <w:rPr/>
        <w:t>system</w:t>
      </w:r>
      <w:r>
        <w:rPr>
          <w:spacing w:val="-6"/>
        </w:rPr>
        <w:t> </w:t>
      </w:r>
      <w:r>
        <w:rPr/>
        <w:t>also</w:t>
      </w:r>
      <w:r>
        <w:rPr>
          <w:spacing w:val="-6"/>
        </w:rPr>
        <w:t> </w:t>
      </w:r>
      <w:r>
        <w:rPr/>
        <w:t>may</w:t>
      </w:r>
      <w:r>
        <w:rPr>
          <w:spacing w:val="-7"/>
        </w:rPr>
        <w:t> </w:t>
      </w:r>
      <w:r>
        <w:rPr/>
        <w:t>be</w:t>
      </w:r>
      <w:r>
        <w:rPr>
          <w:spacing w:val="-6"/>
        </w:rPr>
        <w:t> </w:t>
      </w:r>
      <w:r>
        <w:rPr/>
        <w:t>required</w:t>
      </w:r>
      <w:r>
        <w:rPr>
          <w:spacing w:val="-6"/>
        </w:rPr>
        <w:t> </w:t>
      </w:r>
      <w:r>
        <w:rPr/>
        <w:t>to</w:t>
      </w:r>
      <w:r>
        <w:rPr>
          <w:spacing w:val="-7"/>
        </w:rPr>
        <w:t> </w:t>
      </w:r>
      <w:r>
        <w:rPr/>
        <w:t>minimize solvent</w:t>
      </w:r>
      <w:r>
        <w:rPr>
          <w:spacing w:val="-15"/>
        </w:rPr>
        <w:t> </w:t>
      </w:r>
      <w:r>
        <w:rPr/>
        <w:t>loss</w:t>
      </w:r>
      <w:r>
        <w:rPr>
          <w:spacing w:val="-15"/>
        </w:rPr>
        <w:t> </w:t>
      </w:r>
      <w:r>
        <w:rPr/>
        <w:t>from</w:t>
      </w:r>
      <w:r>
        <w:rPr>
          <w:spacing w:val="-14"/>
        </w:rPr>
        <w:t> </w:t>
      </w:r>
      <w:r>
        <w:rPr/>
        <w:t>reactions</w:t>
      </w:r>
      <w:r>
        <w:rPr>
          <w:spacing w:val="-14"/>
        </w:rPr>
        <w:t> </w:t>
      </w:r>
      <w:r>
        <w:rPr/>
        <w:t>with</w:t>
      </w:r>
      <w:r>
        <w:rPr>
          <w:spacing w:val="-15"/>
        </w:rPr>
        <w:t> </w:t>
      </w:r>
      <w:r>
        <w:rPr/>
        <w:t>acid</w:t>
      </w:r>
      <w:r>
        <w:rPr>
          <w:spacing w:val="-14"/>
        </w:rPr>
        <w:t> </w:t>
      </w:r>
      <w:r>
        <w:rPr/>
        <w:t>gases.</w:t>
      </w:r>
      <w:r>
        <w:rPr>
          <w:spacing w:val="-14"/>
        </w:rPr>
        <w:t> </w:t>
      </w:r>
      <w:r>
        <w:rPr>
          <w:spacing w:val="-3"/>
        </w:rPr>
        <w:t>Finally,</w:t>
      </w:r>
      <w:r>
        <w:rPr>
          <w:spacing w:val="-15"/>
        </w:rPr>
        <w:t> </w:t>
      </w:r>
      <w:r>
        <w:rPr/>
        <w:t>site-specific difficulties, such as land availability, access to plant areas and the need for special ductwork, tend to further increase the capital cost of any retrofit project relative to an equivalent</w:t>
      </w:r>
      <w:r>
        <w:rPr>
          <w:spacing w:val="10"/>
        </w:rPr>
        <w:t> </w:t>
      </w:r>
      <w:r>
        <w:rPr>
          <w:spacing w:val="-5"/>
        </w:rPr>
        <w:t>new</w:t>
      </w:r>
    </w:p>
    <w:p>
      <w:pPr>
        <w:pStyle w:val="BodyText"/>
        <w:spacing w:line="194" w:lineRule="exact"/>
        <w:ind w:left="116"/>
        <w:jc w:val="both"/>
      </w:pPr>
      <w:r>
        <w:rPr/>
        <w:br w:type="column"/>
      </w:r>
      <w:r>
        <w:rPr/>
        <w:t>of</w:t>
      </w:r>
      <w:r>
        <w:rPr>
          <w:spacing w:val="21"/>
        </w:rPr>
        <w:t> </w:t>
      </w:r>
      <w:r>
        <w:rPr/>
        <w:t>capture</w:t>
      </w:r>
      <w:r>
        <w:rPr>
          <w:spacing w:val="21"/>
        </w:rPr>
        <w:t> </w:t>
      </w:r>
      <w:r>
        <w:rPr/>
        <w:t>and</w:t>
      </w:r>
      <w:r>
        <w:rPr>
          <w:spacing w:val="21"/>
        </w:rPr>
        <w:t> </w:t>
      </w:r>
      <w:r>
        <w:rPr/>
        <w:t>yields</w:t>
      </w:r>
      <w:r>
        <w:rPr>
          <w:spacing w:val="21"/>
        </w:rPr>
        <w:t> </w:t>
      </w:r>
      <w:r>
        <w:rPr/>
        <w:t>a</w:t>
      </w:r>
      <w:r>
        <w:rPr>
          <w:spacing w:val="21"/>
        </w:rPr>
        <w:t> </w:t>
      </w:r>
      <w:r>
        <w:rPr/>
        <w:t>greater</w:t>
      </w:r>
      <w:r>
        <w:rPr>
          <w:spacing w:val="21"/>
        </w:rPr>
        <w:t> </w:t>
      </w:r>
      <w:r>
        <w:rPr/>
        <w:t>net</w:t>
      </w:r>
      <w:r>
        <w:rPr>
          <w:spacing w:val="21"/>
        </w:rPr>
        <w:t> </w:t>
      </w:r>
      <w:r>
        <w:rPr/>
        <w:t>power</w:t>
      </w:r>
      <w:r>
        <w:rPr>
          <w:spacing w:val="21"/>
        </w:rPr>
        <w:t> </w:t>
      </w:r>
      <w:r>
        <w:rPr/>
        <w:t>output</w:t>
      </w:r>
      <w:r>
        <w:rPr>
          <w:spacing w:val="21"/>
        </w:rPr>
        <w:t> </w:t>
      </w:r>
      <w:r>
        <w:rPr/>
        <w:t>and</w:t>
      </w:r>
      <w:r>
        <w:rPr>
          <w:spacing w:val="21"/>
        </w:rPr>
        <w:t> </w:t>
      </w:r>
      <w:r>
        <w:rPr/>
        <w:t>a</w:t>
      </w:r>
      <w:r>
        <w:rPr>
          <w:spacing w:val="21"/>
        </w:rPr>
        <w:t> </w:t>
      </w:r>
      <w:r>
        <w:rPr/>
        <w:t>lower</w:t>
      </w:r>
    </w:p>
    <w:p>
      <w:pPr>
        <w:pStyle w:val="BodyText"/>
        <w:spacing w:line="240" w:lineRule="exact" w:before="4"/>
        <w:ind w:left="116" w:right="111"/>
        <w:jc w:val="both"/>
      </w:pPr>
      <w:r>
        <w:rPr/>
        <w:t>COE compared to a simple retrofit. The use of a new and less energy-intensive capture unit yields  further  cost  reductions in this </w:t>
      </w:r>
      <w:r>
        <w:rPr>
          <w:spacing w:val="-3"/>
        </w:rPr>
        <w:t>study. </w:t>
      </w:r>
      <w:r>
        <w:rPr/>
        <w:t>Another recent study similarly concluded that  the most economical approach to CO</w:t>
      </w:r>
      <w:r>
        <w:rPr>
          <w:position w:val="-6"/>
          <w:sz w:val="11"/>
        </w:rPr>
        <w:t>2 </w:t>
      </w:r>
      <w:r>
        <w:rPr/>
        <w:t>capture for an existing coal-fired plant was to combine CO</w:t>
      </w:r>
      <w:r>
        <w:rPr>
          <w:position w:val="-6"/>
          <w:sz w:val="11"/>
        </w:rPr>
        <w:t>2 </w:t>
      </w:r>
      <w:r>
        <w:rPr/>
        <w:t>capture with repowering the unit with an ultra-supercritical steam system (Simbeck, 2004). One additional option, repowering an existing  </w:t>
      </w:r>
      <w:r>
        <w:rPr>
          <w:spacing w:val="-3"/>
        </w:rPr>
        <w:t>unit  </w:t>
      </w:r>
      <w:r>
        <w:rPr/>
        <w:t>with </w:t>
      </w:r>
      <w:r>
        <w:rPr>
          <w:spacing w:val="9"/>
        </w:rPr>
        <w:t> </w:t>
      </w:r>
      <w:r>
        <w:rPr/>
        <w:t>a </w:t>
      </w:r>
      <w:r>
        <w:rPr>
          <w:spacing w:val="10"/>
        </w:rPr>
        <w:t> </w:t>
      </w:r>
      <w:r>
        <w:rPr/>
        <w:t>coal </w:t>
      </w:r>
      <w:r>
        <w:rPr>
          <w:spacing w:val="10"/>
        </w:rPr>
        <w:t> </w:t>
      </w:r>
      <w:r>
        <w:rPr/>
        <w:t>gasifier, </w:t>
      </w:r>
      <w:r>
        <w:rPr>
          <w:spacing w:val="10"/>
        </w:rPr>
        <w:t> </w:t>
      </w:r>
      <w:r>
        <w:rPr/>
        <w:t>is </w:t>
      </w:r>
      <w:r>
        <w:rPr>
          <w:spacing w:val="10"/>
        </w:rPr>
        <w:t> </w:t>
      </w:r>
      <w:r>
        <w:rPr/>
        <w:t>discussed </w:t>
      </w:r>
      <w:r>
        <w:rPr>
          <w:spacing w:val="10"/>
        </w:rPr>
        <w:t> </w:t>
      </w:r>
      <w:r>
        <w:rPr/>
        <w:t>later </w:t>
      </w:r>
      <w:r>
        <w:rPr>
          <w:spacing w:val="10"/>
        </w:rPr>
        <w:t> </w:t>
      </w:r>
      <w:r>
        <w:rPr/>
        <w:t>in </w:t>
      </w:r>
      <w:r>
        <w:rPr>
          <w:spacing w:val="10"/>
        </w:rPr>
        <w:t> </w:t>
      </w:r>
      <w:r>
        <w:rPr/>
        <w:t>Section </w:t>
      </w:r>
      <w:r>
        <w:rPr>
          <w:spacing w:val="10"/>
        </w:rPr>
        <w:t> </w:t>
      </w:r>
      <w:r>
        <w:rPr/>
        <w:t>3.7.6.2.</w:t>
      </w:r>
    </w:p>
    <w:p>
      <w:pPr>
        <w:pStyle w:val="BodyText"/>
        <w:spacing w:before="4"/>
        <w:rPr>
          <w:sz w:val="21"/>
        </w:rPr>
      </w:pPr>
    </w:p>
    <w:p>
      <w:pPr>
        <w:pStyle w:val="ListParagraph"/>
        <w:numPr>
          <w:ilvl w:val="3"/>
          <w:numId w:val="28"/>
        </w:numPr>
        <w:tabs>
          <w:tab w:pos="938" w:val="left" w:leader="none"/>
        </w:tabs>
        <w:spacing w:line="240" w:lineRule="auto" w:before="0" w:after="0"/>
        <w:ind w:left="937" w:right="0" w:hanging="821"/>
        <w:jc w:val="both"/>
        <w:rPr>
          <w:i/>
          <w:sz w:val="20"/>
        </w:rPr>
      </w:pPr>
      <w:r>
        <w:rPr>
          <w:i/>
          <w:sz w:val="20"/>
        </w:rPr>
        <w:t>Natural gas-fired power</w:t>
      </w:r>
      <w:r>
        <w:rPr>
          <w:i/>
          <w:spacing w:val="-2"/>
          <w:sz w:val="20"/>
        </w:rPr>
        <w:t> </w:t>
      </w:r>
      <w:r>
        <w:rPr>
          <w:i/>
          <w:sz w:val="20"/>
        </w:rPr>
        <w:t>plants</w:t>
      </w:r>
    </w:p>
    <w:p>
      <w:pPr>
        <w:pStyle w:val="BodyText"/>
        <w:spacing w:line="225" w:lineRule="auto" w:before="21"/>
        <w:ind w:left="116" w:right="111"/>
        <w:jc w:val="both"/>
      </w:pPr>
      <w:r>
        <w:rPr/>
        <w:t>Power plants fuelled by natural gas may include gas-fired boilers,</w:t>
      </w:r>
      <w:r>
        <w:rPr>
          <w:spacing w:val="-19"/>
        </w:rPr>
        <w:t> </w:t>
      </w:r>
      <w:r>
        <w:rPr/>
        <w:t>simple-cycle</w:t>
      </w:r>
      <w:r>
        <w:rPr>
          <w:spacing w:val="-18"/>
        </w:rPr>
        <w:t> </w:t>
      </w:r>
      <w:r>
        <w:rPr/>
        <w:t>gas</w:t>
      </w:r>
      <w:r>
        <w:rPr>
          <w:spacing w:val="-18"/>
        </w:rPr>
        <w:t> </w:t>
      </w:r>
      <w:r>
        <w:rPr/>
        <w:t>turbines,</w:t>
      </w:r>
      <w:r>
        <w:rPr>
          <w:spacing w:val="-19"/>
        </w:rPr>
        <w:t> </w:t>
      </w:r>
      <w:r>
        <w:rPr/>
        <w:t>or</w:t>
      </w:r>
      <w:r>
        <w:rPr>
          <w:spacing w:val="-18"/>
        </w:rPr>
        <w:t> </w:t>
      </w:r>
      <w:r>
        <w:rPr/>
        <w:t>natural</w:t>
      </w:r>
      <w:r>
        <w:rPr>
          <w:spacing w:val="-18"/>
        </w:rPr>
        <w:t> </w:t>
      </w:r>
      <w:r>
        <w:rPr/>
        <w:t>gas</w:t>
      </w:r>
      <w:r>
        <w:rPr>
          <w:spacing w:val="-19"/>
        </w:rPr>
        <w:t> </w:t>
      </w:r>
      <w:r>
        <w:rPr/>
        <w:t>combined</w:t>
      </w:r>
      <w:r>
        <w:rPr>
          <w:spacing w:val="-18"/>
        </w:rPr>
        <w:t> </w:t>
      </w:r>
      <w:r>
        <w:rPr/>
        <w:t>cycle (NGCC) units. The current operating capacity in use globally is 333 </w:t>
      </w:r>
      <w:r>
        <w:rPr>
          <w:spacing w:val="-6"/>
        </w:rPr>
        <w:t>GW</w:t>
      </w:r>
      <w:r>
        <w:rPr>
          <w:spacing w:val="-6"/>
          <w:position w:val="-6"/>
          <w:sz w:val="11"/>
        </w:rPr>
        <w:t>e</w:t>
      </w:r>
      <w:r>
        <w:rPr>
          <w:spacing w:val="15"/>
          <w:position w:val="-6"/>
          <w:sz w:val="11"/>
        </w:rPr>
        <w:t> </w:t>
      </w:r>
      <w:r>
        <w:rPr/>
        <w:t>for gas-fired boilers, 214 </w:t>
      </w:r>
      <w:r>
        <w:rPr>
          <w:spacing w:val="-6"/>
        </w:rPr>
        <w:t>GW</w:t>
      </w:r>
      <w:r>
        <w:rPr>
          <w:spacing w:val="-6"/>
          <w:position w:val="-6"/>
          <w:sz w:val="11"/>
        </w:rPr>
        <w:t>e  </w:t>
      </w:r>
      <w:r>
        <w:rPr/>
        <w:t>for simple cycle   gas turbines and 339 </w:t>
      </w:r>
      <w:r>
        <w:rPr>
          <w:spacing w:val="-6"/>
        </w:rPr>
        <w:t>GW</w:t>
      </w:r>
      <w:r>
        <w:rPr>
          <w:spacing w:val="-6"/>
          <w:position w:val="-6"/>
          <w:sz w:val="11"/>
        </w:rPr>
        <w:t>e </w:t>
      </w:r>
      <w:r>
        <w:rPr/>
        <w:t>for NGCC (IEA WEO, 2004). The absence of sulphur and other impurities in natural gas reduces the capital costs associated with auxiliary flue gas clean-up systems required for amine-based CO</w:t>
      </w:r>
      <w:r>
        <w:rPr>
          <w:position w:val="-6"/>
          <w:sz w:val="11"/>
        </w:rPr>
        <w:t>2 </w:t>
      </w:r>
      <w:r>
        <w:rPr/>
        <w:t>capture technology. On the</w:t>
      </w:r>
      <w:r>
        <w:rPr>
          <w:spacing w:val="-10"/>
        </w:rPr>
        <w:t> </w:t>
      </w:r>
      <w:r>
        <w:rPr/>
        <w:t>other</w:t>
      </w:r>
      <w:r>
        <w:rPr>
          <w:spacing w:val="-9"/>
        </w:rPr>
        <w:t> </w:t>
      </w:r>
      <w:r>
        <w:rPr/>
        <w:t>hand,</w:t>
      </w:r>
      <w:r>
        <w:rPr>
          <w:spacing w:val="-10"/>
        </w:rPr>
        <w:t> </w:t>
      </w:r>
      <w:r>
        <w:rPr/>
        <w:t>the</w:t>
      </w:r>
      <w:r>
        <w:rPr>
          <w:spacing w:val="-9"/>
        </w:rPr>
        <w:t> </w:t>
      </w:r>
      <w:r>
        <w:rPr/>
        <w:t>lower</w:t>
      </w:r>
      <w:r>
        <w:rPr>
          <w:spacing w:val="-10"/>
        </w:rPr>
        <w:t> </w:t>
      </w:r>
      <w:r>
        <w:rPr/>
        <w:t>concentration</w:t>
      </w:r>
      <w:r>
        <w:rPr>
          <w:spacing w:val="-9"/>
        </w:rPr>
        <w:t> </w:t>
      </w:r>
      <w:r>
        <w:rPr/>
        <w:t>of</w:t>
      </w:r>
      <w:r>
        <w:rPr>
          <w:spacing w:val="-10"/>
        </w:rPr>
        <w:t> </w:t>
      </w:r>
      <w:r>
        <w:rPr/>
        <w:t>CO</w:t>
      </w:r>
      <w:r>
        <w:rPr>
          <w:position w:val="-6"/>
          <w:sz w:val="11"/>
        </w:rPr>
        <w:t>2</w:t>
      </w:r>
      <w:r>
        <w:rPr>
          <w:spacing w:val="13"/>
          <w:position w:val="-6"/>
          <w:sz w:val="11"/>
        </w:rPr>
        <w:t> </w:t>
      </w:r>
      <w:r>
        <w:rPr/>
        <w:t>in</w:t>
      </w:r>
      <w:r>
        <w:rPr>
          <w:spacing w:val="-9"/>
        </w:rPr>
        <w:t> </w:t>
      </w:r>
      <w:r>
        <w:rPr/>
        <w:t>gas-fired</w:t>
      </w:r>
      <w:r>
        <w:rPr>
          <w:spacing w:val="-10"/>
        </w:rPr>
        <w:t> </w:t>
      </w:r>
      <w:r>
        <w:rPr>
          <w:spacing w:val="-3"/>
        </w:rPr>
        <w:t>units </w:t>
      </w:r>
      <w:r>
        <w:rPr/>
        <w:t>tends to increase the cost per tonne of CO</w:t>
      </w:r>
      <w:r>
        <w:rPr>
          <w:position w:val="-6"/>
          <w:sz w:val="11"/>
        </w:rPr>
        <w:t>2 </w:t>
      </w:r>
      <w:r>
        <w:rPr/>
        <w:t>captured or avoided relative to coal-fired</w:t>
      </w:r>
      <w:r>
        <w:rPr>
          <w:spacing w:val="-1"/>
        </w:rPr>
        <w:t> </w:t>
      </w:r>
      <w:r>
        <w:rPr/>
        <w:t>units.</w:t>
      </w:r>
    </w:p>
    <w:p>
      <w:pPr>
        <w:pStyle w:val="BodyText"/>
        <w:spacing w:line="225" w:lineRule="auto" w:before="10"/>
        <w:ind w:left="116" w:right="111" w:firstLine="284"/>
        <w:jc w:val="both"/>
      </w:pPr>
      <w:hyperlink w:history="true" w:anchor="_bookmark42">
        <w:r>
          <w:rPr>
            <w:spacing w:val="-3"/>
          </w:rPr>
          <w:t>Table </w:t>
        </w:r>
        <w:r>
          <w:rPr/>
          <w:t>3.9 </w:t>
        </w:r>
      </w:hyperlink>
      <w:r>
        <w:rPr/>
        <w:t>summarizes the assumptions and cost results of several recent studies of CO</w:t>
      </w:r>
      <w:r>
        <w:rPr>
          <w:position w:val="-6"/>
          <w:sz w:val="11"/>
        </w:rPr>
        <w:t>2 </w:t>
      </w:r>
      <w:r>
        <w:rPr/>
        <w:t>capture at gas-fired combined cycle</w:t>
      </w:r>
      <w:r>
        <w:rPr>
          <w:spacing w:val="-7"/>
        </w:rPr>
        <w:t> </w:t>
      </w:r>
      <w:r>
        <w:rPr/>
        <w:t>power</w:t>
      </w:r>
      <w:r>
        <w:rPr>
          <w:spacing w:val="-6"/>
        </w:rPr>
        <w:t> </w:t>
      </w:r>
      <w:r>
        <w:rPr/>
        <w:t>plants</w:t>
      </w:r>
      <w:r>
        <w:rPr>
          <w:spacing w:val="-7"/>
        </w:rPr>
        <w:t> </w:t>
      </w:r>
      <w:r>
        <w:rPr/>
        <w:t>ranging</w:t>
      </w:r>
      <w:r>
        <w:rPr>
          <w:spacing w:val="-6"/>
        </w:rPr>
        <w:t> </w:t>
      </w:r>
      <w:r>
        <w:rPr/>
        <w:t>in</w:t>
      </w:r>
      <w:r>
        <w:rPr>
          <w:spacing w:val="-6"/>
        </w:rPr>
        <w:t> </w:t>
      </w:r>
      <w:r>
        <w:rPr/>
        <w:t>size</w:t>
      </w:r>
      <w:r>
        <w:rPr>
          <w:spacing w:val="-7"/>
        </w:rPr>
        <w:t> </w:t>
      </w:r>
      <w:r>
        <w:rPr/>
        <w:t>from</w:t>
      </w:r>
      <w:r>
        <w:rPr>
          <w:spacing w:val="-6"/>
        </w:rPr>
        <w:t> </w:t>
      </w:r>
      <w:r>
        <w:rPr/>
        <w:t>approximately</w:t>
      </w:r>
      <w:r>
        <w:rPr>
          <w:spacing w:val="-6"/>
        </w:rPr>
        <w:t> </w:t>
      </w:r>
      <w:r>
        <w:rPr/>
        <w:t>300-700</w:t>
      </w:r>
    </w:p>
    <w:p>
      <w:pPr>
        <w:pStyle w:val="BodyText"/>
        <w:spacing w:before="10"/>
        <w:ind w:left="116"/>
        <w:jc w:val="both"/>
      </w:pPr>
      <w:r>
        <w:rPr>
          <w:spacing w:val="-7"/>
        </w:rPr>
        <w:t>MW.</w:t>
      </w:r>
      <w:r>
        <w:rPr>
          <w:spacing w:val="-14"/>
        </w:rPr>
        <w:t> </w:t>
      </w:r>
      <w:r>
        <w:rPr/>
        <w:t>Relative</w:t>
      </w:r>
      <w:r>
        <w:rPr>
          <w:spacing w:val="-14"/>
        </w:rPr>
        <w:t> </w:t>
      </w:r>
      <w:r>
        <w:rPr/>
        <w:t>to</w:t>
      </w:r>
      <w:r>
        <w:rPr>
          <w:spacing w:val="-13"/>
        </w:rPr>
        <w:t> </w:t>
      </w:r>
      <w:r>
        <w:rPr/>
        <w:t>reference</w:t>
      </w:r>
      <w:r>
        <w:rPr>
          <w:spacing w:val="-14"/>
        </w:rPr>
        <w:t> </w:t>
      </w:r>
      <w:r>
        <w:rPr/>
        <w:t>plants</w:t>
      </w:r>
      <w:r>
        <w:rPr>
          <w:spacing w:val="-13"/>
        </w:rPr>
        <w:t> </w:t>
      </w:r>
      <w:r>
        <w:rPr/>
        <w:t>without</w:t>
      </w:r>
      <w:r>
        <w:rPr>
          <w:spacing w:val="-14"/>
        </w:rPr>
        <w:t> </w:t>
      </w:r>
      <w:r>
        <w:rPr/>
        <w:t>capture,</w:t>
      </w:r>
      <w:r>
        <w:rPr>
          <w:spacing w:val="-13"/>
        </w:rPr>
        <w:t> </w:t>
      </w:r>
      <w:r>
        <w:rPr/>
        <w:t>to</w:t>
      </w:r>
      <w:r>
        <w:rPr>
          <w:spacing w:val="-14"/>
        </w:rPr>
        <w:t> </w:t>
      </w:r>
      <w:r>
        <w:rPr/>
        <w:t>achieve</w:t>
      </w:r>
      <w:r>
        <w:rPr>
          <w:spacing w:val="-13"/>
        </w:rPr>
        <w:t> </w:t>
      </w:r>
      <w:r>
        <w:rPr/>
        <w:t>net</w:t>
      </w:r>
    </w:p>
    <w:p>
      <w:pPr>
        <w:spacing w:after="0"/>
        <w:jc w:val="both"/>
        <w:sectPr>
          <w:type w:val="continuous"/>
          <w:pgSz w:w="12240" w:h="15840"/>
          <w:pgMar w:top="480" w:bottom="280" w:left="620" w:right="1020"/>
          <w:cols w:num="2" w:equalWidth="0">
            <w:col w:w="5201" w:space="125"/>
            <w:col w:w="5274"/>
          </w:cols>
        </w:sectPr>
      </w:pPr>
    </w:p>
    <w:p>
      <w:pPr>
        <w:pStyle w:val="BodyText"/>
        <w:spacing w:before="8"/>
        <w:rPr>
          <w:sz w:val="18"/>
        </w:rPr>
      </w:pPr>
      <w:r>
        <w:rPr/>
        <w:pict>
          <v:shape style="position:absolute;margin-left:750.403625pt;margin-top:55.692902pt;width:14.25pt;height:110.1pt;mso-position-horizontal-relative:page;mso-position-vertical-relative:page;z-index:251734016" type="#_x0000_t202" filled="false" stroked="false">
            <v:textbox inset="0,0,0,0" style="layout-flow:vertical">
              <w:txbxContent>
                <w:p>
                  <w:pPr>
                    <w:spacing w:line="218" w:lineRule="auto" w:before="0"/>
                    <w:ind w:left="20" w:right="0" w:firstLine="0"/>
                    <w:jc w:val="left"/>
                    <w:rPr>
                      <w:i/>
                      <w:sz w:val="11"/>
                    </w:rPr>
                  </w:pPr>
                  <w:r>
                    <w:rPr>
                      <w:i/>
                      <w:sz w:val="20"/>
                    </w:rPr>
                    <w:t>Chapter 3: Capture of CO</w:t>
                  </w:r>
                  <w:r>
                    <w:rPr>
                      <w:i/>
                      <w:position w:val="-6"/>
                      <w:sz w:val="11"/>
                    </w:rPr>
                    <w:t>2</w:t>
                  </w:r>
                </w:p>
              </w:txbxContent>
            </v:textbox>
            <w10:wrap type="none"/>
          </v:shape>
        </w:pict>
      </w:r>
      <w:r>
        <w:rPr/>
        <w:pict>
          <v:shape style="position:absolute;margin-left:752.653625pt;margin-top:559.149597pt;width:12pt;height:17pt;mso-position-horizontal-relative:page;mso-position-vertical-relative:page;z-index:251735040" type="#_x0000_t202" filled="false" stroked="false">
            <v:textbox inset="0,0,0,0" style="layout-flow:vertical">
              <w:txbxContent>
                <w:p>
                  <w:pPr>
                    <w:spacing w:line="213" w:lineRule="exact" w:before="0"/>
                    <w:ind w:left="20" w:right="0" w:firstLine="0"/>
                    <w:jc w:val="left"/>
                    <w:rPr>
                      <w:b/>
                      <w:sz w:val="20"/>
                    </w:rPr>
                  </w:pPr>
                  <w:r>
                    <w:rPr>
                      <w:b/>
                      <w:sz w:val="20"/>
                    </w:rPr>
                    <w:t>153</w:t>
                  </w:r>
                </w:p>
              </w:txbxContent>
            </v:textbox>
            <w10:wrap type="none"/>
          </v:shape>
        </w:pict>
      </w:r>
    </w:p>
    <w:tbl>
      <w:tblPr>
        <w:tblW w:w="0" w:type="auto"/>
        <w:jc w:val="left"/>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7"/>
        <w:gridCol w:w="855"/>
        <w:gridCol w:w="725"/>
        <w:gridCol w:w="663"/>
        <w:gridCol w:w="697"/>
        <w:gridCol w:w="551"/>
        <w:gridCol w:w="906"/>
        <w:gridCol w:w="869"/>
        <w:gridCol w:w="751"/>
        <w:gridCol w:w="617"/>
        <w:gridCol w:w="429"/>
        <w:gridCol w:w="382"/>
        <w:gridCol w:w="85"/>
        <w:gridCol w:w="904"/>
        <w:gridCol w:w="949"/>
        <w:gridCol w:w="1738"/>
      </w:tblGrid>
      <w:tr>
        <w:trPr>
          <w:trHeight w:val="364" w:hRule="atLeast"/>
        </w:trPr>
        <w:tc>
          <w:tcPr>
            <w:tcW w:w="2467" w:type="dxa"/>
            <w:vMerge w:val="restart"/>
            <w:shd w:val="clear" w:color="auto" w:fill="E0EEE0"/>
          </w:tcPr>
          <w:p>
            <w:pPr>
              <w:pStyle w:val="TableParagraph"/>
              <w:spacing w:before="8"/>
              <w:jc w:val="left"/>
              <w:rPr>
                <w:sz w:val="17"/>
              </w:rPr>
            </w:pPr>
          </w:p>
          <w:p>
            <w:pPr>
              <w:pStyle w:val="TableParagraph"/>
              <w:ind w:left="20"/>
              <w:jc w:val="left"/>
              <w:rPr>
                <w:b/>
                <w:sz w:val="14"/>
              </w:rPr>
            </w:pPr>
            <w:r>
              <w:rPr>
                <w:b/>
                <w:sz w:val="14"/>
              </w:rPr>
              <w:t>Study Assumptions and Results</w:t>
            </w:r>
          </w:p>
        </w:tc>
        <w:tc>
          <w:tcPr>
            <w:tcW w:w="855" w:type="dxa"/>
            <w:shd w:val="clear" w:color="auto" w:fill="E0EEE0"/>
          </w:tcPr>
          <w:p>
            <w:pPr>
              <w:pStyle w:val="TableParagraph"/>
              <w:spacing w:before="12"/>
              <w:ind w:left="91"/>
              <w:jc w:val="left"/>
              <w:rPr>
                <w:b/>
                <w:sz w:val="14"/>
              </w:rPr>
            </w:pPr>
            <w:r>
              <w:rPr>
                <w:b/>
                <w:sz w:val="14"/>
              </w:rPr>
              <w:t>Simbeck</w:t>
            </w:r>
            <w:r>
              <w:rPr>
                <w:b/>
                <w:spacing w:val="-3"/>
                <w:sz w:val="14"/>
              </w:rPr>
              <w:t> </w:t>
            </w:r>
            <w:r>
              <w:rPr>
                <w:b/>
                <w:sz w:val="14"/>
              </w:rPr>
              <w:t>&amp;</w:t>
            </w:r>
          </w:p>
          <w:p>
            <w:pPr>
              <w:pStyle w:val="TableParagraph"/>
              <w:spacing w:line="152" w:lineRule="exact" w:before="19"/>
              <w:ind w:left="110"/>
              <w:jc w:val="left"/>
              <w:rPr>
                <w:b/>
                <w:sz w:val="14"/>
              </w:rPr>
            </w:pPr>
            <w:r>
              <w:rPr>
                <w:b/>
                <w:sz w:val="14"/>
              </w:rPr>
              <w:t>mcDonald</w:t>
            </w:r>
          </w:p>
        </w:tc>
        <w:tc>
          <w:tcPr>
            <w:tcW w:w="725" w:type="dxa"/>
            <w:shd w:val="clear" w:color="auto" w:fill="E0EEE0"/>
          </w:tcPr>
          <w:p>
            <w:pPr>
              <w:pStyle w:val="TableParagraph"/>
              <w:spacing w:before="12"/>
              <w:ind w:left="146"/>
              <w:jc w:val="left"/>
              <w:rPr>
                <w:b/>
                <w:sz w:val="14"/>
              </w:rPr>
            </w:pPr>
            <w:r>
              <w:rPr>
                <w:b/>
                <w:sz w:val="14"/>
              </w:rPr>
              <w:t>Alstom</w:t>
            </w:r>
          </w:p>
          <w:p>
            <w:pPr>
              <w:pStyle w:val="TableParagraph"/>
              <w:spacing w:line="152" w:lineRule="exact" w:before="19"/>
              <w:ind w:left="218"/>
              <w:jc w:val="left"/>
              <w:rPr>
                <w:b/>
                <w:i/>
                <w:sz w:val="14"/>
              </w:rPr>
            </w:pPr>
            <w:r>
              <w:rPr>
                <w:b/>
                <w:i/>
                <w:sz w:val="14"/>
              </w:rPr>
              <w:t>et</w:t>
            </w:r>
            <w:r>
              <w:rPr>
                <w:b/>
                <w:i/>
                <w:spacing w:val="3"/>
                <w:sz w:val="14"/>
              </w:rPr>
              <w:t> </w:t>
            </w:r>
            <w:r>
              <w:rPr>
                <w:b/>
                <w:i/>
                <w:sz w:val="14"/>
              </w:rPr>
              <w:t>al.</w:t>
            </w:r>
          </w:p>
        </w:tc>
        <w:tc>
          <w:tcPr>
            <w:tcW w:w="663" w:type="dxa"/>
            <w:shd w:val="clear" w:color="auto" w:fill="E0EEE0"/>
          </w:tcPr>
          <w:p>
            <w:pPr>
              <w:pStyle w:val="TableParagraph"/>
              <w:spacing w:before="12"/>
              <w:ind w:left="130"/>
              <w:jc w:val="left"/>
              <w:rPr>
                <w:b/>
                <w:sz w:val="14"/>
              </w:rPr>
            </w:pPr>
            <w:r>
              <w:rPr>
                <w:b/>
                <w:sz w:val="14"/>
              </w:rPr>
              <w:t>Rao</w:t>
            </w:r>
            <w:r>
              <w:rPr>
                <w:b/>
                <w:spacing w:val="1"/>
                <w:sz w:val="14"/>
              </w:rPr>
              <w:t> </w:t>
            </w:r>
            <w:r>
              <w:rPr>
                <w:b/>
                <w:sz w:val="14"/>
              </w:rPr>
              <w:t>&amp;</w:t>
            </w:r>
          </w:p>
          <w:p>
            <w:pPr>
              <w:pStyle w:val="TableParagraph"/>
              <w:spacing w:line="152" w:lineRule="exact" w:before="19"/>
              <w:ind w:left="141"/>
              <w:jc w:val="left"/>
              <w:rPr>
                <w:b/>
                <w:sz w:val="14"/>
              </w:rPr>
            </w:pPr>
            <w:r>
              <w:rPr>
                <w:b/>
                <w:sz w:val="14"/>
              </w:rPr>
              <w:t>Rubin</w:t>
            </w:r>
          </w:p>
        </w:tc>
        <w:tc>
          <w:tcPr>
            <w:tcW w:w="697" w:type="dxa"/>
            <w:shd w:val="clear" w:color="auto" w:fill="E0EEE0"/>
          </w:tcPr>
          <w:p>
            <w:pPr>
              <w:pStyle w:val="TableParagraph"/>
              <w:spacing w:before="12"/>
              <w:ind w:left="146"/>
              <w:jc w:val="left"/>
              <w:rPr>
                <w:b/>
                <w:sz w:val="14"/>
              </w:rPr>
            </w:pPr>
            <w:r>
              <w:rPr>
                <w:b/>
                <w:sz w:val="14"/>
              </w:rPr>
              <w:t>Rao</w:t>
            </w:r>
            <w:r>
              <w:rPr>
                <w:b/>
                <w:spacing w:val="1"/>
                <w:sz w:val="14"/>
              </w:rPr>
              <w:t> </w:t>
            </w:r>
            <w:r>
              <w:rPr>
                <w:b/>
                <w:sz w:val="14"/>
              </w:rPr>
              <w:t>&amp;</w:t>
            </w:r>
          </w:p>
          <w:p>
            <w:pPr>
              <w:pStyle w:val="TableParagraph"/>
              <w:spacing w:line="152" w:lineRule="exact" w:before="19"/>
              <w:ind w:left="158"/>
              <w:jc w:val="left"/>
              <w:rPr>
                <w:b/>
                <w:sz w:val="14"/>
              </w:rPr>
            </w:pPr>
            <w:r>
              <w:rPr>
                <w:b/>
                <w:sz w:val="14"/>
              </w:rPr>
              <w:t>Rubin</w:t>
            </w:r>
          </w:p>
        </w:tc>
        <w:tc>
          <w:tcPr>
            <w:tcW w:w="551" w:type="dxa"/>
            <w:shd w:val="clear" w:color="auto" w:fill="E0EEE0"/>
          </w:tcPr>
          <w:p>
            <w:pPr>
              <w:pStyle w:val="TableParagraph"/>
              <w:spacing w:before="12"/>
              <w:ind w:left="111"/>
              <w:jc w:val="left"/>
              <w:rPr>
                <w:b/>
                <w:sz w:val="14"/>
              </w:rPr>
            </w:pPr>
            <w:r>
              <w:rPr>
                <w:b/>
                <w:sz w:val="14"/>
              </w:rPr>
              <w:t>Chen</w:t>
            </w:r>
          </w:p>
          <w:p>
            <w:pPr>
              <w:pStyle w:val="TableParagraph"/>
              <w:spacing w:line="152" w:lineRule="exact" w:before="19"/>
              <w:ind w:left="129"/>
              <w:jc w:val="left"/>
              <w:rPr>
                <w:b/>
                <w:i/>
                <w:sz w:val="14"/>
              </w:rPr>
            </w:pPr>
            <w:r>
              <w:rPr>
                <w:b/>
                <w:i/>
                <w:sz w:val="14"/>
              </w:rPr>
              <w:t>et</w:t>
            </w:r>
            <w:r>
              <w:rPr>
                <w:b/>
                <w:i/>
                <w:spacing w:val="3"/>
                <w:sz w:val="14"/>
              </w:rPr>
              <w:t> </w:t>
            </w:r>
            <w:r>
              <w:rPr>
                <w:b/>
                <w:i/>
                <w:sz w:val="14"/>
              </w:rPr>
              <w:t>al.</w:t>
            </w:r>
          </w:p>
        </w:tc>
        <w:tc>
          <w:tcPr>
            <w:tcW w:w="906" w:type="dxa"/>
            <w:shd w:val="clear" w:color="auto" w:fill="E0EEE0"/>
          </w:tcPr>
          <w:p>
            <w:pPr>
              <w:pStyle w:val="TableParagraph"/>
              <w:spacing w:before="12"/>
              <w:ind w:left="32" w:right="32"/>
              <w:rPr>
                <w:b/>
                <w:sz w:val="14"/>
              </w:rPr>
            </w:pPr>
            <w:r>
              <w:rPr>
                <w:b/>
                <w:sz w:val="14"/>
              </w:rPr>
              <w:t>Chen</w:t>
            </w:r>
          </w:p>
          <w:p>
            <w:pPr>
              <w:pStyle w:val="TableParagraph"/>
              <w:spacing w:line="152" w:lineRule="exact" w:before="19"/>
              <w:ind w:left="32" w:right="32"/>
              <w:rPr>
                <w:b/>
                <w:i/>
                <w:sz w:val="14"/>
              </w:rPr>
            </w:pPr>
            <w:r>
              <w:rPr>
                <w:b/>
                <w:i/>
                <w:sz w:val="14"/>
              </w:rPr>
              <w:t>et</w:t>
            </w:r>
            <w:r>
              <w:rPr>
                <w:b/>
                <w:i/>
                <w:spacing w:val="3"/>
                <w:sz w:val="14"/>
              </w:rPr>
              <w:t> </w:t>
            </w:r>
            <w:r>
              <w:rPr>
                <w:b/>
                <w:i/>
                <w:sz w:val="14"/>
              </w:rPr>
              <w:t>al.</w:t>
            </w:r>
          </w:p>
        </w:tc>
        <w:tc>
          <w:tcPr>
            <w:tcW w:w="869" w:type="dxa"/>
            <w:shd w:val="clear" w:color="auto" w:fill="E0EEE0"/>
          </w:tcPr>
          <w:p>
            <w:pPr>
              <w:pStyle w:val="TableParagraph"/>
              <w:spacing w:before="12"/>
              <w:ind w:left="26" w:right="26"/>
              <w:rPr>
                <w:b/>
                <w:sz w:val="14"/>
              </w:rPr>
            </w:pPr>
            <w:r>
              <w:rPr>
                <w:b/>
                <w:sz w:val="14"/>
              </w:rPr>
              <w:t>Chen</w:t>
            </w:r>
          </w:p>
          <w:p>
            <w:pPr>
              <w:pStyle w:val="TableParagraph"/>
              <w:spacing w:line="152" w:lineRule="exact" w:before="19"/>
              <w:ind w:left="25" w:right="26"/>
              <w:rPr>
                <w:b/>
                <w:i/>
                <w:sz w:val="14"/>
              </w:rPr>
            </w:pPr>
            <w:r>
              <w:rPr>
                <w:b/>
                <w:i/>
                <w:sz w:val="14"/>
              </w:rPr>
              <w:t>et</w:t>
            </w:r>
            <w:r>
              <w:rPr>
                <w:b/>
                <w:i/>
                <w:spacing w:val="3"/>
                <w:sz w:val="14"/>
              </w:rPr>
              <w:t> </w:t>
            </w:r>
            <w:r>
              <w:rPr>
                <w:b/>
                <w:i/>
                <w:sz w:val="14"/>
              </w:rPr>
              <w:t>al.</w:t>
            </w:r>
          </w:p>
        </w:tc>
        <w:tc>
          <w:tcPr>
            <w:tcW w:w="751" w:type="dxa"/>
            <w:shd w:val="clear" w:color="auto" w:fill="E0EEE0"/>
          </w:tcPr>
          <w:p>
            <w:pPr>
              <w:pStyle w:val="TableParagraph"/>
              <w:spacing w:before="12"/>
              <w:ind w:left="197"/>
              <w:jc w:val="left"/>
              <w:rPr>
                <w:b/>
                <w:sz w:val="14"/>
              </w:rPr>
            </w:pPr>
            <w:r>
              <w:rPr>
                <w:b/>
                <w:sz w:val="14"/>
              </w:rPr>
              <w:t>Singh</w:t>
            </w:r>
          </w:p>
          <w:p>
            <w:pPr>
              <w:pStyle w:val="TableParagraph"/>
              <w:spacing w:line="152" w:lineRule="exact" w:before="19"/>
              <w:ind w:left="227"/>
              <w:jc w:val="left"/>
              <w:rPr>
                <w:b/>
                <w:i/>
                <w:sz w:val="14"/>
              </w:rPr>
            </w:pPr>
            <w:r>
              <w:rPr>
                <w:b/>
                <w:i/>
                <w:sz w:val="14"/>
              </w:rPr>
              <w:t>et</w:t>
            </w:r>
            <w:r>
              <w:rPr>
                <w:b/>
                <w:i/>
                <w:spacing w:val="3"/>
                <w:sz w:val="14"/>
              </w:rPr>
              <w:t> </w:t>
            </w:r>
            <w:r>
              <w:rPr>
                <w:b/>
                <w:i/>
                <w:sz w:val="14"/>
              </w:rPr>
              <w:t>al.</w:t>
            </w:r>
          </w:p>
        </w:tc>
        <w:tc>
          <w:tcPr>
            <w:tcW w:w="617" w:type="dxa"/>
            <w:shd w:val="clear" w:color="auto" w:fill="E0EEE0"/>
          </w:tcPr>
          <w:p>
            <w:pPr>
              <w:pStyle w:val="TableParagraph"/>
              <w:spacing w:before="12"/>
              <w:ind w:left="64"/>
              <w:jc w:val="left"/>
              <w:rPr>
                <w:b/>
                <w:sz w:val="14"/>
              </w:rPr>
            </w:pPr>
            <w:bookmarkStart w:name="_bookmark35" w:id="83"/>
            <w:bookmarkEnd w:id="83"/>
            <w:r>
              <w:rPr/>
            </w:r>
            <w:r>
              <w:rPr>
                <w:b/>
                <w:sz w:val="14"/>
              </w:rPr>
              <w:t>Gibbins</w:t>
            </w:r>
          </w:p>
          <w:p>
            <w:pPr>
              <w:pStyle w:val="TableParagraph"/>
              <w:spacing w:line="152" w:lineRule="exact" w:before="19"/>
              <w:ind w:left="159"/>
              <w:jc w:val="left"/>
              <w:rPr>
                <w:b/>
                <w:i/>
                <w:sz w:val="14"/>
              </w:rPr>
            </w:pPr>
            <w:r>
              <w:rPr>
                <w:b/>
                <w:i/>
                <w:sz w:val="14"/>
              </w:rPr>
              <w:t>et al.</w:t>
            </w:r>
          </w:p>
        </w:tc>
        <w:tc>
          <w:tcPr>
            <w:tcW w:w="811" w:type="dxa"/>
            <w:gridSpan w:val="2"/>
            <w:shd w:val="clear" w:color="auto" w:fill="E0EEE0"/>
          </w:tcPr>
          <w:p>
            <w:pPr>
              <w:pStyle w:val="TableParagraph"/>
              <w:spacing w:before="12"/>
              <w:ind w:left="208"/>
              <w:jc w:val="left"/>
              <w:rPr>
                <w:b/>
                <w:sz w:val="14"/>
              </w:rPr>
            </w:pPr>
            <w:bookmarkStart w:name="_bookmark36" w:id="84"/>
            <w:bookmarkEnd w:id="84"/>
            <w:r>
              <w:rPr/>
            </w:r>
            <w:r>
              <w:rPr>
                <w:b/>
                <w:sz w:val="14"/>
              </w:rPr>
              <w:t>Range</w:t>
            </w:r>
          </w:p>
        </w:tc>
        <w:tc>
          <w:tcPr>
            <w:tcW w:w="85" w:type="dxa"/>
            <w:shd w:val="clear" w:color="auto" w:fill="E0EEE0"/>
          </w:tcPr>
          <w:p>
            <w:pPr>
              <w:pStyle w:val="TableParagraph"/>
              <w:jc w:val="left"/>
              <w:rPr>
                <w:sz w:val="14"/>
              </w:rPr>
            </w:pPr>
          </w:p>
        </w:tc>
        <w:tc>
          <w:tcPr>
            <w:tcW w:w="904" w:type="dxa"/>
            <w:shd w:val="clear" w:color="auto" w:fill="E0EEE0"/>
          </w:tcPr>
          <w:p>
            <w:pPr>
              <w:pStyle w:val="TableParagraph"/>
              <w:spacing w:before="12"/>
              <w:ind w:left="85" w:right="86"/>
              <w:rPr>
                <w:b/>
                <w:sz w:val="14"/>
              </w:rPr>
            </w:pPr>
            <w:r>
              <w:rPr>
                <w:b/>
                <w:sz w:val="14"/>
              </w:rPr>
              <w:t>Gibbins</w:t>
            </w:r>
          </w:p>
          <w:p>
            <w:pPr>
              <w:pStyle w:val="TableParagraph"/>
              <w:spacing w:line="152" w:lineRule="exact" w:before="19"/>
              <w:ind w:left="85" w:right="87"/>
              <w:rPr>
                <w:b/>
                <w:i/>
                <w:sz w:val="14"/>
              </w:rPr>
            </w:pPr>
            <w:r>
              <w:rPr>
                <w:b/>
                <w:i/>
                <w:sz w:val="14"/>
              </w:rPr>
              <w:t>et al.</w:t>
            </w:r>
          </w:p>
        </w:tc>
        <w:tc>
          <w:tcPr>
            <w:tcW w:w="949" w:type="dxa"/>
            <w:shd w:val="clear" w:color="auto" w:fill="E0EEE0"/>
          </w:tcPr>
          <w:p>
            <w:pPr>
              <w:pStyle w:val="TableParagraph"/>
              <w:spacing w:before="12"/>
              <w:ind w:left="108" w:right="110"/>
              <w:rPr>
                <w:b/>
                <w:sz w:val="14"/>
              </w:rPr>
            </w:pPr>
            <w:r>
              <w:rPr>
                <w:b/>
                <w:sz w:val="14"/>
              </w:rPr>
              <w:t>Gibbins</w:t>
            </w:r>
          </w:p>
          <w:p>
            <w:pPr>
              <w:pStyle w:val="TableParagraph"/>
              <w:spacing w:line="152" w:lineRule="exact" w:before="19"/>
              <w:ind w:left="108" w:right="110"/>
              <w:rPr>
                <w:b/>
                <w:i/>
                <w:sz w:val="14"/>
              </w:rPr>
            </w:pPr>
            <w:r>
              <w:rPr>
                <w:b/>
                <w:i/>
                <w:sz w:val="14"/>
              </w:rPr>
              <w:t>et al.</w:t>
            </w:r>
          </w:p>
        </w:tc>
        <w:tc>
          <w:tcPr>
            <w:tcW w:w="1738" w:type="dxa"/>
            <w:shd w:val="clear" w:color="auto" w:fill="E0EEE0"/>
          </w:tcPr>
          <w:p>
            <w:pPr>
              <w:pStyle w:val="TableParagraph"/>
              <w:spacing w:before="12"/>
              <w:ind w:left="90" w:right="93"/>
              <w:rPr>
                <w:b/>
                <w:sz w:val="14"/>
              </w:rPr>
            </w:pPr>
            <w:bookmarkStart w:name="_bookmark37" w:id="85"/>
            <w:bookmarkEnd w:id="85"/>
            <w:r>
              <w:rPr/>
            </w:r>
            <w:r>
              <w:rPr>
                <w:b/>
                <w:sz w:val="14"/>
              </w:rPr>
              <w:t>Chen</w:t>
            </w:r>
          </w:p>
          <w:p>
            <w:pPr>
              <w:pStyle w:val="TableParagraph"/>
              <w:spacing w:line="152" w:lineRule="exact" w:before="19"/>
              <w:ind w:left="90" w:right="93"/>
              <w:rPr>
                <w:b/>
                <w:i/>
                <w:sz w:val="14"/>
              </w:rPr>
            </w:pPr>
            <w:r>
              <w:rPr>
                <w:b/>
                <w:i/>
                <w:sz w:val="14"/>
              </w:rPr>
              <w:t>et</w:t>
            </w:r>
            <w:r>
              <w:rPr>
                <w:b/>
                <w:i/>
                <w:spacing w:val="3"/>
                <w:sz w:val="14"/>
              </w:rPr>
              <w:t> </w:t>
            </w:r>
            <w:r>
              <w:rPr>
                <w:b/>
                <w:i/>
                <w:sz w:val="14"/>
              </w:rPr>
              <w:t>al.</w:t>
            </w:r>
          </w:p>
        </w:tc>
      </w:tr>
      <w:tr>
        <w:trPr>
          <w:trHeight w:val="180" w:hRule="atLeast"/>
        </w:trPr>
        <w:tc>
          <w:tcPr>
            <w:tcW w:w="2467" w:type="dxa"/>
            <w:vMerge/>
            <w:tcBorders>
              <w:top w:val="nil"/>
            </w:tcBorders>
            <w:shd w:val="clear" w:color="auto" w:fill="E0EEE0"/>
          </w:tcPr>
          <w:p>
            <w:pPr>
              <w:rPr>
                <w:sz w:val="2"/>
                <w:szCs w:val="2"/>
              </w:rPr>
            </w:pPr>
          </w:p>
        </w:tc>
        <w:tc>
          <w:tcPr>
            <w:tcW w:w="855" w:type="dxa"/>
            <w:shd w:val="clear" w:color="auto" w:fill="E0EEE0"/>
          </w:tcPr>
          <w:p>
            <w:pPr>
              <w:pStyle w:val="TableParagraph"/>
              <w:spacing w:line="148" w:lineRule="exact" w:before="12"/>
              <w:ind w:left="29" w:right="24"/>
              <w:rPr>
                <w:b/>
                <w:sz w:val="14"/>
              </w:rPr>
            </w:pPr>
            <w:r>
              <w:rPr>
                <w:b/>
                <w:sz w:val="14"/>
              </w:rPr>
              <w:t>2000</w:t>
            </w:r>
          </w:p>
        </w:tc>
        <w:tc>
          <w:tcPr>
            <w:tcW w:w="725" w:type="dxa"/>
            <w:shd w:val="clear" w:color="auto" w:fill="E0EEE0"/>
          </w:tcPr>
          <w:p>
            <w:pPr>
              <w:pStyle w:val="TableParagraph"/>
              <w:spacing w:line="148" w:lineRule="exact" w:before="12"/>
              <w:ind w:left="45" w:right="40"/>
              <w:rPr>
                <w:b/>
                <w:sz w:val="14"/>
              </w:rPr>
            </w:pPr>
            <w:r>
              <w:rPr>
                <w:b/>
                <w:sz w:val="14"/>
              </w:rPr>
              <w:t>2001</w:t>
            </w:r>
          </w:p>
        </w:tc>
        <w:tc>
          <w:tcPr>
            <w:tcW w:w="663" w:type="dxa"/>
            <w:shd w:val="clear" w:color="auto" w:fill="E0EEE0"/>
          </w:tcPr>
          <w:p>
            <w:pPr>
              <w:pStyle w:val="TableParagraph"/>
              <w:spacing w:line="148" w:lineRule="exact" w:before="12"/>
              <w:ind w:right="182"/>
              <w:jc w:val="right"/>
              <w:rPr>
                <w:b/>
                <w:sz w:val="14"/>
              </w:rPr>
            </w:pPr>
            <w:r>
              <w:rPr>
                <w:b/>
                <w:sz w:val="14"/>
              </w:rPr>
              <w:t>2002</w:t>
            </w:r>
          </w:p>
        </w:tc>
        <w:tc>
          <w:tcPr>
            <w:tcW w:w="697" w:type="dxa"/>
            <w:shd w:val="clear" w:color="auto" w:fill="E0EEE0"/>
          </w:tcPr>
          <w:p>
            <w:pPr>
              <w:pStyle w:val="TableParagraph"/>
              <w:spacing w:line="148" w:lineRule="exact" w:before="12"/>
              <w:ind w:left="164" w:right="162"/>
              <w:rPr>
                <w:b/>
                <w:sz w:val="14"/>
              </w:rPr>
            </w:pPr>
            <w:r>
              <w:rPr>
                <w:b/>
                <w:sz w:val="14"/>
              </w:rPr>
              <w:t>2002</w:t>
            </w:r>
          </w:p>
        </w:tc>
        <w:tc>
          <w:tcPr>
            <w:tcW w:w="551" w:type="dxa"/>
            <w:shd w:val="clear" w:color="auto" w:fill="E0EEE0"/>
          </w:tcPr>
          <w:p>
            <w:pPr>
              <w:pStyle w:val="TableParagraph"/>
              <w:spacing w:line="148" w:lineRule="exact" w:before="12"/>
              <w:ind w:left="131"/>
              <w:jc w:val="left"/>
              <w:rPr>
                <w:b/>
                <w:sz w:val="14"/>
              </w:rPr>
            </w:pPr>
            <w:r>
              <w:rPr>
                <w:b/>
                <w:sz w:val="14"/>
              </w:rPr>
              <w:t>2003</w:t>
            </w:r>
          </w:p>
        </w:tc>
        <w:tc>
          <w:tcPr>
            <w:tcW w:w="906" w:type="dxa"/>
            <w:shd w:val="clear" w:color="auto" w:fill="E0EEE0"/>
          </w:tcPr>
          <w:p>
            <w:pPr>
              <w:pStyle w:val="TableParagraph"/>
              <w:spacing w:line="148" w:lineRule="exact" w:before="12"/>
              <w:ind w:left="32" w:right="32"/>
              <w:rPr>
                <w:b/>
                <w:sz w:val="14"/>
              </w:rPr>
            </w:pPr>
            <w:r>
              <w:rPr>
                <w:b/>
                <w:sz w:val="14"/>
              </w:rPr>
              <w:t>2003</w:t>
            </w:r>
          </w:p>
        </w:tc>
        <w:tc>
          <w:tcPr>
            <w:tcW w:w="869" w:type="dxa"/>
            <w:shd w:val="clear" w:color="auto" w:fill="E0EEE0"/>
          </w:tcPr>
          <w:p>
            <w:pPr>
              <w:pStyle w:val="TableParagraph"/>
              <w:spacing w:line="148" w:lineRule="exact" w:before="12"/>
              <w:ind w:left="25" w:right="26"/>
              <w:rPr>
                <w:b/>
                <w:sz w:val="14"/>
              </w:rPr>
            </w:pPr>
            <w:r>
              <w:rPr>
                <w:b/>
                <w:sz w:val="14"/>
              </w:rPr>
              <w:t>2003</w:t>
            </w:r>
          </w:p>
        </w:tc>
        <w:tc>
          <w:tcPr>
            <w:tcW w:w="751" w:type="dxa"/>
            <w:shd w:val="clear" w:color="auto" w:fill="E0EEE0"/>
          </w:tcPr>
          <w:p>
            <w:pPr>
              <w:pStyle w:val="TableParagraph"/>
              <w:spacing w:line="148" w:lineRule="exact" w:before="12"/>
              <w:ind w:right="229"/>
              <w:jc w:val="right"/>
              <w:rPr>
                <w:b/>
                <w:sz w:val="14"/>
              </w:rPr>
            </w:pPr>
            <w:r>
              <w:rPr>
                <w:b/>
                <w:sz w:val="14"/>
              </w:rPr>
              <w:t>2003</w:t>
            </w:r>
          </w:p>
        </w:tc>
        <w:tc>
          <w:tcPr>
            <w:tcW w:w="617" w:type="dxa"/>
            <w:shd w:val="clear" w:color="auto" w:fill="E0EEE0"/>
          </w:tcPr>
          <w:p>
            <w:pPr>
              <w:pStyle w:val="TableParagraph"/>
              <w:spacing w:line="148" w:lineRule="exact" w:before="12"/>
              <w:ind w:left="49" w:right="50"/>
              <w:rPr>
                <w:b/>
                <w:sz w:val="14"/>
              </w:rPr>
            </w:pPr>
            <w:r>
              <w:rPr>
                <w:b/>
                <w:sz w:val="14"/>
              </w:rPr>
              <w:t>2005</w:t>
            </w:r>
          </w:p>
        </w:tc>
        <w:tc>
          <w:tcPr>
            <w:tcW w:w="429" w:type="dxa"/>
            <w:shd w:val="clear" w:color="auto" w:fill="E0EEE0"/>
          </w:tcPr>
          <w:p>
            <w:pPr>
              <w:pStyle w:val="TableParagraph"/>
              <w:spacing w:line="148" w:lineRule="exact" w:before="12"/>
              <w:ind w:left="66" w:right="67"/>
              <w:rPr>
                <w:b/>
                <w:sz w:val="14"/>
              </w:rPr>
            </w:pPr>
            <w:r>
              <w:rPr>
                <w:b/>
                <w:sz w:val="14"/>
              </w:rPr>
              <w:t>min</w:t>
            </w:r>
          </w:p>
        </w:tc>
        <w:tc>
          <w:tcPr>
            <w:tcW w:w="382" w:type="dxa"/>
            <w:shd w:val="clear" w:color="auto" w:fill="E0EEE0"/>
          </w:tcPr>
          <w:p>
            <w:pPr>
              <w:pStyle w:val="TableParagraph"/>
              <w:spacing w:line="148" w:lineRule="exact" w:before="12"/>
              <w:ind w:left="25" w:right="26"/>
              <w:rPr>
                <w:b/>
                <w:sz w:val="14"/>
              </w:rPr>
            </w:pPr>
            <w:r>
              <w:rPr>
                <w:b/>
                <w:sz w:val="14"/>
              </w:rPr>
              <w:t>max</w:t>
            </w:r>
          </w:p>
        </w:tc>
        <w:tc>
          <w:tcPr>
            <w:tcW w:w="85" w:type="dxa"/>
            <w:shd w:val="clear" w:color="auto" w:fill="E0EEE0"/>
          </w:tcPr>
          <w:p>
            <w:pPr>
              <w:pStyle w:val="TableParagraph"/>
              <w:jc w:val="left"/>
              <w:rPr>
                <w:sz w:val="12"/>
              </w:rPr>
            </w:pPr>
          </w:p>
        </w:tc>
        <w:tc>
          <w:tcPr>
            <w:tcW w:w="904" w:type="dxa"/>
            <w:shd w:val="clear" w:color="auto" w:fill="E0EEE0"/>
          </w:tcPr>
          <w:p>
            <w:pPr>
              <w:pStyle w:val="TableParagraph"/>
              <w:spacing w:line="148" w:lineRule="exact" w:before="12"/>
              <w:ind w:left="85" w:right="87"/>
              <w:rPr>
                <w:b/>
                <w:sz w:val="14"/>
              </w:rPr>
            </w:pPr>
            <w:r>
              <w:rPr>
                <w:b/>
                <w:sz w:val="14"/>
              </w:rPr>
              <w:t>2006</w:t>
            </w:r>
          </w:p>
        </w:tc>
        <w:tc>
          <w:tcPr>
            <w:tcW w:w="949" w:type="dxa"/>
            <w:shd w:val="clear" w:color="auto" w:fill="E0EEE0"/>
          </w:tcPr>
          <w:p>
            <w:pPr>
              <w:pStyle w:val="TableParagraph"/>
              <w:spacing w:line="148" w:lineRule="exact" w:before="12"/>
              <w:ind w:left="108" w:right="110"/>
              <w:rPr>
                <w:b/>
                <w:sz w:val="14"/>
              </w:rPr>
            </w:pPr>
            <w:r>
              <w:rPr>
                <w:b/>
                <w:sz w:val="14"/>
              </w:rPr>
              <w:t>2006</w:t>
            </w:r>
          </w:p>
        </w:tc>
        <w:tc>
          <w:tcPr>
            <w:tcW w:w="1738" w:type="dxa"/>
            <w:shd w:val="clear" w:color="auto" w:fill="E0EEE0"/>
          </w:tcPr>
          <w:p>
            <w:pPr>
              <w:pStyle w:val="TableParagraph"/>
              <w:spacing w:line="148" w:lineRule="exact" w:before="12"/>
              <w:ind w:left="90" w:right="93"/>
              <w:rPr>
                <w:b/>
                <w:sz w:val="14"/>
              </w:rPr>
            </w:pPr>
            <w:r>
              <w:rPr>
                <w:b/>
                <w:sz w:val="14"/>
              </w:rPr>
              <w:t>2003</w:t>
            </w:r>
          </w:p>
        </w:tc>
      </w:tr>
      <w:tr>
        <w:trPr>
          <w:trHeight w:val="180" w:hRule="atLeast"/>
        </w:trPr>
        <w:tc>
          <w:tcPr>
            <w:tcW w:w="2467" w:type="dxa"/>
            <w:vMerge/>
            <w:tcBorders>
              <w:top w:val="nil"/>
            </w:tcBorders>
            <w:shd w:val="clear" w:color="auto" w:fill="E0EEE0"/>
          </w:tcPr>
          <w:p>
            <w:pPr>
              <w:rPr>
                <w:sz w:val="2"/>
                <w:szCs w:val="2"/>
              </w:rPr>
            </w:pPr>
          </w:p>
        </w:tc>
        <w:tc>
          <w:tcPr>
            <w:tcW w:w="7445" w:type="dxa"/>
            <w:gridSpan w:val="11"/>
            <w:shd w:val="clear" w:color="auto" w:fill="E0EEE0"/>
          </w:tcPr>
          <w:p>
            <w:pPr>
              <w:pStyle w:val="TableParagraph"/>
              <w:spacing w:line="148" w:lineRule="exact" w:before="11"/>
              <w:ind w:left="1936"/>
              <w:jc w:val="left"/>
              <w:rPr>
                <w:b/>
                <w:sz w:val="14"/>
              </w:rPr>
            </w:pPr>
            <w:r>
              <w:rPr>
                <w:b/>
                <w:spacing w:val="-1"/>
                <w:sz w:val="14"/>
              </w:rPr>
              <w:t>A</w:t>
            </w:r>
            <w:r>
              <w:rPr>
                <w:b/>
                <w:w w:val="120"/>
                <w:sz w:val="14"/>
              </w:rPr>
              <w:t>mi</w:t>
            </w:r>
            <w:r>
              <w:rPr>
                <w:b/>
                <w:spacing w:val="-1"/>
                <w:sz w:val="14"/>
              </w:rPr>
              <w:t>N</w:t>
            </w:r>
            <w:r>
              <w:rPr>
                <w:b/>
                <w:sz w:val="14"/>
              </w:rPr>
              <w:t>E</w:t>
            </w:r>
            <w:r>
              <w:rPr>
                <w:b/>
                <w:spacing w:val="3"/>
                <w:sz w:val="14"/>
              </w:rPr>
              <w:t> </w:t>
            </w:r>
            <w:r>
              <w:rPr>
                <w:b/>
                <w:spacing w:val="-1"/>
                <w:sz w:val="14"/>
              </w:rPr>
              <w:t>S</w:t>
            </w:r>
            <w:r>
              <w:rPr>
                <w:b/>
                <w:spacing w:val="-1"/>
                <w:w w:val="144"/>
                <w:sz w:val="14"/>
              </w:rPr>
              <w:t>y</w:t>
            </w:r>
            <w:r>
              <w:rPr>
                <w:b/>
                <w:spacing w:val="-1"/>
                <w:sz w:val="14"/>
              </w:rPr>
              <w:t>S</w:t>
            </w:r>
            <w:r>
              <w:rPr>
                <w:b/>
                <w:w w:val="200"/>
                <w:sz w:val="14"/>
              </w:rPr>
              <w:t>t</w:t>
            </w:r>
            <w:r>
              <w:rPr>
                <w:b/>
                <w:sz w:val="14"/>
              </w:rPr>
              <w:t>E</w:t>
            </w:r>
            <w:r>
              <w:rPr>
                <w:b/>
                <w:w w:val="113"/>
                <w:sz w:val="14"/>
              </w:rPr>
              <w:t>m</w:t>
            </w:r>
            <w:r>
              <w:rPr>
                <w:b/>
                <w:spacing w:val="3"/>
                <w:sz w:val="14"/>
              </w:rPr>
              <w:t> </w:t>
            </w:r>
            <w:r>
              <w:rPr>
                <w:b/>
                <w:spacing w:val="-1"/>
                <w:sz w:val="14"/>
              </w:rPr>
              <w:t>RE</w:t>
            </w:r>
            <w:r>
              <w:rPr>
                <w:b/>
                <w:w w:val="200"/>
                <w:sz w:val="14"/>
              </w:rPr>
              <w:t>t</w:t>
            </w:r>
            <w:r>
              <w:rPr>
                <w:b/>
                <w:spacing w:val="-1"/>
                <w:sz w:val="14"/>
              </w:rPr>
              <w:t>ROF</w:t>
            </w:r>
            <w:r>
              <w:rPr>
                <w:b/>
                <w:spacing w:val="-1"/>
                <w:w w:val="172"/>
                <w:sz w:val="14"/>
              </w:rPr>
              <w:t>it</w:t>
            </w:r>
            <w:r>
              <w:rPr>
                <w:b/>
                <w:sz w:val="14"/>
              </w:rPr>
              <w:t>S</w:t>
            </w:r>
            <w:r>
              <w:rPr>
                <w:b/>
                <w:spacing w:val="1"/>
                <w:sz w:val="14"/>
              </w:rPr>
              <w:t> </w:t>
            </w:r>
            <w:r>
              <w:rPr>
                <w:b/>
                <w:spacing w:val="-3"/>
                <w:w w:val="200"/>
                <w:sz w:val="14"/>
              </w:rPr>
              <w:t>t</w:t>
            </w:r>
            <w:r>
              <w:rPr>
                <w:b/>
                <w:sz w:val="14"/>
              </w:rPr>
              <w:t>O</w:t>
            </w:r>
            <w:r>
              <w:rPr>
                <w:b/>
                <w:spacing w:val="3"/>
                <w:sz w:val="14"/>
              </w:rPr>
              <w:t> </w:t>
            </w:r>
            <w:r>
              <w:rPr>
                <w:b/>
                <w:sz w:val="14"/>
              </w:rPr>
              <w:t>E</w:t>
            </w:r>
            <w:r>
              <w:rPr>
                <w:b/>
                <w:spacing w:val="-1"/>
                <w:w w:val="142"/>
                <w:sz w:val="14"/>
              </w:rPr>
              <w:t>xi</w:t>
            </w:r>
            <w:r>
              <w:rPr>
                <w:b/>
                <w:spacing w:val="-1"/>
                <w:sz w:val="14"/>
              </w:rPr>
              <w:t>S</w:t>
            </w:r>
            <w:r>
              <w:rPr>
                <w:b/>
                <w:w w:val="172"/>
                <w:sz w:val="14"/>
              </w:rPr>
              <w:t>ti</w:t>
            </w:r>
            <w:r>
              <w:rPr>
                <w:b/>
                <w:spacing w:val="-1"/>
                <w:sz w:val="14"/>
              </w:rPr>
              <w:t>N</w:t>
            </w:r>
            <w:r>
              <w:rPr>
                <w:b/>
                <w:sz w:val="14"/>
              </w:rPr>
              <w:t>G</w:t>
            </w:r>
            <w:r>
              <w:rPr>
                <w:b/>
                <w:spacing w:val="3"/>
                <w:sz w:val="14"/>
              </w:rPr>
              <w:t> </w:t>
            </w:r>
            <w:r>
              <w:rPr>
                <w:b/>
                <w:sz w:val="14"/>
              </w:rPr>
              <w:t>BO</w:t>
            </w:r>
            <w:r>
              <w:rPr>
                <w:b/>
                <w:spacing w:val="-1"/>
                <w:w w:val="140"/>
                <w:sz w:val="14"/>
              </w:rPr>
              <w:t>i</w:t>
            </w:r>
            <w:r>
              <w:rPr>
                <w:b/>
                <w:sz w:val="14"/>
              </w:rPr>
              <w:t>LERS</w:t>
            </w:r>
          </w:p>
        </w:tc>
        <w:tc>
          <w:tcPr>
            <w:tcW w:w="85" w:type="dxa"/>
            <w:shd w:val="clear" w:color="auto" w:fill="E0EEE0"/>
          </w:tcPr>
          <w:p>
            <w:pPr>
              <w:pStyle w:val="TableParagraph"/>
              <w:jc w:val="left"/>
              <w:rPr>
                <w:sz w:val="12"/>
              </w:rPr>
            </w:pPr>
          </w:p>
        </w:tc>
        <w:tc>
          <w:tcPr>
            <w:tcW w:w="3591" w:type="dxa"/>
            <w:gridSpan w:val="3"/>
            <w:shd w:val="clear" w:color="auto" w:fill="E0EEE0"/>
          </w:tcPr>
          <w:p>
            <w:pPr>
              <w:pStyle w:val="TableParagraph"/>
              <w:spacing w:line="148" w:lineRule="exact" w:before="11"/>
              <w:ind w:left="732"/>
              <w:jc w:val="left"/>
              <w:rPr>
                <w:b/>
                <w:sz w:val="14"/>
              </w:rPr>
            </w:pPr>
            <w:r>
              <w:rPr>
                <w:b/>
                <w:w w:val="105"/>
                <w:sz w:val="14"/>
              </w:rPr>
              <w:t>REPOWERiNG + CO</w:t>
            </w:r>
            <w:r>
              <w:rPr>
                <w:b/>
                <w:w w:val="105"/>
                <w:position w:val="-4"/>
                <w:sz w:val="8"/>
              </w:rPr>
              <w:t>2 </w:t>
            </w:r>
            <w:r>
              <w:rPr>
                <w:b/>
                <w:w w:val="105"/>
                <w:sz w:val="14"/>
              </w:rPr>
              <w:t>CAPtuRE</w:t>
            </w:r>
          </w:p>
        </w:tc>
      </w:tr>
      <w:tr>
        <w:trPr>
          <w:trHeight w:val="180" w:hRule="atLeast"/>
        </w:trPr>
        <w:tc>
          <w:tcPr>
            <w:tcW w:w="2467" w:type="dxa"/>
            <w:shd w:val="clear" w:color="auto" w:fill="F9FCF9"/>
          </w:tcPr>
          <w:p>
            <w:pPr>
              <w:pStyle w:val="TableParagraph"/>
              <w:spacing w:line="148" w:lineRule="exact" w:before="11"/>
              <w:ind w:left="97"/>
              <w:jc w:val="left"/>
              <w:rPr>
                <w:b/>
                <w:i/>
                <w:sz w:val="14"/>
              </w:rPr>
            </w:pPr>
            <w:r>
              <w:rPr>
                <w:b/>
                <w:i/>
                <w:sz w:val="14"/>
              </w:rPr>
              <w:t>Reference Plant (without capture)</w:t>
            </w:r>
          </w:p>
        </w:tc>
        <w:tc>
          <w:tcPr>
            <w:tcW w:w="855" w:type="dxa"/>
            <w:shd w:val="clear" w:color="auto" w:fill="F9FCF9"/>
          </w:tcPr>
          <w:p>
            <w:pPr>
              <w:pStyle w:val="TableParagraph"/>
              <w:jc w:val="left"/>
              <w:rPr>
                <w:sz w:val="12"/>
              </w:rPr>
            </w:pPr>
          </w:p>
        </w:tc>
        <w:tc>
          <w:tcPr>
            <w:tcW w:w="725" w:type="dxa"/>
            <w:shd w:val="clear" w:color="auto" w:fill="F9FCF9"/>
          </w:tcPr>
          <w:p>
            <w:pPr>
              <w:pStyle w:val="TableParagraph"/>
              <w:spacing w:line="148" w:lineRule="exact" w:before="12"/>
              <w:ind w:left="5"/>
              <w:rPr>
                <w:b/>
                <w:i/>
                <w:sz w:val="14"/>
              </w:rPr>
            </w:pPr>
            <w:r>
              <w:rPr>
                <w:b/>
                <w:i/>
                <w:sz w:val="14"/>
              </w:rPr>
              <w:t>*</w:t>
            </w:r>
          </w:p>
        </w:tc>
        <w:tc>
          <w:tcPr>
            <w:tcW w:w="663" w:type="dxa"/>
            <w:shd w:val="clear" w:color="auto" w:fill="F9FCF9"/>
          </w:tcPr>
          <w:p>
            <w:pPr>
              <w:pStyle w:val="TableParagraph"/>
              <w:spacing w:line="148" w:lineRule="exact" w:before="12"/>
              <w:ind w:left="3"/>
              <w:rPr>
                <w:b/>
                <w:i/>
                <w:sz w:val="14"/>
              </w:rPr>
            </w:pPr>
            <w:r>
              <w:rPr>
                <w:b/>
                <w:i/>
                <w:sz w:val="14"/>
              </w:rPr>
              <w:t>*</w:t>
            </w:r>
          </w:p>
        </w:tc>
        <w:tc>
          <w:tcPr>
            <w:tcW w:w="697" w:type="dxa"/>
            <w:shd w:val="clear" w:color="auto" w:fill="F9FCF9"/>
          </w:tcPr>
          <w:p>
            <w:pPr>
              <w:pStyle w:val="TableParagraph"/>
              <w:spacing w:line="148" w:lineRule="exact" w:before="12"/>
              <w:ind w:left="2"/>
              <w:rPr>
                <w:b/>
                <w:i/>
                <w:sz w:val="14"/>
              </w:rPr>
            </w:pPr>
            <w:r>
              <w:rPr>
                <w:b/>
                <w:i/>
                <w:sz w:val="14"/>
              </w:rPr>
              <w:t>*</w:t>
            </w:r>
          </w:p>
        </w:tc>
        <w:tc>
          <w:tcPr>
            <w:tcW w:w="551" w:type="dxa"/>
            <w:shd w:val="clear" w:color="auto" w:fill="F9FCF9"/>
          </w:tcPr>
          <w:p>
            <w:pPr>
              <w:pStyle w:val="TableParagraph"/>
              <w:spacing w:line="148" w:lineRule="exact" w:before="12"/>
              <w:ind w:left="1"/>
              <w:rPr>
                <w:b/>
                <w:i/>
                <w:sz w:val="14"/>
              </w:rPr>
            </w:pPr>
            <w:r>
              <w:rPr>
                <w:b/>
                <w:i/>
                <w:sz w:val="14"/>
              </w:rPr>
              <w:t>*</w:t>
            </w:r>
          </w:p>
        </w:tc>
        <w:tc>
          <w:tcPr>
            <w:tcW w:w="906" w:type="dxa"/>
            <w:shd w:val="clear" w:color="auto" w:fill="F9FCF9"/>
          </w:tcPr>
          <w:p>
            <w:pPr>
              <w:pStyle w:val="TableParagraph"/>
              <w:spacing w:line="148" w:lineRule="exact" w:before="12"/>
              <w:rPr>
                <w:b/>
                <w:i/>
                <w:sz w:val="14"/>
              </w:rPr>
            </w:pPr>
            <w:r>
              <w:rPr>
                <w:b/>
                <w:i/>
                <w:sz w:val="14"/>
              </w:rPr>
              <w:t>*</w:t>
            </w:r>
          </w:p>
        </w:tc>
        <w:tc>
          <w:tcPr>
            <w:tcW w:w="869" w:type="dxa"/>
            <w:shd w:val="clear" w:color="auto" w:fill="F9FCF9"/>
          </w:tcPr>
          <w:p>
            <w:pPr>
              <w:pStyle w:val="TableParagraph"/>
              <w:spacing w:line="148" w:lineRule="exact" w:before="12"/>
              <w:ind w:right="1"/>
              <w:rPr>
                <w:b/>
                <w:i/>
                <w:sz w:val="14"/>
              </w:rPr>
            </w:pPr>
            <w:r>
              <w:rPr>
                <w:b/>
                <w:i/>
                <w:sz w:val="14"/>
              </w:rPr>
              <w:t>*</w:t>
            </w:r>
          </w:p>
        </w:tc>
        <w:tc>
          <w:tcPr>
            <w:tcW w:w="751" w:type="dxa"/>
            <w:shd w:val="clear" w:color="auto" w:fill="F9FCF9"/>
          </w:tcPr>
          <w:p>
            <w:pPr>
              <w:pStyle w:val="TableParagraph"/>
              <w:jc w:val="left"/>
              <w:rPr>
                <w:sz w:val="12"/>
              </w:rPr>
            </w:pPr>
          </w:p>
        </w:tc>
        <w:tc>
          <w:tcPr>
            <w:tcW w:w="617" w:type="dxa"/>
            <w:shd w:val="clear" w:color="auto" w:fill="F9FCF9"/>
          </w:tcPr>
          <w:p>
            <w:pPr>
              <w:pStyle w:val="TableParagraph"/>
              <w:jc w:val="left"/>
              <w:rPr>
                <w:sz w:val="12"/>
              </w:rPr>
            </w:pPr>
          </w:p>
        </w:tc>
        <w:tc>
          <w:tcPr>
            <w:tcW w:w="429" w:type="dxa"/>
            <w:shd w:val="clear" w:color="auto" w:fill="F9FCF9"/>
          </w:tcPr>
          <w:p>
            <w:pPr>
              <w:pStyle w:val="TableParagraph"/>
              <w:jc w:val="left"/>
              <w:rPr>
                <w:sz w:val="12"/>
              </w:rPr>
            </w:pPr>
          </w:p>
        </w:tc>
        <w:tc>
          <w:tcPr>
            <w:tcW w:w="382" w:type="dxa"/>
            <w:shd w:val="clear" w:color="auto" w:fill="F9FCF9"/>
          </w:tcPr>
          <w:p>
            <w:pPr>
              <w:pStyle w:val="TableParagraph"/>
              <w:jc w:val="left"/>
              <w:rPr>
                <w:sz w:val="12"/>
              </w:rPr>
            </w:pPr>
          </w:p>
        </w:tc>
        <w:tc>
          <w:tcPr>
            <w:tcW w:w="85" w:type="dxa"/>
            <w:shd w:val="clear" w:color="auto" w:fill="F9FCF9"/>
          </w:tcPr>
          <w:p>
            <w:pPr>
              <w:pStyle w:val="TableParagraph"/>
              <w:jc w:val="left"/>
              <w:rPr>
                <w:sz w:val="12"/>
              </w:rPr>
            </w:pPr>
          </w:p>
        </w:tc>
        <w:tc>
          <w:tcPr>
            <w:tcW w:w="904" w:type="dxa"/>
            <w:shd w:val="clear" w:color="auto" w:fill="F9FCF9"/>
          </w:tcPr>
          <w:p>
            <w:pPr>
              <w:pStyle w:val="TableParagraph"/>
              <w:jc w:val="left"/>
              <w:rPr>
                <w:sz w:val="12"/>
              </w:rPr>
            </w:pPr>
          </w:p>
        </w:tc>
        <w:tc>
          <w:tcPr>
            <w:tcW w:w="949" w:type="dxa"/>
            <w:shd w:val="clear" w:color="auto" w:fill="F9FCF9"/>
          </w:tcPr>
          <w:p>
            <w:pPr>
              <w:pStyle w:val="TableParagraph"/>
              <w:jc w:val="left"/>
              <w:rPr>
                <w:sz w:val="12"/>
              </w:rPr>
            </w:pPr>
          </w:p>
        </w:tc>
        <w:tc>
          <w:tcPr>
            <w:tcW w:w="1738" w:type="dxa"/>
            <w:shd w:val="clear" w:color="auto" w:fill="F9FCF9"/>
          </w:tcPr>
          <w:p>
            <w:pPr>
              <w:pStyle w:val="TableParagraph"/>
              <w:jc w:val="left"/>
              <w:rPr>
                <w:sz w:val="12"/>
              </w:rPr>
            </w:pP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Boiler type (subcritical, super, ultra)</w:t>
            </w:r>
          </w:p>
        </w:tc>
        <w:tc>
          <w:tcPr>
            <w:tcW w:w="855" w:type="dxa"/>
            <w:shd w:val="clear" w:color="auto" w:fill="F9FCF9"/>
          </w:tcPr>
          <w:p>
            <w:pPr>
              <w:pStyle w:val="TableParagraph"/>
              <w:spacing w:line="148" w:lineRule="exact" w:before="12"/>
              <w:ind w:left="29" w:right="24"/>
              <w:rPr>
                <w:sz w:val="14"/>
              </w:rPr>
            </w:pPr>
            <w:r>
              <w:rPr>
                <w:sz w:val="14"/>
              </w:rPr>
              <w:t>sub</w:t>
            </w:r>
          </w:p>
        </w:tc>
        <w:tc>
          <w:tcPr>
            <w:tcW w:w="725" w:type="dxa"/>
            <w:shd w:val="clear" w:color="auto" w:fill="F9FCF9"/>
          </w:tcPr>
          <w:p>
            <w:pPr>
              <w:pStyle w:val="TableParagraph"/>
              <w:spacing w:line="148" w:lineRule="exact" w:before="12"/>
              <w:ind w:left="45" w:right="41"/>
              <w:rPr>
                <w:sz w:val="14"/>
              </w:rPr>
            </w:pPr>
            <w:r>
              <w:rPr>
                <w:sz w:val="14"/>
              </w:rPr>
              <w:t>sub</w:t>
            </w:r>
          </w:p>
        </w:tc>
        <w:tc>
          <w:tcPr>
            <w:tcW w:w="663" w:type="dxa"/>
            <w:shd w:val="clear" w:color="auto" w:fill="F9FCF9"/>
          </w:tcPr>
          <w:p>
            <w:pPr>
              <w:pStyle w:val="TableParagraph"/>
              <w:spacing w:line="148" w:lineRule="exact" w:before="12"/>
              <w:ind w:right="225"/>
              <w:jc w:val="right"/>
              <w:rPr>
                <w:sz w:val="14"/>
              </w:rPr>
            </w:pPr>
            <w:r>
              <w:rPr>
                <w:sz w:val="14"/>
              </w:rPr>
              <w:t>sub</w:t>
            </w:r>
          </w:p>
        </w:tc>
        <w:tc>
          <w:tcPr>
            <w:tcW w:w="697" w:type="dxa"/>
            <w:shd w:val="clear" w:color="auto" w:fill="F9FCF9"/>
          </w:tcPr>
          <w:p>
            <w:pPr>
              <w:pStyle w:val="TableParagraph"/>
              <w:spacing w:line="148" w:lineRule="exact" w:before="12"/>
              <w:ind w:left="164" w:right="162"/>
              <w:rPr>
                <w:sz w:val="14"/>
              </w:rPr>
            </w:pPr>
            <w:r>
              <w:rPr>
                <w:sz w:val="14"/>
              </w:rPr>
              <w:t>sub</w:t>
            </w:r>
          </w:p>
        </w:tc>
        <w:tc>
          <w:tcPr>
            <w:tcW w:w="551" w:type="dxa"/>
            <w:shd w:val="clear" w:color="auto" w:fill="F9FCF9"/>
          </w:tcPr>
          <w:p>
            <w:pPr>
              <w:pStyle w:val="TableParagraph"/>
              <w:spacing w:line="148" w:lineRule="exact" w:before="12"/>
              <w:ind w:left="173"/>
              <w:jc w:val="left"/>
              <w:rPr>
                <w:sz w:val="14"/>
              </w:rPr>
            </w:pPr>
            <w:r>
              <w:rPr>
                <w:sz w:val="14"/>
              </w:rPr>
              <w:t>sub</w:t>
            </w:r>
          </w:p>
        </w:tc>
        <w:tc>
          <w:tcPr>
            <w:tcW w:w="906" w:type="dxa"/>
            <w:shd w:val="clear" w:color="auto" w:fill="F9FCF9"/>
          </w:tcPr>
          <w:p>
            <w:pPr>
              <w:pStyle w:val="TableParagraph"/>
              <w:spacing w:line="148" w:lineRule="exact" w:before="12"/>
              <w:ind w:left="32" w:right="32"/>
              <w:rPr>
                <w:sz w:val="14"/>
              </w:rPr>
            </w:pPr>
            <w:r>
              <w:rPr>
                <w:sz w:val="14"/>
              </w:rPr>
              <w:t>sub</w:t>
            </w:r>
          </w:p>
        </w:tc>
        <w:tc>
          <w:tcPr>
            <w:tcW w:w="869" w:type="dxa"/>
            <w:shd w:val="clear" w:color="auto" w:fill="F9FCF9"/>
          </w:tcPr>
          <w:p>
            <w:pPr>
              <w:pStyle w:val="TableParagraph"/>
              <w:spacing w:line="148" w:lineRule="exact" w:before="12"/>
              <w:ind w:left="26" w:right="26"/>
              <w:rPr>
                <w:sz w:val="14"/>
              </w:rPr>
            </w:pPr>
            <w:r>
              <w:rPr>
                <w:sz w:val="14"/>
              </w:rPr>
              <w:t>sub</w:t>
            </w:r>
          </w:p>
        </w:tc>
        <w:tc>
          <w:tcPr>
            <w:tcW w:w="751" w:type="dxa"/>
            <w:shd w:val="clear" w:color="auto" w:fill="F9FCF9"/>
          </w:tcPr>
          <w:p>
            <w:pPr>
              <w:pStyle w:val="TableParagraph"/>
              <w:jc w:val="left"/>
              <w:rPr>
                <w:sz w:val="12"/>
              </w:rPr>
            </w:pPr>
          </w:p>
        </w:tc>
        <w:tc>
          <w:tcPr>
            <w:tcW w:w="617" w:type="dxa"/>
            <w:shd w:val="clear" w:color="auto" w:fill="F9FCF9"/>
          </w:tcPr>
          <w:p>
            <w:pPr>
              <w:pStyle w:val="TableParagraph"/>
              <w:spacing w:line="148" w:lineRule="exact" w:before="12"/>
              <w:ind w:left="49" w:right="50"/>
              <w:rPr>
                <w:sz w:val="14"/>
              </w:rPr>
            </w:pPr>
            <w:r>
              <w:rPr>
                <w:sz w:val="14"/>
              </w:rPr>
              <w:t>sub</w:t>
            </w:r>
          </w:p>
        </w:tc>
        <w:tc>
          <w:tcPr>
            <w:tcW w:w="429" w:type="dxa"/>
            <w:shd w:val="clear" w:color="auto" w:fill="F9FCF9"/>
          </w:tcPr>
          <w:p>
            <w:pPr>
              <w:pStyle w:val="TableParagraph"/>
              <w:jc w:val="left"/>
              <w:rPr>
                <w:sz w:val="12"/>
              </w:rPr>
            </w:pPr>
          </w:p>
        </w:tc>
        <w:tc>
          <w:tcPr>
            <w:tcW w:w="382" w:type="dxa"/>
            <w:shd w:val="clear" w:color="auto" w:fill="F9FCF9"/>
          </w:tcPr>
          <w:p>
            <w:pPr>
              <w:pStyle w:val="TableParagraph"/>
              <w:jc w:val="left"/>
              <w:rPr>
                <w:sz w:val="12"/>
              </w:rPr>
            </w:pPr>
          </w:p>
        </w:tc>
        <w:tc>
          <w:tcPr>
            <w:tcW w:w="85" w:type="dxa"/>
            <w:shd w:val="clear" w:color="auto" w:fill="F9FCF9"/>
          </w:tcPr>
          <w:p>
            <w:pPr>
              <w:pStyle w:val="TableParagraph"/>
              <w:jc w:val="left"/>
              <w:rPr>
                <w:sz w:val="12"/>
              </w:rPr>
            </w:pPr>
          </w:p>
        </w:tc>
        <w:tc>
          <w:tcPr>
            <w:tcW w:w="904" w:type="dxa"/>
            <w:shd w:val="clear" w:color="auto" w:fill="F9FCF9"/>
          </w:tcPr>
          <w:p>
            <w:pPr>
              <w:pStyle w:val="TableParagraph"/>
              <w:spacing w:line="148" w:lineRule="exact" w:before="12"/>
              <w:ind w:left="85" w:right="87"/>
              <w:rPr>
                <w:sz w:val="14"/>
              </w:rPr>
            </w:pPr>
            <w:r>
              <w:rPr>
                <w:sz w:val="14"/>
              </w:rPr>
              <w:t>super</w:t>
            </w:r>
          </w:p>
        </w:tc>
        <w:tc>
          <w:tcPr>
            <w:tcW w:w="949" w:type="dxa"/>
            <w:shd w:val="clear" w:color="auto" w:fill="F9FCF9"/>
          </w:tcPr>
          <w:p>
            <w:pPr>
              <w:pStyle w:val="TableParagraph"/>
              <w:spacing w:line="148" w:lineRule="exact" w:before="12"/>
              <w:ind w:left="108" w:right="110"/>
              <w:rPr>
                <w:sz w:val="14"/>
              </w:rPr>
            </w:pPr>
            <w:r>
              <w:rPr>
                <w:sz w:val="14"/>
              </w:rPr>
              <w:t>super</w:t>
            </w:r>
          </w:p>
        </w:tc>
        <w:tc>
          <w:tcPr>
            <w:tcW w:w="1738" w:type="dxa"/>
            <w:shd w:val="clear" w:color="auto" w:fill="F9FCF9"/>
          </w:tcPr>
          <w:p>
            <w:pPr>
              <w:pStyle w:val="TableParagraph"/>
              <w:spacing w:line="148" w:lineRule="exact" w:before="12"/>
              <w:ind w:left="90" w:right="93"/>
              <w:rPr>
                <w:sz w:val="14"/>
              </w:rPr>
            </w:pPr>
            <w:r>
              <w:rPr>
                <w:sz w:val="14"/>
              </w:rPr>
              <w:t>sub</w:t>
            </w:r>
          </w:p>
        </w:tc>
      </w:tr>
      <w:tr>
        <w:trPr>
          <w:trHeight w:val="360" w:hRule="atLeast"/>
        </w:trPr>
        <w:tc>
          <w:tcPr>
            <w:tcW w:w="2467" w:type="dxa"/>
            <w:shd w:val="clear" w:color="auto" w:fill="F9FCF9"/>
          </w:tcPr>
          <w:p>
            <w:pPr>
              <w:pStyle w:val="TableParagraph"/>
              <w:spacing w:before="12"/>
              <w:ind w:left="20"/>
              <w:jc w:val="left"/>
              <w:rPr>
                <w:sz w:val="14"/>
              </w:rPr>
            </w:pPr>
            <w:r>
              <w:rPr>
                <w:sz w:val="14"/>
              </w:rPr>
              <w:t>Coal type (bit, sub-bit, lig) and %S</w:t>
            </w:r>
          </w:p>
        </w:tc>
        <w:tc>
          <w:tcPr>
            <w:tcW w:w="855" w:type="dxa"/>
            <w:shd w:val="clear" w:color="auto" w:fill="F9FCF9"/>
          </w:tcPr>
          <w:p>
            <w:pPr>
              <w:pStyle w:val="TableParagraph"/>
              <w:spacing w:before="12"/>
              <w:ind w:left="29" w:right="24"/>
              <w:rPr>
                <w:sz w:val="14"/>
              </w:rPr>
            </w:pPr>
            <w:r>
              <w:rPr>
                <w:sz w:val="14"/>
              </w:rPr>
              <w:t>sub-bit, 0.5%</w:t>
            </w:r>
          </w:p>
        </w:tc>
        <w:tc>
          <w:tcPr>
            <w:tcW w:w="725" w:type="dxa"/>
            <w:shd w:val="clear" w:color="auto" w:fill="F9FCF9"/>
          </w:tcPr>
          <w:p>
            <w:pPr>
              <w:pStyle w:val="TableParagraph"/>
              <w:spacing w:before="12"/>
              <w:ind w:left="45" w:right="41"/>
              <w:rPr>
                <w:sz w:val="14"/>
              </w:rPr>
            </w:pPr>
            <w:r>
              <w:rPr>
                <w:sz w:val="14"/>
              </w:rPr>
              <w:t>bit, 2.7%S</w:t>
            </w:r>
          </w:p>
        </w:tc>
        <w:tc>
          <w:tcPr>
            <w:tcW w:w="663" w:type="dxa"/>
            <w:shd w:val="clear" w:color="auto" w:fill="F9FCF9"/>
          </w:tcPr>
          <w:p>
            <w:pPr>
              <w:pStyle w:val="TableParagraph"/>
              <w:spacing w:before="12"/>
              <w:ind w:left="116"/>
              <w:jc w:val="left"/>
              <w:rPr>
                <w:sz w:val="14"/>
              </w:rPr>
            </w:pPr>
            <w:r>
              <w:rPr>
                <w:sz w:val="14"/>
              </w:rPr>
              <w:t>sub-bit,</w:t>
            </w:r>
          </w:p>
          <w:p>
            <w:pPr>
              <w:pStyle w:val="TableParagraph"/>
              <w:spacing w:line="148" w:lineRule="exact" w:before="19"/>
              <w:ind w:left="182"/>
              <w:jc w:val="left"/>
              <w:rPr>
                <w:sz w:val="14"/>
              </w:rPr>
            </w:pPr>
            <w:r>
              <w:rPr>
                <w:sz w:val="14"/>
              </w:rPr>
              <w:t>0.5%</w:t>
            </w:r>
          </w:p>
        </w:tc>
        <w:tc>
          <w:tcPr>
            <w:tcW w:w="697" w:type="dxa"/>
            <w:shd w:val="clear" w:color="auto" w:fill="F9FCF9"/>
          </w:tcPr>
          <w:p>
            <w:pPr>
              <w:pStyle w:val="TableParagraph"/>
              <w:spacing w:before="12"/>
              <w:ind w:left="132"/>
              <w:jc w:val="left"/>
              <w:rPr>
                <w:sz w:val="14"/>
              </w:rPr>
            </w:pPr>
            <w:r>
              <w:rPr>
                <w:sz w:val="14"/>
              </w:rPr>
              <w:t>sub-bit,</w:t>
            </w:r>
          </w:p>
          <w:p>
            <w:pPr>
              <w:pStyle w:val="TableParagraph"/>
              <w:spacing w:line="148" w:lineRule="exact" w:before="19"/>
              <w:ind w:left="199"/>
              <w:jc w:val="left"/>
              <w:rPr>
                <w:sz w:val="14"/>
              </w:rPr>
            </w:pPr>
            <w:r>
              <w:rPr>
                <w:sz w:val="14"/>
              </w:rPr>
              <w:t>0.5%</w:t>
            </w:r>
          </w:p>
        </w:tc>
        <w:tc>
          <w:tcPr>
            <w:tcW w:w="551" w:type="dxa"/>
            <w:shd w:val="clear" w:color="auto" w:fill="F9FCF9"/>
          </w:tcPr>
          <w:p>
            <w:pPr>
              <w:pStyle w:val="TableParagraph"/>
              <w:spacing w:before="12"/>
              <w:ind w:left="59"/>
              <w:jc w:val="left"/>
              <w:rPr>
                <w:sz w:val="14"/>
              </w:rPr>
            </w:pPr>
            <w:r>
              <w:rPr>
                <w:sz w:val="14"/>
              </w:rPr>
              <w:t>sub-bit,</w:t>
            </w:r>
          </w:p>
          <w:p>
            <w:pPr>
              <w:pStyle w:val="TableParagraph"/>
              <w:spacing w:line="148" w:lineRule="exact" w:before="19"/>
              <w:ind w:left="86"/>
              <w:jc w:val="left"/>
              <w:rPr>
                <w:sz w:val="14"/>
              </w:rPr>
            </w:pPr>
            <w:r>
              <w:rPr>
                <w:sz w:val="14"/>
              </w:rPr>
              <w:t>1.1%S</w:t>
            </w:r>
          </w:p>
        </w:tc>
        <w:tc>
          <w:tcPr>
            <w:tcW w:w="906" w:type="dxa"/>
            <w:shd w:val="clear" w:color="auto" w:fill="F9FCF9"/>
          </w:tcPr>
          <w:p>
            <w:pPr>
              <w:pStyle w:val="TableParagraph"/>
              <w:spacing w:before="12"/>
              <w:ind w:left="235"/>
              <w:jc w:val="left"/>
              <w:rPr>
                <w:sz w:val="14"/>
              </w:rPr>
            </w:pPr>
            <w:r>
              <w:rPr>
                <w:sz w:val="14"/>
              </w:rPr>
              <w:t>sub-bit,</w:t>
            </w:r>
          </w:p>
          <w:p>
            <w:pPr>
              <w:pStyle w:val="TableParagraph"/>
              <w:spacing w:line="148" w:lineRule="exact" w:before="19"/>
              <w:ind w:left="262"/>
              <w:jc w:val="left"/>
              <w:rPr>
                <w:sz w:val="14"/>
              </w:rPr>
            </w:pPr>
            <w:r>
              <w:rPr>
                <w:sz w:val="14"/>
              </w:rPr>
              <w:t>1.1%S</w:t>
            </w:r>
          </w:p>
        </w:tc>
        <w:tc>
          <w:tcPr>
            <w:tcW w:w="869" w:type="dxa"/>
            <w:shd w:val="clear" w:color="auto" w:fill="F9FCF9"/>
          </w:tcPr>
          <w:p>
            <w:pPr>
              <w:pStyle w:val="TableParagraph"/>
              <w:spacing w:before="12"/>
              <w:ind w:left="216"/>
              <w:jc w:val="left"/>
              <w:rPr>
                <w:sz w:val="14"/>
              </w:rPr>
            </w:pPr>
            <w:r>
              <w:rPr>
                <w:sz w:val="14"/>
              </w:rPr>
              <w:t>sub-bit,</w:t>
            </w:r>
          </w:p>
          <w:p>
            <w:pPr>
              <w:pStyle w:val="TableParagraph"/>
              <w:spacing w:line="148" w:lineRule="exact" w:before="19"/>
              <w:ind w:left="243"/>
              <w:jc w:val="left"/>
              <w:rPr>
                <w:sz w:val="14"/>
              </w:rPr>
            </w:pPr>
            <w:r>
              <w:rPr>
                <w:sz w:val="14"/>
              </w:rPr>
              <w:t>1.1%S</w:t>
            </w:r>
          </w:p>
        </w:tc>
        <w:tc>
          <w:tcPr>
            <w:tcW w:w="751" w:type="dxa"/>
            <w:shd w:val="clear" w:color="auto" w:fill="F9FCF9"/>
          </w:tcPr>
          <w:p>
            <w:pPr>
              <w:pStyle w:val="TableParagraph"/>
              <w:spacing w:before="12"/>
              <w:ind w:right="175"/>
              <w:jc w:val="right"/>
              <w:rPr>
                <w:sz w:val="14"/>
              </w:rPr>
            </w:pPr>
            <w:r>
              <w:rPr>
                <w:sz w:val="14"/>
              </w:rPr>
              <w:t>sub-bit</w:t>
            </w:r>
          </w:p>
        </w:tc>
        <w:tc>
          <w:tcPr>
            <w:tcW w:w="617" w:type="dxa"/>
            <w:shd w:val="clear" w:color="auto" w:fill="F9FCF9"/>
          </w:tcPr>
          <w:p>
            <w:pPr>
              <w:pStyle w:val="TableParagraph"/>
              <w:jc w:val="left"/>
              <w:rPr>
                <w:sz w:val="14"/>
              </w:rPr>
            </w:pPr>
          </w:p>
        </w:tc>
        <w:tc>
          <w:tcPr>
            <w:tcW w:w="429" w:type="dxa"/>
            <w:shd w:val="clear" w:color="auto" w:fill="F9FCF9"/>
          </w:tcPr>
          <w:p>
            <w:pPr>
              <w:pStyle w:val="TableParagraph"/>
              <w:jc w:val="left"/>
              <w:rPr>
                <w:sz w:val="14"/>
              </w:rPr>
            </w:pPr>
          </w:p>
        </w:tc>
        <w:tc>
          <w:tcPr>
            <w:tcW w:w="382" w:type="dxa"/>
            <w:shd w:val="clear" w:color="auto" w:fill="F9FCF9"/>
          </w:tcPr>
          <w:p>
            <w:pPr>
              <w:pStyle w:val="TableParagraph"/>
              <w:jc w:val="left"/>
              <w:rPr>
                <w:sz w:val="14"/>
              </w:rPr>
            </w:pPr>
          </w:p>
        </w:tc>
        <w:tc>
          <w:tcPr>
            <w:tcW w:w="85" w:type="dxa"/>
            <w:shd w:val="clear" w:color="auto" w:fill="F9FCF9"/>
          </w:tcPr>
          <w:p>
            <w:pPr>
              <w:pStyle w:val="TableParagraph"/>
              <w:jc w:val="left"/>
              <w:rPr>
                <w:sz w:val="14"/>
              </w:rPr>
            </w:pPr>
          </w:p>
        </w:tc>
        <w:tc>
          <w:tcPr>
            <w:tcW w:w="904" w:type="dxa"/>
            <w:shd w:val="clear" w:color="auto" w:fill="F9FCF9"/>
          </w:tcPr>
          <w:p>
            <w:pPr>
              <w:pStyle w:val="TableParagraph"/>
              <w:jc w:val="left"/>
              <w:rPr>
                <w:sz w:val="14"/>
              </w:rPr>
            </w:pPr>
          </w:p>
        </w:tc>
        <w:tc>
          <w:tcPr>
            <w:tcW w:w="949" w:type="dxa"/>
            <w:shd w:val="clear" w:color="auto" w:fill="F9FCF9"/>
          </w:tcPr>
          <w:p>
            <w:pPr>
              <w:pStyle w:val="TableParagraph"/>
              <w:jc w:val="left"/>
              <w:rPr>
                <w:sz w:val="14"/>
              </w:rPr>
            </w:pPr>
          </w:p>
        </w:tc>
        <w:tc>
          <w:tcPr>
            <w:tcW w:w="1738" w:type="dxa"/>
            <w:shd w:val="clear" w:color="auto" w:fill="F9FCF9"/>
          </w:tcPr>
          <w:p>
            <w:pPr>
              <w:pStyle w:val="TableParagraph"/>
              <w:jc w:val="left"/>
              <w:rPr>
                <w:sz w:val="14"/>
              </w:rPr>
            </w:pPr>
          </w:p>
        </w:tc>
      </w:tr>
      <w:tr>
        <w:trPr>
          <w:trHeight w:val="360" w:hRule="atLeast"/>
        </w:trPr>
        <w:tc>
          <w:tcPr>
            <w:tcW w:w="2467" w:type="dxa"/>
            <w:shd w:val="clear" w:color="auto" w:fill="F9FCF9"/>
          </w:tcPr>
          <w:p>
            <w:pPr>
              <w:pStyle w:val="TableParagraph"/>
              <w:spacing w:before="12"/>
              <w:ind w:left="20"/>
              <w:jc w:val="left"/>
              <w:rPr>
                <w:sz w:val="14"/>
              </w:rPr>
            </w:pPr>
            <w:r>
              <w:rPr>
                <w:sz w:val="14"/>
              </w:rPr>
              <w:t>Emission control technologies</w:t>
            </w:r>
          </w:p>
          <w:p>
            <w:pPr>
              <w:pStyle w:val="TableParagraph"/>
              <w:spacing w:line="148" w:lineRule="exact" w:before="19"/>
              <w:ind w:left="20"/>
              <w:jc w:val="left"/>
              <w:rPr>
                <w:sz w:val="14"/>
              </w:rPr>
            </w:pPr>
            <w:r>
              <w:rPr>
                <w:sz w:val="14"/>
              </w:rPr>
              <w:t>(SO</w:t>
            </w:r>
            <w:r>
              <w:rPr>
                <w:position w:val="-4"/>
                <w:sz w:val="8"/>
              </w:rPr>
              <w:t>2</w:t>
            </w:r>
            <w:r>
              <w:rPr>
                <w:sz w:val="14"/>
              </w:rPr>
              <w:t>/NO</w:t>
            </w:r>
            <w:r>
              <w:rPr>
                <w:position w:val="-4"/>
                <w:sz w:val="8"/>
              </w:rPr>
              <w:t>x</w:t>
            </w:r>
            <w:r>
              <w:rPr>
                <w:sz w:val="14"/>
              </w:rPr>
              <w:t>)</w:t>
            </w:r>
          </w:p>
        </w:tc>
        <w:tc>
          <w:tcPr>
            <w:tcW w:w="855" w:type="dxa"/>
            <w:shd w:val="clear" w:color="auto" w:fill="F9FCF9"/>
          </w:tcPr>
          <w:p>
            <w:pPr>
              <w:pStyle w:val="TableParagraph"/>
              <w:spacing w:before="12"/>
              <w:ind w:left="29" w:right="24"/>
              <w:rPr>
                <w:sz w:val="14"/>
              </w:rPr>
            </w:pPr>
            <w:r>
              <w:rPr>
                <w:sz w:val="14"/>
              </w:rPr>
              <w:t>none</w:t>
            </w:r>
          </w:p>
        </w:tc>
        <w:tc>
          <w:tcPr>
            <w:tcW w:w="725" w:type="dxa"/>
            <w:shd w:val="clear" w:color="auto" w:fill="F9FCF9"/>
          </w:tcPr>
          <w:p>
            <w:pPr>
              <w:pStyle w:val="TableParagraph"/>
              <w:spacing w:before="12"/>
              <w:ind w:left="45" w:right="41"/>
              <w:rPr>
                <w:sz w:val="14"/>
              </w:rPr>
            </w:pPr>
            <w:r>
              <w:rPr>
                <w:sz w:val="14"/>
              </w:rPr>
              <w:t>FGD</w:t>
            </w:r>
          </w:p>
        </w:tc>
        <w:tc>
          <w:tcPr>
            <w:tcW w:w="663" w:type="dxa"/>
            <w:shd w:val="clear" w:color="auto" w:fill="F9FCF9"/>
          </w:tcPr>
          <w:p>
            <w:pPr>
              <w:pStyle w:val="TableParagraph"/>
              <w:spacing w:before="12"/>
              <w:ind w:right="186"/>
              <w:jc w:val="right"/>
              <w:rPr>
                <w:sz w:val="14"/>
              </w:rPr>
            </w:pPr>
            <w:r>
              <w:rPr>
                <w:sz w:val="14"/>
              </w:rPr>
              <w:t>none</w:t>
            </w:r>
          </w:p>
        </w:tc>
        <w:tc>
          <w:tcPr>
            <w:tcW w:w="697" w:type="dxa"/>
            <w:shd w:val="clear" w:color="auto" w:fill="F9FCF9"/>
          </w:tcPr>
          <w:p>
            <w:pPr>
              <w:pStyle w:val="TableParagraph"/>
              <w:spacing w:before="12"/>
              <w:ind w:left="164" w:right="162"/>
              <w:rPr>
                <w:sz w:val="14"/>
              </w:rPr>
            </w:pPr>
            <w:r>
              <w:rPr>
                <w:sz w:val="14"/>
              </w:rPr>
              <w:t>FGD</w:t>
            </w:r>
          </w:p>
        </w:tc>
        <w:tc>
          <w:tcPr>
            <w:tcW w:w="551" w:type="dxa"/>
            <w:shd w:val="clear" w:color="auto" w:fill="F9FCF9"/>
          </w:tcPr>
          <w:p>
            <w:pPr>
              <w:pStyle w:val="TableParagraph"/>
              <w:spacing w:before="12"/>
              <w:ind w:left="131"/>
              <w:jc w:val="left"/>
              <w:rPr>
                <w:sz w:val="14"/>
              </w:rPr>
            </w:pPr>
            <w:r>
              <w:rPr>
                <w:sz w:val="14"/>
              </w:rPr>
              <w:t>FGD</w:t>
            </w:r>
          </w:p>
        </w:tc>
        <w:tc>
          <w:tcPr>
            <w:tcW w:w="906" w:type="dxa"/>
            <w:shd w:val="clear" w:color="auto" w:fill="F9FCF9"/>
          </w:tcPr>
          <w:p>
            <w:pPr>
              <w:pStyle w:val="TableParagraph"/>
              <w:spacing w:before="12"/>
              <w:ind w:left="32" w:right="32"/>
              <w:rPr>
                <w:sz w:val="14"/>
              </w:rPr>
            </w:pPr>
            <w:r>
              <w:rPr>
                <w:sz w:val="14"/>
              </w:rPr>
              <w:t>FGD</w:t>
            </w:r>
          </w:p>
        </w:tc>
        <w:tc>
          <w:tcPr>
            <w:tcW w:w="869" w:type="dxa"/>
            <w:shd w:val="clear" w:color="auto" w:fill="F9FCF9"/>
          </w:tcPr>
          <w:p>
            <w:pPr>
              <w:pStyle w:val="TableParagraph"/>
              <w:spacing w:before="12"/>
              <w:ind w:left="26" w:right="26"/>
              <w:rPr>
                <w:sz w:val="14"/>
              </w:rPr>
            </w:pPr>
            <w:r>
              <w:rPr>
                <w:sz w:val="14"/>
              </w:rPr>
              <w:t>FGD</w:t>
            </w:r>
          </w:p>
        </w:tc>
        <w:tc>
          <w:tcPr>
            <w:tcW w:w="751" w:type="dxa"/>
            <w:shd w:val="clear" w:color="auto" w:fill="F9FCF9"/>
          </w:tcPr>
          <w:p>
            <w:pPr>
              <w:pStyle w:val="TableParagraph"/>
              <w:spacing w:before="12"/>
              <w:ind w:left="63" w:right="63"/>
              <w:rPr>
                <w:sz w:val="14"/>
              </w:rPr>
            </w:pPr>
            <w:r>
              <w:rPr>
                <w:sz w:val="14"/>
              </w:rPr>
              <w:t>not</w:t>
            </w:r>
          </w:p>
          <w:p>
            <w:pPr>
              <w:pStyle w:val="TableParagraph"/>
              <w:spacing w:line="148" w:lineRule="exact" w:before="19"/>
              <w:ind w:left="63" w:right="63"/>
              <w:rPr>
                <w:sz w:val="14"/>
              </w:rPr>
            </w:pPr>
            <w:r>
              <w:rPr>
                <w:sz w:val="14"/>
              </w:rPr>
              <w:t>reported</w:t>
            </w:r>
          </w:p>
        </w:tc>
        <w:tc>
          <w:tcPr>
            <w:tcW w:w="617" w:type="dxa"/>
            <w:shd w:val="clear" w:color="auto" w:fill="F9FCF9"/>
          </w:tcPr>
          <w:p>
            <w:pPr>
              <w:pStyle w:val="TableParagraph"/>
              <w:spacing w:before="12"/>
              <w:ind w:left="49" w:right="50"/>
              <w:rPr>
                <w:sz w:val="14"/>
              </w:rPr>
            </w:pPr>
            <w:r>
              <w:rPr>
                <w:sz w:val="14"/>
              </w:rPr>
              <w:t>not</w:t>
            </w:r>
          </w:p>
          <w:p>
            <w:pPr>
              <w:pStyle w:val="TableParagraph"/>
              <w:spacing w:line="148" w:lineRule="exact" w:before="19"/>
              <w:ind w:left="49" w:right="50"/>
              <w:rPr>
                <w:sz w:val="14"/>
              </w:rPr>
            </w:pPr>
            <w:r>
              <w:rPr>
                <w:sz w:val="14"/>
              </w:rPr>
              <w:t>reported</w:t>
            </w:r>
          </w:p>
        </w:tc>
        <w:tc>
          <w:tcPr>
            <w:tcW w:w="429" w:type="dxa"/>
            <w:shd w:val="clear" w:color="auto" w:fill="F9FCF9"/>
          </w:tcPr>
          <w:p>
            <w:pPr>
              <w:pStyle w:val="TableParagraph"/>
              <w:jc w:val="left"/>
              <w:rPr>
                <w:sz w:val="14"/>
              </w:rPr>
            </w:pPr>
          </w:p>
        </w:tc>
        <w:tc>
          <w:tcPr>
            <w:tcW w:w="382" w:type="dxa"/>
            <w:shd w:val="clear" w:color="auto" w:fill="F9FCF9"/>
          </w:tcPr>
          <w:p>
            <w:pPr>
              <w:pStyle w:val="TableParagraph"/>
              <w:jc w:val="left"/>
              <w:rPr>
                <w:sz w:val="14"/>
              </w:rPr>
            </w:pPr>
          </w:p>
        </w:tc>
        <w:tc>
          <w:tcPr>
            <w:tcW w:w="85" w:type="dxa"/>
            <w:shd w:val="clear" w:color="auto" w:fill="F9FCF9"/>
          </w:tcPr>
          <w:p>
            <w:pPr>
              <w:pStyle w:val="TableParagraph"/>
              <w:jc w:val="left"/>
              <w:rPr>
                <w:sz w:val="14"/>
              </w:rPr>
            </w:pPr>
          </w:p>
        </w:tc>
        <w:tc>
          <w:tcPr>
            <w:tcW w:w="904" w:type="dxa"/>
            <w:shd w:val="clear" w:color="auto" w:fill="F9FCF9"/>
          </w:tcPr>
          <w:p>
            <w:pPr>
              <w:pStyle w:val="TableParagraph"/>
              <w:spacing w:before="12"/>
              <w:ind w:left="85" w:right="87"/>
              <w:rPr>
                <w:sz w:val="14"/>
              </w:rPr>
            </w:pPr>
            <w:r>
              <w:rPr>
                <w:sz w:val="14"/>
              </w:rPr>
              <w:t>not reported</w:t>
            </w:r>
          </w:p>
        </w:tc>
        <w:tc>
          <w:tcPr>
            <w:tcW w:w="949" w:type="dxa"/>
            <w:shd w:val="clear" w:color="auto" w:fill="F9FCF9"/>
          </w:tcPr>
          <w:p>
            <w:pPr>
              <w:pStyle w:val="TableParagraph"/>
              <w:spacing w:before="12"/>
              <w:ind w:left="108" w:right="110"/>
              <w:rPr>
                <w:sz w:val="14"/>
              </w:rPr>
            </w:pPr>
            <w:r>
              <w:rPr>
                <w:sz w:val="14"/>
              </w:rPr>
              <w:t>not reported</w:t>
            </w:r>
          </w:p>
        </w:tc>
        <w:tc>
          <w:tcPr>
            <w:tcW w:w="1738" w:type="dxa"/>
            <w:shd w:val="clear" w:color="auto" w:fill="F9FCF9"/>
          </w:tcPr>
          <w:p>
            <w:pPr>
              <w:pStyle w:val="TableParagraph"/>
              <w:spacing w:before="12"/>
              <w:ind w:left="90" w:right="93"/>
              <w:rPr>
                <w:sz w:val="14"/>
              </w:rPr>
            </w:pPr>
            <w:r>
              <w:rPr>
                <w:sz w:val="14"/>
              </w:rPr>
              <w:t>FGD</w:t>
            </w: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Reference plant size (MW)</w:t>
            </w:r>
          </w:p>
        </w:tc>
        <w:tc>
          <w:tcPr>
            <w:tcW w:w="855" w:type="dxa"/>
            <w:shd w:val="clear" w:color="auto" w:fill="F9FCF9"/>
          </w:tcPr>
          <w:p>
            <w:pPr>
              <w:pStyle w:val="TableParagraph"/>
              <w:spacing w:line="148" w:lineRule="exact" w:before="12"/>
              <w:ind w:left="29" w:right="24"/>
              <w:rPr>
                <w:sz w:val="14"/>
              </w:rPr>
            </w:pPr>
            <w:r>
              <w:rPr>
                <w:sz w:val="14"/>
              </w:rPr>
              <w:t>292</w:t>
            </w:r>
          </w:p>
        </w:tc>
        <w:tc>
          <w:tcPr>
            <w:tcW w:w="725" w:type="dxa"/>
            <w:shd w:val="clear" w:color="auto" w:fill="F9FCF9"/>
          </w:tcPr>
          <w:p>
            <w:pPr>
              <w:pStyle w:val="TableParagraph"/>
              <w:spacing w:line="148" w:lineRule="exact" w:before="12"/>
              <w:ind w:left="45" w:right="41"/>
              <w:rPr>
                <w:sz w:val="14"/>
              </w:rPr>
            </w:pPr>
            <w:r>
              <w:rPr>
                <w:sz w:val="14"/>
              </w:rPr>
              <w:t>434</w:t>
            </w:r>
          </w:p>
        </w:tc>
        <w:tc>
          <w:tcPr>
            <w:tcW w:w="663" w:type="dxa"/>
            <w:shd w:val="clear" w:color="auto" w:fill="F9FCF9"/>
          </w:tcPr>
          <w:p>
            <w:pPr>
              <w:pStyle w:val="TableParagraph"/>
              <w:spacing w:line="148" w:lineRule="exact" w:before="12"/>
              <w:ind w:right="217"/>
              <w:jc w:val="right"/>
              <w:rPr>
                <w:sz w:val="14"/>
              </w:rPr>
            </w:pPr>
            <w:r>
              <w:rPr>
                <w:sz w:val="14"/>
              </w:rPr>
              <w:t>470</w:t>
            </w:r>
          </w:p>
        </w:tc>
        <w:tc>
          <w:tcPr>
            <w:tcW w:w="697" w:type="dxa"/>
            <w:shd w:val="clear" w:color="auto" w:fill="F9FCF9"/>
          </w:tcPr>
          <w:p>
            <w:pPr>
              <w:pStyle w:val="TableParagraph"/>
              <w:spacing w:line="148" w:lineRule="exact" w:before="12"/>
              <w:ind w:left="164" w:right="162"/>
              <w:rPr>
                <w:sz w:val="14"/>
              </w:rPr>
            </w:pPr>
            <w:r>
              <w:rPr>
                <w:sz w:val="14"/>
              </w:rPr>
              <w:t>470</w:t>
            </w:r>
          </w:p>
        </w:tc>
        <w:tc>
          <w:tcPr>
            <w:tcW w:w="551" w:type="dxa"/>
            <w:shd w:val="clear" w:color="auto" w:fill="F9FCF9"/>
          </w:tcPr>
          <w:p>
            <w:pPr>
              <w:pStyle w:val="TableParagraph"/>
              <w:spacing w:line="148" w:lineRule="exact" w:before="12"/>
              <w:ind w:left="166"/>
              <w:jc w:val="left"/>
              <w:rPr>
                <w:sz w:val="14"/>
              </w:rPr>
            </w:pPr>
            <w:r>
              <w:rPr>
                <w:sz w:val="14"/>
              </w:rPr>
              <w:t>248</w:t>
            </w:r>
          </w:p>
        </w:tc>
        <w:tc>
          <w:tcPr>
            <w:tcW w:w="906" w:type="dxa"/>
            <w:shd w:val="clear" w:color="auto" w:fill="F9FCF9"/>
          </w:tcPr>
          <w:p>
            <w:pPr>
              <w:pStyle w:val="TableParagraph"/>
              <w:spacing w:line="148" w:lineRule="exact" w:before="12"/>
              <w:ind w:left="32" w:right="32"/>
              <w:rPr>
                <w:sz w:val="14"/>
              </w:rPr>
            </w:pPr>
            <w:r>
              <w:rPr>
                <w:sz w:val="14"/>
              </w:rPr>
              <w:t>248</w:t>
            </w:r>
          </w:p>
        </w:tc>
        <w:tc>
          <w:tcPr>
            <w:tcW w:w="869" w:type="dxa"/>
            <w:shd w:val="clear" w:color="auto" w:fill="F9FCF9"/>
          </w:tcPr>
          <w:p>
            <w:pPr>
              <w:pStyle w:val="TableParagraph"/>
              <w:spacing w:line="148" w:lineRule="exact" w:before="12"/>
              <w:ind w:left="25" w:right="26"/>
              <w:rPr>
                <w:sz w:val="14"/>
              </w:rPr>
            </w:pPr>
            <w:r>
              <w:rPr>
                <w:sz w:val="14"/>
              </w:rPr>
              <w:t>248</w:t>
            </w:r>
          </w:p>
        </w:tc>
        <w:tc>
          <w:tcPr>
            <w:tcW w:w="751" w:type="dxa"/>
            <w:shd w:val="clear" w:color="auto" w:fill="F9FCF9"/>
          </w:tcPr>
          <w:p>
            <w:pPr>
              <w:pStyle w:val="TableParagraph"/>
              <w:spacing w:line="148" w:lineRule="exact" w:before="12"/>
              <w:ind w:right="264"/>
              <w:jc w:val="right"/>
              <w:rPr>
                <w:sz w:val="14"/>
              </w:rPr>
            </w:pPr>
            <w:r>
              <w:rPr>
                <w:sz w:val="14"/>
              </w:rPr>
              <w:t>400</w:t>
            </w:r>
          </w:p>
        </w:tc>
        <w:tc>
          <w:tcPr>
            <w:tcW w:w="617" w:type="dxa"/>
            <w:shd w:val="clear" w:color="auto" w:fill="F9FCF9"/>
          </w:tcPr>
          <w:p>
            <w:pPr>
              <w:pStyle w:val="TableParagraph"/>
              <w:jc w:val="left"/>
              <w:rPr>
                <w:sz w:val="12"/>
              </w:rPr>
            </w:pPr>
          </w:p>
        </w:tc>
        <w:tc>
          <w:tcPr>
            <w:tcW w:w="429" w:type="dxa"/>
            <w:shd w:val="clear" w:color="auto" w:fill="F9FCF9"/>
          </w:tcPr>
          <w:p>
            <w:pPr>
              <w:pStyle w:val="TableParagraph"/>
              <w:spacing w:line="148" w:lineRule="exact" w:before="12"/>
              <w:ind w:left="66" w:right="67"/>
              <w:rPr>
                <w:b/>
                <w:sz w:val="14"/>
              </w:rPr>
            </w:pPr>
            <w:r>
              <w:rPr>
                <w:b/>
                <w:sz w:val="14"/>
              </w:rPr>
              <w:t>248</w:t>
            </w:r>
          </w:p>
        </w:tc>
        <w:tc>
          <w:tcPr>
            <w:tcW w:w="382" w:type="dxa"/>
            <w:shd w:val="clear" w:color="auto" w:fill="F9FCF9"/>
          </w:tcPr>
          <w:p>
            <w:pPr>
              <w:pStyle w:val="TableParagraph"/>
              <w:spacing w:line="148" w:lineRule="exact" w:before="12"/>
              <w:ind w:left="25" w:right="26"/>
              <w:rPr>
                <w:b/>
                <w:sz w:val="14"/>
              </w:rPr>
            </w:pPr>
            <w:r>
              <w:rPr>
                <w:b/>
                <w:sz w:val="14"/>
              </w:rPr>
              <w:t>470</w:t>
            </w:r>
          </w:p>
        </w:tc>
        <w:tc>
          <w:tcPr>
            <w:tcW w:w="85" w:type="dxa"/>
            <w:shd w:val="clear" w:color="auto" w:fill="F9FCF9"/>
          </w:tcPr>
          <w:p>
            <w:pPr>
              <w:pStyle w:val="TableParagraph"/>
              <w:jc w:val="left"/>
              <w:rPr>
                <w:sz w:val="12"/>
              </w:rPr>
            </w:pPr>
          </w:p>
        </w:tc>
        <w:tc>
          <w:tcPr>
            <w:tcW w:w="904" w:type="dxa"/>
            <w:shd w:val="clear" w:color="auto" w:fill="F9FCF9"/>
          </w:tcPr>
          <w:p>
            <w:pPr>
              <w:pStyle w:val="TableParagraph"/>
              <w:jc w:val="left"/>
              <w:rPr>
                <w:sz w:val="12"/>
              </w:rPr>
            </w:pPr>
          </w:p>
        </w:tc>
        <w:tc>
          <w:tcPr>
            <w:tcW w:w="949" w:type="dxa"/>
            <w:shd w:val="clear" w:color="auto" w:fill="F9FCF9"/>
          </w:tcPr>
          <w:p>
            <w:pPr>
              <w:pStyle w:val="TableParagraph"/>
              <w:jc w:val="left"/>
              <w:rPr>
                <w:sz w:val="12"/>
              </w:rPr>
            </w:pPr>
          </w:p>
        </w:tc>
        <w:tc>
          <w:tcPr>
            <w:tcW w:w="1738" w:type="dxa"/>
            <w:shd w:val="clear" w:color="auto" w:fill="F9FCF9"/>
          </w:tcPr>
          <w:p>
            <w:pPr>
              <w:pStyle w:val="TableParagraph"/>
              <w:spacing w:line="148" w:lineRule="exact" w:before="12"/>
              <w:ind w:left="90" w:right="93"/>
              <w:rPr>
                <w:sz w:val="14"/>
              </w:rPr>
            </w:pPr>
            <w:r>
              <w:rPr>
                <w:sz w:val="14"/>
              </w:rPr>
              <w:t>248</w:t>
            </w:r>
          </w:p>
        </w:tc>
      </w:tr>
      <w:tr>
        <w:trPr>
          <w:trHeight w:val="360" w:hRule="atLeast"/>
        </w:trPr>
        <w:tc>
          <w:tcPr>
            <w:tcW w:w="2467" w:type="dxa"/>
            <w:shd w:val="clear" w:color="auto" w:fill="F9FCF9"/>
          </w:tcPr>
          <w:p>
            <w:pPr>
              <w:pStyle w:val="TableParagraph"/>
              <w:spacing w:before="12"/>
              <w:ind w:left="20"/>
              <w:jc w:val="left"/>
              <w:rPr>
                <w:sz w:val="14"/>
              </w:rPr>
            </w:pPr>
            <w:r>
              <w:rPr>
                <w:sz w:val="14"/>
              </w:rPr>
              <w:t>Plant capacity factor (%)</w:t>
            </w:r>
          </w:p>
        </w:tc>
        <w:tc>
          <w:tcPr>
            <w:tcW w:w="855" w:type="dxa"/>
            <w:shd w:val="clear" w:color="auto" w:fill="F9FCF9"/>
          </w:tcPr>
          <w:p>
            <w:pPr>
              <w:pStyle w:val="TableParagraph"/>
              <w:spacing w:before="12"/>
              <w:ind w:left="29" w:right="24"/>
              <w:rPr>
                <w:sz w:val="14"/>
              </w:rPr>
            </w:pPr>
            <w:r>
              <w:rPr>
                <w:sz w:val="14"/>
              </w:rPr>
              <w:t>80</w:t>
            </w:r>
          </w:p>
        </w:tc>
        <w:tc>
          <w:tcPr>
            <w:tcW w:w="725" w:type="dxa"/>
            <w:shd w:val="clear" w:color="auto" w:fill="F9FCF9"/>
          </w:tcPr>
          <w:p>
            <w:pPr>
              <w:pStyle w:val="TableParagraph"/>
              <w:spacing w:before="12"/>
              <w:ind w:left="45" w:right="41"/>
              <w:rPr>
                <w:sz w:val="14"/>
              </w:rPr>
            </w:pPr>
            <w:r>
              <w:rPr>
                <w:sz w:val="14"/>
              </w:rPr>
              <w:t>67</w:t>
            </w:r>
          </w:p>
        </w:tc>
        <w:tc>
          <w:tcPr>
            <w:tcW w:w="663" w:type="dxa"/>
            <w:shd w:val="clear" w:color="auto" w:fill="F9FCF9"/>
          </w:tcPr>
          <w:p>
            <w:pPr>
              <w:pStyle w:val="TableParagraph"/>
              <w:spacing w:before="12"/>
              <w:ind w:right="252"/>
              <w:jc w:val="right"/>
              <w:rPr>
                <w:sz w:val="14"/>
              </w:rPr>
            </w:pPr>
            <w:r>
              <w:rPr>
                <w:sz w:val="14"/>
              </w:rPr>
              <w:t>75</w:t>
            </w:r>
          </w:p>
        </w:tc>
        <w:tc>
          <w:tcPr>
            <w:tcW w:w="697" w:type="dxa"/>
            <w:shd w:val="clear" w:color="auto" w:fill="F9FCF9"/>
          </w:tcPr>
          <w:p>
            <w:pPr>
              <w:pStyle w:val="TableParagraph"/>
              <w:spacing w:before="12"/>
              <w:ind w:left="164" w:right="162"/>
              <w:rPr>
                <w:sz w:val="14"/>
              </w:rPr>
            </w:pPr>
            <w:r>
              <w:rPr>
                <w:sz w:val="14"/>
              </w:rPr>
              <w:t>75</w:t>
            </w:r>
          </w:p>
        </w:tc>
        <w:tc>
          <w:tcPr>
            <w:tcW w:w="551" w:type="dxa"/>
            <w:shd w:val="clear" w:color="auto" w:fill="F9FCF9"/>
          </w:tcPr>
          <w:p>
            <w:pPr>
              <w:pStyle w:val="TableParagraph"/>
              <w:spacing w:before="12"/>
              <w:ind w:left="181" w:right="180"/>
              <w:rPr>
                <w:sz w:val="14"/>
              </w:rPr>
            </w:pPr>
            <w:r>
              <w:rPr>
                <w:sz w:val="14"/>
              </w:rPr>
              <w:t>80</w:t>
            </w:r>
          </w:p>
        </w:tc>
        <w:tc>
          <w:tcPr>
            <w:tcW w:w="906" w:type="dxa"/>
            <w:shd w:val="clear" w:color="auto" w:fill="F9FCF9"/>
          </w:tcPr>
          <w:p>
            <w:pPr>
              <w:pStyle w:val="TableParagraph"/>
              <w:spacing w:before="12"/>
              <w:ind w:left="32" w:right="32"/>
              <w:rPr>
                <w:sz w:val="14"/>
              </w:rPr>
            </w:pPr>
            <w:r>
              <w:rPr>
                <w:sz w:val="14"/>
              </w:rPr>
              <w:t>76</w:t>
            </w:r>
          </w:p>
          <w:p>
            <w:pPr>
              <w:pStyle w:val="TableParagraph"/>
              <w:spacing w:line="148" w:lineRule="exact" w:before="19"/>
              <w:ind w:left="32" w:right="32"/>
              <w:rPr>
                <w:sz w:val="14"/>
              </w:rPr>
            </w:pPr>
            <w:r>
              <w:rPr>
                <w:sz w:val="14"/>
              </w:rPr>
              <w:t>(Capture= 80)</w:t>
            </w:r>
          </w:p>
        </w:tc>
        <w:tc>
          <w:tcPr>
            <w:tcW w:w="869" w:type="dxa"/>
            <w:shd w:val="clear" w:color="auto" w:fill="F9FCF9"/>
          </w:tcPr>
          <w:p>
            <w:pPr>
              <w:pStyle w:val="TableParagraph"/>
              <w:spacing w:before="12"/>
              <w:ind w:left="25" w:right="26"/>
              <w:rPr>
                <w:sz w:val="14"/>
              </w:rPr>
            </w:pPr>
            <w:r>
              <w:rPr>
                <w:sz w:val="14"/>
              </w:rPr>
              <w:t>76</w:t>
            </w:r>
          </w:p>
          <w:p>
            <w:pPr>
              <w:pStyle w:val="TableParagraph"/>
              <w:spacing w:line="148" w:lineRule="exact" w:before="19"/>
              <w:ind w:left="25" w:right="26"/>
              <w:rPr>
                <w:sz w:val="14"/>
              </w:rPr>
            </w:pPr>
            <w:r>
              <w:rPr>
                <w:sz w:val="14"/>
              </w:rPr>
              <w:t>(Capture=80)</w:t>
            </w:r>
          </w:p>
        </w:tc>
        <w:tc>
          <w:tcPr>
            <w:tcW w:w="751" w:type="dxa"/>
            <w:shd w:val="clear" w:color="auto" w:fill="F9FCF9"/>
          </w:tcPr>
          <w:p>
            <w:pPr>
              <w:pStyle w:val="TableParagraph"/>
              <w:spacing w:before="12"/>
              <w:ind w:right="247"/>
              <w:jc w:val="right"/>
              <w:rPr>
                <w:sz w:val="14"/>
              </w:rPr>
            </w:pPr>
            <w:r>
              <w:rPr>
                <w:sz w:val="14"/>
              </w:rPr>
              <w:t>91.3</w:t>
            </w:r>
          </w:p>
        </w:tc>
        <w:tc>
          <w:tcPr>
            <w:tcW w:w="617" w:type="dxa"/>
            <w:shd w:val="clear" w:color="auto" w:fill="F9FCF9"/>
          </w:tcPr>
          <w:p>
            <w:pPr>
              <w:pStyle w:val="TableParagraph"/>
              <w:spacing w:before="12"/>
              <w:ind w:left="49" w:right="50"/>
              <w:rPr>
                <w:sz w:val="14"/>
              </w:rPr>
            </w:pPr>
            <w:r>
              <w:rPr>
                <w:sz w:val="14"/>
              </w:rPr>
              <w:t>80</w:t>
            </w:r>
          </w:p>
        </w:tc>
        <w:tc>
          <w:tcPr>
            <w:tcW w:w="429" w:type="dxa"/>
            <w:shd w:val="clear" w:color="auto" w:fill="F9FCF9"/>
          </w:tcPr>
          <w:p>
            <w:pPr>
              <w:pStyle w:val="TableParagraph"/>
              <w:spacing w:before="12"/>
              <w:ind w:left="66" w:right="67"/>
              <w:rPr>
                <w:b/>
                <w:sz w:val="14"/>
              </w:rPr>
            </w:pPr>
            <w:r>
              <w:rPr>
                <w:b/>
                <w:sz w:val="14"/>
              </w:rPr>
              <w:t>67</w:t>
            </w:r>
          </w:p>
        </w:tc>
        <w:tc>
          <w:tcPr>
            <w:tcW w:w="382" w:type="dxa"/>
            <w:shd w:val="clear" w:color="auto" w:fill="F9FCF9"/>
          </w:tcPr>
          <w:p>
            <w:pPr>
              <w:pStyle w:val="TableParagraph"/>
              <w:spacing w:before="12"/>
              <w:ind w:left="25" w:right="26"/>
              <w:rPr>
                <w:b/>
                <w:sz w:val="14"/>
              </w:rPr>
            </w:pPr>
            <w:r>
              <w:rPr>
                <w:b/>
                <w:sz w:val="14"/>
              </w:rPr>
              <w:t>91</w:t>
            </w:r>
          </w:p>
        </w:tc>
        <w:tc>
          <w:tcPr>
            <w:tcW w:w="85" w:type="dxa"/>
            <w:shd w:val="clear" w:color="auto" w:fill="F9FCF9"/>
          </w:tcPr>
          <w:p>
            <w:pPr>
              <w:pStyle w:val="TableParagraph"/>
              <w:jc w:val="left"/>
              <w:rPr>
                <w:sz w:val="14"/>
              </w:rPr>
            </w:pPr>
          </w:p>
        </w:tc>
        <w:tc>
          <w:tcPr>
            <w:tcW w:w="904" w:type="dxa"/>
            <w:shd w:val="clear" w:color="auto" w:fill="F9FCF9"/>
          </w:tcPr>
          <w:p>
            <w:pPr>
              <w:pStyle w:val="TableParagraph"/>
              <w:spacing w:before="12"/>
              <w:ind w:left="85" w:right="87"/>
              <w:rPr>
                <w:sz w:val="14"/>
              </w:rPr>
            </w:pPr>
            <w:r>
              <w:rPr>
                <w:sz w:val="14"/>
              </w:rPr>
              <w:t>80</w:t>
            </w:r>
          </w:p>
        </w:tc>
        <w:tc>
          <w:tcPr>
            <w:tcW w:w="949" w:type="dxa"/>
            <w:shd w:val="clear" w:color="auto" w:fill="F9FCF9"/>
          </w:tcPr>
          <w:p>
            <w:pPr>
              <w:pStyle w:val="TableParagraph"/>
              <w:spacing w:before="12"/>
              <w:ind w:left="108" w:right="110"/>
              <w:rPr>
                <w:sz w:val="14"/>
              </w:rPr>
            </w:pPr>
            <w:r>
              <w:rPr>
                <w:sz w:val="14"/>
              </w:rPr>
              <w:t>80</w:t>
            </w:r>
          </w:p>
        </w:tc>
        <w:tc>
          <w:tcPr>
            <w:tcW w:w="1738" w:type="dxa"/>
            <w:shd w:val="clear" w:color="auto" w:fill="F9FCF9"/>
          </w:tcPr>
          <w:p>
            <w:pPr>
              <w:pStyle w:val="TableParagraph"/>
              <w:spacing w:before="12"/>
              <w:ind w:left="90" w:right="93"/>
              <w:rPr>
                <w:sz w:val="14"/>
              </w:rPr>
            </w:pPr>
            <w:r>
              <w:rPr>
                <w:sz w:val="14"/>
              </w:rPr>
              <w:t>80</w:t>
            </w: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Net plant efficiency, LHV (%)</w:t>
            </w:r>
          </w:p>
        </w:tc>
        <w:tc>
          <w:tcPr>
            <w:tcW w:w="855" w:type="dxa"/>
            <w:shd w:val="clear" w:color="auto" w:fill="F9FCF9"/>
          </w:tcPr>
          <w:p>
            <w:pPr>
              <w:pStyle w:val="TableParagraph"/>
              <w:spacing w:line="148" w:lineRule="exact" w:before="12"/>
              <w:ind w:left="29" w:right="24"/>
              <w:rPr>
                <w:sz w:val="14"/>
              </w:rPr>
            </w:pPr>
            <w:r>
              <w:rPr>
                <w:sz w:val="14"/>
              </w:rPr>
              <w:t>36.2</w:t>
            </w:r>
          </w:p>
        </w:tc>
        <w:tc>
          <w:tcPr>
            <w:tcW w:w="725" w:type="dxa"/>
            <w:shd w:val="clear" w:color="auto" w:fill="F9FCF9"/>
          </w:tcPr>
          <w:p>
            <w:pPr>
              <w:pStyle w:val="TableParagraph"/>
              <w:spacing w:line="148" w:lineRule="exact" w:before="12"/>
              <w:ind w:left="45" w:right="41"/>
              <w:rPr>
                <w:sz w:val="14"/>
              </w:rPr>
            </w:pPr>
            <w:r>
              <w:rPr>
                <w:sz w:val="14"/>
              </w:rPr>
              <w:t>36.2</w:t>
            </w:r>
          </w:p>
        </w:tc>
        <w:tc>
          <w:tcPr>
            <w:tcW w:w="663" w:type="dxa"/>
            <w:shd w:val="clear" w:color="auto" w:fill="F9FCF9"/>
          </w:tcPr>
          <w:p>
            <w:pPr>
              <w:pStyle w:val="TableParagraph"/>
              <w:spacing w:line="148" w:lineRule="exact" w:before="12"/>
              <w:ind w:right="200"/>
              <w:jc w:val="right"/>
              <w:rPr>
                <w:sz w:val="14"/>
              </w:rPr>
            </w:pPr>
            <w:r>
              <w:rPr>
                <w:sz w:val="14"/>
              </w:rPr>
              <w:t>36.6</w:t>
            </w:r>
          </w:p>
        </w:tc>
        <w:tc>
          <w:tcPr>
            <w:tcW w:w="697" w:type="dxa"/>
            <w:shd w:val="clear" w:color="auto" w:fill="F9FCF9"/>
          </w:tcPr>
          <w:p>
            <w:pPr>
              <w:pStyle w:val="TableParagraph"/>
              <w:jc w:val="left"/>
              <w:rPr>
                <w:sz w:val="12"/>
              </w:rPr>
            </w:pPr>
          </w:p>
        </w:tc>
        <w:tc>
          <w:tcPr>
            <w:tcW w:w="551" w:type="dxa"/>
            <w:shd w:val="clear" w:color="auto" w:fill="F9FCF9"/>
          </w:tcPr>
          <w:p>
            <w:pPr>
              <w:pStyle w:val="TableParagraph"/>
              <w:spacing w:line="148" w:lineRule="exact" w:before="12"/>
              <w:ind w:left="148"/>
              <w:jc w:val="left"/>
              <w:rPr>
                <w:sz w:val="14"/>
              </w:rPr>
            </w:pPr>
            <w:r>
              <w:rPr>
                <w:sz w:val="14"/>
              </w:rPr>
              <w:t>33.1</w:t>
            </w:r>
          </w:p>
        </w:tc>
        <w:tc>
          <w:tcPr>
            <w:tcW w:w="906" w:type="dxa"/>
            <w:shd w:val="clear" w:color="auto" w:fill="F9FCF9"/>
          </w:tcPr>
          <w:p>
            <w:pPr>
              <w:pStyle w:val="TableParagraph"/>
              <w:spacing w:line="148" w:lineRule="exact" w:before="12"/>
              <w:ind w:left="32" w:right="32"/>
              <w:rPr>
                <w:sz w:val="14"/>
              </w:rPr>
            </w:pPr>
            <w:r>
              <w:rPr>
                <w:sz w:val="14"/>
              </w:rPr>
              <w:t>33.1</w:t>
            </w:r>
          </w:p>
        </w:tc>
        <w:tc>
          <w:tcPr>
            <w:tcW w:w="869" w:type="dxa"/>
            <w:shd w:val="clear" w:color="auto" w:fill="F9FCF9"/>
          </w:tcPr>
          <w:p>
            <w:pPr>
              <w:pStyle w:val="TableParagraph"/>
              <w:spacing w:line="148" w:lineRule="exact" w:before="12"/>
              <w:ind w:left="25" w:right="26"/>
              <w:rPr>
                <w:sz w:val="14"/>
              </w:rPr>
            </w:pPr>
            <w:r>
              <w:rPr>
                <w:sz w:val="14"/>
              </w:rPr>
              <w:t>33.1</w:t>
            </w:r>
          </w:p>
        </w:tc>
        <w:tc>
          <w:tcPr>
            <w:tcW w:w="751" w:type="dxa"/>
            <w:shd w:val="clear" w:color="auto" w:fill="F9FCF9"/>
          </w:tcPr>
          <w:p>
            <w:pPr>
              <w:pStyle w:val="TableParagraph"/>
              <w:jc w:val="left"/>
              <w:rPr>
                <w:sz w:val="12"/>
              </w:rPr>
            </w:pPr>
          </w:p>
        </w:tc>
        <w:tc>
          <w:tcPr>
            <w:tcW w:w="617" w:type="dxa"/>
            <w:shd w:val="clear" w:color="auto" w:fill="F9FCF9"/>
          </w:tcPr>
          <w:p>
            <w:pPr>
              <w:pStyle w:val="TableParagraph"/>
              <w:spacing w:line="148" w:lineRule="exact" w:before="12"/>
              <w:ind w:left="49" w:right="50"/>
              <w:rPr>
                <w:sz w:val="14"/>
              </w:rPr>
            </w:pPr>
            <w:r>
              <w:rPr>
                <w:sz w:val="14"/>
              </w:rPr>
              <w:t>36.0</w:t>
            </w:r>
          </w:p>
        </w:tc>
        <w:tc>
          <w:tcPr>
            <w:tcW w:w="429" w:type="dxa"/>
            <w:shd w:val="clear" w:color="auto" w:fill="F9FCF9"/>
          </w:tcPr>
          <w:p>
            <w:pPr>
              <w:pStyle w:val="TableParagraph"/>
              <w:spacing w:line="148" w:lineRule="exact" w:before="12"/>
              <w:ind w:left="66" w:right="67"/>
              <w:rPr>
                <w:b/>
                <w:sz w:val="14"/>
              </w:rPr>
            </w:pPr>
            <w:r>
              <w:rPr>
                <w:b/>
                <w:sz w:val="14"/>
              </w:rPr>
              <w:t>33</w:t>
            </w:r>
          </w:p>
        </w:tc>
        <w:tc>
          <w:tcPr>
            <w:tcW w:w="382" w:type="dxa"/>
            <w:shd w:val="clear" w:color="auto" w:fill="F9FCF9"/>
          </w:tcPr>
          <w:p>
            <w:pPr>
              <w:pStyle w:val="TableParagraph"/>
              <w:spacing w:line="148" w:lineRule="exact" w:before="12"/>
              <w:ind w:left="25" w:right="26"/>
              <w:rPr>
                <w:b/>
                <w:sz w:val="14"/>
              </w:rPr>
            </w:pPr>
            <w:r>
              <w:rPr>
                <w:b/>
                <w:sz w:val="14"/>
              </w:rPr>
              <w:t>37</w:t>
            </w:r>
          </w:p>
        </w:tc>
        <w:tc>
          <w:tcPr>
            <w:tcW w:w="85" w:type="dxa"/>
            <w:shd w:val="clear" w:color="auto" w:fill="F9FCF9"/>
          </w:tcPr>
          <w:p>
            <w:pPr>
              <w:pStyle w:val="TableParagraph"/>
              <w:jc w:val="left"/>
              <w:rPr>
                <w:sz w:val="12"/>
              </w:rPr>
            </w:pPr>
          </w:p>
        </w:tc>
        <w:tc>
          <w:tcPr>
            <w:tcW w:w="904" w:type="dxa"/>
            <w:shd w:val="clear" w:color="auto" w:fill="F9FCF9"/>
          </w:tcPr>
          <w:p>
            <w:pPr>
              <w:pStyle w:val="TableParagraph"/>
              <w:spacing w:line="148" w:lineRule="exact" w:before="12"/>
              <w:ind w:left="85" w:right="87"/>
              <w:rPr>
                <w:sz w:val="14"/>
              </w:rPr>
            </w:pPr>
            <w:r>
              <w:rPr>
                <w:sz w:val="14"/>
              </w:rPr>
              <w:t>43.5</w:t>
            </w:r>
          </w:p>
        </w:tc>
        <w:tc>
          <w:tcPr>
            <w:tcW w:w="949" w:type="dxa"/>
            <w:shd w:val="clear" w:color="auto" w:fill="F9FCF9"/>
          </w:tcPr>
          <w:p>
            <w:pPr>
              <w:pStyle w:val="TableParagraph"/>
              <w:spacing w:line="148" w:lineRule="exact" w:before="12"/>
              <w:ind w:left="108" w:right="110"/>
              <w:rPr>
                <w:sz w:val="14"/>
              </w:rPr>
            </w:pPr>
            <w:r>
              <w:rPr>
                <w:sz w:val="14"/>
              </w:rPr>
              <w:t>43.5</w:t>
            </w:r>
          </w:p>
        </w:tc>
        <w:tc>
          <w:tcPr>
            <w:tcW w:w="1738" w:type="dxa"/>
            <w:shd w:val="clear" w:color="auto" w:fill="F9FCF9"/>
          </w:tcPr>
          <w:p>
            <w:pPr>
              <w:pStyle w:val="TableParagraph"/>
              <w:jc w:val="left"/>
              <w:rPr>
                <w:sz w:val="12"/>
              </w:rPr>
            </w:pP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Coal cost, LHV (US$ GJ</w:t>
            </w:r>
            <w:r>
              <w:rPr>
                <w:position w:val="5"/>
                <w:sz w:val="8"/>
              </w:rPr>
              <w:t>-1</w:t>
            </w:r>
            <w:r>
              <w:rPr>
                <w:sz w:val="14"/>
              </w:rPr>
              <w:t>)</w:t>
            </w:r>
          </w:p>
        </w:tc>
        <w:tc>
          <w:tcPr>
            <w:tcW w:w="855" w:type="dxa"/>
            <w:shd w:val="clear" w:color="auto" w:fill="F9FCF9"/>
          </w:tcPr>
          <w:p>
            <w:pPr>
              <w:pStyle w:val="TableParagraph"/>
              <w:spacing w:line="148" w:lineRule="exact" w:before="12"/>
              <w:ind w:left="29" w:right="24"/>
              <w:rPr>
                <w:sz w:val="14"/>
              </w:rPr>
            </w:pPr>
            <w:r>
              <w:rPr>
                <w:sz w:val="14"/>
              </w:rPr>
              <w:t>0.98</w:t>
            </w:r>
          </w:p>
        </w:tc>
        <w:tc>
          <w:tcPr>
            <w:tcW w:w="725" w:type="dxa"/>
            <w:shd w:val="clear" w:color="auto" w:fill="F9FCF9"/>
          </w:tcPr>
          <w:p>
            <w:pPr>
              <w:pStyle w:val="TableParagraph"/>
              <w:spacing w:line="148" w:lineRule="exact" w:before="12"/>
              <w:ind w:left="45" w:right="41"/>
              <w:rPr>
                <w:sz w:val="14"/>
              </w:rPr>
            </w:pPr>
            <w:r>
              <w:rPr>
                <w:sz w:val="14"/>
              </w:rPr>
              <w:t>1.30</w:t>
            </w:r>
          </w:p>
        </w:tc>
        <w:tc>
          <w:tcPr>
            <w:tcW w:w="663" w:type="dxa"/>
            <w:shd w:val="clear" w:color="auto" w:fill="F9FCF9"/>
          </w:tcPr>
          <w:p>
            <w:pPr>
              <w:pStyle w:val="TableParagraph"/>
              <w:spacing w:line="148" w:lineRule="exact" w:before="12"/>
              <w:ind w:right="200"/>
              <w:jc w:val="right"/>
              <w:rPr>
                <w:sz w:val="14"/>
              </w:rPr>
            </w:pPr>
            <w:r>
              <w:rPr>
                <w:sz w:val="14"/>
              </w:rPr>
              <w:t>1.25</w:t>
            </w:r>
          </w:p>
        </w:tc>
        <w:tc>
          <w:tcPr>
            <w:tcW w:w="697" w:type="dxa"/>
            <w:shd w:val="clear" w:color="auto" w:fill="F9FCF9"/>
          </w:tcPr>
          <w:p>
            <w:pPr>
              <w:pStyle w:val="TableParagraph"/>
              <w:spacing w:line="148" w:lineRule="exact" w:before="12"/>
              <w:ind w:left="164" w:right="162"/>
              <w:rPr>
                <w:sz w:val="14"/>
              </w:rPr>
            </w:pPr>
            <w:r>
              <w:rPr>
                <w:sz w:val="14"/>
              </w:rPr>
              <w:t>1.25</w:t>
            </w:r>
          </w:p>
        </w:tc>
        <w:tc>
          <w:tcPr>
            <w:tcW w:w="551" w:type="dxa"/>
            <w:shd w:val="clear" w:color="auto" w:fill="F9FCF9"/>
          </w:tcPr>
          <w:p>
            <w:pPr>
              <w:pStyle w:val="TableParagraph"/>
              <w:spacing w:line="148" w:lineRule="exact" w:before="12"/>
              <w:ind w:left="148"/>
              <w:jc w:val="left"/>
              <w:rPr>
                <w:sz w:val="14"/>
              </w:rPr>
            </w:pPr>
            <w:r>
              <w:rPr>
                <w:sz w:val="14"/>
              </w:rPr>
              <w:t>1.20</w:t>
            </w:r>
          </w:p>
        </w:tc>
        <w:tc>
          <w:tcPr>
            <w:tcW w:w="906" w:type="dxa"/>
            <w:shd w:val="clear" w:color="auto" w:fill="F9FCF9"/>
          </w:tcPr>
          <w:p>
            <w:pPr>
              <w:pStyle w:val="TableParagraph"/>
              <w:spacing w:line="148" w:lineRule="exact" w:before="12"/>
              <w:ind w:left="32" w:right="32"/>
              <w:rPr>
                <w:sz w:val="14"/>
              </w:rPr>
            </w:pPr>
            <w:r>
              <w:rPr>
                <w:sz w:val="14"/>
              </w:rPr>
              <w:t>1.20</w:t>
            </w:r>
          </w:p>
        </w:tc>
        <w:tc>
          <w:tcPr>
            <w:tcW w:w="869" w:type="dxa"/>
            <w:shd w:val="clear" w:color="auto" w:fill="F9FCF9"/>
          </w:tcPr>
          <w:p>
            <w:pPr>
              <w:pStyle w:val="TableParagraph"/>
              <w:spacing w:line="148" w:lineRule="exact" w:before="12"/>
              <w:ind w:left="25" w:right="26"/>
              <w:rPr>
                <w:sz w:val="14"/>
              </w:rPr>
            </w:pPr>
            <w:r>
              <w:rPr>
                <w:sz w:val="14"/>
              </w:rPr>
              <w:t>1.20</w:t>
            </w:r>
          </w:p>
        </w:tc>
        <w:tc>
          <w:tcPr>
            <w:tcW w:w="751" w:type="dxa"/>
            <w:shd w:val="clear" w:color="auto" w:fill="F9FCF9"/>
          </w:tcPr>
          <w:p>
            <w:pPr>
              <w:pStyle w:val="TableParagraph"/>
              <w:jc w:val="left"/>
              <w:rPr>
                <w:sz w:val="12"/>
              </w:rPr>
            </w:pPr>
          </w:p>
        </w:tc>
        <w:tc>
          <w:tcPr>
            <w:tcW w:w="617" w:type="dxa"/>
            <w:shd w:val="clear" w:color="auto" w:fill="F9FCF9"/>
          </w:tcPr>
          <w:p>
            <w:pPr>
              <w:pStyle w:val="TableParagraph"/>
              <w:spacing w:line="148" w:lineRule="exact" w:before="12"/>
              <w:ind w:left="49" w:right="50"/>
              <w:rPr>
                <w:sz w:val="14"/>
              </w:rPr>
            </w:pPr>
            <w:r>
              <w:rPr>
                <w:sz w:val="14"/>
              </w:rPr>
              <w:t>3.07</w:t>
            </w:r>
          </w:p>
        </w:tc>
        <w:tc>
          <w:tcPr>
            <w:tcW w:w="429" w:type="dxa"/>
            <w:shd w:val="clear" w:color="auto" w:fill="F9FCF9"/>
          </w:tcPr>
          <w:p>
            <w:pPr>
              <w:pStyle w:val="TableParagraph"/>
              <w:spacing w:line="148" w:lineRule="exact" w:before="12"/>
              <w:ind w:left="66" w:right="67"/>
              <w:rPr>
                <w:b/>
                <w:sz w:val="14"/>
              </w:rPr>
            </w:pPr>
            <w:r>
              <w:rPr>
                <w:b/>
                <w:sz w:val="14"/>
              </w:rPr>
              <w:t>0.98</w:t>
            </w:r>
          </w:p>
        </w:tc>
        <w:tc>
          <w:tcPr>
            <w:tcW w:w="382" w:type="dxa"/>
            <w:shd w:val="clear" w:color="auto" w:fill="F9FCF9"/>
          </w:tcPr>
          <w:p>
            <w:pPr>
              <w:pStyle w:val="TableParagraph"/>
              <w:spacing w:line="148" w:lineRule="exact" w:before="12"/>
              <w:ind w:left="25" w:right="26"/>
              <w:rPr>
                <w:b/>
                <w:sz w:val="14"/>
              </w:rPr>
            </w:pPr>
            <w:r>
              <w:rPr>
                <w:b/>
                <w:sz w:val="14"/>
              </w:rPr>
              <w:t>3.07</w:t>
            </w:r>
          </w:p>
        </w:tc>
        <w:tc>
          <w:tcPr>
            <w:tcW w:w="85" w:type="dxa"/>
            <w:shd w:val="clear" w:color="auto" w:fill="F9FCF9"/>
          </w:tcPr>
          <w:p>
            <w:pPr>
              <w:pStyle w:val="TableParagraph"/>
              <w:jc w:val="left"/>
              <w:rPr>
                <w:sz w:val="12"/>
              </w:rPr>
            </w:pPr>
          </w:p>
        </w:tc>
        <w:tc>
          <w:tcPr>
            <w:tcW w:w="904" w:type="dxa"/>
            <w:shd w:val="clear" w:color="auto" w:fill="F9FCF9"/>
          </w:tcPr>
          <w:p>
            <w:pPr>
              <w:pStyle w:val="TableParagraph"/>
              <w:spacing w:line="148" w:lineRule="exact" w:before="12"/>
              <w:ind w:left="85" w:right="87"/>
              <w:rPr>
                <w:sz w:val="14"/>
              </w:rPr>
            </w:pPr>
            <w:r>
              <w:rPr>
                <w:sz w:val="14"/>
              </w:rPr>
              <w:t>3.07</w:t>
            </w:r>
          </w:p>
        </w:tc>
        <w:tc>
          <w:tcPr>
            <w:tcW w:w="949" w:type="dxa"/>
            <w:shd w:val="clear" w:color="auto" w:fill="F9FCF9"/>
          </w:tcPr>
          <w:p>
            <w:pPr>
              <w:pStyle w:val="TableParagraph"/>
              <w:spacing w:line="148" w:lineRule="exact" w:before="12"/>
              <w:ind w:left="108" w:right="110"/>
              <w:rPr>
                <w:sz w:val="14"/>
              </w:rPr>
            </w:pPr>
            <w:r>
              <w:rPr>
                <w:sz w:val="14"/>
              </w:rPr>
              <w:t>3.07</w:t>
            </w:r>
          </w:p>
        </w:tc>
        <w:tc>
          <w:tcPr>
            <w:tcW w:w="1738" w:type="dxa"/>
            <w:shd w:val="clear" w:color="auto" w:fill="F9FCF9"/>
          </w:tcPr>
          <w:p>
            <w:pPr>
              <w:pStyle w:val="TableParagraph"/>
              <w:spacing w:line="148" w:lineRule="exact" w:before="12"/>
              <w:ind w:left="90" w:right="93"/>
              <w:rPr>
                <w:sz w:val="14"/>
              </w:rPr>
            </w:pPr>
            <w:r>
              <w:rPr>
                <w:sz w:val="14"/>
              </w:rPr>
              <w:t>1.20</w:t>
            </w:r>
          </w:p>
        </w:tc>
      </w:tr>
      <w:tr>
        <w:trPr>
          <w:trHeight w:val="360" w:hRule="atLeast"/>
        </w:trPr>
        <w:tc>
          <w:tcPr>
            <w:tcW w:w="2467" w:type="dxa"/>
            <w:shd w:val="clear" w:color="auto" w:fill="F9FCF9"/>
          </w:tcPr>
          <w:p>
            <w:pPr>
              <w:pStyle w:val="TableParagraph"/>
              <w:spacing w:before="12"/>
              <w:ind w:left="20"/>
              <w:jc w:val="left"/>
              <w:rPr>
                <w:sz w:val="14"/>
              </w:rPr>
            </w:pPr>
            <w:r>
              <w:rPr>
                <w:sz w:val="14"/>
              </w:rPr>
              <w:t>Reference plant emission rate</w:t>
            </w:r>
          </w:p>
          <w:p>
            <w:pPr>
              <w:pStyle w:val="TableParagraph"/>
              <w:spacing w:line="41" w:lineRule="exact" w:before="28"/>
              <w:ind w:left="744"/>
              <w:jc w:val="left"/>
              <w:rPr>
                <w:sz w:val="8"/>
              </w:rPr>
            </w:pPr>
            <w:r>
              <w:rPr>
                <w:sz w:val="8"/>
              </w:rPr>
              <w:t>-1</w:t>
            </w:r>
          </w:p>
          <w:p>
            <w:pPr>
              <w:pStyle w:val="TableParagraph"/>
              <w:spacing w:line="62" w:lineRule="auto" w:before="19"/>
              <w:ind w:left="20"/>
              <w:jc w:val="left"/>
              <w:rPr>
                <w:sz w:val="14"/>
              </w:rPr>
            </w:pPr>
            <w:r>
              <w:rPr>
                <w:sz w:val="14"/>
              </w:rPr>
              <w:t>(t CO</w:t>
            </w:r>
            <w:r>
              <w:rPr>
                <w:position w:val="-4"/>
                <w:sz w:val="8"/>
              </w:rPr>
              <w:t>2 </w:t>
            </w:r>
            <w:r>
              <w:rPr>
                <w:sz w:val="14"/>
              </w:rPr>
              <w:t>MWh )</w:t>
            </w:r>
          </w:p>
        </w:tc>
        <w:tc>
          <w:tcPr>
            <w:tcW w:w="855" w:type="dxa"/>
            <w:shd w:val="clear" w:color="auto" w:fill="F9FCF9"/>
          </w:tcPr>
          <w:p>
            <w:pPr>
              <w:pStyle w:val="TableParagraph"/>
              <w:spacing w:before="12"/>
              <w:ind w:left="29" w:right="24"/>
              <w:rPr>
                <w:sz w:val="14"/>
              </w:rPr>
            </w:pPr>
            <w:r>
              <w:rPr>
                <w:sz w:val="14"/>
              </w:rPr>
              <w:t>0.901</w:t>
            </w:r>
          </w:p>
        </w:tc>
        <w:tc>
          <w:tcPr>
            <w:tcW w:w="725" w:type="dxa"/>
            <w:shd w:val="clear" w:color="auto" w:fill="F9FCF9"/>
          </w:tcPr>
          <w:p>
            <w:pPr>
              <w:pStyle w:val="TableParagraph"/>
              <w:spacing w:before="12"/>
              <w:ind w:left="45" w:right="41"/>
              <w:rPr>
                <w:sz w:val="14"/>
              </w:rPr>
            </w:pPr>
            <w:r>
              <w:rPr>
                <w:sz w:val="14"/>
              </w:rPr>
              <w:t>0.908</w:t>
            </w:r>
          </w:p>
        </w:tc>
        <w:tc>
          <w:tcPr>
            <w:tcW w:w="663" w:type="dxa"/>
            <w:shd w:val="clear" w:color="auto" w:fill="F9FCF9"/>
          </w:tcPr>
          <w:p>
            <w:pPr>
              <w:pStyle w:val="TableParagraph"/>
              <w:spacing w:before="12"/>
              <w:ind w:right="165"/>
              <w:jc w:val="right"/>
              <w:rPr>
                <w:sz w:val="14"/>
              </w:rPr>
            </w:pPr>
            <w:r>
              <w:rPr>
                <w:sz w:val="14"/>
              </w:rPr>
              <w:t>0.941</w:t>
            </w:r>
          </w:p>
        </w:tc>
        <w:tc>
          <w:tcPr>
            <w:tcW w:w="697" w:type="dxa"/>
            <w:shd w:val="clear" w:color="auto" w:fill="F9FCF9"/>
          </w:tcPr>
          <w:p>
            <w:pPr>
              <w:pStyle w:val="TableParagraph"/>
              <w:spacing w:before="12"/>
              <w:ind w:left="164" w:right="162"/>
              <w:rPr>
                <w:sz w:val="14"/>
              </w:rPr>
            </w:pPr>
            <w:r>
              <w:rPr>
                <w:sz w:val="14"/>
              </w:rPr>
              <w:t>0.95</w:t>
            </w:r>
          </w:p>
        </w:tc>
        <w:tc>
          <w:tcPr>
            <w:tcW w:w="551" w:type="dxa"/>
            <w:shd w:val="clear" w:color="auto" w:fill="F9FCF9"/>
          </w:tcPr>
          <w:p>
            <w:pPr>
              <w:pStyle w:val="TableParagraph"/>
              <w:spacing w:before="12"/>
              <w:ind w:left="113"/>
              <w:jc w:val="left"/>
              <w:rPr>
                <w:sz w:val="14"/>
              </w:rPr>
            </w:pPr>
            <w:r>
              <w:rPr>
                <w:sz w:val="14"/>
              </w:rPr>
              <w:t>1.004</w:t>
            </w:r>
          </w:p>
        </w:tc>
        <w:tc>
          <w:tcPr>
            <w:tcW w:w="906" w:type="dxa"/>
            <w:shd w:val="clear" w:color="auto" w:fill="F9FCF9"/>
          </w:tcPr>
          <w:p>
            <w:pPr>
              <w:pStyle w:val="TableParagraph"/>
              <w:spacing w:before="12"/>
              <w:ind w:left="32" w:right="32"/>
              <w:rPr>
                <w:sz w:val="14"/>
              </w:rPr>
            </w:pPr>
            <w:r>
              <w:rPr>
                <w:sz w:val="14"/>
              </w:rPr>
              <w:t>1.004</w:t>
            </w:r>
          </w:p>
        </w:tc>
        <w:tc>
          <w:tcPr>
            <w:tcW w:w="869" w:type="dxa"/>
            <w:shd w:val="clear" w:color="auto" w:fill="F9FCF9"/>
          </w:tcPr>
          <w:p>
            <w:pPr>
              <w:pStyle w:val="TableParagraph"/>
              <w:spacing w:before="12"/>
              <w:ind w:left="25" w:right="26"/>
              <w:rPr>
                <w:sz w:val="14"/>
              </w:rPr>
            </w:pPr>
            <w:r>
              <w:rPr>
                <w:sz w:val="14"/>
              </w:rPr>
              <w:t>1.004</w:t>
            </w:r>
          </w:p>
        </w:tc>
        <w:tc>
          <w:tcPr>
            <w:tcW w:w="751" w:type="dxa"/>
            <w:shd w:val="clear" w:color="auto" w:fill="F9FCF9"/>
          </w:tcPr>
          <w:p>
            <w:pPr>
              <w:pStyle w:val="TableParagraph"/>
              <w:spacing w:before="12"/>
              <w:ind w:right="212"/>
              <w:jc w:val="right"/>
              <w:rPr>
                <w:sz w:val="14"/>
              </w:rPr>
            </w:pPr>
            <w:r>
              <w:rPr>
                <w:sz w:val="14"/>
              </w:rPr>
              <w:t>0.925</w:t>
            </w:r>
          </w:p>
        </w:tc>
        <w:tc>
          <w:tcPr>
            <w:tcW w:w="617" w:type="dxa"/>
            <w:shd w:val="clear" w:color="auto" w:fill="F9FCF9"/>
          </w:tcPr>
          <w:p>
            <w:pPr>
              <w:pStyle w:val="TableParagraph"/>
              <w:jc w:val="left"/>
              <w:rPr>
                <w:sz w:val="14"/>
              </w:rPr>
            </w:pPr>
          </w:p>
        </w:tc>
        <w:tc>
          <w:tcPr>
            <w:tcW w:w="429" w:type="dxa"/>
            <w:shd w:val="clear" w:color="auto" w:fill="F9FCF9"/>
          </w:tcPr>
          <w:p>
            <w:pPr>
              <w:pStyle w:val="TableParagraph"/>
              <w:spacing w:before="12"/>
              <w:ind w:left="66" w:right="67"/>
              <w:rPr>
                <w:b/>
                <w:sz w:val="14"/>
              </w:rPr>
            </w:pPr>
            <w:r>
              <w:rPr>
                <w:b/>
                <w:sz w:val="14"/>
              </w:rPr>
              <w:t>0.90</w:t>
            </w:r>
          </w:p>
        </w:tc>
        <w:tc>
          <w:tcPr>
            <w:tcW w:w="382" w:type="dxa"/>
            <w:shd w:val="clear" w:color="auto" w:fill="F9FCF9"/>
          </w:tcPr>
          <w:p>
            <w:pPr>
              <w:pStyle w:val="TableParagraph"/>
              <w:spacing w:before="12"/>
              <w:ind w:left="25" w:right="26"/>
              <w:rPr>
                <w:b/>
                <w:sz w:val="14"/>
              </w:rPr>
            </w:pPr>
            <w:r>
              <w:rPr>
                <w:b/>
                <w:sz w:val="14"/>
              </w:rPr>
              <w:t>1.00</w:t>
            </w:r>
          </w:p>
        </w:tc>
        <w:tc>
          <w:tcPr>
            <w:tcW w:w="85" w:type="dxa"/>
            <w:shd w:val="clear" w:color="auto" w:fill="F9FCF9"/>
          </w:tcPr>
          <w:p>
            <w:pPr>
              <w:pStyle w:val="TableParagraph"/>
              <w:jc w:val="left"/>
              <w:rPr>
                <w:sz w:val="14"/>
              </w:rPr>
            </w:pPr>
          </w:p>
        </w:tc>
        <w:tc>
          <w:tcPr>
            <w:tcW w:w="904" w:type="dxa"/>
            <w:shd w:val="clear" w:color="auto" w:fill="F9FCF9"/>
          </w:tcPr>
          <w:p>
            <w:pPr>
              <w:pStyle w:val="TableParagraph"/>
              <w:jc w:val="left"/>
              <w:rPr>
                <w:sz w:val="14"/>
              </w:rPr>
            </w:pPr>
          </w:p>
        </w:tc>
        <w:tc>
          <w:tcPr>
            <w:tcW w:w="949" w:type="dxa"/>
            <w:shd w:val="clear" w:color="auto" w:fill="F9FCF9"/>
          </w:tcPr>
          <w:p>
            <w:pPr>
              <w:pStyle w:val="TableParagraph"/>
              <w:jc w:val="left"/>
              <w:rPr>
                <w:sz w:val="14"/>
              </w:rPr>
            </w:pPr>
          </w:p>
        </w:tc>
        <w:tc>
          <w:tcPr>
            <w:tcW w:w="1738" w:type="dxa"/>
            <w:shd w:val="clear" w:color="auto" w:fill="F9FCF9"/>
          </w:tcPr>
          <w:p>
            <w:pPr>
              <w:pStyle w:val="TableParagraph"/>
              <w:spacing w:before="12"/>
              <w:ind w:left="90" w:right="93"/>
              <w:rPr>
                <w:sz w:val="14"/>
              </w:rPr>
            </w:pPr>
            <w:r>
              <w:rPr>
                <w:sz w:val="14"/>
              </w:rPr>
              <w:t>1.004</w:t>
            </w:r>
          </w:p>
        </w:tc>
      </w:tr>
      <w:tr>
        <w:trPr>
          <w:trHeight w:val="180" w:hRule="atLeast"/>
        </w:trPr>
        <w:tc>
          <w:tcPr>
            <w:tcW w:w="2467" w:type="dxa"/>
            <w:shd w:val="clear" w:color="auto" w:fill="F9FCF9"/>
          </w:tcPr>
          <w:p>
            <w:pPr>
              <w:pStyle w:val="TableParagraph"/>
              <w:spacing w:line="148" w:lineRule="exact" w:before="11"/>
              <w:ind w:left="174"/>
              <w:jc w:val="left"/>
              <w:rPr>
                <w:b/>
                <w:i/>
                <w:sz w:val="14"/>
              </w:rPr>
            </w:pPr>
            <w:r>
              <w:rPr>
                <w:b/>
                <w:i/>
                <w:sz w:val="14"/>
              </w:rPr>
              <w:t>Capture Plant Design</w:t>
            </w:r>
          </w:p>
        </w:tc>
        <w:tc>
          <w:tcPr>
            <w:tcW w:w="855" w:type="dxa"/>
            <w:shd w:val="clear" w:color="auto" w:fill="F9FCF9"/>
          </w:tcPr>
          <w:p>
            <w:pPr>
              <w:pStyle w:val="TableParagraph"/>
              <w:jc w:val="left"/>
              <w:rPr>
                <w:sz w:val="12"/>
              </w:rPr>
            </w:pPr>
          </w:p>
        </w:tc>
        <w:tc>
          <w:tcPr>
            <w:tcW w:w="725" w:type="dxa"/>
            <w:shd w:val="clear" w:color="auto" w:fill="F9FCF9"/>
          </w:tcPr>
          <w:p>
            <w:pPr>
              <w:pStyle w:val="TableParagraph"/>
              <w:jc w:val="left"/>
              <w:rPr>
                <w:sz w:val="12"/>
              </w:rPr>
            </w:pPr>
          </w:p>
        </w:tc>
        <w:tc>
          <w:tcPr>
            <w:tcW w:w="663" w:type="dxa"/>
            <w:shd w:val="clear" w:color="auto" w:fill="F9FCF9"/>
          </w:tcPr>
          <w:p>
            <w:pPr>
              <w:pStyle w:val="TableParagraph"/>
              <w:jc w:val="left"/>
              <w:rPr>
                <w:sz w:val="12"/>
              </w:rPr>
            </w:pPr>
          </w:p>
        </w:tc>
        <w:tc>
          <w:tcPr>
            <w:tcW w:w="697" w:type="dxa"/>
            <w:shd w:val="clear" w:color="auto" w:fill="F9FCF9"/>
          </w:tcPr>
          <w:p>
            <w:pPr>
              <w:pStyle w:val="TableParagraph"/>
              <w:jc w:val="left"/>
              <w:rPr>
                <w:sz w:val="12"/>
              </w:rPr>
            </w:pPr>
          </w:p>
        </w:tc>
        <w:tc>
          <w:tcPr>
            <w:tcW w:w="551" w:type="dxa"/>
            <w:shd w:val="clear" w:color="auto" w:fill="F9FCF9"/>
          </w:tcPr>
          <w:p>
            <w:pPr>
              <w:pStyle w:val="TableParagraph"/>
              <w:jc w:val="left"/>
              <w:rPr>
                <w:sz w:val="12"/>
              </w:rPr>
            </w:pPr>
          </w:p>
        </w:tc>
        <w:tc>
          <w:tcPr>
            <w:tcW w:w="906" w:type="dxa"/>
            <w:shd w:val="clear" w:color="auto" w:fill="F9FCF9"/>
          </w:tcPr>
          <w:p>
            <w:pPr>
              <w:pStyle w:val="TableParagraph"/>
              <w:jc w:val="left"/>
              <w:rPr>
                <w:sz w:val="12"/>
              </w:rPr>
            </w:pPr>
          </w:p>
        </w:tc>
        <w:tc>
          <w:tcPr>
            <w:tcW w:w="869" w:type="dxa"/>
            <w:shd w:val="clear" w:color="auto" w:fill="F9FCF9"/>
          </w:tcPr>
          <w:p>
            <w:pPr>
              <w:pStyle w:val="TableParagraph"/>
              <w:jc w:val="left"/>
              <w:rPr>
                <w:sz w:val="12"/>
              </w:rPr>
            </w:pPr>
          </w:p>
        </w:tc>
        <w:tc>
          <w:tcPr>
            <w:tcW w:w="751" w:type="dxa"/>
            <w:shd w:val="clear" w:color="auto" w:fill="F9FCF9"/>
          </w:tcPr>
          <w:p>
            <w:pPr>
              <w:pStyle w:val="TableParagraph"/>
              <w:jc w:val="left"/>
              <w:rPr>
                <w:sz w:val="12"/>
              </w:rPr>
            </w:pPr>
          </w:p>
        </w:tc>
        <w:tc>
          <w:tcPr>
            <w:tcW w:w="617" w:type="dxa"/>
            <w:shd w:val="clear" w:color="auto" w:fill="F9FCF9"/>
          </w:tcPr>
          <w:p>
            <w:pPr>
              <w:pStyle w:val="TableParagraph"/>
              <w:jc w:val="left"/>
              <w:rPr>
                <w:sz w:val="12"/>
              </w:rPr>
            </w:pPr>
          </w:p>
        </w:tc>
        <w:tc>
          <w:tcPr>
            <w:tcW w:w="429" w:type="dxa"/>
            <w:shd w:val="clear" w:color="auto" w:fill="F9FCF9"/>
          </w:tcPr>
          <w:p>
            <w:pPr>
              <w:pStyle w:val="TableParagraph"/>
              <w:jc w:val="left"/>
              <w:rPr>
                <w:sz w:val="12"/>
              </w:rPr>
            </w:pPr>
          </w:p>
        </w:tc>
        <w:tc>
          <w:tcPr>
            <w:tcW w:w="382" w:type="dxa"/>
            <w:shd w:val="clear" w:color="auto" w:fill="F9FCF9"/>
          </w:tcPr>
          <w:p>
            <w:pPr>
              <w:pStyle w:val="TableParagraph"/>
              <w:jc w:val="left"/>
              <w:rPr>
                <w:sz w:val="12"/>
              </w:rPr>
            </w:pPr>
          </w:p>
        </w:tc>
        <w:tc>
          <w:tcPr>
            <w:tcW w:w="85" w:type="dxa"/>
            <w:shd w:val="clear" w:color="auto" w:fill="F9FCF9"/>
          </w:tcPr>
          <w:p>
            <w:pPr>
              <w:pStyle w:val="TableParagraph"/>
              <w:jc w:val="left"/>
              <w:rPr>
                <w:sz w:val="12"/>
              </w:rPr>
            </w:pPr>
          </w:p>
        </w:tc>
        <w:tc>
          <w:tcPr>
            <w:tcW w:w="904" w:type="dxa"/>
            <w:shd w:val="clear" w:color="auto" w:fill="F9FCF9"/>
          </w:tcPr>
          <w:p>
            <w:pPr>
              <w:pStyle w:val="TableParagraph"/>
              <w:jc w:val="left"/>
              <w:rPr>
                <w:sz w:val="12"/>
              </w:rPr>
            </w:pPr>
          </w:p>
        </w:tc>
        <w:tc>
          <w:tcPr>
            <w:tcW w:w="949" w:type="dxa"/>
            <w:shd w:val="clear" w:color="auto" w:fill="F9FCF9"/>
          </w:tcPr>
          <w:p>
            <w:pPr>
              <w:pStyle w:val="TableParagraph"/>
              <w:jc w:val="left"/>
              <w:rPr>
                <w:sz w:val="12"/>
              </w:rPr>
            </w:pPr>
          </w:p>
        </w:tc>
        <w:tc>
          <w:tcPr>
            <w:tcW w:w="1738" w:type="dxa"/>
            <w:shd w:val="clear" w:color="auto" w:fill="F9FCF9"/>
          </w:tcPr>
          <w:p>
            <w:pPr>
              <w:pStyle w:val="TableParagraph"/>
              <w:jc w:val="left"/>
              <w:rPr>
                <w:sz w:val="12"/>
              </w:rPr>
            </w:pP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CO</w:t>
            </w:r>
            <w:r>
              <w:rPr>
                <w:position w:val="-4"/>
                <w:sz w:val="8"/>
              </w:rPr>
              <w:t>2 </w:t>
            </w:r>
            <w:r>
              <w:rPr>
                <w:sz w:val="14"/>
              </w:rPr>
              <w:t>capture technology</w:t>
            </w:r>
          </w:p>
        </w:tc>
        <w:tc>
          <w:tcPr>
            <w:tcW w:w="855" w:type="dxa"/>
            <w:shd w:val="clear" w:color="auto" w:fill="F9FCF9"/>
          </w:tcPr>
          <w:p>
            <w:pPr>
              <w:pStyle w:val="TableParagraph"/>
              <w:spacing w:line="148" w:lineRule="exact" w:before="12"/>
              <w:ind w:left="29" w:right="16"/>
              <w:rPr>
                <w:sz w:val="14"/>
              </w:rPr>
            </w:pPr>
            <w:r>
              <w:rPr>
                <w:sz w:val="14"/>
              </w:rPr>
              <w:t>MEA</w:t>
            </w:r>
          </w:p>
        </w:tc>
        <w:tc>
          <w:tcPr>
            <w:tcW w:w="725" w:type="dxa"/>
            <w:shd w:val="clear" w:color="auto" w:fill="F9FCF9"/>
          </w:tcPr>
          <w:p>
            <w:pPr>
              <w:pStyle w:val="TableParagraph"/>
              <w:spacing w:line="148" w:lineRule="exact" w:before="12"/>
              <w:ind w:left="45" w:right="33"/>
              <w:rPr>
                <w:sz w:val="14"/>
              </w:rPr>
            </w:pPr>
            <w:r>
              <w:rPr>
                <w:sz w:val="14"/>
              </w:rPr>
              <w:t>MEA</w:t>
            </w:r>
          </w:p>
        </w:tc>
        <w:tc>
          <w:tcPr>
            <w:tcW w:w="663" w:type="dxa"/>
            <w:shd w:val="clear" w:color="auto" w:fill="F9FCF9"/>
          </w:tcPr>
          <w:p>
            <w:pPr>
              <w:pStyle w:val="TableParagraph"/>
              <w:spacing w:line="148" w:lineRule="exact" w:before="12"/>
              <w:ind w:right="163"/>
              <w:jc w:val="right"/>
              <w:rPr>
                <w:sz w:val="14"/>
              </w:rPr>
            </w:pPr>
            <w:r>
              <w:rPr>
                <w:sz w:val="14"/>
              </w:rPr>
              <w:t>MEA</w:t>
            </w:r>
          </w:p>
        </w:tc>
        <w:tc>
          <w:tcPr>
            <w:tcW w:w="697" w:type="dxa"/>
            <w:shd w:val="clear" w:color="auto" w:fill="F9FCF9"/>
          </w:tcPr>
          <w:p>
            <w:pPr>
              <w:pStyle w:val="TableParagraph"/>
              <w:spacing w:line="148" w:lineRule="exact" w:before="12"/>
              <w:ind w:left="172" w:right="162"/>
              <w:rPr>
                <w:sz w:val="14"/>
              </w:rPr>
            </w:pPr>
            <w:r>
              <w:rPr>
                <w:sz w:val="14"/>
              </w:rPr>
              <w:t>MEA</w:t>
            </w:r>
          </w:p>
        </w:tc>
        <w:tc>
          <w:tcPr>
            <w:tcW w:w="551" w:type="dxa"/>
            <w:shd w:val="clear" w:color="auto" w:fill="F9FCF9"/>
          </w:tcPr>
          <w:p>
            <w:pPr>
              <w:pStyle w:val="TableParagraph"/>
              <w:spacing w:line="148" w:lineRule="exact" w:before="12"/>
              <w:ind w:left="119"/>
              <w:jc w:val="left"/>
              <w:rPr>
                <w:sz w:val="14"/>
              </w:rPr>
            </w:pPr>
            <w:r>
              <w:rPr>
                <w:sz w:val="14"/>
              </w:rPr>
              <w:t>MEA</w:t>
            </w:r>
          </w:p>
        </w:tc>
        <w:tc>
          <w:tcPr>
            <w:tcW w:w="906" w:type="dxa"/>
            <w:shd w:val="clear" w:color="auto" w:fill="F9FCF9"/>
          </w:tcPr>
          <w:p>
            <w:pPr>
              <w:pStyle w:val="TableParagraph"/>
              <w:spacing w:line="148" w:lineRule="exact" w:before="12"/>
              <w:ind w:left="32" w:right="25"/>
              <w:rPr>
                <w:sz w:val="14"/>
              </w:rPr>
            </w:pPr>
            <w:r>
              <w:rPr>
                <w:sz w:val="14"/>
              </w:rPr>
              <w:t>MEA</w:t>
            </w:r>
          </w:p>
        </w:tc>
        <w:tc>
          <w:tcPr>
            <w:tcW w:w="869" w:type="dxa"/>
            <w:shd w:val="clear" w:color="auto" w:fill="F9FCF9"/>
          </w:tcPr>
          <w:p>
            <w:pPr>
              <w:pStyle w:val="TableParagraph"/>
              <w:spacing w:line="148" w:lineRule="exact" w:before="12"/>
              <w:ind w:left="26" w:right="21"/>
              <w:rPr>
                <w:sz w:val="14"/>
              </w:rPr>
            </w:pPr>
            <w:r>
              <w:rPr>
                <w:sz w:val="14"/>
              </w:rPr>
              <w:t>MEA</w:t>
            </w:r>
          </w:p>
        </w:tc>
        <w:tc>
          <w:tcPr>
            <w:tcW w:w="751" w:type="dxa"/>
            <w:shd w:val="clear" w:color="auto" w:fill="F9FCF9"/>
          </w:tcPr>
          <w:p>
            <w:pPr>
              <w:pStyle w:val="TableParagraph"/>
              <w:spacing w:line="148" w:lineRule="exact" w:before="12"/>
              <w:ind w:right="210"/>
              <w:jc w:val="right"/>
              <w:rPr>
                <w:sz w:val="14"/>
              </w:rPr>
            </w:pPr>
            <w:r>
              <w:rPr>
                <w:sz w:val="14"/>
              </w:rPr>
              <w:t>MEA</w:t>
            </w:r>
          </w:p>
        </w:tc>
        <w:tc>
          <w:tcPr>
            <w:tcW w:w="617" w:type="dxa"/>
            <w:shd w:val="clear" w:color="auto" w:fill="F9FCF9"/>
          </w:tcPr>
          <w:p>
            <w:pPr>
              <w:pStyle w:val="TableParagraph"/>
              <w:spacing w:line="148" w:lineRule="exact" w:before="12"/>
              <w:ind w:left="49" w:right="46"/>
              <w:rPr>
                <w:sz w:val="14"/>
              </w:rPr>
            </w:pPr>
            <w:r>
              <w:rPr>
                <w:sz w:val="14"/>
              </w:rPr>
              <w:t>MEA</w:t>
            </w:r>
          </w:p>
        </w:tc>
        <w:tc>
          <w:tcPr>
            <w:tcW w:w="429" w:type="dxa"/>
            <w:shd w:val="clear" w:color="auto" w:fill="F9FCF9"/>
          </w:tcPr>
          <w:p>
            <w:pPr>
              <w:pStyle w:val="TableParagraph"/>
              <w:jc w:val="left"/>
              <w:rPr>
                <w:sz w:val="12"/>
              </w:rPr>
            </w:pPr>
          </w:p>
        </w:tc>
        <w:tc>
          <w:tcPr>
            <w:tcW w:w="382" w:type="dxa"/>
            <w:shd w:val="clear" w:color="auto" w:fill="F9FCF9"/>
          </w:tcPr>
          <w:p>
            <w:pPr>
              <w:pStyle w:val="TableParagraph"/>
              <w:jc w:val="left"/>
              <w:rPr>
                <w:sz w:val="12"/>
              </w:rPr>
            </w:pPr>
          </w:p>
        </w:tc>
        <w:tc>
          <w:tcPr>
            <w:tcW w:w="85" w:type="dxa"/>
            <w:shd w:val="clear" w:color="auto" w:fill="F9FCF9"/>
          </w:tcPr>
          <w:p>
            <w:pPr>
              <w:pStyle w:val="TableParagraph"/>
              <w:jc w:val="left"/>
              <w:rPr>
                <w:sz w:val="12"/>
              </w:rPr>
            </w:pPr>
          </w:p>
        </w:tc>
        <w:tc>
          <w:tcPr>
            <w:tcW w:w="904" w:type="dxa"/>
            <w:shd w:val="clear" w:color="auto" w:fill="F9FCF9"/>
          </w:tcPr>
          <w:p>
            <w:pPr>
              <w:pStyle w:val="TableParagraph"/>
              <w:spacing w:line="148" w:lineRule="exact" w:before="12"/>
              <w:ind w:left="85" w:right="82"/>
              <w:rPr>
                <w:sz w:val="14"/>
              </w:rPr>
            </w:pPr>
            <w:r>
              <w:rPr>
                <w:sz w:val="14"/>
              </w:rPr>
              <w:t>MEA</w:t>
            </w:r>
          </w:p>
        </w:tc>
        <w:tc>
          <w:tcPr>
            <w:tcW w:w="949" w:type="dxa"/>
            <w:shd w:val="clear" w:color="auto" w:fill="F9FCF9"/>
          </w:tcPr>
          <w:p>
            <w:pPr>
              <w:pStyle w:val="TableParagraph"/>
              <w:spacing w:line="148" w:lineRule="exact" w:before="12"/>
              <w:ind w:left="108" w:right="110"/>
              <w:rPr>
                <w:sz w:val="14"/>
              </w:rPr>
            </w:pPr>
            <w:r>
              <w:rPr>
                <w:sz w:val="14"/>
              </w:rPr>
              <w:t>KS</w:t>
            </w:r>
          </w:p>
        </w:tc>
        <w:tc>
          <w:tcPr>
            <w:tcW w:w="1738" w:type="dxa"/>
            <w:shd w:val="clear" w:color="auto" w:fill="F9FCF9"/>
          </w:tcPr>
          <w:p>
            <w:pPr>
              <w:pStyle w:val="TableParagraph"/>
              <w:spacing w:line="148" w:lineRule="exact" w:before="12"/>
              <w:ind w:left="90" w:right="58"/>
              <w:rPr>
                <w:sz w:val="14"/>
              </w:rPr>
            </w:pPr>
            <w:r>
              <w:rPr>
                <w:sz w:val="14"/>
              </w:rPr>
              <w:t>Selexol</w:t>
            </w:r>
          </w:p>
        </w:tc>
      </w:tr>
      <w:tr>
        <w:trPr>
          <w:trHeight w:val="540" w:hRule="atLeast"/>
        </w:trPr>
        <w:tc>
          <w:tcPr>
            <w:tcW w:w="2467" w:type="dxa"/>
            <w:shd w:val="clear" w:color="auto" w:fill="F9FCF9"/>
          </w:tcPr>
          <w:p>
            <w:pPr>
              <w:pStyle w:val="TableParagraph"/>
              <w:spacing w:before="12"/>
              <w:ind w:left="20"/>
              <w:jc w:val="left"/>
              <w:rPr>
                <w:sz w:val="14"/>
              </w:rPr>
            </w:pPr>
            <w:r>
              <w:rPr>
                <w:sz w:val="14"/>
              </w:rPr>
              <w:t>Other equipment included</w:t>
            </w:r>
          </w:p>
        </w:tc>
        <w:tc>
          <w:tcPr>
            <w:tcW w:w="855" w:type="dxa"/>
            <w:shd w:val="clear" w:color="auto" w:fill="F9FCF9"/>
          </w:tcPr>
          <w:p>
            <w:pPr>
              <w:pStyle w:val="TableParagraph"/>
              <w:spacing w:before="12"/>
              <w:ind w:left="29" w:right="24"/>
              <w:rPr>
                <w:sz w:val="14"/>
              </w:rPr>
            </w:pPr>
            <w:r>
              <w:rPr>
                <w:sz w:val="14"/>
              </w:rPr>
              <w:t>new FGD</w:t>
            </w:r>
          </w:p>
        </w:tc>
        <w:tc>
          <w:tcPr>
            <w:tcW w:w="725" w:type="dxa"/>
            <w:shd w:val="clear" w:color="auto" w:fill="F9FCF9"/>
          </w:tcPr>
          <w:p>
            <w:pPr>
              <w:pStyle w:val="TableParagraph"/>
              <w:spacing w:before="12"/>
              <w:ind w:left="219"/>
              <w:jc w:val="left"/>
              <w:rPr>
                <w:sz w:val="14"/>
              </w:rPr>
            </w:pPr>
            <w:r>
              <w:rPr>
                <w:sz w:val="14"/>
              </w:rPr>
              <w:t>FGD</w:t>
            </w:r>
          </w:p>
          <w:p>
            <w:pPr>
              <w:pStyle w:val="TableParagraph"/>
              <w:spacing w:before="19"/>
              <w:ind w:left="134"/>
              <w:jc w:val="left"/>
              <w:rPr>
                <w:sz w:val="14"/>
              </w:rPr>
            </w:pPr>
            <w:r>
              <w:rPr>
                <w:sz w:val="14"/>
              </w:rPr>
              <w:t>upgrade</w:t>
            </w:r>
          </w:p>
        </w:tc>
        <w:tc>
          <w:tcPr>
            <w:tcW w:w="663" w:type="dxa"/>
            <w:shd w:val="clear" w:color="auto" w:fill="F9FCF9"/>
          </w:tcPr>
          <w:p>
            <w:pPr>
              <w:pStyle w:val="TableParagraph"/>
              <w:spacing w:line="268" w:lineRule="auto" w:before="12"/>
              <w:ind w:left="188" w:right="164" w:firstLine="7"/>
              <w:jc w:val="left"/>
              <w:rPr>
                <w:sz w:val="14"/>
              </w:rPr>
            </w:pPr>
            <w:r>
              <w:rPr>
                <w:sz w:val="14"/>
              </w:rPr>
              <w:t>New FGD</w:t>
            </w:r>
          </w:p>
        </w:tc>
        <w:tc>
          <w:tcPr>
            <w:tcW w:w="697" w:type="dxa"/>
            <w:shd w:val="clear" w:color="auto" w:fill="F9FCF9"/>
          </w:tcPr>
          <w:p>
            <w:pPr>
              <w:pStyle w:val="TableParagraph"/>
              <w:spacing w:before="12"/>
              <w:ind w:left="204"/>
              <w:jc w:val="left"/>
              <w:rPr>
                <w:sz w:val="14"/>
              </w:rPr>
            </w:pPr>
            <w:r>
              <w:rPr>
                <w:sz w:val="14"/>
              </w:rPr>
              <w:t>FGD</w:t>
            </w:r>
          </w:p>
          <w:p>
            <w:pPr>
              <w:pStyle w:val="TableParagraph"/>
              <w:spacing w:before="19"/>
              <w:ind w:left="119"/>
              <w:jc w:val="left"/>
              <w:rPr>
                <w:sz w:val="14"/>
              </w:rPr>
            </w:pPr>
            <w:r>
              <w:rPr>
                <w:sz w:val="14"/>
              </w:rPr>
              <w:t>upgrade</w:t>
            </w:r>
          </w:p>
        </w:tc>
        <w:tc>
          <w:tcPr>
            <w:tcW w:w="551" w:type="dxa"/>
            <w:shd w:val="clear" w:color="auto" w:fill="F9FCF9"/>
          </w:tcPr>
          <w:p>
            <w:pPr>
              <w:pStyle w:val="TableParagraph"/>
              <w:spacing w:before="12"/>
              <w:ind w:left="131"/>
              <w:jc w:val="left"/>
              <w:rPr>
                <w:sz w:val="14"/>
              </w:rPr>
            </w:pPr>
            <w:r>
              <w:rPr>
                <w:sz w:val="14"/>
              </w:rPr>
              <w:t>FGD</w:t>
            </w:r>
          </w:p>
          <w:p>
            <w:pPr>
              <w:pStyle w:val="TableParagraph"/>
              <w:spacing w:before="19"/>
              <w:ind w:left="45"/>
              <w:jc w:val="left"/>
              <w:rPr>
                <w:sz w:val="14"/>
              </w:rPr>
            </w:pPr>
            <w:r>
              <w:rPr>
                <w:sz w:val="14"/>
              </w:rPr>
              <w:t>upgrade</w:t>
            </w:r>
          </w:p>
        </w:tc>
        <w:tc>
          <w:tcPr>
            <w:tcW w:w="906" w:type="dxa"/>
            <w:shd w:val="clear" w:color="auto" w:fill="F9FCF9"/>
          </w:tcPr>
          <w:p>
            <w:pPr>
              <w:pStyle w:val="TableParagraph"/>
              <w:spacing w:before="12"/>
              <w:ind w:left="32" w:right="32"/>
              <w:rPr>
                <w:sz w:val="14"/>
              </w:rPr>
            </w:pPr>
            <w:r>
              <w:rPr>
                <w:sz w:val="14"/>
              </w:rPr>
              <w:t>FGD upgrade</w:t>
            </w:r>
          </w:p>
        </w:tc>
        <w:tc>
          <w:tcPr>
            <w:tcW w:w="869" w:type="dxa"/>
            <w:shd w:val="clear" w:color="auto" w:fill="F9FCF9"/>
          </w:tcPr>
          <w:p>
            <w:pPr>
              <w:pStyle w:val="TableParagraph"/>
              <w:spacing w:before="12"/>
              <w:ind w:left="26" w:right="26"/>
              <w:rPr>
                <w:sz w:val="14"/>
              </w:rPr>
            </w:pPr>
            <w:r>
              <w:rPr>
                <w:sz w:val="14"/>
              </w:rPr>
              <w:t>FGD upgrade</w:t>
            </w:r>
          </w:p>
        </w:tc>
        <w:tc>
          <w:tcPr>
            <w:tcW w:w="751" w:type="dxa"/>
            <w:shd w:val="clear" w:color="auto" w:fill="F9FCF9"/>
          </w:tcPr>
          <w:p>
            <w:pPr>
              <w:pStyle w:val="TableParagraph"/>
              <w:spacing w:before="12"/>
              <w:ind w:right="230"/>
              <w:jc w:val="right"/>
              <w:rPr>
                <w:sz w:val="14"/>
              </w:rPr>
            </w:pPr>
            <w:r>
              <w:rPr>
                <w:sz w:val="14"/>
              </w:rPr>
              <w:t>FGD</w:t>
            </w:r>
          </w:p>
        </w:tc>
        <w:tc>
          <w:tcPr>
            <w:tcW w:w="617" w:type="dxa"/>
            <w:shd w:val="clear" w:color="auto" w:fill="F9FCF9"/>
          </w:tcPr>
          <w:p>
            <w:pPr>
              <w:pStyle w:val="TableParagraph"/>
              <w:jc w:val="left"/>
              <w:rPr>
                <w:sz w:val="14"/>
              </w:rPr>
            </w:pPr>
          </w:p>
        </w:tc>
        <w:tc>
          <w:tcPr>
            <w:tcW w:w="429" w:type="dxa"/>
            <w:shd w:val="clear" w:color="auto" w:fill="F9FCF9"/>
          </w:tcPr>
          <w:p>
            <w:pPr>
              <w:pStyle w:val="TableParagraph"/>
              <w:jc w:val="left"/>
              <w:rPr>
                <w:sz w:val="14"/>
              </w:rPr>
            </w:pPr>
          </w:p>
        </w:tc>
        <w:tc>
          <w:tcPr>
            <w:tcW w:w="382" w:type="dxa"/>
            <w:shd w:val="clear" w:color="auto" w:fill="F9FCF9"/>
          </w:tcPr>
          <w:p>
            <w:pPr>
              <w:pStyle w:val="TableParagraph"/>
              <w:jc w:val="left"/>
              <w:rPr>
                <w:sz w:val="14"/>
              </w:rPr>
            </w:pPr>
          </w:p>
        </w:tc>
        <w:tc>
          <w:tcPr>
            <w:tcW w:w="85" w:type="dxa"/>
            <w:shd w:val="clear" w:color="auto" w:fill="F9FCF9"/>
          </w:tcPr>
          <w:p>
            <w:pPr>
              <w:pStyle w:val="TableParagraph"/>
              <w:jc w:val="left"/>
              <w:rPr>
                <w:sz w:val="14"/>
              </w:rPr>
            </w:pPr>
          </w:p>
        </w:tc>
        <w:tc>
          <w:tcPr>
            <w:tcW w:w="904" w:type="dxa"/>
            <w:shd w:val="clear" w:color="auto" w:fill="F9FCF9"/>
          </w:tcPr>
          <w:p>
            <w:pPr>
              <w:pStyle w:val="TableParagraph"/>
              <w:spacing w:line="268" w:lineRule="auto" w:before="12"/>
              <w:ind w:left="200" w:right="145" w:hanging="39"/>
              <w:jc w:val="left"/>
              <w:rPr>
                <w:sz w:val="14"/>
              </w:rPr>
            </w:pPr>
            <w:r>
              <w:rPr>
                <w:sz w:val="14"/>
              </w:rPr>
              <w:t>Advanced supercrit</w:t>
            </w:r>
          </w:p>
          <w:p>
            <w:pPr>
              <w:pStyle w:val="TableParagraph"/>
              <w:spacing w:line="148" w:lineRule="exact"/>
              <w:ind w:left="68"/>
              <w:jc w:val="left"/>
              <w:rPr>
                <w:sz w:val="14"/>
              </w:rPr>
            </w:pPr>
            <w:r>
              <w:rPr>
                <w:sz w:val="14"/>
              </w:rPr>
              <w:t>boiler retrofit</w:t>
            </w:r>
          </w:p>
        </w:tc>
        <w:tc>
          <w:tcPr>
            <w:tcW w:w="949" w:type="dxa"/>
            <w:shd w:val="clear" w:color="auto" w:fill="F9FCF9"/>
          </w:tcPr>
          <w:p>
            <w:pPr>
              <w:pStyle w:val="TableParagraph"/>
              <w:spacing w:line="268" w:lineRule="auto" w:before="12"/>
              <w:ind w:left="39" w:right="28" w:firstLine="143"/>
              <w:jc w:val="left"/>
              <w:rPr>
                <w:sz w:val="14"/>
              </w:rPr>
            </w:pPr>
            <w:r>
              <w:rPr>
                <w:sz w:val="14"/>
              </w:rPr>
              <w:t>Advanced supercrit boiler</w:t>
            </w:r>
          </w:p>
          <w:p>
            <w:pPr>
              <w:pStyle w:val="TableParagraph"/>
              <w:spacing w:line="148" w:lineRule="exact"/>
              <w:ind w:left="272"/>
              <w:jc w:val="left"/>
              <w:rPr>
                <w:sz w:val="14"/>
              </w:rPr>
            </w:pPr>
            <w:r>
              <w:rPr>
                <w:sz w:val="14"/>
              </w:rPr>
              <w:t>retrofit</w:t>
            </w:r>
          </w:p>
        </w:tc>
        <w:tc>
          <w:tcPr>
            <w:tcW w:w="1738" w:type="dxa"/>
            <w:shd w:val="clear" w:color="auto" w:fill="F9FCF9"/>
          </w:tcPr>
          <w:p>
            <w:pPr>
              <w:pStyle w:val="TableParagraph"/>
              <w:spacing w:before="12"/>
              <w:ind w:left="90" w:right="93"/>
              <w:rPr>
                <w:sz w:val="14"/>
              </w:rPr>
            </w:pPr>
            <w:r>
              <w:rPr>
                <w:sz w:val="14"/>
              </w:rPr>
              <w:t>IGCC (Texaco Q) repower</w:t>
            </w:r>
          </w:p>
          <w:p>
            <w:pPr>
              <w:pStyle w:val="TableParagraph"/>
              <w:spacing w:before="19"/>
              <w:ind w:left="89" w:right="93"/>
              <w:rPr>
                <w:sz w:val="14"/>
              </w:rPr>
            </w:pPr>
            <w:r>
              <w:rPr>
                <w:sz w:val="14"/>
              </w:rPr>
              <w:t>+current steam turbine</w:t>
            </w: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Net plant size with capture (MW)</w:t>
            </w:r>
          </w:p>
        </w:tc>
        <w:tc>
          <w:tcPr>
            <w:tcW w:w="855" w:type="dxa"/>
            <w:shd w:val="clear" w:color="auto" w:fill="F9FCF9"/>
          </w:tcPr>
          <w:p>
            <w:pPr>
              <w:pStyle w:val="TableParagraph"/>
              <w:spacing w:line="148" w:lineRule="exact" w:before="12"/>
              <w:ind w:left="29" w:right="24"/>
              <w:rPr>
                <w:sz w:val="14"/>
              </w:rPr>
            </w:pPr>
            <w:r>
              <w:rPr>
                <w:sz w:val="14"/>
              </w:rPr>
              <w:t>294</w:t>
            </w:r>
          </w:p>
        </w:tc>
        <w:tc>
          <w:tcPr>
            <w:tcW w:w="725" w:type="dxa"/>
            <w:shd w:val="clear" w:color="auto" w:fill="F9FCF9"/>
          </w:tcPr>
          <w:p>
            <w:pPr>
              <w:pStyle w:val="TableParagraph"/>
              <w:spacing w:line="148" w:lineRule="exact" w:before="12"/>
              <w:ind w:left="45" w:right="41"/>
              <w:rPr>
                <w:sz w:val="14"/>
              </w:rPr>
            </w:pPr>
            <w:r>
              <w:rPr>
                <w:sz w:val="14"/>
              </w:rPr>
              <w:t>255</w:t>
            </w:r>
          </w:p>
        </w:tc>
        <w:tc>
          <w:tcPr>
            <w:tcW w:w="663" w:type="dxa"/>
            <w:shd w:val="clear" w:color="auto" w:fill="F9FCF9"/>
          </w:tcPr>
          <w:p>
            <w:pPr>
              <w:pStyle w:val="TableParagraph"/>
              <w:spacing w:line="148" w:lineRule="exact" w:before="12"/>
              <w:ind w:right="217"/>
              <w:jc w:val="right"/>
              <w:rPr>
                <w:sz w:val="14"/>
              </w:rPr>
            </w:pPr>
            <w:r>
              <w:rPr>
                <w:sz w:val="14"/>
              </w:rPr>
              <w:t>275</w:t>
            </w:r>
          </w:p>
        </w:tc>
        <w:tc>
          <w:tcPr>
            <w:tcW w:w="697" w:type="dxa"/>
            <w:shd w:val="clear" w:color="auto" w:fill="F9FCF9"/>
          </w:tcPr>
          <w:p>
            <w:pPr>
              <w:pStyle w:val="TableParagraph"/>
              <w:spacing w:line="148" w:lineRule="exact" w:before="12"/>
              <w:ind w:left="164" w:right="162"/>
              <w:rPr>
                <w:sz w:val="14"/>
              </w:rPr>
            </w:pPr>
            <w:r>
              <w:rPr>
                <w:sz w:val="14"/>
              </w:rPr>
              <w:t>275</w:t>
            </w:r>
          </w:p>
        </w:tc>
        <w:tc>
          <w:tcPr>
            <w:tcW w:w="551" w:type="dxa"/>
            <w:shd w:val="clear" w:color="auto" w:fill="F9FCF9"/>
          </w:tcPr>
          <w:p>
            <w:pPr>
              <w:pStyle w:val="TableParagraph"/>
              <w:spacing w:line="148" w:lineRule="exact" w:before="12"/>
              <w:ind w:left="166"/>
              <w:jc w:val="left"/>
              <w:rPr>
                <w:sz w:val="14"/>
              </w:rPr>
            </w:pPr>
            <w:r>
              <w:rPr>
                <w:sz w:val="14"/>
              </w:rPr>
              <w:t>140</w:t>
            </w:r>
          </w:p>
        </w:tc>
        <w:tc>
          <w:tcPr>
            <w:tcW w:w="906" w:type="dxa"/>
            <w:shd w:val="clear" w:color="auto" w:fill="F9FCF9"/>
          </w:tcPr>
          <w:p>
            <w:pPr>
              <w:pStyle w:val="TableParagraph"/>
              <w:spacing w:line="148" w:lineRule="exact" w:before="12"/>
              <w:ind w:left="32" w:right="32"/>
              <w:rPr>
                <w:sz w:val="14"/>
              </w:rPr>
            </w:pPr>
            <w:r>
              <w:rPr>
                <w:sz w:val="14"/>
              </w:rPr>
              <w:t>282</w:t>
            </w:r>
          </w:p>
        </w:tc>
        <w:tc>
          <w:tcPr>
            <w:tcW w:w="869" w:type="dxa"/>
            <w:shd w:val="clear" w:color="auto" w:fill="F9FCF9"/>
          </w:tcPr>
          <w:p>
            <w:pPr>
              <w:pStyle w:val="TableParagraph"/>
              <w:spacing w:line="148" w:lineRule="exact" w:before="12"/>
              <w:ind w:left="25" w:right="26"/>
              <w:rPr>
                <w:sz w:val="14"/>
              </w:rPr>
            </w:pPr>
            <w:r>
              <w:rPr>
                <w:sz w:val="14"/>
              </w:rPr>
              <w:t>282</w:t>
            </w:r>
          </w:p>
        </w:tc>
        <w:tc>
          <w:tcPr>
            <w:tcW w:w="751" w:type="dxa"/>
            <w:shd w:val="clear" w:color="auto" w:fill="F9FCF9"/>
          </w:tcPr>
          <w:p>
            <w:pPr>
              <w:pStyle w:val="TableParagraph"/>
              <w:spacing w:line="148" w:lineRule="exact" w:before="12"/>
              <w:ind w:right="266"/>
              <w:jc w:val="right"/>
              <w:rPr>
                <w:sz w:val="14"/>
              </w:rPr>
            </w:pPr>
            <w:r>
              <w:rPr>
                <w:sz w:val="14"/>
              </w:rPr>
              <w:t>400</w:t>
            </w:r>
          </w:p>
        </w:tc>
        <w:tc>
          <w:tcPr>
            <w:tcW w:w="617" w:type="dxa"/>
            <w:shd w:val="clear" w:color="auto" w:fill="F9FCF9"/>
          </w:tcPr>
          <w:p>
            <w:pPr>
              <w:pStyle w:val="TableParagraph"/>
              <w:jc w:val="left"/>
              <w:rPr>
                <w:sz w:val="12"/>
              </w:rPr>
            </w:pPr>
          </w:p>
        </w:tc>
        <w:tc>
          <w:tcPr>
            <w:tcW w:w="429" w:type="dxa"/>
            <w:shd w:val="clear" w:color="auto" w:fill="F9FCF9"/>
          </w:tcPr>
          <w:p>
            <w:pPr>
              <w:pStyle w:val="TableParagraph"/>
              <w:spacing w:line="148" w:lineRule="exact" w:before="12"/>
              <w:ind w:left="66" w:right="67"/>
              <w:rPr>
                <w:b/>
                <w:sz w:val="14"/>
              </w:rPr>
            </w:pPr>
            <w:r>
              <w:rPr>
                <w:b/>
                <w:sz w:val="14"/>
              </w:rPr>
              <w:t>140</w:t>
            </w:r>
          </w:p>
        </w:tc>
        <w:tc>
          <w:tcPr>
            <w:tcW w:w="382" w:type="dxa"/>
            <w:shd w:val="clear" w:color="auto" w:fill="F9FCF9"/>
          </w:tcPr>
          <w:p>
            <w:pPr>
              <w:pStyle w:val="TableParagraph"/>
              <w:spacing w:line="148" w:lineRule="exact" w:before="12"/>
              <w:ind w:left="25" w:right="26"/>
              <w:rPr>
                <w:b/>
                <w:sz w:val="14"/>
              </w:rPr>
            </w:pPr>
            <w:r>
              <w:rPr>
                <w:b/>
                <w:sz w:val="14"/>
              </w:rPr>
              <w:t>400</w:t>
            </w:r>
          </w:p>
        </w:tc>
        <w:tc>
          <w:tcPr>
            <w:tcW w:w="85" w:type="dxa"/>
            <w:shd w:val="clear" w:color="auto" w:fill="F9FCF9"/>
          </w:tcPr>
          <w:p>
            <w:pPr>
              <w:pStyle w:val="TableParagraph"/>
              <w:jc w:val="left"/>
              <w:rPr>
                <w:sz w:val="12"/>
              </w:rPr>
            </w:pPr>
          </w:p>
        </w:tc>
        <w:tc>
          <w:tcPr>
            <w:tcW w:w="904" w:type="dxa"/>
            <w:shd w:val="clear" w:color="auto" w:fill="F9FCF9"/>
          </w:tcPr>
          <w:p>
            <w:pPr>
              <w:pStyle w:val="TableParagraph"/>
              <w:jc w:val="left"/>
              <w:rPr>
                <w:sz w:val="12"/>
              </w:rPr>
            </w:pPr>
          </w:p>
        </w:tc>
        <w:tc>
          <w:tcPr>
            <w:tcW w:w="949" w:type="dxa"/>
            <w:shd w:val="clear" w:color="auto" w:fill="F9FCF9"/>
          </w:tcPr>
          <w:p>
            <w:pPr>
              <w:pStyle w:val="TableParagraph"/>
              <w:jc w:val="left"/>
              <w:rPr>
                <w:sz w:val="12"/>
              </w:rPr>
            </w:pPr>
          </w:p>
        </w:tc>
        <w:tc>
          <w:tcPr>
            <w:tcW w:w="1738" w:type="dxa"/>
            <w:shd w:val="clear" w:color="auto" w:fill="F9FCF9"/>
          </w:tcPr>
          <w:p>
            <w:pPr>
              <w:pStyle w:val="TableParagraph"/>
              <w:spacing w:line="148" w:lineRule="exact" w:before="12"/>
              <w:ind w:left="90" w:right="93"/>
              <w:rPr>
                <w:sz w:val="14"/>
              </w:rPr>
            </w:pPr>
            <w:r>
              <w:rPr>
                <w:sz w:val="14"/>
              </w:rPr>
              <w:t>590</w:t>
            </w:r>
          </w:p>
        </w:tc>
      </w:tr>
      <w:tr>
        <w:trPr>
          <w:trHeight w:val="360" w:hRule="atLeast"/>
        </w:trPr>
        <w:tc>
          <w:tcPr>
            <w:tcW w:w="2467" w:type="dxa"/>
            <w:shd w:val="clear" w:color="auto" w:fill="F9FCF9"/>
          </w:tcPr>
          <w:p>
            <w:pPr>
              <w:pStyle w:val="TableParagraph"/>
              <w:spacing w:before="12"/>
              <w:ind w:left="20"/>
              <w:jc w:val="left"/>
              <w:rPr>
                <w:sz w:val="14"/>
              </w:rPr>
            </w:pPr>
            <w:r>
              <w:rPr>
                <w:sz w:val="14"/>
              </w:rPr>
              <w:t>Auxilary boiler/fuel used? (type, LHV</w:t>
            </w:r>
          </w:p>
          <w:p>
            <w:pPr>
              <w:pStyle w:val="TableParagraph"/>
              <w:spacing w:line="148" w:lineRule="exact" w:before="19"/>
              <w:ind w:left="20"/>
              <w:jc w:val="left"/>
              <w:rPr>
                <w:sz w:val="14"/>
              </w:rPr>
            </w:pPr>
            <w:r>
              <w:rPr>
                <w:sz w:val="14"/>
              </w:rPr>
              <w:t>cost)</w:t>
            </w:r>
          </w:p>
        </w:tc>
        <w:tc>
          <w:tcPr>
            <w:tcW w:w="855" w:type="dxa"/>
            <w:shd w:val="clear" w:color="auto" w:fill="F9FCF9"/>
          </w:tcPr>
          <w:p>
            <w:pPr>
              <w:pStyle w:val="TableParagraph"/>
              <w:spacing w:line="134" w:lineRule="exact" w:before="35"/>
              <w:ind w:left="313" w:right="122" w:hanging="184"/>
              <w:jc w:val="left"/>
              <w:rPr>
                <w:sz w:val="8"/>
              </w:rPr>
            </w:pPr>
            <w:r>
              <w:rPr>
                <w:sz w:val="14"/>
              </w:rPr>
              <w:t>NG. $4.51 </w:t>
            </w:r>
            <w:r>
              <w:rPr>
                <w:position w:val="-4"/>
                <w:sz w:val="14"/>
              </w:rPr>
              <w:t>GJ</w:t>
            </w:r>
            <w:r>
              <w:rPr>
                <w:sz w:val="8"/>
              </w:rPr>
              <w:t>-1</w:t>
            </w:r>
          </w:p>
        </w:tc>
        <w:tc>
          <w:tcPr>
            <w:tcW w:w="725" w:type="dxa"/>
            <w:shd w:val="clear" w:color="auto" w:fill="F9FCF9"/>
          </w:tcPr>
          <w:p>
            <w:pPr>
              <w:pStyle w:val="TableParagraph"/>
              <w:spacing w:before="12"/>
              <w:ind w:left="45" w:right="41"/>
              <w:rPr>
                <w:sz w:val="14"/>
              </w:rPr>
            </w:pPr>
            <w:r>
              <w:rPr>
                <w:sz w:val="14"/>
              </w:rPr>
              <w:t>none</w:t>
            </w:r>
          </w:p>
        </w:tc>
        <w:tc>
          <w:tcPr>
            <w:tcW w:w="663" w:type="dxa"/>
            <w:shd w:val="clear" w:color="auto" w:fill="F9FCF9"/>
          </w:tcPr>
          <w:p>
            <w:pPr>
              <w:pStyle w:val="TableParagraph"/>
              <w:spacing w:before="12"/>
              <w:ind w:right="186"/>
              <w:jc w:val="right"/>
              <w:rPr>
                <w:sz w:val="14"/>
              </w:rPr>
            </w:pPr>
            <w:r>
              <w:rPr>
                <w:sz w:val="14"/>
              </w:rPr>
              <w:t>none</w:t>
            </w:r>
          </w:p>
        </w:tc>
        <w:tc>
          <w:tcPr>
            <w:tcW w:w="697" w:type="dxa"/>
            <w:shd w:val="clear" w:color="auto" w:fill="F9FCF9"/>
          </w:tcPr>
          <w:p>
            <w:pPr>
              <w:pStyle w:val="TableParagraph"/>
              <w:spacing w:before="12"/>
              <w:ind w:left="164" w:right="162"/>
              <w:rPr>
                <w:sz w:val="14"/>
              </w:rPr>
            </w:pPr>
            <w:r>
              <w:rPr>
                <w:sz w:val="14"/>
              </w:rPr>
              <w:t>none</w:t>
            </w:r>
          </w:p>
        </w:tc>
        <w:tc>
          <w:tcPr>
            <w:tcW w:w="551" w:type="dxa"/>
            <w:shd w:val="clear" w:color="auto" w:fill="F9FCF9"/>
          </w:tcPr>
          <w:p>
            <w:pPr>
              <w:pStyle w:val="TableParagraph"/>
              <w:spacing w:before="12"/>
              <w:ind w:left="134"/>
              <w:jc w:val="left"/>
              <w:rPr>
                <w:sz w:val="14"/>
              </w:rPr>
            </w:pPr>
            <w:r>
              <w:rPr>
                <w:sz w:val="14"/>
              </w:rPr>
              <w:t>none</w:t>
            </w:r>
          </w:p>
        </w:tc>
        <w:tc>
          <w:tcPr>
            <w:tcW w:w="906" w:type="dxa"/>
            <w:shd w:val="clear" w:color="auto" w:fill="F9FCF9"/>
          </w:tcPr>
          <w:p>
            <w:pPr>
              <w:pStyle w:val="TableParagraph"/>
              <w:spacing w:line="134" w:lineRule="exact" w:before="35"/>
              <w:ind w:left="336" w:right="151" w:hanging="184"/>
              <w:jc w:val="left"/>
              <w:rPr>
                <w:sz w:val="8"/>
              </w:rPr>
            </w:pPr>
            <w:r>
              <w:rPr>
                <w:sz w:val="14"/>
              </w:rPr>
              <w:t>NG. $2.59 </w:t>
            </w:r>
            <w:r>
              <w:rPr>
                <w:position w:val="-4"/>
                <w:sz w:val="14"/>
              </w:rPr>
              <w:t>GJ</w:t>
            </w:r>
            <w:r>
              <w:rPr>
                <w:sz w:val="8"/>
              </w:rPr>
              <w:t>-1</w:t>
            </w:r>
          </w:p>
        </w:tc>
        <w:tc>
          <w:tcPr>
            <w:tcW w:w="869" w:type="dxa"/>
            <w:shd w:val="clear" w:color="auto" w:fill="F9FCF9"/>
          </w:tcPr>
          <w:p>
            <w:pPr>
              <w:pStyle w:val="TableParagraph"/>
              <w:spacing w:line="134" w:lineRule="exact" w:before="35"/>
              <w:ind w:left="316" w:right="133" w:hanging="184"/>
              <w:jc w:val="left"/>
              <w:rPr>
                <w:sz w:val="8"/>
              </w:rPr>
            </w:pPr>
            <w:r>
              <w:rPr>
                <w:sz w:val="14"/>
              </w:rPr>
              <w:t>NG. $5.06 </w:t>
            </w:r>
            <w:r>
              <w:rPr>
                <w:position w:val="-4"/>
                <w:sz w:val="14"/>
              </w:rPr>
              <w:t>GJ</w:t>
            </w:r>
            <w:r>
              <w:rPr>
                <w:sz w:val="8"/>
              </w:rPr>
              <w:t>-1</w:t>
            </w:r>
          </w:p>
        </w:tc>
        <w:tc>
          <w:tcPr>
            <w:tcW w:w="751" w:type="dxa"/>
            <w:shd w:val="clear" w:color="auto" w:fill="F9FCF9"/>
          </w:tcPr>
          <w:p>
            <w:pPr>
              <w:pStyle w:val="TableParagraph"/>
              <w:spacing w:before="12"/>
              <w:ind w:left="63" w:right="64"/>
              <w:rPr>
                <w:sz w:val="14"/>
              </w:rPr>
            </w:pPr>
            <w:r>
              <w:rPr>
                <w:sz w:val="14"/>
              </w:rPr>
              <w:t>NG.</w:t>
            </w:r>
          </w:p>
          <w:p>
            <w:pPr>
              <w:pStyle w:val="TableParagraph"/>
              <w:spacing w:line="148" w:lineRule="exact" w:before="19"/>
              <w:ind w:left="63" w:right="64"/>
              <w:rPr>
                <w:sz w:val="8"/>
              </w:rPr>
            </w:pPr>
            <w:r>
              <w:rPr>
                <w:sz w:val="14"/>
              </w:rPr>
              <w:t>$3.79 GJ</w:t>
            </w:r>
            <w:r>
              <w:rPr>
                <w:position w:val="5"/>
                <w:sz w:val="8"/>
              </w:rPr>
              <w:t>-1</w:t>
            </w:r>
          </w:p>
        </w:tc>
        <w:tc>
          <w:tcPr>
            <w:tcW w:w="617" w:type="dxa"/>
            <w:shd w:val="clear" w:color="auto" w:fill="F9FCF9"/>
          </w:tcPr>
          <w:p>
            <w:pPr>
              <w:pStyle w:val="TableParagraph"/>
              <w:spacing w:before="12"/>
              <w:ind w:left="49" w:right="50"/>
              <w:rPr>
                <w:sz w:val="14"/>
              </w:rPr>
            </w:pPr>
            <w:r>
              <w:rPr>
                <w:sz w:val="14"/>
              </w:rPr>
              <w:t>none</w:t>
            </w:r>
          </w:p>
        </w:tc>
        <w:tc>
          <w:tcPr>
            <w:tcW w:w="429" w:type="dxa"/>
            <w:shd w:val="clear" w:color="auto" w:fill="F9FCF9"/>
          </w:tcPr>
          <w:p>
            <w:pPr>
              <w:pStyle w:val="TableParagraph"/>
              <w:jc w:val="left"/>
              <w:rPr>
                <w:sz w:val="14"/>
              </w:rPr>
            </w:pPr>
          </w:p>
        </w:tc>
        <w:tc>
          <w:tcPr>
            <w:tcW w:w="382" w:type="dxa"/>
            <w:shd w:val="clear" w:color="auto" w:fill="F9FCF9"/>
          </w:tcPr>
          <w:p>
            <w:pPr>
              <w:pStyle w:val="TableParagraph"/>
              <w:jc w:val="left"/>
              <w:rPr>
                <w:sz w:val="14"/>
              </w:rPr>
            </w:pPr>
          </w:p>
        </w:tc>
        <w:tc>
          <w:tcPr>
            <w:tcW w:w="85" w:type="dxa"/>
            <w:shd w:val="clear" w:color="auto" w:fill="F9FCF9"/>
          </w:tcPr>
          <w:p>
            <w:pPr>
              <w:pStyle w:val="TableParagraph"/>
              <w:jc w:val="left"/>
              <w:rPr>
                <w:sz w:val="14"/>
              </w:rPr>
            </w:pPr>
          </w:p>
        </w:tc>
        <w:tc>
          <w:tcPr>
            <w:tcW w:w="904" w:type="dxa"/>
            <w:shd w:val="clear" w:color="auto" w:fill="F9FCF9"/>
          </w:tcPr>
          <w:p>
            <w:pPr>
              <w:pStyle w:val="TableParagraph"/>
              <w:spacing w:before="12"/>
              <w:ind w:left="85" w:right="87"/>
              <w:rPr>
                <w:sz w:val="14"/>
              </w:rPr>
            </w:pPr>
            <w:r>
              <w:rPr>
                <w:sz w:val="14"/>
              </w:rPr>
              <w:t>none</w:t>
            </w:r>
          </w:p>
        </w:tc>
        <w:tc>
          <w:tcPr>
            <w:tcW w:w="949" w:type="dxa"/>
            <w:shd w:val="clear" w:color="auto" w:fill="F9FCF9"/>
          </w:tcPr>
          <w:p>
            <w:pPr>
              <w:pStyle w:val="TableParagraph"/>
              <w:spacing w:before="12"/>
              <w:ind w:left="108" w:right="110"/>
              <w:rPr>
                <w:sz w:val="14"/>
              </w:rPr>
            </w:pPr>
            <w:r>
              <w:rPr>
                <w:sz w:val="14"/>
              </w:rPr>
              <w:t>none</w:t>
            </w:r>
          </w:p>
        </w:tc>
        <w:tc>
          <w:tcPr>
            <w:tcW w:w="1738" w:type="dxa"/>
            <w:shd w:val="clear" w:color="auto" w:fill="F9FCF9"/>
          </w:tcPr>
          <w:p>
            <w:pPr>
              <w:pStyle w:val="TableParagraph"/>
              <w:spacing w:before="12"/>
              <w:ind w:left="90" w:right="93"/>
              <w:rPr>
                <w:sz w:val="14"/>
              </w:rPr>
            </w:pPr>
            <w:r>
              <w:rPr>
                <w:sz w:val="14"/>
              </w:rPr>
              <w:t>none</w:t>
            </w: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Net plant efficiency, LHV (%)</w:t>
            </w:r>
          </w:p>
        </w:tc>
        <w:tc>
          <w:tcPr>
            <w:tcW w:w="855" w:type="dxa"/>
            <w:shd w:val="clear" w:color="auto" w:fill="F9FCF9"/>
          </w:tcPr>
          <w:p>
            <w:pPr>
              <w:pStyle w:val="TableParagraph"/>
              <w:spacing w:line="148" w:lineRule="exact" w:before="12"/>
              <w:ind w:left="29" w:right="24"/>
              <w:rPr>
                <w:sz w:val="14"/>
              </w:rPr>
            </w:pPr>
            <w:r>
              <w:rPr>
                <w:sz w:val="14"/>
              </w:rPr>
              <w:t>25.3</w:t>
            </w:r>
          </w:p>
        </w:tc>
        <w:tc>
          <w:tcPr>
            <w:tcW w:w="725" w:type="dxa"/>
            <w:shd w:val="clear" w:color="auto" w:fill="F9FCF9"/>
          </w:tcPr>
          <w:p>
            <w:pPr>
              <w:pStyle w:val="TableParagraph"/>
              <w:spacing w:line="148" w:lineRule="exact" w:before="12"/>
              <w:ind w:left="45" w:right="41"/>
              <w:rPr>
                <w:sz w:val="14"/>
              </w:rPr>
            </w:pPr>
            <w:r>
              <w:rPr>
                <w:sz w:val="14"/>
              </w:rPr>
              <w:t>21.3</w:t>
            </w:r>
          </w:p>
        </w:tc>
        <w:tc>
          <w:tcPr>
            <w:tcW w:w="663" w:type="dxa"/>
            <w:shd w:val="clear" w:color="auto" w:fill="F9FCF9"/>
          </w:tcPr>
          <w:p>
            <w:pPr>
              <w:pStyle w:val="TableParagraph"/>
              <w:spacing w:line="148" w:lineRule="exact" w:before="12"/>
              <w:ind w:right="200"/>
              <w:jc w:val="right"/>
              <w:rPr>
                <w:sz w:val="14"/>
              </w:rPr>
            </w:pPr>
            <w:r>
              <w:rPr>
                <w:sz w:val="14"/>
              </w:rPr>
              <w:t>21.4</w:t>
            </w:r>
          </w:p>
        </w:tc>
        <w:tc>
          <w:tcPr>
            <w:tcW w:w="697" w:type="dxa"/>
            <w:shd w:val="clear" w:color="auto" w:fill="F9FCF9"/>
          </w:tcPr>
          <w:p>
            <w:pPr>
              <w:pStyle w:val="TableParagraph"/>
              <w:spacing w:line="148" w:lineRule="exact" w:before="12"/>
              <w:ind w:left="164" w:right="162"/>
              <w:rPr>
                <w:sz w:val="14"/>
              </w:rPr>
            </w:pPr>
            <w:r>
              <w:rPr>
                <w:sz w:val="14"/>
              </w:rPr>
              <w:t>21.4</w:t>
            </w:r>
          </w:p>
        </w:tc>
        <w:tc>
          <w:tcPr>
            <w:tcW w:w="551" w:type="dxa"/>
            <w:shd w:val="clear" w:color="auto" w:fill="F9FCF9"/>
          </w:tcPr>
          <w:p>
            <w:pPr>
              <w:pStyle w:val="TableParagraph"/>
              <w:spacing w:line="148" w:lineRule="exact" w:before="12"/>
              <w:ind w:left="148"/>
              <w:jc w:val="left"/>
              <w:rPr>
                <w:sz w:val="14"/>
              </w:rPr>
            </w:pPr>
            <w:r>
              <w:rPr>
                <w:sz w:val="14"/>
              </w:rPr>
              <w:t>18.7</w:t>
            </w:r>
          </w:p>
        </w:tc>
        <w:tc>
          <w:tcPr>
            <w:tcW w:w="906" w:type="dxa"/>
            <w:shd w:val="clear" w:color="auto" w:fill="F9FCF9"/>
          </w:tcPr>
          <w:p>
            <w:pPr>
              <w:pStyle w:val="TableParagraph"/>
              <w:jc w:val="left"/>
              <w:rPr>
                <w:sz w:val="12"/>
              </w:rPr>
            </w:pPr>
          </w:p>
        </w:tc>
        <w:tc>
          <w:tcPr>
            <w:tcW w:w="869" w:type="dxa"/>
            <w:shd w:val="clear" w:color="auto" w:fill="F9FCF9"/>
          </w:tcPr>
          <w:p>
            <w:pPr>
              <w:pStyle w:val="TableParagraph"/>
              <w:jc w:val="left"/>
              <w:rPr>
                <w:sz w:val="12"/>
              </w:rPr>
            </w:pPr>
          </w:p>
        </w:tc>
        <w:tc>
          <w:tcPr>
            <w:tcW w:w="751" w:type="dxa"/>
            <w:shd w:val="clear" w:color="auto" w:fill="F9FCF9"/>
          </w:tcPr>
          <w:p>
            <w:pPr>
              <w:pStyle w:val="TableParagraph"/>
              <w:jc w:val="left"/>
              <w:rPr>
                <w:sz w:val="12"/>
              </w:rPr>
            </w:pPr>
          </w:p>
        </w:tc>
        <w:tc>
          <w:tcPr>
            <w:tcW w:w="617" w:type="dxa"/>
            <w:shd w:val="clear" w:color="auto" w:fill="F9FCF9"/>
          </w:tcPr>
          <w:p>
            <w:pPr>
              <w:pStyle w:val="TableParagraph"/>
              <w:spacing w:line="148" w:lineRule="exact" w:before="12"/>
              <w:ind w:left="49" w:right="50"/>
              <w:rPr>
                <w:sz w:val="14"/>
              </w:rPr>
            </w:pPr>
            <w:r>
              <w:rPr>
                <w:sz w:val="14"/>
              </w:rPr>
              <w:t>24.0</w:t>
            </w:r>
          </w:p>
        </w:tc>
        <w:tc>
          <w:tcPr>
            <w:tcW w:w="429" w:type="dxa"/>
            <w:shd w:val="clear" w:color="auto" w:fill="F9FCF9"/>
          </w:tcPr>
          <w:p>
            <w:pPr>
              <w:pStyle w:val="TableParagraph"/>
              <w:spacing w:line="148" w:lineRule="exact" w:before="12"/>
              <w:ind w:left="66" w:right="67"/>
              <w:rPr>
                <w:b/>
                <w:sz w:val="14"/>
              </w:rPr>
            </w:pPr>
            <w:r>
              <w:rPr>
                <w:b/>
                <w:sz w:val="14"/>
              </w:rPr>
              <w:t>19</w:t>
            </w:r>
          </w:p>
        </w:tc>
        <w:tc>
          <w:tcPr>
            <w:tcW w:w="382" w:type="dxa"/>
            <w:shd w:val="clear" w:color="auto" w:fill="F9FCF9"/>
          </w:tcPr>
          <w:p>
            <w:pPr>
              <w:pStyle w:val="TableParagraph"/>
              <w:spacing w:line="148" w:lineRule="exact" w:before="12"/>
              <w:ind w:left="25" w:right="26"/>
              <w:rPr>
                <w:b/>
                <w:sz w:val="14"/>
              </w:rPr>
            </w:pPr>
            <w:r>
              <w:rPr>
                <w:b/>
                <w:sz w:val="14"/>
              </w:rPr>
              <w:t>25</w:t>
            </w:r>
          </w:p>
        </w:tc>
        <w:tc>
          <w:tcPr>
            <w:tcW w:w="85" w:type="dxa"/>
            <w:shd w:val="clear" w:color="auto" w:fill="F9FCF9"/>
          </w:tcPr>
          <w:p>
            <w:pPr>
              <w:pStyle w:val="TableParagraph"/>
              <w:jc w:val="left"/>
              <w:rPr>
                <w:sz w:val="12"/>
              </w:rPr>
            </w:pPr>
          </w:p>
        </w:tc>
        <w:tc>
          <w:tcPr>
            <w:tcW w:w="904" w:type="dxa"/>
            <w:shd w:val="clear" w:color="auto" w:fill="F9FCF9"/>
          </w:tcPr>
          <w:p>
            <w:pPr>
              <w:pStyle w:val="TableParagraph"/>
              <w:spacing w:line="148" w:lineRule="exact" w:before="12"/>
              <w:ind w:left="85" w:right="87"/>
              <w:rPr>
                <w:sz w:val="14"/>
              </w:rPr>
            </w:pPr>
            <w:r>
              <w:rPr>
                <w:sz w:val="14"/>
              </w:rPr>
              <w:t>31.5</w:t>
            </w:r>
          </w:p>
        </w:tc>
        <w:tc>
          <w:tcPr>
            <w:tcW w:w="949" w:type="dxa"/>
            <w:shd w:val="clear" w:color="auto" w:fill="F9FCF9"/>
          </w:tcPr>
          <w:p>
            <w:pPr>
              <w:pStyle w:val="TableParagraph"/>
              <w:spacing w:line="148" w:lineRule="exact" w:before="12"/>
              <w:ind w:left="108" w:right="110"/>
              <w:rPr>
                <w:sz w:val="14"/>
              </w:rPr>
            </w:pPr>
            <w:r>
              <w:rPr>
                <w:sz w:val="14"/>
              </w:rPr>
              <w:t>34.5</w:t>
            </w:r>
          </w:p>
        </w:tc>
        <w:tc>
          <w:tcPr>
            <w:tcW w:w="1738" w:type="dxa"/>
            <w:shd w:val="clear" w:color="auto" w:fill="F9FCF9"/>
          </w:tcPr>
          <w:p>
            <w:pPr>
              <w:pStyle w:val="TableParagraph"/>
              <w:spacing w:line="148" w:lineRule="exact" w:before="12"/>
              <w:ind w:left="90" w:right="93"/>
              <w:rPr>
                <w:sz w:val="14"/>
              </w:rPr>
            </w:pPr>
            <w:r>
              <w:rPr>
                <w:sz w:val="14"/>
              </w:rPr>
              <w:t>32.6</w:t>
            </w: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CO</w:t>
            </w:r>
            <w:r>
              <w:rPr>
                <w:position w:val="-4"/>
                <w:sz w:val="8"/>
              </w:rPr>
              <w:t>2 </w:t>
            </w:r>
            <w:r>
              <w:rPr>
                <w:sz w:val="14"/>
              </w:rPr>
              <w:t>capture system efficiency (%)</w:t>
            </w:r>
          </w:p>
        </w:tc>
        <w:tc>
          <w:tcPr>
            <w:tcW w:w="855" w:type="dxa"/>
            <w:shd w:val="clear" w:color="auto" w:fill="F9FCF9"/>
          </w:tcPr>
          <w:p>
            <w:pPr>
              <w:pStyle w:val="TableParagraph"/>
              <w:spacing w:line="148" w:lineRule="exact" w:before="12"/>
              <w:ind w:left="29" w:right="24"/>
              <w:rPr>
                <w:sz w:val="14"/>
              </w:rPr>
            </w:pPr>
            <w:r>
              <w:rPr>
                <w:sz w:val="14"/>
              </w:rPr>
              <w:t>90</w:t>
            </w:r>
          </w:p>
        </w:tc>
        <w:tc>
          <w:tcPr>
            <w:tcW w:w="725" w:type="dxa"/>
            <w:shd w:val="clear" w:color="auto" w:fill="F9FCF9"/>
          </w:tcPr>
          <w:p>
            <w:pPr>
              <w:pStyle w:val="TableParagraph"/>
              <w:spacing w:line="148" w:lineRule="exact" w:before="12"/>
              <w:ind w:left="45" w:right="41"/>
              <w:rPr>
                <w:sz w:val="14"/>
              </w:rPr>
            </w:pPr>
            <w:r>
              <w:rPr>
                <w:sz w:val="14"/>
              </w:rPr>
              <w:t>96</w:t>
            </w:r>
          </w:p>
        </w:tc>
        <w:tc>
          <w:tcPr>
            <w:tcW w:w="663" w:type="dxa"/>
            <w:shd w:val="clear" w:color="auto" w:fill="F9FCF9"/>
          </w:tcPr>
          <w:p>
            <w:pPr>
              <w:pStyle w:val="TableParagraph"/>
              <w:spacing w:line="148" w:lineRule="exact" w:before="12"/>
              <w:ind w:right="252"/>
              <w:jc w:val="right"/>
              <w:rPr>
                <w:sz w:val="14"/>
              </w:rPr>
            </w:pPr>
            <w:r>
              <w:rPr>
                <w:sz w:val="14"/>
              </w:rPr>
              <w:t>90</w:t>
            </w:r>
          </w:p>
        </w:tc>
        <w:tc>
          <w:tcPr>
            <w:tcW w:w="697" w:type="dxa"/>
            <w:shd w:val="clear" w:color="auto" w:fill="F9FCF9"/>
          </w:tcPr>
          <w:p>
            <w:pPr>
              <w:pStyle w:val="TableParagraph"/>
              <w:spacing w:line="148" w:lineRule="exact" w:before="12"/>
              <w:ind w:left="164" w:right="162"/>
              <w:rPr>
                <w:sz w:val="14"/>
              </w:rPr>
            </w:pPr>
            <w:r>
              <w:rPr>
                <w:sz w:val="14"/>
              </w:rPr>
              <w:t>90</w:t>
            </w:r>
          </w:p>
        </w:tc>
        <w:tc>
          <w:tcPr>
            <w:tcW w:w="551" w:type="dxa"/>
            <w:shd w:val="clear" w:color="auto" w:fill="F9FCF9"/>
          </w:tcPr>
          <w:p>
            <w:pPr>
              <w:pStyle w:val="TableParagraph"/>
              <w:spacing w:line="148" w:lineRule="exact" w:before="12"/>
              <w:ind w:left="181" w:right="180"/>
              <w:rPr>
                <w:sz w:val="14"/>
              </w:rPr>
            </w:pPr>
            <w:r>
              <w:rPr>
                <w:sz w:val="14"/>
              </w:rPr>
              <w:t>90</w:t>
            </w:r>
          </w:p>
        </w:tc>
        <w:tc>
          <w:tcPr>
            <w:tcW w:w="906" w:type="dxa"/>
            <w:shd w:val="clear" w:color="auto" w:fill="F9FCF9"/>
          </w:tcPr>
          <w:p>
            <w:pPr>
              <w:pStyle w:val="TableParagraph"/>
              <w:spacing w:line="148" w:lineRule="exact" w:before="12"/>
              <w:ind w:left="32" w:right="32"/>
              <w:rPr>
                <w:sz w:val="14"/>
              </w:rPr>
            </w:pPr>
            <w:r>
              <w:rPr>
                <w:sz w:val="14"/>
              </w:rPr>
              <w:t>90</w:t>
            </w:r>
          </w:p>
        </w:tc>
        <w:tc>
          <w:tcPr>
            <w:tcW w:w="869" w:type="dxa"/>
            <w:shd w:val="clear" w:color="auto" w:fill="F9FCF9"/>
          </w:tcPr>
          <w:p>
            <w:pPr>
              <w:pStyle w:val="TableParagraph"/>
              <w:spacing w:line="148" w:lineRule="exact" w:before="12"/>
              <w:ind w:left="25" w:right="26"/>
              <w:rPr>
                <w:sz w:val="14"/>
              </w:rPr>
            </w:pPr>
            <w:r>
              <w:rPr>
                <w:sz w:val="14"/>
              </w:rPr>
              <w:t>90</w:t>
            </w:r>
          </w:p>
        </w:tc>
        <w:tc>
          <w:tcPr>
            <w:tcW w:w="751" w:type="dxa"/>
            <w:shd w:val="clear" w:color="auto" w:fill="F9FCF9"/>
          </w:tcPr>
          <w:p>
            <w:pPr>
              <w:pStyle w:val="TableParagraph"/>
              <w:spacing w:line="148" w:lineRule="exact" w:before="12"/>
              <w:ind w:left="63" w:right="64"/>
              <w:rPr>
                <w:sz w:val="14"/>
              </w:rPr>
            </w:pPr>
            <w:r>
              <w:rPr>
                <w:sz w:val="14"/>
              </w:rPr>
              <w:t>90</w:t>
            </w:r>
          </w:p>
        </w:tc>
        <w:tc>
          <w:tcPr>
            <w:tcW w:w="617" w:type="dxa"/>
            <w:shd w:val="clear" w:color="auto" w:fill="F9FCF9"/>
          </w:tcPr>
          <w:p>
            <w:pPr>
              <w:pStyle w:val="TableParagraph"/>
              <w:jc w:val="left"/>
              <w:rPr>
                <w:sz w:val="12"/>
              </w:rPr>
            </w:pPr>
          </w:p>
        </w:tc>
        <w:tc>
          <w:tcPr>
            <w:tcW w:w="429" w:type="dxa"/>
            <w:shd w:val="clear" w:color="auto" w:fill="F9FCF9"/>
          </w:tcPr>
          <w:p>
            <w:pPr>
              <w:pStyle w:val="TableParagraph"/>
              <w:spacing w:line="148" w:lineRule="exact" w:before="12"/>
              <w:ind w:left="66" w:right="67"/>
              <w:rPr>
                <w:b/>
                <w:sz w:val="14"/>
              </w:rPr>
            </w:pPr>
            <w:r>
              <w:rPr>
                <w:b/>
                <w:sz w:val="14"/>
              </w:rPr>
              <w:t>90</w:t>
            </w:r>
          </w:p>
        </w:tc>
        <w:tc>
          <w:tcPr>
            <w:tcW w:w="382" w:type="dxa"/>
            <w:shd w:val="clear" w:color="auto" w:fill="F9FCF9"/>
          </w:tcPr>
          <w:p>
            <w:pPr>
              <w:pStyle w:val="TableParagraph"/>
              <w:spacing w:line="148" w:lineRule="exact" w:before="12"/>
              <w:ind w:left="25" w:right="26"/>
              <w:rPr>
                <w:b/>
                <w:sz w:val="14"/>
              </w:rPr>
            </w:pPr>
            <w:r>
              <w:rPr>
                <w:b/>
                <w:sz w:val="14"/>
              </w:rPr>
              <w:t>96</w:t>
            </w:r>
          </w:p>
        </w:tc>
        <w:tc>
          <w:tcPr>
            <w:tcW w:w="85" w:type="dxa"/>
            <w:shd w:val="clear" w:color="auto" w:fill="F9FCF9"/>
          </w:tcPr>
          <w:p>
            <w:pPr>
              <w:pStyle w:val="TableParagraph"/>
              <w:jc w:val="left"/>
              <w:rPr>
                <w:sz w:val="12"/>
              </w:rPr>
            </w:pPr>
          </w:p>
        </w:tc>
        <w:tc>
          <w:tcPr>
            <w:tcW w:w="904" w:type="dxa"/>
            <w:shd w:val="clear" w:color="auto" w:fill="F9FCF9"/>
          </w:tcPr>
          <w:p>
            <w:pPr>
              <w:pStyle w:val="TableParagraph"/>
              <w:jc w:val="left"/>
              <w:rPr>
                <w:sz w:val="12"/>
              </w:rPr>
            </w:pPr>
          </w:p>
        </w:tc>
        <w:tc>
          <w:tcPr>
            <w:tcW w:w="949" w:type="dxa"/>
            <w:shd w:val="clear" w:color="auto" w:fill="F9FCF9"/>
          </w:tcPr>
          <w:p>
            <w:pPr>
              <w:pStyle w:val="TableParagraph"/>
              <w:jc w:val="left"/>
              <w:rPr>
                <w:sz w:val="12"/>
              </w:rPr>
            </w:pPr>
          </w:p>
        </w:tc>
        <w:tc>
          <w:tcPr>
            <w:tcW w:w="1738" w:type="dxa"/>
            <w:shd w:val="clear" w:color="auto" w:fill="F9FCF9"/>
          </w:tcPr>
          <w:p>
            <w:pPr>
              <w:pStyle w:val="TableParagraph"/>
              <w:spacing w:line="148" w:lineRule="exact" w:before="12"/>
              <w:ind w:left="90" w:right="93"/>
              <w:rPr>
                <w:sz w:val="14"/>
              </w:rPr>
            </w:pPr>
            <w:r>
              <w:rPr>
                <w:sz w:val="14"/>
              </w:rPr>
              <w:t>90</w:t>
            </w:r>
          </w:p>
        </w:tc>
      </w:tr>
      <w:tr>
        <w:trPr>
          <w:trHeight w:val="180" w:hRule="atLeast"/>
        </w:trPr>
        <w:tc>
          <w:tcPr>
            <w:tcW w:w="2467" w:type="dxa"/>
            <w:shd w:val="clear" w:color="auto" w:fill="F9FCF9"/>
          </w:tcPr>
          <w:p>
            <w:pPr>
              <w:pStyle w:val="TableParagraph"/>
              <w:spacing w:line="41" w:lineRule="exact" w:before="21"/>
              <w:ind w:right="112"/>
              <w:jc w:val="right"/>
              <w:rPr>
                <w:sz w:val="8"/>
              </w:rPr>
            </w:pPr>
            <w:r>
              <w:rPr>
                <w:sz w:val="8"/>
              </w:rPr>
              <w:t>-1</w:t>
            </w:r>
          </w:p>
          <w:p>
            <w:pPr>
              <w:pStyle w:val="TableParagraph"/>
              <w:spacing w:line="62" w:lineRule="auto" w:before="19"/>
              <w:ind w:left="20"/>
              <w:jc w:val="left"/>
              <w:rPr>
                <w:sz w:val="14"/>
              </w:rPr>
            </w:pPr>
            <w:r>
              <w:rPr>
                <w:sz w:val="14"/>
              </w:rPr>
              <w:t>CO</w:t>
            </w:r>
            <w:r>
              <w:rPr>
                <w:position w:val="-4"/>
                <w:sz w:val="8"/>
              </w:rPr>
              <w:t>2  </w:t>
            </w:r>
            <w:r>
              <w:rPr>
                <w:sz w:val="14"/>
              </w:rPr>
              <w:t>emission rate after capture (t MWh </w:t>
            </w:r>
            <w:r>
              <w:rPr>
                <w:spacing w:val="8"/>
                <w:sz w:val="14"/>
              </w:rPr>
              <w:t> </w:t>
            </w:r>
            <w:r>
              <w:rPr>
                <w:sz w:val="14"/>
              </w:rPr>
              <w:t>)</w:t>
            </w:r>
          </w:p>
        </w:tc>
        <w:tc>
          <w:tcPr>
            <w:tcW w:w="855" w:type="dxa"/>
            <w:shd w:val="clear" w:color="auto" w:fill="F9FCF9"/>
          </w:tcPr>
          <w:p>
            <w:pPr>
              <w:pStyle w:val="TableParagraph"/>
              <w:spacing w:line="148" w:lineRule="exact" w:before="12"/>
              <w:ind w:left="29" w:right="24"/>
              <w:rPr>
                <w:sz w:val="14"/>
              </w:rPr>
            </w:pPr>
            <w:r>
              <w:rPr>
                <w:sz w:val="14"/>
              </w:rPr>
              <w:t>0.113</w:t>
            </w:r>
          </w:p>
        </w:tc>
        <w:tc>
          <w:tcPr>
            <w:tcW w:w="725" w:type="dxa"/>
            <w:shd w:val="clear" w:color="auto" w:fill="F9FCF9"/>
          </w:tcPr>
          <w:p>
            <w:pPr>
              <w:pStyle w:val="TableParagraph"/>
              <w:spacing w:line="148" w:lineRule="exact" w:before="12"/>
              <w:ind w:left="45" w:right="41"/>
              <w:rPr>
                <w:sz w:val="14"/>
              </w:rPr>
            </w:pPr>
            <w:r>
              <w:rPr>
                <w:sz w:val="14"/>
              </w:rPr>
              <w:t>0.059</w:t>
            </w:r>
          </w:p>
        </w:tc>
        <w:tc>
          <w:tcPr>
            <w:tcW w:w="663" w:type="dxa"/>
            <w:shd w:val="clear" w:color="auto" w:fill="F9FCF9"/>
          </w:tcPr>
          <w:p>
            <w:pPr>
              <w:pStyle w:val="TableParagraph"/>
              <w:spacing w:line="148" w:lineRule="exact" w:before="12"/>
              <w:ind w:right="165"/>
              <w:jc w:val="right"/>
              <w:rPr>
                <w:sz w:val="14"/>
              </w:rPr>
            </w:pPr>
            <w:r>
              <w:rPr>
                <w:sz w:val="14"/>
              </w:rPr>
              <w:t>0.155</w:t>
            </w:r>
          </w:p>
        </w:tc>
        <w:tc>
          <w:tcPr>
            <w:tcW w:w="697" w:type="dxa"/>
            <w:shd w:val="clear" w:color="auto" w:fill="F9FCF9"/>
          </w:tcPr>
          <w:p>
            <w:pPr>
              <w:pStyle w:val="TableParagraph"/>
              <w:spacing w:line="148" w:lineRule="exact" w:before="12"/>
              <w:ind w:left="164" w:right="162"/>
              <w:rPr>
                <w:sz w:val="14"/>
              </w:rPr>
            </w:pPr>
            <w:r>
              <w:rPr>
                <w:sz w:val="14"/>
              </w:rPr>
              <w:t>0.16</w:t>
            </w:r>
          </w:p>
        </w:tc>
        <w:tc>
          <w:tcPr>
            <w:tcW w:w="551" w:type="dxa"/>
            <w:shd w:val="clear" w:color="auto" w:fill="F9FCF9"/>
          </w:tcPr>
          <w:p>
            <w:pPr>
              <w:pStyle w:val="TableParagraph"/>
              <w:spacing w:line="148" w:lineRule="exact" w:before="12"/>
              <w:ind w:left="113"/>
              <w:jc w:val="left"/>
              <w:rPr>
                <w:sz w:val="14"/>
              </w:rPr>
            </w:pPr>
            <w:r>
              <w:rPr>
                <w:sz w:val="14"/>
              </w:rPr>
              <w:t>0.177</w:t>
            </w:r>
          </w:p>
        </w:tc>
        <w:tc>
          <w:tcPr>
            <w:tcW w:w="906" w:type="dxa"/>
            <w:shd w:val="clear" w:color="auto" w:fill="F9FCF9"/>
          </w:tcPr>
          <w:p>
            <w:pPr>
              <w:pStyle w:val="TableParagraph"/>
              <w:spacing w:line="148" w:lineRule="exact" w:before="12"/>
              <w:ind w:left="32" w:right="32"/>
              <w:rPr>
                <w:sz w:val="14"/>
              </w:rPr>
            </w:pPr>
            <w:r>
              <w:rPr>
                <w:sz w:val="14"/>
              </w:rPr>
              <w:t>0.369</w:t>
            </w:r>
          </w:p>
        </w:tc>
        <w:tc>
          <w:tcPr>
            <w:tcW w:w="869" w:type="dxa"/>
            <w:shd w:val="clear" w:color="auto" w:fill="F9FCF9"/>
          </w:tcPr>
          <w:p>
            <w:pPr>
              <w:pStyle w:val="TableParagraph"/>
              <w:spacing w:line="148" w:lineRule="exact" w:before="12"/>
              <w:ind w:left="25" w:right="26"/>
              <w:rPr>
                <w:sz w:val="14"/>
              </w:rPr>
            </w:pPr>
            <w:r>
              <w:rPr>
                <w:sz w:val="14"/>
              </w:rPr>
              <w:t>0.369</w:t>
            </w:r>
          </w:p>
        </w:tc>
        <w:tc>
          <w:tcPr>
            <w:tcW w:w="751" w:type="dxa"/>
            <w:shd w:val="clear" w:color="auto" w:fill="F9FCF9"/>
          </w:tcPr>
          <w:p>
            <w:pPr>
              <w:pStyle w:val="TableParagraph"/>
              <w:spacing w:line="148" w:lineRule="exact" w:before="12"/>
              <w:ind w:right="212"/>
              <w:jc w:val="right"/>
              <w:rPr>
                <w:sz w:val="14"/>
              </w:rPr>
            </w:pPr>
            <w:r>
              <w:rPr>
                <w:sz w:val="14"/>
              </w:rPr>
              <w:t>0.324</w:t>
            </w:r>
          </w:p>
        </w:tc>
        <w:tc>
          <w:tcPr>
            <w:tcW w:w="617" w:type="dxa"/>
            <w:shd w:val="clear" w:color="auto" w:fill="F9FCF9"/>
          </w:tcPr>
          <w:p>
            <w:pPr>
              <w:pStyle w:val="TableParagraph"/>
              <w:jc w:val="left"/>
              <w:rPr>
                <w:sz w:val="12"/>
              </w:rPr>
            </w:pPr>
          </w:p>
        </w:tc>
        <w:tc>
          <w:tcPr>
            <w:tcW w:w="429" w:type="dxa"/>
            <w:shd w:val="clear" w:color="auto" w:fill="F9FCF9"/>
          </w:tcPr>
          <w:p>
            <w:pPr>
              <w:pStyle w:val="TableParagraph"/>
              <w:spacing w:line="148" w:lineRule="exact" w:before="12"/>
              <w:ind w:left="66" w:right="67"/>
              <w:rPr>
                <w:b/>
                <w:sz w:val="14"/>
              </w:rPr>
            </w:pPr>
            <w:r>
              <w:rPr>
                <w:b/>
                <w:sz w:val="14"/>
              </w:rPr>
              <w:t>0.06</w:t>
            </w:r>
          </w:p>
        </w:tc>
        <w:tc>
          <w:tcPr>
            <w:tcW w:w="382" w:type="dxa"/>
            <w:shd w:val="clear" w:color="auto" w:fill="F9FCF9"/>
          </w:tcPr>
          <w:p>
            <w:pPr>
              <w:pStyle w:val="TableParagraph"/>
              <w:spacing w:line="148" w:lineRule="exact" w:before="12"/>
              <w:ind w:left="25" w:right="26"/>
              <w:rPr>
                <w:b/>
                <w:sz w:val="14"/>
              </w:rPr>
            </w:pPr>
            <w:r>
              <w:rPr>
                <w:b/>
                <w:sz w:val="14"/>
              </w:rPr>
              <w:t>0.37</w:t>
            </w:r>
          </w:p>
        </w:tc>
        <w:tc>
          <w:tcPr>
            <w:tcW w:w="85" w:type="dxa"/>
            <w:shd w:val="clear" w:color="auto" w:fill="F9FCF9"/>
          </w:tcPr>
          <w:p>
            <w:pPr>
              <w:pStyle w:val="TableParagraph"/>
              <w:jc w:val="left"/>
              <w:rPr>
                <w:sz w:val="12"/>
              </w:rPr>
            </w:pPr>
          </w:p>
        </w:tc>
        <w:tc>
          <w:tcPr>
            <w:tcW w:w="904" w:type="dxa"/>
            <w:shd w:val="clear" w:color="auto" w:fill="F9FCF9"/>
          </w:tcPr>
          <w:p>
            <w:pPr>
              <w:pStyle w:val="TableParagraph"/>
              <w:jc w:val="left"/>
              <w:rPr>
                <w:sz w:val="12"/>
              </w:rPr>
            </w:pPr>
          </w:p>
        </w:tc>
        <w:tc>
          <w:tcPr>
            <w:tcW w:w="949" w:type="dxa"/>
            <w:shd w:val="clear" w:color="auto" w:fill="F9FCF9"/>
          </w:tcPr>
          <w:p>
            <w:pPr>
              <w:pStyle w:val="TableParagraph"/>
              <w:jc w:val="left"/>
              <w:rPr>
                <w:sz w:val="12"/>
              </w:rPr>
            </w:pPr>
          </w:p>
        </w:tc>
        <w:tc>
          <w:tcPr>
            <w:tcW w:w="1738" w:type="dxa"/>
            <w:shd w:val="clear" w:color="auto" w:fill="F9FCF9"/>
          </w:tcPr>
          <w:p>
            <w:pPr>
              <w:pStyle w:val="TableParagraph"/>
              <w:spacing w:line="148" w:lineRule="exact" w:before="12"/>
              <w:ind w:left="90" w:right="93"/>
              <w:rPr>
                <w:sz w:val="14"/>
              </w:rPr>
            </w:pPr>
            <w:r>
              <w:rPr>
                <w:sz w:val="14"/>
              </w:rPr>
              <w:t>0.099</w:t>
            </w:r>
          </w:p>
        </w:tc>
      </w:tr>
      <w:tr>
        <w:trPr>
          <w:trHeight w:val="180" w:hRule="atLeast"/>
        </w:trPr>
        <w:tc>
          <w:tcPr>
            <w:tcW w:w="2467" w:type="dxa"/>
            <w:shd w:val="clear" w:color="auto" w:fill="F9FCF9"/>
          </w:tcPr>
          <w:p>
            <w:pPr>
              <w:pStyle w:val="TableParagraph"/>
              <w:spacing w:line="41" w:lineRule="exact" w:before="21"/>
              <w:ind w:left="1158" w:right="1191"/>
              <w:rPr>
                <w:sz w:val="8"/>
              </w:rPr>
            </w:pPr>
            <w:r>
              <w:rPr>
                <w:sz w:val="8"/>
              </w:rPr>
              <w:t>-1</w:t>
            </w:r>
          </w:p>
          <w:p>
            <w:pPr>
              <w:pStyle w:val="TableParagraph"/>
              <w:spacing w:line="62" w:lineRule="auto" w:before="19"/>
              <w:ind w:left="20"/>
              <w:jc w:val="left"/>
              <w:rPr>
                <w:sz w:val="14"/>
              </w:rPr>
            </w:pPr>
            <w:r>
              <w:rPr>
                <w:sz w:val="14"/>
              </w:rPr>
              <w:t>CO</w:t>
            </w:r>
            <w:r>
              <w:rPr>
                <w:position w:val="-4"/>
                <w:sz w:val="8"/>
              </w:rPr>
              <w:t>2 </w:t>
            </w:r>
            <w:r>
              <w:rPr>
                <w:sz w:val="14"/>
              </w:rPr>
              <w:t>captured (Mt yr )</w:t>
            </w:r>
          </w:p>
        </w:tc>
        <w:tc>
          <w:tcPr>
            <w:tcW w:w="855" w:type="dxa"/>
            <w:shd w:val="clear" w:color="auto" w:fill="F9FCF9"/>
          </w:tcPr>
          <w:p>
            <w:pPr>
              <w:pStyle w:val="TableParagraph"/>
              <w:spacing w:line="148" w:lineRule="exact" w:before="12"/>
              <w:ind w:left="29" w:right="24"/>
              <w:rPr>
                <w:sz w:val="14"/>
              </w:rPr>
            </w:pPr>
            <w:r>
              <w:rPr>
                <w:sz w:val="14"/>
              </w:rPr>
              <w:t>2.090</w:t>
            </w:r>
          </w:p>
        </w:tc>
        <w:tc>
          <w:tcPr>
            <w:tcW w:w="725" w:type="dxa"/>
            <w:shd w:val="clear" w:color="auto" w:fill="F9FCF9"/>
          </w:tcPr>
          <w:p>
            <w:pPr>
              <w:pStyle w:val="TableParagraph"/>
              <w:spacing w:line="148" w:lineRule="exact" w:before="12"/>
              <w:ind w:left="45" w:right="41"/>
              <w:rPr>
                <w:sz w:val="14"/>
              </w:rPr>
            </w:pPr>
            <w:r>
              <w:rPr>
                <w:sz w:val="14"/>
              </w:rPr>
              <w:t>2.228</w:t>
            </w:r>
          </w:p>
        </w:tc>
        <w:tc>
          <w:tcPr>
            <w:tcW w:w="663" w:type="dxa"/>
            <w:shd w:val="clear" w:color="auto" w:fill="F9FCF9"/>
          </w:tcPr>
          <w:p>
            <w:pPr>
              <w:pStyle w:val="TableParagraph"/>
              <w:jc w:val="left"/>
              <w:rPr>
                <w:sz w:val="12"/>
              </w:rPr>
            </w:pPr>
          </w:p>
        </w:tc>
        <w:tc>
          <w:tcPr>
            <w:tcW w:w="697" w:type="dxa"/>
            <w:shd w:val="clear" w:color="auto" w:fill="F9FCF9"/>
          </w:tcPr>
          <w:p>
            <w:pPr>
              <w:pStyle w:val="TableParagraph"/>
              <w:jc w:val="left"/>
              <w:rPr>
                <w:sz w:val="12"/>
              </w:rPr>
            </w:pPr>
          </w:p>
        </w:tc>
        <w:tc>
          <w:tcPr>
            <w:tcW w:w="551" w:type="dxa"/>
            <w:shd w:val="clear" w:color="auto" w:fill="F9FCF9"/>
          </w:tcPr>
          <w:p>
            <w:pPr>
              <w:pStyle w:val="TableParagraph"/>
              <w:spacing w:line="148" w:lineRule="exact" w:before="12"/>
              <w:ind w:left="113"/>
              <w:jc w:val="left"/>
              <w:rPr>
                <w:sz w:val="14"/>
              </w:rPr>
            </w:pPr>
            <w:r>
              <w:rPr>
                <w:sz w:val="14"/>
              </w:rPr>
              <w:t>1.480</w:t>
            </w:r>
          </w:p>
        </w:tc>
        <w:tc>
          <w:tcPr>
            <w:tcW w:w="906" w:type="dxa"/>
            <w:shd w:val="clear" w:color="auto" w:fill="F9FCF9"/>
          </w:tcPr>
          <w:p>
            <w:pPr>
              <w:pStyle w:val="TableParagraph"/>
              <w:spacing w:line="148" w:lineRule="exact" w:before="12"/>
              <w:ind w:left="32" w:right="32"/>
              <w:rPr>
                <w:sz w:val="14"/>
              </w:rPr>
            </w:pPr>
            <w:r>
              <w:rPr>
                <w:sz w:val="14"/>
              </w:rPr>
              <w:t>1.480</w:t>
            </w:r>
          </w:p>
        </w:tc>
        <w:tc>
          <w:tcPr>
            <w:tcW w:w="869" w:type="dxa"/>
            <w:shd w:val="clear" w:color="auto" w:fill="F9FCF9"/>
          </w:tcPr>
          <w:p>
            <w:pPr>
              <w:pStyle w:val="TableParagraph"/>
              <w:spacing w:line="148" w:lineRule="exact" w:before="12"/>
              <w:ind w:left="26" w:right="26"/>
              <w:rPr>
                <w:sz w:val="14"/>
              </w:rPr>
            </w:pPr>
            <w:r>
              <w:rPr>
                <w:sz w:val="14"/>
              </w:rPr>
              <w:t>1.480</w:t>
            </w:r>
          </w:p>
        </w:tc>
        <w:tc>
          <w:tcPr>
            <w:tcW w:w="751" w:type="dxa"/>
            <w:shd w:val="clear" w:color="auto" w:fill="F9FCF9"/>
          </w:tcPr>
          <w:p>
            <w:pPr>
              <w:pStyle w:val="TableParagraph"/>
              <w:spacing w:line="148" w:lineRule="exact" w:before="12"/>
              <w:ind w:right="212"/>
              <w:jc w:val="right"/>
              <w:rPr>
                <w:sz w:val="14"/>
              </w:rPr>
            </w:pPr>
            <w:r>
              <w:rPr>
                <w:sz w:val="14"/>
              </w:rPr>
              <w:t>2.664</w:t>
            </w:r>
          </w:p>
        </w:tc>
        <w:tc>
          <w:tcPr>
            <w:tcW w:w="617" w:type="dxa"/>
            <w:shd w:val="clear" w:color="auto" w:fill="F9FCF9"/>
          </w:tcPr>
          <w:p>
            <w:pPr>
              <w:pStyle w:val="TableParagraph"/>
              <w:jc w:val="left"/>
              <w:rPr>
                <w:sz w:val="12"/>
              </w:rPr>
            </w:pPr>
          </w:p>
        </w:tc>
        <w:tc>
          <w:tcPr>
            <w:tcW w:w="429" w:type="dxa"/>
            <w:shd w:val="clear" w:color="auto" w:fill="F9FCF9"/>
          </w:tcPr>
          <w:p>
            <w:pPr>
              <w:pStyle w:val="TableParagraph"/>
              <w:spacing w:line="148" w:lineRule="exact" w:before="12"/>
              <w:ind w:left="66" w:right="67"/>
              <w:rPr>
                <w:b/>
                <w:sz w:val="14"/>
              </w:rPr>
            </w:pPr>
            <w:r>
              <w:rPr>
                <w:b/>
                <w:sz w:val="14"/>
              </w:rPr>
              <w:t>1.48</w:t>
            </w:r>
          </w:p>
        </w:tc>
        <w:tc>
          <w:tcPr>
            <w:tcW w:w="382" w:type="dxa"/>
            <w:shd w:val="clear" w:color="auto" w:fill="F9FCF9"/>
          </w:tcPr>
          <w:p>
            <w:pPr>
              <w:pStyle w:val="TableParagraph"/>
              <w:spacing w:line="148" w:lineRule="exact" w:before="12"/>
              <w:ind w:left="25" w:right="26"/>
              <w:rPr>
                <w:b/>
                <w:sz w:val="14"/>
              </w:rPr>
            </w:pPr>
            <w:r>
              <w:rPr>
                <w:b/>
                <w:sz w:val="14"/>
              </w:rPr>
              <w:t>2.66</w:t>
            </w:r>
          </w:p>
        </w:tc>
        <w:tc>
          <w:tcPr>
            <w:tcW w:w="85" w:type="dxa"/>
            <w:shd w:val="clear" w:color="auto" w:fill="F9FCF9"/>
          </w:tcPr>
          <w:p>
            <w:pPr>
              <w:pStyle w:val="TableParagraph"/>
              <w:jc w:val="left"/>
              <w:rPr>
                <w:sz w:val="12"/>
              </w:rPr>
            </w:pPr>
          </w:p>
        </w:tc>
        <w:tc>
          <w:tcPr>
            <w:tcW w:w="904" w:type="dxa"/>
            <w:shd w:val="clear" w:color="auto" w:fill="F9FCF9"/>
          </w:tcPr>
          <w:p>
            <w:pPr>
              <w:pStyle w:val="TableParagraph"/>
              <w:jc w:val="left"/>
              <w:rPr>
                <w:sz w:val="12"/>
              </w:rPr>
            </w:pPr>
          </w:p>
        </w:tc>
        <w:tc>
          <w:tcPr>
            <w:tcW w:w="949" w:type="dxa"/>
            <w:shd w:val="clear" w:color="auto" w:fill="F9FCF9"/>
          </w:tcPr>
          <w:p>
            <w:pPr>
              <w:pStyle w:val="TableParagraph"/>
              <w:jc w:val="left"/>
              <w:rPr>
                <w:sz w:val="12"/>
              </w:rPr>
            </w:pPr>
          </w:p>
        </w:tc>
        <w:tc>
          <w:tcPr>
            <w:tcW w:w="1738" w:type="dxa"/>
            <w:shd w:val="clear" w:color="auto" w:fill="F9FCF9"/>
          </w:tcPr>
          <w:p>
            <w:pPr>
              <w:pStyle w:val="TableParagraph"/>
              <w:spacing w:line="148" w:lineRule="exact" w:before="12"/>
              <w:ind w:left="90" w:right="93"/>
              <w:rPr>
                <w:sz w:val="14"/>
              </w:rPr>
            </w:pPr>
            <w:r>
              <w:rPr>
                <w:sz w:val="14"/>
              </w:rPr>
              <w:t>3.684</w:t>
            </w: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CO</w:t>
            </w:r>
            <w:r>
              <w:rPr>
                <w:position w:val="-4"/>
                <w:sz w:val="8"/>
              </w:rPr>
              <w:t>2 </w:t>
            </w:r>
            <w:r>
              <w:rPr>
                <w:sz w:val="14"/>
              </w:rPr>
              <w:t>product pressure (MPa)</w:t>
            </w:r>
          </w:p>
        </w:tc>
        <w:tc>
          <w:tcPr>
            <w:tcW w:w="855" w:type="dxa"/>
            <w:shd w:val="clear" w:color="auto" w:fill="F9FCF9"/>
          </w:tcPr>
          <w:p>
            <w:pPr>
              <w:pStyle w:val="TableParagraph"/>
              <w:spacing w:line="148" w:lineRule="exact" w:before="12"/>
              <w:ind w:left="29" w:right="24"/>
              <w:rPr>
                <w:sz w:val="14"/>
              </w:rPr>
            </w:pPr>
            <w:r>
              <w:rPr>
                <w:sz w:val="14"/>
              </w:rPr>
              <w:t>13.7</w:t>
            </w:r>
          </w:p>
        </w:tc>
        <w:tc>
          <w:tcPr>
            <w:tcW w:w="725" w:type="dxa"/>
            <w:shd w:val="clear" w:color="auto" w:fill="F9FCF9"/>
          </w:tcPr>
          <w:p>
            <w:pPr>
              <w:pStyle w:val="TableParagraph"/>
              <w:spacing w:line="148" w:lineRule="exact" w:before="12"/>
              <w:ind w:left="45" w:right="41"/>
              <w:rPr>
                <w:sz w:val="14"/>
              </w:rPr>
            </w:pPr>
            <w:r>
              <w:rPr>
                <w:sz w:val="14"/>
              </w:rPr>
              <w:t>13.9</w:t>
            </w:r>
          </w:p>
        </w:tc>
        <w:tc>
          <w:tcPr>
            <w:tcW w:w="663" w:type="dxa"/>
            <w:shd w:val="clear" w:color="auto" w:fill="F9FCF9"/>
          </w:tcPr>
          <w:p>
            <w:pPr>
              <w:pStyle w:val="TableParagraph"/>
              <w:spacing w:line="148" w:lineRule="exact" w:before="12"/>
              <w:ind w:right="200"/>
              <w:jc w:val="right"/>
              <w:rPr>
                <w:sz w:val="14"/>
              </w:rPr>
            </w:pPr>
            <w:r>
              <w:rPr>
                <w:sz w:val="14"/>
              </w:rPr>
              <w:t>13.9</w:t>
            </w:r>
          </w:p>
        </w:tc>
        <w:tc>
          <w:tcPr>
            <w:tcW w:w="697" w:type="dxa"/>
            <w:shd w:val="clear" w:color="auto" w:fill="F9FCF9"/>
          </w:tcPr>
          <w:p>
            <w:pPr>
              <w:pStyle w:val="TableParagraph"/>
              <w:spacing w:line="148" w:lineRule="exact" w:before="12"/>
              <w:ind w:left="164" w:right="162"/>
              <w:rPr>
                <w:sz w:val="14"/>
              </w:rPr>
            </w:pPr>
            <w:r>
              <w:rPr>
                <w:sz w:val="14"/>
              </w:rPr>
              <w:t>13.9</w:t>
            </w:r>
          </w:p>
        </w:tc>
        <w:tc>
          <w:tcPr>
            <w:tcW w:w="551" w:type="dxa"/>
            <w:shd w:val="clear" w:color="auto" w:fill="F9FCF9"/>
          </w:tcPr>
          <w:p>
            <w:pPr>
              <w:pStyle w:val="TableParagraph"/>
              <w:spacing w:line="148" w:lineRule="exact" w:before="12"/>
              <w:ind w:left="148"/>
              <w:jc w:val="left"/>
              <w:rPr>
                <w:sz w:val="14"/>
              </w:rPr>
            </w:pPr>
            <w:r>
              <w:rPr>
                <w:sz w:val="14"/>
              </w:rPr>
              <w:t>13.9</w:t>
            </w:r>
          </w:p>
        </w:tc>
        <w:tc>
          <w:tcPr>
            <w:tcW w:w="906" w:type="dxa"/>
            <w:shd w:val="clear" w:color="auto" w:fill="F9FCF9"/>
          </w:tcPr>
          <w:p>
            <w:pPr>
              <w:pStyle w:val="TableParagraph"/>
              <w:spacing w:line="148" w:lineRule="exact" w:before="12"/>
              <w:ind w:left="32" w:right="32"/>
              <w:rPr>
                <w:sz w:val="14"/>
              </w:rPr>
            </w:pPr>
            <w:r>
              <w:rPr>
                <w:sz w:val="14"/>
              </w:rPr>
              <w:t>13.9</w:t>
            </w:r>
          </w:p>
        </w:tc>
        <w:tc>
          <w:tcPr>
            <w:tcW w:w="869" w:type="dxa"/>
            <w:shd w:val="clear" w:color="auto" w:fill="F9FCF9"/>
          </w:tcPr>
          <w:p>
            <w:pPr>
              <w:pStyle w:val="TableParagraph"/>
              <w:spacing w:line="148" w:lineRule="exact" w:before="12"/>
              <w:ind w:left="26" w:right="26"/>
              <w:rPr>
                <w:sz w:val="14"/>
              </w:rPr>
            </w:pPr>
            <w:r>
              <w:rPr>
                <w:sz w:val="14"/>
              </w:rPr>
              <w:t>13.9</w:t>
            </w:r>
          </w:p>
        </w:tc>
        <w:tc>
          <w:tcPr>
            <w:tcW w:w="751" w:type="dxa"/>
            <w:shd w:val="clear" w:color="auto" w:fill="F9FCF9"/>
          </w:tcPr>
          <w:p>
            <w:pPr>
              <w:pStyle w:val="TableParagraph"/>
              <w:jc w:val="left"/>
              <w:rPr>
                <w:sz w:val="12"/>
              </w:rPr>
            </w:pPr>
          </w:p>
        </w:tc>
        <w:tc>
          <w:tcPr>
            <w:tcW w:w="617" w:type="dxa"/>
            <w:shd w:val="clear" w:color="auto" w:fill="F9FCF9"/>
          </w:tcPr>
          <w:p>
            <w:pPr>
              <w:pStyle w:val="TableParagraph"/>
              <w:spacing w:line="148" w:lineRule="exact" w:before="12"/>
              <w:ind w:left="49" w:right="50"/>
              <w:rPr>
                <w:sz w:val="14"/>
              </w:rPr>
            </w:pPr>
            <w:r>
              <w:rPr>
                <w:sz w:val="14"/>
              </w:rPr>
              <w:t>10.0</w:t>
            </w:r>
          </w:p>
        </w:tc>
        <w:tc>
          <w:tcPr>
            <w:tcW w:w="429" w:type="dxa"/>
            <w:shd w:val="clear" w:color="auto" w:fill="F9FCF9"/>
          </w:tcPr>
          <w:p>
            <w:pPr>
              <w:pStyle w:val="TableParagraph"/>
              <w:spacing w:line="148" w:lineRule="exact" w:before="12"/>
              <w:ind w:left="66" w:right="67"/>
              <w:rPr>
                <w:b/>
                <w:sz w:val="14"/>
              </w:rPr>
            </w:pPr>
            <w:r>
              <w:rPr>
                <w:b/>
                <w:sz w:val="14"/>
              </w:rPr>
              <w:t>10</w:t>
            </w:r>
          </w:p>
        </w:tc>
        <w:tc>
          <w:tcPr>
            <w:tcW w:w="382" w:type="dxa"/>
            <w:shd w:val="clear" w:color="auto" w:fill="F9FCF9"/>
          </w:tcPr>
          <w:p>
            <w:pPr>
              <w:pStyle w:val="TableParagraph"/>
              <w:spacing w:line="148" w:lineRule="exact" w:before="12"/>
              <w:ind w:left="25" w:right="26"/>
              <w:rPr>
                <w:b/>
                <w:sz w:val="14"/>
              </w:rPr>
            </w:pPr>
            <w:r>
              <w:rPr>
                <w:b/>
                <w:sz w:val="14"/>
              </w:rPr>
              <w:t>14</w:t>
            </w:r>
          </w:p>
        </w:tc>
        <w:tc>
          <w:tcPr>
            <w:tcW w:w="85" w:type="dxa"/>
            <w:shd w:val="clear" w:color="auto" w:fill="F9FCF9"/>
          </w:tcPr>
          <w:p>
            <w:pPr>
              <w:pStyle w:val="TableParagraph"/>
              <w:jc w:val="left"/>
              <w:rPr>
                <w:sz w:val="12"/>
              </w:rPr>
            </w:pPr>
          </w:p>
        </w:tc>
        <w:tc>
          <w:tcPr>
            <w:tcW w:w="904" w:type="dxa"/>
            <w:shd w:val="clear" w:color="auto" w:fill="F9FCF9"/>
          </w:tcPr>
          <w:p>
            <w:pPr>
              <w:pStyle w:val="TableParagraph"/>
              <w:spacing w:line="148" w:lineRule="exact" w:before="12"/>
              <w:ind w:left="85" w:right="87"/>
              <w:rPr>
                <w:sz w:val="14"/>
              </w:rPr>
            </w:pPr>
            <w:r>
              <w:rPr>
                <w:sz w:val="14"/>
              </w:rPr>
              <w:t>10.0</w:t>
            </w:r>
          </w:p>
        </w:tc>
        <w:tc>
          <w:tcPr>
            <w:tcW w:w="949" w:type="dxa"/>
            <w:shd w:val="clear" w:color="auto" w:fill="F9FCF9"/>
          </w:tcPr>
          <w:p>
            <w:pPr>
              <w:pStyle w:val="TableParagraph"/>
              <w:spacing w:line="148" w:lineRule="exact" w:before="12"/>
              <w:ind w:left="108" w:right="110"/>
              <w:rPr>
                <w:sz w:val="14"/>
              </w:rPr>
            </w:pPr>
            <w:r>
              <w:rPr>
                <w:sz w:val="14"/>
              </w:rPr>
              <w:t>10.0</w:t>
            </w:r>
          </w:p>
        </w:tc>
        <w:tc>
          <w:tcPr>
            <w:tcW w:w="1738" w:type="dxa"/>
            <w:shd w:val="clear" w:color="auto" w:fill="F9FCF9"/>
          </w:tcPr>
          <w:p>
            <w:pPr>
              <w:pStyle w:val="TableParagraph"/>
              <w:spacing w:line="148" w:lineRule="exact" w:before="12"/>
              <w:ind w:left="90" w:right="93"/>
              <w:rPr>
                <w:sz w:val="14"/>
              </w:rPr>
            </w:pPr>
            <w:r>
              <w:rPr>
                <w:sz w:val="14"/>
              </w:rPr>
              <w:t>14.5</w:t>
            </w:r>
          </w:p>
        </w:tc>
      </w:tr>
      <w:tr>
        <w:trPr>
          <w:trHeight w:val="360" w:hRule="atLeast"/>
        </w:trPr>
        <w:tc>
          <w:tcPr>
            <w:tcW w:w="2467" w:type="dxa"/>
            <w:shd w:val="clear" w:color="auto" w:fill="F9FCF9"/>
          </w:tcPr>
          <w:p>
            <w:pPr>
              <w:pStyle w:val="TableParagraph"/>
              <w:spacing w:before="12"/>
              <w:ind w:left="20"/>
              <w:jc w:val="left"/>
              <w:rPr>
                <w:sz w:val="14"/>
              </w:rPr>
            </w:pPr>
            <w:r>
              <w:rPr>
                <w:sz w:val="14"/>
              </w:rPr>
              <w:t>CCS energy requirement</w:t>
            </w:r>
          </w:p>
          <w:p>
            <w:pPr>
              <w:pStyle w:val="TableParagraph"/>
              <w:spacing w:line="148" w:lineRule="exact" w:before="19"/>
              <w:ind w:left="20"/>
              <w:jc w:val="left"/>
              <w:rPr>
                <w:sz w:val="14"/>
              </w:rPr>
            </w:pPr>
            <w:r>
              <w:rPr>
                <w:sz w:val="14"/>
              </w:rPr>
              <w:t>(% more input MWh</w:t>
            </w:r>
            <w:r>
              <w:rPr>
                <w:position w:val="5"/>
                <w:sz w:val="8"/>
              </w:rPr>
              <w:t>-1</w:t>
            </w:r>
            <w:r>
              <w:rPr>
                <w:sz w:val="14"/>
              </w:rPr>
              <w:t>)</w:t>
            </w:r>
          </w:p>
        </w:tc>
        <w:tc>
          <w:tcPr>
            <w:tcW w:w="855" w:type="dxa"/>
            <w:shd w:val="clear" w:color="auto" w:fill="F9FCF9"/>
          </w:tcPr>
          <w:p>
            <w:pPr>
              <w:pStyle w:val="TableParagraph"/>
              <w:spacing w:before="12"/>
              <w:ind w:left="29" w:right="24"/>
              <w:rPr>
                <w:sz w:val="14"/>
              </w:rPr>
            </w:pPr>
            <w:r>
              <w:rPr>
                <w:sz w:val="14"/>
              </w:rPr>
              <w:t>43</w:t>
            </w:r>
          </w:p>
        </w:tc>
        <w:tc>
          <w:tcPr>
            <w:tcW w:w="725" w:type="dxa"/>
            <w:shd w:val="clear" w:color="auto" w:fill="F9FCF9"/>
          </w:tcPr>
          <w:p>
            <w:pPr>
              <w:pStyle w:val="TableParagraph"/>
              <w:spacing w:before="12"/>
              <w:ind w:left="45" w:right="41"/>
              <w:rPr>
                <w:sz w:val="14"/>
              </w:rPr>
            </w:pPr>
            <w:r>
              <w:rPr>
                <w:sz w:val="14"/>
              </w:rPr>
              <w:t>70</w:t>
            </w:r>
          </w:p>
        </w:tc>
        <w:tc>
          <w:tcPr>
            <w:tcW w:w="663" w:type="dxa"/>
            <w:shd w:val="clear" w:color="auto" w:fill="F9FCF9"/>
          </w:tcPr>
          <w:p>
            <w:pPr>
              <w:pStyle w:val="TableParagraph"/>
              <w:spacing w:before="12"/>
              <w:ind w:right="252"/>
              <w:jc w:val="right"/>
              <w:rPr>
                <w:sz w:val="14"/>
              </w:rPr>
            </w:pPr>
            <w:r>
              <w:rPr>
                <w:sz w:val="14"/>
              </w:rPr>
              <w:t>71</w:t>
            </w:r>
          </w:p>
        </w:tc>
        <w:tc>
          <w:tcPr>
            <w:tcW w:w="697" w:type="dxa"/>
            <w:shd w:val="clear" w:color="auto" w:fill="F9FCF9"/>
          </w:tcPr>
          <w:p>
            <w:pPr>
              <w:pStyle w:val="TableParagraph"/>
              <w:jc w:val="left"/>
              <w:rPr>
                <w:sz w:val="14"/>
              </w:rPr>
            </w:pPr>
          </w:p>
        </w:tc>
        <w:tc>
          <w:tcPr>
            <w:tcW w:w="551" w:type="dxa"/>
            <w:shd w:val="clear" w:color="auto" w:fill="F9FCF9"/>
          </w:tcPr>
          <w:p>
            <w:pPr>
              <w:pStyle w:val="TableParagraph"/>
              <w:spacing w:before="12"/>
              <w:ind w:left="181" w:right="180"/>
              <w:rPr>
                <w:sz w:val="14"/>
              </w:rPr>
            </w:pPr>
            <w:r>
              <w:rPr>
                <w:sz w:val="14"/>
              </w:rPr>
              <w:t>77</w:t>
            </w:r>
          </w:p>
        </w:tc>
        <w:tc>
          <w:tcPr>
            <w:tcW w:w="906" w:type="dxa"/>
            <w:shd w:val="clear" w:color="auto" w:fill="F9FCF9"/>
          </w:tcPr>
          <w:p>
            <w:pPr>
              <w:pStyle w:val="TableParagraph"/>
              <w:jc w:val="left"/>
              <w:rPr>
                <w:sz w:val="14"/>
              </w:rPr>
            </w:pPr>
          </w:p>
        </w:tc>
        <w:tc>
          <w:tcPr>
            <w:tcW w:w="869" w:type="dxa"/>
            <w:shd w:val="clear" w:color="auto" w:fill="F9FCF9"/>
          </w:tcPr>
          <w:p>
            <w:pPr>
              <w:pStyle w:val="TableParagraph"/>
              <w:jc w:val="left"/>
              <w:rPr>
                <w:sz w:val="14"/>
              </w:rPr>
            </w:pPr>
          </w:p>
        </w:tc>
        <w:tc>
          <w:tcPr>
            <w:tcW w:w="751" w:type="dxa"/>
            <w:shd w:val="clear" w:color="auto" w:fill="F9FCF9"/>
          </w:tcPr>
          <w:p>
            <w:pPr>
              <w:pStyle w:val="TableParagraph"/>
              <w:jc w:val="left"/>
              <w:rPr>
                <w:sz w:val="14"/>
              </w:rPr>
            </w:pPr>
          </w:p>
        </w:tc>
        <w:tc>
          <w:tcPr>
            <w:tcW w:w="617" w:type="dxa"/>
            <w:shd w:val="clear" w:color="auto" w:fill="F9FCF9"/>
          </w:tcPr>
          <w:p>
            <w:pPr>
              <w:pStyle w:val="TableParagraph"/>
              <w:spacing w:before="12"/>
              <w:ind w:left="49" w:right="50"/>
              <w:rPr>
                <w:sz w:val="14"/>
              </w:rPr>
            </w:pPr>
            <w:r>
              <w:rPr>
                <w:sz w:val="14"/>
              </w:rPr>
              <w:t>50</w:t>
            </w:r>
          </w:p>
        </w:tc>
        <w:tc>
          <w:tcPr>
            <w:tcW w:w="429" w:type="dxa"/>
            <w:shd w:val="clear" w:color="auto" w:fill="F9FCF9"/>
          </w:tcPr>
          <w:p>
            <w:pPr>
              <w:pStyle w:val="TableParagraph"/>
              <w:spacing w:before="12"/>
              <w:ind w:left="66" w:right="67"/>
              <w:rPr>
                <w:b/>
                <w:sz w:val="14"/>
              </w:rPr>
            </w:pPr>
            <w:r>
              <w:rPr>
                <w:b/>
                <w:sz w:val="14"/>
              </w:rPr>
              <w:t>43</w:t>
            </w:r>
          </w:p>
        </w:tc>
        <w:tc>
          <w:tcPr>
            <w:tcW w:w="382" w:type="dxa"/>
            <w:shd w:val="clear" w:color="auto" w:fill="F9FCF9"/>
          </w:tcPr>
          <w:p>
            <w:pPr>
              <w:pStyle w:val="TableParagraph"/>
              <w:spacing w:before="12"/>
              <w:ind w:left="25" w:right="26"/>
              <w:rPr>
                <w:b/>
                <w:sz w:val="14"/>
              </w:rPr>
            </w:pPr>
            <w:r>
              <w:rPr>
                <w:b/>
                <w:sz w:val="14"/>
              </w:rPr>
              <w:t>77</w:t>
            </w:r>
          </w:p>
        </w:tc>
        <w:tc>
          <w:tcPr>
            <w:tcW w:w="85" w:type="dxa"/>
            <w:shd w:val="clear" w:color="auto" w:fill="F9FCF9"/>
          </w:tcPr>
          <w:p>
            <w:pPr>
              <w:pStyle w:val="TableParagraph"/>
              <w:jc w:val="left"/>
              <w:rPr>
                <w:sz w:val="14"/>
              </w:rPr>
            </w:pPr>
          </w:p>
        </w:tc>
        <w:tc>
          <w:tcPr>
            <w:tcW w:w="904" w:type="dxa"/>
            <w:shd w:val="clear" w:color="auto" w:fill="F9FCF9"/>
          </w:tcPr>
          <w:p>
            <w:pPr>
              <w:pStyle w:val="TableParagraph"/>
              <w:spacing w:before="12"/>
              <w:ind w:left="85" w:right="87"/>
              <w:rPr>
                <w:sz w:val="14"/>
              </w:rPr>
            </w:pPr>
            <w:r>
              <w:rPr>
                <w:sz w:val="14"/>
              </w:rPr>
              <w:t>38</w:t>
            </w:r>
          </w:p>
        </w:tc>
        <w:tc>
          <w:tcPr>
            <w:tcW w:w="949" w:type="dxa"/>
            <w:shd w:val="clear" w:color="auto" w:fill="F9FCF9"/>
          </w:tcPr>
          <w:p>
            <w:pPr>
              <w:pStyle w:val="TableParagraph"/>
              <w:spacing w:before="12"/>
              <w:ind w:left="108" w:right="110"/>
              <w:rPr>
                <w:sz w:val="14"/>
              </w:rPr>
            </w:pPr>
            <w:r>
              <w:rPr>
                <w:sz w:val="14"/>
              </w:rPr>
              <w:t>26</w:t>
            </w:r>
          </w:p>
        </w:tc>
        <w:tc>
          <w:tcPr>
            <w:tcW w:w="1738" w:type="dxa"/>
            <w:shd w:val="clear" w:color="auto" w:fill="F9FCF9"/>
          </w:tcPr>
          <w:p>
            <w:pPr>
              <w:pStyle w:val="TableParagraph"/>
              <w:jc w:val="left"/>
              <w:rPr>
                <w:sz w:val="14"/>
              </w:rPr>
            </w:pPr>
          </w:p>
        </w:tc>
      </w:tr>
      <w:tr>
        <w:trPr>
          <w:trHeight w:val="180" w:hRule="atLeast"/>
        </w:trPr>
        <w:tc>
          <w:tcPr>
            <w:tcW w:w="2467" w:type="dxa"/>
            <w:shd w:val="clear" w:color="auto" w:fill="F9FCF9"/>
          </w:tcPr>
          <w:p>
            <w:pPr>
              <w:pStyle w:val="TableParagraph"/>
              <w:spacing w:line="148" w:lineRule="exact" w:before="12"/>
              <w:ind w:left="20"/>
              <w:jc w:val="left"/>
              <w:rPr>
                <w:b/>
                <w:sz w:val="14"/>
              </w:rPr>
            </w:pPr>
            <w:r>
              <w:rPr>
                <w:b/>
                <w:sz w:val="14"/>
              </w:rPr>
              <w:t>CO</w:t>
            </w:r>
            <w:r>
              <w:rPr>
                <w:b/>
                <w:position w:val="-4"/>
                <w:sz w:val="8"/>
              </w:rPr>
              <w:t>2 </w:t>
            </w:r>
            <w:r>
              <w:rPr>
                <w:b/>
                <w:sz w:val="14"/>
              </w:rPr>
              <w:t>reduction per kWh (%)</w:t>
            </w:r>
          </w:p>
        </w:tc>
        <w:tc>
          <w:tcPr>
            <w:tcW w:w="855" w:type="dxa"/>
            <w:shd w:val="clear" w:color="auto" w:fill="F9FCF9"/>
          </w:tcPr>
          <w:p>
            <w:pPr>
              <w:pStyle w:val="TableParagraph"/>
              <w:spacing w:line="148" w:lineRule="exact" w:before="12"/>
              <w:ind w:left="29" w:right="24"/>
              <w:rPr>
                <w:b/>
                <w:sz w:val="14"/>
              </w:rPr>
            </w:pPr>
            <w:r>
              <w:rPr>
                <w:b/>
                <w:sz w:val="14"/>
              </w:rPr>
              <w:t>87</w:t>
            </w:r>
          </w:p>
        </w:tc>
        <w:tc>
          <w:tcPr>
            <w:tcW w:w="725" w:type="dxa"/>
            <w:shd w:val="clear" w:color="auto" w:fill="F9FCF9"/>
          </w:tcPr>
          <w:p>
            <w:pPr>
              <w:pStyle w:val="TableParagraph"/>
              <w:spacing w:line="148" w:lineRule="exact" w:before="12"/>
              <w:ind w:left="45" w:right="41"/>
              <w:rPr>
                <w:b/>
                <w:sz w:val="14"/>
              </w:rPr>
            </w:pPr>
            <w:r>
              <w:rPr>
                <w:b/>
                <w:sz w:val="14"/>
              </w:rPr>
              <w:t>94</w:t>
            </w:r>
          </w:p>
        </w:tc>
        <w:tc>
          <w:tcPr>
            <w:tcW w:w="663" w:type="dxa"/>
            <w:shd w:val="clear" w:color="auto" w:fill="F9FCF9"/>
          </w:tcPr>
          <w:p>
            <w:pPr>
              <w:pStyle w:val="TableParagraph"/>
              <w:spacing w:line="148" w:lineRule="exact" w:before="12"/>
              <w:ind w:right="252"/>
              <w:jc w:val="right"/>
              <w:rPr>
                <w:b/>
                <w:sz w:val="14"/>
              </w:rPr>
            </w:pPr>
            <w:r>
              <w:rPr>
                <w:b/>
                <w:sz w:val="14"/>
              </w:rPr>
              <w:t>84</w:t>
            </w:r>
          </w:p>
        </w:tc>
        <w:tc>
          <w:tcPr>
            <w:tcW w:w="697" w:type="dxa"/>
            <w:shd w:val="clear" w:color="auto" w:fill="F9FCF9"/>
          </w:tcPr>
          <w:p>
            <w:pPr>
              <w:pStyle w:val="TableParagraph"/>
              <w:spacing w:line="148" w:lineRule="exact" w:before="12"/>
              <w:ind w:left="164" w:right="162"/>
              <w:rPr>
                <w:b/>
                <w:sz w:val="14"/>
              </w:rPr>
            </w:pPr>
            <w:r>
              <w:rPr>
                <w:b/>
                <w:sz w:val="14"/>
              </w:rPr>
              <w:t>83</w:t>
            </w:r>
          </w:p>
        </w:tc>
        <w:tc>
          <w:tcPr>
            <w:tcW w:w="551" w:type="dxa"/>
            <w:shd w:val="clear" w:color="auto" w:fill="F9FCF9"/>
          </w:tcPr>
          <w:p>
            <w:pPr>
              <w:pStyle w:val="TableParagraph"/>
              <w:spacing w:line="148" w:lineRule="exact" w:before="12"/>
              <w:ind w:left="181" w:right="180"/>
              <w:rPr>
                <w:b/>
                <w:sz w:val="14"/>
              </w:rPr>
            </w:pPr>
            <w:r>
              <w:rPr>
                <w:b/>
                <w:sz w:val="14"/>
              </w:rPr>
              <w:t>82</w:t>
            </w:r>
          </w:p>
        </w:tc>
        <w:tc>
          <w:tcPr>
            <w:tcW w:w="906" w:type="dxa"/>
            <w:shd w:val="clear" w:color="auto" w:fill="F9FCF9"/>
          </w:tcPr>
          <w:p>
            <w:pPr>
              <w:pStyle w:val="TableParagraph"/>
              <w:spacing w:line="148" w:lineRule="exact" w:before="12"/>
              <w:ind w:left="32" w:right="32"/>
              <w:rPr>
                <w:b/>
                <w:sz w:val="14"/>
              </w:rPr>
            </w:pPr>
            <w:r>
              <w:rPr>
                <w:b/>
                <w:sz w:val="14"/>
              </w:rPr>
              <w:t>63</w:t>
            </w:r>
          </w:p>
        </w:tc>
        <w:tc>
          <w:tcPr>
            <w:tcW w:w="869" w:type="dxa"/>
            <w:shd w:val="clear" w:color="auto" w:fill="F9FCF9"/>
          </w:tcPr>
          <w:p>
            <w:pPr>
              <w:pStyle w:val="TableParagraph"/>
              <w:spacing w:line="148" w:lineRule="exact" w:before="12"/>
              <w:ind w:left="26" w:right="26"/>
              <w:rPr>
                <w:b/>
                <w:sz w:val="14"/>
              </w:rPr>
            </w:pPr>
            <w:r>
              <w:rPr>
                <w:b/>
                <w:sz w:val="14"/>
              </w:rPr>
              <w:t>63</w:t>
            </w:r>
          </w:p>
        </w:tc>
        <w:tc>
          <w:tcPr>
            <w:tcW w:w="751" w:type="dxa"/>
            <w:shd w:val="clear" w:color="auto" w:fill="F9FCF9"/>
          </w:tcPr>
          <w:p>
            <w:pPr>
              <w:pStyle w:val="TableParagraph"/>
              <w:spacing w:line="148" w:lineRule="exact" w:before="12"/>
              <w:ind w:left="63" w:right="64"/>
              <w:rPr>
                <w:b/>
                <w:sz w:val="14"/>
              </w:rPr>
            </w:pPr>
            <w:r>
              <w:rPr>
                <w:b/>
                <w:sz w:val="14"/>
              </w:rPr>
              <w:t>65</w:t>
            </w:r>
          </w:p>
        </w:tc>
        <w:tc>
          <w:tcPr>
            <w:tcW w:w="617" w:type="dxa"/>
            <w:shd w:val="clear" w:color="auto" w:fill="F9FCF9"/>
          </w:tcPr>
          <w:p>
            <w:pPr>
              <w:pStyle w:val="TableParagraph"/>
              <w:jc w:val="left"/>
              <w:rPr>
                <w:sz w:val="12"/>
              </w:rPr>
            </w:pPr>
          </w:p>
        </w:tc>
        <w:tc>
          <w:tcPr>
            <w:tcW w:w="429" w:type="dxa"/>
            <w:shd w:val="clear" w:color="auto" w:fill="F9FCF9"/>
          </w:tcPr>
          <w:p>
            <w:pPr>
              <w:pStyle w:val="TableParagraph"/>
              <w:spacing w:line="148" w:lineRule="exact" w:before="12"/>
              <w:ind w:left="66" w:right="67"/>
              <w:rPr>
                <w:b/>
                <w:sz w:val="14"/>
              </w:rPr>
            </w:pPr>
            <w:r>
              <w:rPr>
                <w:b/>
                <w:sz w:val="14"/>
              </w:rPr>
              <w:t>63</w:t>
            </w:r>
          </w:p>
        </w:tc>
        <w:tc>
          <w:tcPr>
            <w:tcW w:w="382" w:type="dxa"/>
            <w:shd w:val="clear" w:color="auto" w:fill="F9FCF9"/>
          </w:tcPr>
          <w:p>
            <w:pPr>
              <w:pStyle w:val="TableParagraph"/>
              <w:spacing w:line="148" w:lineRule="exact" w:before="12"/>
              <w:ind w:left="25" w:right="26"/>
              <w:rPr>
                <w:b/>
                <w:sz w:val="14"/>
              </w:rPr>
            </w:pPr>
            <w:r>
              <w:rPr>
                <w:b/>
                <w:sz w:val="14"/>
              </w:rPr>
              <w:t>94</w:t>
            </w:r>
          </w:p>
        </w:tc>
        <w:tc>
          <w:tcPr>
            <w:tcW w:w="85" w:type="dxa"/>
            <w:shd w:val="clear" w:color="auto" w:fill="F9FCF9"/>
          </w:tcPr>
          <w:p>
            <w:pPr>
              <w:pStyle w:val="TableParagraph"/>
              <w:jc w:val="left"/>
              <w:rPr>
                <w:sz w:val="12"/>
              </w:rPr>
            </w:pPr>
          </w:p>
        </w:tc>
        <w:tc>
          <w:tcPr>
            <w:tcW w:w="904" w:type="dxa"/>
            <w:shd w:val="clear" w:color="auto" w:fill="F9FCF9"/>
          </w:tcPr>
          <w:p>
            <w:pPr>
              <w:pStyle w:val="TableParagraph"/>
              <w:jc w:val="left"/>
              <w:rPr>
                <w:sz w:val="12"/>
              </w:rPr>
            </w:pPr>
          </w:p>
        </w:tc>
        <w:tc>
          <w:tcPr>
            <w:tcW w:w="949" w:type="dxa"/>
            <w:shd w:val="clear" w:color="auto" w:fill="F9FCF9"/>
          </w:tcPr>
          <w:p>
            <w:pPr>
              <w:pStyle w:val="TableParagraph"/>
              <w:jc w:val="left"/>
              <w:rPr>
                <w:sz w:val="12"/>
              </w:rPr>
            </w:pPr>
          </w:p>
        </w:tc>
        <w:tc>
          <w:tcPr>
            <w:tcW w:w="1738" w:type="dxa"/>
            <w:shd w:val="clear" w:color="auto" w:fill="F9FCF9"/>
          </w:tcPr>
          <w:p>
            <w:pPr>
              <w:pStyle w:val="TableParagraph"/>
              <w:jc w:val="left"/>
              <w:rPr>
                <w:sz w:val="12"/>
              </w:rPr>
            </w:pPr>
          </w:p>
        </w:tc>
      </w:tr>
      <w:tr>
        <w:trPr>
          <w:trHeight w:val="180" w:hRule="atLeast"/>
        </w:trPr>
        <w:tc>
          <w:tcPr>
            <w:tcW w:w="2467" w:type="dxa"/>
            <w:shd w:val="clear" w:color="auto" w:fill="F9FCF9"/>
          </w:tcPr>
          <w:p>
            <w:pPr>
              <w:pStyle w:val="TableParagraph"/>
              <w:spacing w:line="148" w:lineRule="exact" w:before="11"/>
              <w:ind w:left="174"/>
              <w:jc w:val="left"/>
              <w:rPr>
                <w:b/>
                <w:i/>
                <w:sz w:val="14"/>
              </w:rPr>
            </w:pPr>
            <w:r>
              <w:rPr>
                <w:b/>
                <w:i/>
                <w:sz w:val="14"/>
              </w:rPr>
              <w:t>Cost Results</w:t>
            </w:r>
          </w:p>
        </w:tc>
        <w:tc>
          <w:tcPr>
            <w:tcW w:w="855" w:type="dxa"/>
            <w:shd w:val="clear" w:color="auto" w:fill="F9FCF9"/>
          </w:tcPr>
          <w:p>
            <w:pPr>
              <w:pStyle w:val="TableParagraph"/>
              <w:spacing w:line="148" w:lineRule="exact" w:before="12"/>
              <w:ind w:left="29" w:right="24"/>
              <w:rPr>
                <w:b/>
                <w:i/>
                <w:sz w:val="14"/>
              </w:rPr>
            </w:pPr>
            <w:r>
              <w:rPr>
                <w:b/>
                <w:i/>
                <w:sz w:val="14"/>
              </w:rPr>
              <w:t>**</w:t>
            </w:r>
          </w:p>
        </w:tc>
        <w:tc>
          <w:tcPr>
            <w:tcW w:w="725" w:type="dxa"/>
            <w:shd w:val="clear" w:color="auto" w:fill="F9FCF9"/>
          </w:tcPr>
          <w:p>
            <w:pPr>
              <w:pStyle w:val="TableParagraph"/>
              <w:jc w:val="left"/>
              <w:rPr>
                <w:sz w:val="12"/>
              </w:rPr>
            </w:pPr>
          </w:p>
        </w:tc>
        <w:tc>
          <w:tcPr>
            <w:tcW w:w="663" w:type="dxa"/>
            <w:shd w:val="clear" w:color="auto" w:fill="F9FCF9"/>
          </w:tcPr>
          <w:p>
            <w:pPr>
              <w:pStyle w:val="TableParagraph"/>
              <w:jc w:val="left"/>
              <w:rPr>
                <w:sz w:val="12"/>
              </w:rPr>
            </w:pPr>
          </w:p>
        </w:tc>
        <w:tc>
          <w:tcPr>
            <w:tcW w:w="697" w:type="dxa"/>
            <w:shd w:val="clear" w:color="auto" w:fill="F9FCF9"/>
          </w:tcPr>
          <w:p>
            <w:pPr>
              <w:pStyle w:val="TableParagraph"/>
              <w:jc w:val="left"/>
              <w:rPr>
                <w:sz w:val="12"/>
              </w:rPr>
            </w:pPr>
          </w:p>
        </w:tc>
        <w:tc>
          <w:tcPr>
            <w:tcW w:w="551" w:type="dxa"/>
            <w:shd w:val="clear" w:color="auto" w:fill="F9FCF9"/>
          </w:tcPr>
          <w:p>
            <w:pPr>
              <w:pStyle w:val="TableParagraph"/>
              <w:jc w:val="left"/>
              <w:rPr>
                <w:sz w:val="12"/>
              </w:rPr>
            </w:pPr>
          </w:p>
        </w:tc>
        <w:tc>
          <w:tcPr>
            <w:tcW w:w="906" w:type="dxa"/>
            <w:shd w:val="clear" w:color="auto" w:fill="F9FCF9"/>
          </w:tcPr>
          <w:p>
            <w:pPr>
              <w:pStyle w:val="TableParagraph"/>
              <w:jc w:val="left"/>
              <w:rPr>
                <w:sz w:val="12"/>
              </w:rPr>
            </w:pPr>
          </w:p>
        </w:tc>
        <w:tc>
          <w:tcPr>
            <w:tcW w:w="869" w:type="dxa"/>
            <w:shd w:val="clear" w:color="auto" w:fill="F9FCF9"/>
          </w:tcPr>
          <w:p>
            <w:pPr>
              <w:pStyle w:val="TableParagraph"/>
              <w:jc w:val="left"/>
              <w:rPr>
                <w:sz w:val="12"/>
              </w:rPr>
            </w:pPr>
          </w:p>
        </w:tc>
        <w:tc>
          <w:tcPr>
            <w:tcW w:w="751" w:type="dxa"/>
            <w:shd w:val="clear" w:color="auto" w:fill="F9FCF9"/>
          </w:tcPr>
          <w:p>
            <w:pPr>
              <w:pStyle w:val="TableParagraph"/>
              <w:spacing w:line="148" w:lineRule="exact" w:before="12"/>
              <w:ind w:left="63" w:right="64"/>
              <w:rPr>
                <w:b/>
                <w:i/>
                <w:sz w:val="14"/>
              </w:rPr>
            </w:pPr>
            <w:r>
              <w:rPr>
                <w:b/>
                <w:i/>
                <w:sz w:val="14"/>
              </w:rPr>
              <w:t>**</w:t>
            </w:r>
          </w:p>
        </w:tc>
        <w:tc>
          <w:tcPr>
            <w:tcW w:w="617" w:type="dxa"/>
            <w:shd w:val="clear" w:color="auto" w:fill="F9FCF9"/>
          </w:tcPr>
          <w:p>
            <w:pPr>
              <w:pStyle w:val="TableParagraph"/>
              <w:jc w:val="left"/>
              <w:rPr>
                <w:sz w:val="12"/>
              </w:rPr>
            </w:pPr>
          </w:p>
        </w:tc>
        <w:tc>
          <w:tcPr>
            <w:tcW w:w="429" w:type="dxa"/>
            <w:shd w:val="clear" w:color="auto" w:fill="F9FCF9"/>
          </w:tcPr>
          <w:p>
            <w:pPr>
              <w:pStyle w:val="TableParagraph"/>
              <w:jc w:val="left"/>
              <w:rPr>
                <w:sz w:val="12"/>
              </w:rPr>
            </w:pPr>
          </w:p>
        </w:tc>
        <w:tc>
          <w:tcPr>
            <w:tcW w:w="382" w:type="dxa"/>
            <w:shd w:val="clear" w:color="auto" w:fill="F9FCF9"/>
          </w:tcPr>
          <w:p>
            <w:pPr>
              <w:pStyle w:val="TableParagraph"/>
              <w:jc w:val="left"/>
              <w:rPr>
                <w:sz w:val="12"/>
              </w:rPr>
            </w:pPr>
          </w:p>
        </w:tc>
        <w:tc>
          <w:tcPr>
            <w:tcW w:w="85" w:type="dxa"/>
            <w:shd w:val="clear" w:color="auto" w:fill="F9FCF9"/>
          </w:tcPr>
          <w:p>
            <w:pPr>
              <w:pStyle w:val="TableParagraph"/>
              <w:jc w:val="left"/>
              <w:rPr>
                <w:sz w:val="12"/>
              </w:rPr>
            </w:pPr>
          </w:p>
        </w:tc>
        <w:tc>
          <w:tcPr>
            <w:tcW w:w="904" w:type="dxa"/>
            <w:shd w:val="clear" w:color="auto" w:fill="F9FCF9"/>
          </w:tcPr>
          <w:p>
            <w:pPr>
              <w:pStyle w:val="TableParagraph"/>
              <w:jc w:val="left"/>
              <w:rPr>
                <w:sz w:val="12"/>
              </w:rPr>
            </w:pPr>
          </w:p>
        </w:tc>
        <w:tc>
          <w:tcPr>
            <w:tcW w:w="949" w:type="dxa"/>
            <w:shd w:val="clear" w:color="auto" w:fill="F9FCF9"/>
          </w:tcPr>
          <w:p>
            <w:pPr>
              <w:pStyle w:val="TableParagraph"/>
              <w:jc w:val="left"/>
              <w:rPr>
                <w:sz w:val="12"/>
              </w:rPr>
            </w:pPr>
          </w:p>
        </w:tc>
        <w:tc>
          <w:tcPr>
            <w:tcW w:w="1738" w:type="dxa"/>
            <w:shd w:val="clear" w:color="auto" w:fill="F9FCF9"/>
          </w:tcPr>
          <w:p>
            <w:pPr>
              <w:pStyle w:val="TableParagraph"/>
              <w:jc w:val="left"/>
              <w:rPr>
                <w:sz w:val="12"/>
              </w:rPr>
            </w:pP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Cost year basis (constant dollars)</w:t>
            </w:r>
          </w:p>
        </w:tc>
        <w:tc>
          <w:tcPr>
            <w:tcW w:w="855" w:type="dxa"/>
            <w:shd w:val="clear" w:color="auto" w:fill="F9FCF9"/>
          </w:tcPr>
          <w:p>
            <w:pPr>
              <w:pStyle w:val="TableParagraph"/>
              <w:spacing w:line="148" w:lineRule="exact" w:before="12"/>
              <w:ind w:left="29" w:right="24"/>
              <w:rPr>
                <w:sz w:val="14"/>
              </w:rPr>
            </w:pPr>
            <w:r>
              <w:rPr>
                <w:sz w:val="14"/>
              </w:rPr>
              <w:t>1999</w:t>
            </w:r>
          </w:p>
        </w:tc>
        <w:tc>
          <w:tcPr>
            <w:tcW w:w="725" w:type="dxa"/>
            <w:shd w:val="clear" w:color="auto" w:fill="F9FCF9"/>
          </w:tcPr>
          <w:p>
            <w:pPr>
              <w:pStyle w:val="TableParagraph"/>
              <w:spacing w:line="148" w:lineRule="exact" w:before="12"/>
              <w:ind w:left="45" w:right="41"/>
              <w:rPr>
                <w:sz w:val="14"/>
              </w:rPr>
            </w:pPr>
            <w:r>
              <w:rPr>
                <w:sz w:val="14"/>
              </w:rPr>
              <w:t>n/a</w:t>
            </w:r>
          </w:p>
        </w:tc>
        <w:tc>
          <w:tcPr>
            <w:tcW w:w="663" w:type="dxa"/>
            <w:shd w:val="clear" w:color="auto" w:fill="F9FCF9"/>
          </w:tcPr>
          <w:p>
            <w:pPr>
              <w:pStyle w:val="TableParagraph"/>
              <w:spacing w:line="148" w:lineRule="exact" w:before="12"/>
              <w:ind w:right="182"/>
              <w:jc w:val="right"/>
              <w:rPr>
                <w:sz w:val="14"/>
              </w:rPr>
            </w:pPr>
            <w:r>
              <w:rPr>
                <w:sz w:val="14"/>
              </w:rPr>
              <w:t>2000</w:t>
            </w:r>
          </w:p>
        </w:tc>
        <w:tc>
          <w:tcPr>
            <w:tcW w:w="697" w:type="dxa"/>
            <w:shd w:val="clear" w:color="auto" w:fill="F9FCF9"/>
          </w:tcPr>
          <w:p>
            <w:pPr>
              <w:pStyle w:val="TableParagraph"/>
              <w:spacing w:line="148" w:lineRule="exact" w:before="12"/>
              <w:ind w:left="164" w:right="162"/>
              <w:rPr>
                <w:sz w:val="14"/>
              </w:rPr>
            </w:pPr>
            <w:r>
              <w:rPr>
                <w:sz w:val="14"/>
              </w:rPr>
              <w:t>2000</w:t>
            </w:r>
          </w:p>
        </w:tc>
        <w:tc>
          <w:tcPr>
            <w:tcW w:w="551" w:type="dxa"/>
            <w:shd w:val="clear" w:color="auto" w:fill="F9FCF9"/>
          </w:tcPr>
          <w:p>
            <w:pPr>
              <w:pStyle w:val="TableParagraph"/>
              <w:spacing w:line="148" w:lineRule="exact" w:before="12"/>
              <w:ind w:left="131"/>
              <w:jc w:val="left"/>
              <w:rPr>
                <w:sz w:val="14"/>
              </w:rPr>
            </w:pPr>
            <w:r>
              <w:rPr>
                <w:sz w:val="14"/>
              </w:rPr>
              <w:t>2000</w:t>
            </w:r>
          </w:p>
        </w:tc>
        <w:tc>
          <w:tcPr>
            <w:tcW w:w="906" w:type="dxa"/>
            <w:shd w:val="clear" w:color="auto" w:fill="F9FCF9"/>
          </w:tcPr>
          <w:p>
            <w:pPr>
              <w:pStyle w:val="TableParagraph"/>
              <w:spacing w:line="148" w:lineRule="exact" w:before="12"/>
              <w:ind w:left="32" w:right="32"/>
              <w:rPr>
                <w:sz w:val="14"/>
              </w:rPr>
            </w:pPr>
            <w:r>
              <w:rPr>
                <w:sz w:val="14"/>
              </w:rPr>
              <w:t>2000</w:t>
            </w:r>
          </w:p>
        </w:tc>
        <w:tc>
          <w:tcPr>
            <w:tcW w:w="869" w:type="dxa"/>
            <w:shd w:val="clear" w:color="auto" w:fill="F9FCF9"/>
          </w:tcPr>
          <w:p>
            <w:pPr>
              <w:pStyle w:val="TableParagraph"/>
              <w:spacing w:line="148" w:lineRule="exact" w:before="12"/>
              <w:ind w:left="26" w:right="26"/>
              <w:rPr>
                <w:sz w:val="14"/>
              </w:rPr>
            </w:pPr>
            <w:r>
              <w:rPr>
                <w:sz w:val="14"/>
              </w:rPr>
              <w:t>2000</w:t>
            </w:r>
          </w:p>
        </w:tc>
        <w:tc>
          <w:tcPr>
            <w:tcW w:w="751" w:type="dxa"/>
            <w:shd w:val="clear" w:color="auto" w:fill="F9FCF9"/>
          </w:tcPr>
          <w:p>
            <w:pPr>
              <w:pStyle w:val="TableParagraph"/>
              <w:spacing w:line="148" w:lineRule="exact" w:before="12"/>
              <w:ind w:right="230"/>
              <w:jc w:val="right"/>
              <w:rPr>
                <w:sz w:val="14"/>
              </w:rPr>
            </w:pPr>
            <w:r>
              <w:rPr>
                <w:sz w:val="14"/>
              </w:rPr>
              <w:t>2001</w:t>
            </w:r>
          </w:p>
        </w:tc>
        <w:tc>
          <w:tcPr>
            <w:tcW w:w="617" w:type="dxa"/>
            <w:shd w:val="clear" w:color="auto" w:fill="F9FCF9"/>
          </w:tcPr>
          <w:p>
            <w:pPr>
              <w:pStyle w:val="TableParagraph"/>
              <w:jc w:val="left"/>
              <w:rPr>
                <w:sz w:val="12"/>
              </w:rPr>
            </w:pPr>
          </w:p>
        </w:tc>
        <w:tc>
          <w:tcPr>
            <w:tcW w:w="429" w:type="dxa"/>
            <w:shd w:val="clear" w:color="auto" w:fill="F9FCF9"/>
          </w:tcPr>
          <w:p>
            <w:pPr>
              <w:pStyle w:val="TableParagraph"/>
              <w:jc w:val="left"/>
              <w:rPr>
                <w:sz w:val="12"/>
              </w:rPr>
            </w:pPr>
          </w:p>
        </w:tc>
        <w:tc>
          <w:tcPr>
            <w:tcW w:w="382" w:type="dxa"/>
            <w:shd w:val="clear" w:color="auto" w:fill="F9FCF9"/>
          </w:tcPr>
          <w:p>
            <w:pPr>
              <w:pStyle w:val="TableParagraph"/>
              <w:jc w:val="left"/>
              <w:rPr>
                <w:sz w:val="12"/>
              </w:rPr>
            </w:pPr>
          </w:p>
        </w:tc>
        <w:tc>
          <w:tcPr>
            <w:tcW w:w="85" w:type="dxa"/>
            <w:shd w:val="clear" w:color="auto" w:fill="F9FCF9"/>
          </w:tcPr>
          <w:p>
            <w:pPr>
              <w:pStyle w:val="TableParagraph"/>
              <w:jc w:val="left"/>
              <w:rPr>
                <w:sz w:val="12"/>
              </w:rPr>
            </w:pPr>
          </w:p>
        </w:tc>
        <w:tc>
          <w:tcPr>
            <w:tcW w:w="904" w:type="dxa"/>
            <w:shd w:val="clear" w:color="auto" w:fill="F9FCF9"/>
          </w:tcPr>
          <w:p>
            <w:pPr>
              <w:pStyle w:val="TableParagraph"/>
              <w:jc w:val="left"/>
              <w:rPr>
                <w:sz w:val="12"/>
              </w:rPr>
            </w:pPr>
          </w:p>
        </w:tc>
        <w:tc>
          <w:tcPr>
            <w:tcW w:w="949" w:type="dxa"/>
            <w:shd w:val="clear" w:color="auto" w:fill="F9FCF9"/>
          </w:tcPr>
          <w:p>
            <w:pPr>
              <w:pStyle w:val="TableParagraph"/>
              <w:jc w:val="left"/>
              <w:rPr>
                <w:sz w:val="12"/>
              </w:rPr>
            </w:pPr>
          </w:p>
        </w:tc>
        <w:tc>
          <w:tcPr>
            <w:tcW w:w="1738" w:type="dxa"/>
            <w:shd w:val="clear" w:color="auto" w:fill="F9FCF9"/>
          </w:tcPr>
          <w:p>
            <w:pPr>
              <w:pStyle w:val="TableParagraph"/>
              <w:jc w:val="left"/>
              <w:rPr>
                <w:sz w:val="12"/>
              </w:rPr>
            </w:pP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Fixed charge factor (%)</w:t>
            </w:r>
          </w:p>
        </w:tc>
        <w:tc>
          <w:tcPr>
            <w:tcW w:w="855" w:type="dxa"/>
            <w:shd w:val="clear" w:color="auto" w:fill="F9FCF9"/>
          </w:tcPr>
          <w:p>
            <w:pPr>
              <w:pStyle w:val="TableParagraph"/>
              <w:spacing w:line="148" w:lineRule="exact" w:before="12"/>
              <w:ind w:left="29" w:right="24"/>
              <w:rPr>
                <w:sz w:val="14"/>
              </w:rPr>
            </w:pPr>
            <w:r>
              <w:rPr>
                <w:sz w:val="14"/>
              </w:rPr>
              <w:t>12.8</w:t>
            </w:r>
          </w:p>
        </w:tc>
        <w:tc>
          <w:tcPr>
            <w:tcW w:w="725" w:type="dxa"/>
            <w:shd w:val="clear" w:color="auto" w:fill="F9FCF9"/>
          </w:tcPr>
          <w:p>
            <w:pPr>
              <w:pStyle w:val="TableParagraph"/>
              <w:spacing w:line="148" w:lineRule="exact" w:before="12"/>
              <w:ind w:left="45" w:right="41"/>
              <w:rPr>
                <w:sz w:val="14"/>
              </w:rPr>
            </w:pPr>
            <w:r>
              <w:rPr>
                <w:sz w:val="14"/>
              </w:rPr>
              <w:t>13.0</w:t>
            </w:r>
          </w:p>
        </w:tc>
        <w:tc>
          <w:tcPr>
            <w:tcW w:w="663" w:type="dxa"/>
            <w:shd w:val="clear" w:color="auto" w:fill="F9FCF9"/>
          </w:tcPr>
          <w:p>
            <w:pPr>
              <w:pStyle w:val="TableParagraph"/>
              <w:spacing w:line="148" w:lineRule="exact" w:before="12"/>
              <w:ind w:right="200"/>
              <w:jc w:val="right"/>
              <w:rPr>
                <w:sz w:val="14"/>
              </w:rPr>
            </w:pPr>
            <w:r>
              <w:rPr>
                <w:sz w:val="14"/>
              </w:rPr>
              <w:t>15.0</w:t>
            </w:r>
          </w:p>
        </w:tc>
        <w:tc>
          <w:tcPr>
            <w:tcW w:w="697" w:type="dxa"/>
            <w:shd w:val="clear" w:color="auto" w:fill="F9FCF9"/>
          </w:tcPr>
          <w:p>
            <w:pPr>
              <w:pStyle w:val="TableParagraph"/>
              <w:spacing w:line="148" w:lineRule="exact" w:before="12"/>
              <w:ind w:left="164" w:right="162"/>
              <w:rPr>
                <w:sz w:val="14"/>
              </w:rPr>
            </w:pPr>
            <w:r>
              <w:rPr>
                <w:sz w:val="14"/>
              </w:rPr>
              <w:t>15.0</w:t>
            </w:r>
          </w:p>
        </w:tc>
        <w:tc>
          <w:tcPr>
            <w:tcW w:w="551" w:type="dxa"/>
            <w:shd w:val="clear" w:color="auto" w:fill="F9FCF9"/>
          </w:tcPr>
          <w:p>
            <w:pPr>
              <w:pStyle w:val="TableParagraph"/>
              <w:spacing w:line="148" w:lineRule="exact" w:before="12"/>
              <w:ind w:left="148"/>
              <w:jc w:val="left"/>
              <w:rPr>
                <w:sz w:val="14"/>
              </w:rPr>
            </w:pPr>
            <w:r>
              <w:rPr>
                <w:sz w:val="14"/>
              </w:rPr>
              <w:t>14.8</w:t>
            </w:r>
          </w:p>
        </w:tc>
        <w:tc>
          <w:tcPr>
            <w:tcW w:w="906" w:type="dxa"/>
            <w:shd w:val="clear" w:color="auto" w:fill="F9FCF9"/>
          </w:tcPr>
          <w:p>
            <w:pPr>
              <w:pStyle w:val="TableParagraph"/>
              <w:spacing w:line="148" w:lineRule="exact" w:before="12"/>
              <w:ind w:left="32" w:right="32"/>
              <w:rPr>
                <w:sz w:val="14"/>
              </w:rPr>
            </w:pPr>
            <w:r>
              <w:rPr>
                <w:sz w:val="14"/>
              </w:rPr>
              <w:t>14.8</w:t>
            </w:r>
          </w:p>
        </w:tc>
        <w:tc>
          <w:tcPr>
            <w:tcW w:w="869" w:type="dxa"/>
            <w:shd w:val="clear" w:color="auto" w:fill="F9FCF9"/>
          </w:tcPr>
          <w:p>
            <w:pPr>
              <w:pStyle w:val="TableParagraph"/>
              <w:spacing w:line="148" w:lineRule="exact" w:before="12"/>
              <w:ind w:left="26" w:right="26"/>
              <w:rPr>
                <w:sz w:val="14"/>
              </w:rPr>
            </w:pPr>
            <w:r>
              <w:rPr>
                <w:sz w:val="14"/>
              </w:rPr>
              <w:t>14.8</w:t>
            </w:r>
          </w:p>
        </w:tc>
        <w:tc>
          <w:tcPr>
            <w:tcW w:w="751" w:type="dxa"/>
            <w:shd w:val="clear" w:color="auto" w:fill="F9FCF9"/>
          </w:tcPr>
          <w:p>
            <w:pPr>
              <w:pStyle w:val="TableParagraph"/>
              <w:spacing w:line="148" w:lineRule="exact" w:before="12"/>
              <w:ind w:right="282"/>
              <w:jc w:val="right"/>
              <w:rPr>
                <w:sz w:val="14"/>
              </w:rPr>
            </w:pPr>
            <w:r>
              <w:rPr>
                <w:sz w:val="14"/>
              </w:rPr>
              <w:t>9.4</w:t>
            </w:r>
          </w:p>
        </w:tc>
        <w:tc>
          <w:tcPr>
            <w:tcW w:w="617" w:type="dxa"/>
            <w:shd w:val="clear" w:color="auto" w:fill="F9FCF9"/>
          </w:tcPr>
          <w:p>
            <w:pPr>
              <w:pStyle w:val="TableParagraph"/>
              <w:spacing w:line="148" w:lineRule="exact" w:before="12"/>
              <w:ind w:left="49" w:right="50"/>
              <w:rPr>
                <w:sz w:val="14"/>
              </w:rPr>
            </w:pPr>
            <w:r>
              <w:rPr>
                <w:sz w:val="14"/>
              </w:rPr>
              <w:t>11.8</w:t>
            </w:r>
          </w:p>
        </w:tc>
        <w:tc>
          <w:tcPr>
            <w:tcW w:w="429" w:type="dxa"/>
            <w:shd w:val="clear" w:color="auto" w:fill="F9FCF9"/>
          </w:tcPr>
          <w:p>
            <w:pPr>
              <w:pStyle w:val="TableParagraph"/>
              <w:spacing w:line="148" w:lineRule="exact" w:before="12"/>
              <w:ind w:left="66" w:right="67"/>
              <w:rPr>
                <w:b/>
                <w:sz w:val="14"/>
              </w:rPr>
            </w:pPr>
            <w:r>
              <w:rPr>
                <w:b/>
                <w:sz w:val="14"/>
              </w:rPr>
              <w:t>9.4</w:t>
            </w:r>
          </w:p>
        </w:tc>
        <w:tc>
          <w:tcPr>
            <w:tcW w:w="382" w:type="dxa"/>
            <w:shd w:val="clear" w:color="auto" w:fill="F9FCF9"/>
          </w:tcPr>
          <w:p>
            <w:pPr>
              <w:pStyle w:val="TableParagraph"/>
              <w:spacing w:line="148" w:lineRule="exact" w:before="12"/>
              <w:ind w:left="25" w:right="26"/>
              <w:rPr>
                <w:b/>
                <w:sz w:val="14"/>
              </w:rPr>
            </w:pPr>
            <w:r>
              <w:rPr>
                <w:b/>
                <w:sz w:val="14"/>
              </w:rPr>
              <w:t>15.0</w:t>
            </w:r>
          </w:p>
        </w:tc>
        <w:tc>
          <w:tcPr>
            <w:tcW w:w="85" w:type="dxa"/>
            <w:shd w:val="clear" w:color="auto" w:fill="F9FCF9"/>
          </w:tcPr>
          <w:p>
            <w:pPr>
              <w:pStyle w:val="TableParagraph"/>
              <w:jc w:val="left"/>
              <w:rPr>
                <w:sz w:val="12"/>
              </w:rPr>
            </w:pPr>
          </w:p>
        </w:tc>
        <w:tc>
          <w:tcPr>
            <w:tcW w:w="904" w:type="dxa"/>
            <w:shd w:val="clear" w:color="auto" w:fill="F9FCF9"/>
          </w:tcPr>
          <w:p>
            <w:pPr>
              <w:pStyle w:val="TableParagraph"/>
              <w:spacing w:line="148" w:lineRule="exact" w:before="12"/>
              <w:ind w:left="85" w:right="87"/>
              <w:rPr>
                <w:sz w:val="14"/>
              </w:rPr>
            </w:pPr>
            <w:r>
              <w:rPr>
                <w:sz w:val="14"/>
              </w:rPr>
              <w:t>11.8</w:t>
            </w:r>
          </w:p>
        </w:tc>
        <w:tc>
          <w:tcPr>
            <w:tcW w:w="949" w:type="dxa"/>
            <w:shd w:val="clear" w:color="auto" w:fill="F9FCF9"/>
          </w:tcPr>
          <w:p>
            <w:pPr>
              <w:pStyle w:val="TableParagraph"/>
              <w:spacing w:line="148" w:lineRule="exact" w:before="12"/>
              <w:ind w:left="108" w:right="110"/>
              <w:rPr>
                <w:sz w:val="14"/>
              </w:rPr>
            </w:pPr>
            <w:r>
              <w:rPr>
                <w:sz w:val="14"/>
              </w:rPr>
              <w:t>11.8</w:t>
            </w:r>
          </w:p>
        </w:tc>
        <w:tc>
          <w:tcPr>
            <w:tcW w:w="1738" w:type="dxa"/>
            <w:shd w:val="clear" w:color="auto" w:fill="F9FCF9"/>
          </w:tcPr>
          <w:p>
            <w:pPr>
              <w:pStyle w:val="TableParagraph"/>
              <w:spacing w:line="148" w:lineRule="exact" w:before="12"/>
              <w:ind w:left="90" w:right="93"/>
              <w:rPr>
                <w:sz w:val="14"/>
              </w:rPr>
            </w:pPr>
            <w:r>
              <w:rPr>
                <w:sz w:val="14"/>
              </w:rPr>
              <w:t>15</w:t>
            </w: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Reference plant TCR (US$ kW</w:t>
            </w:r>
            <w:r>
              <w:rPr>
                <w:position w:val="5"/>
                <w:sz w:val="8"/>
              </w:rPr>
              <w:t>-1</w:t>
            </w:r>
            <w:r>
              <w:rPr>
                <w:sz w:val="14"/>
              </w:rPr>
              <w:t>)</w:t>
            </w:r>
          </w:p>
        </w:tc>
        <w:tc>
          <w:tcPr>
            <w:tcW w:w="855" w:type="dxa"/>
            <w:shd w:val="clear" w:color="auto" w:fill="F9FCF9"/>
          </w:tcPr>
          <w:p>
            <w:pPr>
              <w:pStyle w:val="TableParagraph"/>
              <w:spacing w:line="148" w:lineRule="exact" w:before="12"/>
              <w:ind w:left="29" w:right="24"/>
              <w:rPr>
                <w:sz w:val="14"/>
              </w:rPr>
            </w:pPr>
            <w:r>
              <w:rPr>
                <w:sz w:val="14"/>
              </w:rPr>
              <w:t>112</w:t>
            </w:r>
          </w:p>
        </w:tc>
        <w:tc>
          <w:tcPr>
            <w:tcW w:w="725" w:type="dxa"/>
            <w:shd w:val="clear" w:color="auto" w:fill="F9FCF9"/>
          </w:tcPr>
          <w:p>
            <w:pPr>
              <w:pStyle w:val="TableParagraph"/>
              <w:jc w:val="left"/>
              <w:rPr>
                <w:sz w:val="12"/>
              </w:rPr>
            </w:pPr>
          </w:p>
        </w:tc>
        <w:tc>
          <w:tcPr>
            <w:tcW w:w="663" w:type="dxa"/>
            <w:shd w:val="clear" w:color="auto" w:fill="F9FCF9"/>
          </w:tcPr>
          <w:p>
            <w:pPr>
              <w:pStyle w:val="TableParagraph"/>
              <w:jc w:val="left"/>
              <w:rPr>
                <w:sz w:val="12"/>
              </w:rPr>
            </w:pPr>
          </w:p>
        </w:tc>
        <w:tc>
          <w:tcPr>
            <w:tcW w:w="697" w:type="dxa"/>
            <w:shd w:val="clear" w:color="auto" w:fill="F9FCF9"/>
          </w:tcPr>
          <w:p>
            <w:pPr>
              <w:pStyle w:val="TableParagraph"/>
              <w:jc w:val="left"/>
              <w:rPr>
                <w:sz w:val="12"/>
              </w:rPr>
            </w:pPr>
          </w:p>
        </w:tc>
        <w:tc>
          <w:tcPr>
            <w:tcW w:w="551" w:type="dxa"/>
            <w:shd w:val="clear" w:color="auto" w:fill="F9FCF9"/>
          </w:tcPr>
          <w:p>
            <w:pPr>
              <w:pStyle w:val="TableParagraph"/>
              <w:spacing w:line="148" w:lineRule="exact" w:before="12"/>
              <w:ind w:left="1"/>
              <w:rPr>
                <w:sz w:val="14"/>
              </w:rPr>
            </w:pPr>
            <w:r>
              <w:rPr>
                <w:sz w:val="14"/>
              </w:rPr>
              <w:t>0</w:t>
            </w:r>
          </w:p>
        </w:tc>
        <w:tc>
          <w:tcPr>
            <w:tcW w:w="906" w:type="dxa"/>
            <w:shd w:val="clear" w:color="auto" w:fill="F9FCF9"/>
          </w:tcPr>
          <w:p>
            <w:pPr>
              <w:pStyle w:val="TableParagraph"/>
              <w:spacing w:line="148" w:lineRule="exact" w:before="12"/>
              <w:rPr>
                <w:sz w:val="14"/>
              </w:rPr>
            </w:pPr>
            <w:r>
              <w:rPr>
                <w:sz w:val="14"/>
              </w:rPr>
              <w:t>0</w:t>
            </w:r>
          </w:p>
        </w:tc>
        <w:tc>
          <w:tcPr>
            <w:tcW w:w="869" w:type="dxa"/>
            <w:shd w:val="clear" w:color="auto" w:fill="F9FCF9"/>
          </w:tcPr>
          <w:p>
            <w:pPr>
              <w:pStyle w:val="TableParagraph"/>
              <w:spacing w:line="148" w:lineRule="exact" w:before="12"/>
              <w:rPr>
                <w:sz w:val="14"/>
              </w:rPr>
            </w:pPr>
            <w:r>
              <w:rPr>
                <w:sz w:val="14"/>
              </w:rPr>
              <w:t>0</w:t>
            </w:r>
          </w:p>
        </w:tc>
        <w:tc>
          <w:tcPr>
            <w:tcW w:w="751" w:type="dxa"/>
            <w:shd w:val="clear" w:color="auto" w:fill="F9FCF9"/>
          </w:tcPr>
          <w:p>
            <w:pPr>
              <w:pStyle w:val="TableParagraph"/>
              <w:spacing w:line="148" w:lineRule="exact" w:before="12"/>
              <w:ind w:right="1"/>
              <w:rPr>
                <w:sz w:val="14"/>
              </w:rPr>
            </w:pPr>
            <w:r>
              <w:rPr>
                <w:sz w:val="14"/>
              </w:rPr>
              <w:t>0</w:t>
            </w:r>
          </w:p>
        </w:tc>
        <w:tc>
          <w:tcPr>
            <w:tcW w:w="617" w:type="dxa"/>
            <w:shd w:val="clear" w:color="auto" w:fill="F9FCF9"/>
          </w:tcPr>
          <w:p>
            <w:pPr>
              <w:pStyle w:val="TableParagraph"/>
              <w:spacing w:line="148" w:lineRule="exact" w:before="12"/>
              <w:ind w:left="49" w:right="50"/>
              <w:rPr>
                <w:sz w:val="14"/>
              </w:rPr>
            </w:pPr>
            <w:r>
              <w:rPr>
                <w:sz w:val="14"/>
              </w:rPr>
              <w:t>160</w:t>
            </w:r>
          </w:p>
        </w:tc>
        <w:tc>
          <w:tcPr>
            <w:tcW w:w="429" w:type="dxa"/>
            <w:shd w:val="clear" w:color="auto" w:fill="F9FCF9"/>
          </w:tcPr>
          <w:p>
            <w:pPr>
              <w:pStyle w:val="TableParagraph"/>
              <w:spacing w:line="148" w:lineRule="exact" w:before="12"/>
              <w:ind w:right="1"/>
              <w:rPr>
                <w:b/>
                <w:sz w:val="14"/>
              </w:rPr>
            </w:pPr>
            <w:r>
              <w:rPr>
                <w:b/>
                <w:sz w:val="14"/>
              </w:rPr>
              <w:t>0</w:t>
            </w:r>
          </w:p>
        </w:tc>
        <w:tc>
          <w:tcPr>
            <w:tcW w:w="382" w:type="dxa"/>
            <w:shd w:val="clear" w:color="auto" w:fill="F9FCF9"/>
          </w:tcPr>
          <w:p>
            <w:pPr>
              <w:pStyle w:val="TableParagraph"/>
              <w:spacing w:line="148" w:lineRule="exact" w:before="12"/>
              <w:ind w:left="25" w:right="26"/>
              <w:rPr>
                <w:b/>
                <w:sz w:val="14"/>
              </w:rPr>
            </w:pPr>
            <w:r>
              <w:rPr>
                <w:b/>
                <w:sz w:val="14"/>
              </w:rPr>
              <w:t>160</w:t>
            </w:r>
          </w:p>
        </w:tc>
        <w:tc>
          <w:tcPr>
            <w:tcW w:w="85" w:type="dxa"/>
            <w:shd w:val="clear" w:color="auto" w:fill="F9FCF9"/>
          </w:tcPr>
          <w:p>
            <w:pPr>
              <w:pStyle w:val="TableParagraph"/>
              <w:jc w:val="left"/>
              <w:rPr>
                <w:sz w:val="12"/>
              </w:rPr>
            </w:pPr>
          </w:p>
        </w:tc>
        <w:tc>
          <w:tcPr>
            <w:tcW w:w="904" w:type="dxa"/>
            <w:shd w:val="clear" w:color="auto" w:fill="F9FCF9"/>
          </w:tcPr>
          <w:p>
            <w:pPr>
              <w:pStyle w:val="TableParagraph"/>
              <w:spacing w:line="148" w:lineRule="exact" w:before="12"/>
              <w:ind w:left="85" w:right="87"/>
              <w:rPr>
                <w:sz w:val="14"/>
              </w:rPr>
            </w:pPr>
            <w:r>
              <w:rPr>
                <w:sz w:val="14"/>
              </w:rPr>
              <w:t>480</w:t>
            </w:r>
          </w:p>
        </w:tc>
        <w:tc>
          <w:tcPr>
            <w:tcW w:w="949" w:type="dxa"/>
            <w:shd w:val="clear" w:color="auto" w:fill="F9FCF9"/>
          </w:tcPr>
          <w:p>
            <w:pPr>
              <w:pStyle w:val="TableParagraph"/>
              <w:spacing w:line="148" w:lineRule="exact" w:before="12"/>
              <w:ind w:left="108" w:right="110"/>
              <w:rPr>
                <w:sz w:val="14"/>
              </w:rPr>
            </w:pPr>
            <w:r>
              <w:rPr>
                <w:sz w:val="14"/>
              </w:rPr>
              <w:t>480</w:t>
            </w:r>
          </w:p>
        </w:tc>
        <w:tc>
          <w:tcPr>
            <w:tcW w:w="1738" w:type="dxa"/>
            <w:shd w:val="clear" w:color="auto" w:fill="F9FCF9"/>
          </w:tcPr>
          <w:p>
            <w:pPr>
              <w:pStyle w:val="TableParagraph"/>
              <w:spacing w:line="148" w:lineRule="exact" w:before="12"/>
              <w:ind w:right="3"/>
              <w:rPr>
                <w:sz w:val="14"/>
              </w:rPr>
            </w:pPr>
            <w:r>
              <w:rPr>
                <w:sz w:val="14"/>
              </w:rPr>
              <w:t>0</w:t>
            </w: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Capture plant TCR (US$ kW</w:t>
            </w:r>
            <w:r>
              <w:rPr>
                <w:position w:val="5"/>
                <w:sz w:val="8"/>
              </w:rPr>
              <w:t>-1</w:t>
            </w:r>
            <w:r>
              <w:rPr>
                <w:sz w:val="14"/>
              </w:rPr>
              <w:t>)</w:t>
            </w:r>
          </w:p>
        </w:tc>
        <w:tc>
          <w:tcPr>
            <w:tcW w:w="855" w:type="dxa"/>
            <w:shd w:val="clear" w:color="auto" w:fill="F9FCF9"/>
          </w:tcPr>
          <w:p>
            <w:pPr>
              <w:pStyle w:val="TableParagraph"/>
              <w:spacing w:line="148" w:lineRule="exact" w:before="12"/>
              <w:ind w:left="29" w:right="24"/>
              <w:rPr>
                <w:sz w:val="14"/>
              </w:rPr>
            </w:pPr>
            <w:r>
              <w:rPr>
                <w:sz w:val="14"/>
              </w:rPr>
              <w:t>1059</w:t>
            </w:r>
          </w:p>
        </w:tc>
        <w:tc>
          <w:tcPr>
            <w:tcW w:w="725" w:type="dxa"/>
            <w:shd w:val="clear" w:color="auto" w:fill="F9FCF9"/>
          </w:tcPr>
          <w:p>
            <w:pPr>
              <w:pStyle w:val="TableParagraph"/>
              <w:spacing w:line="148" w:lineRule="exact" w:before="12"/>
              <w:ind w:left="45" w:right="41"/>
              <w:rPr>
                <w:sz w:val="14"/>
              </w:rPr>
            </w:pPr>
            <w:r>
              <w:rPr>
                <w:sz w:val="14"/>
              </w:rPr>
              <w:t>1941</w:t>
            </w:r>
          </w:p>
        </w:tc>
        <w:tc>
          <w:tcPr>
            <w:tcW w:w="663" w:type="dxa"/>
            <w:shd w:val="clear" w:color="auto" w:fill="F9FCF9"/>
          </w:tcPr>
          <w:p>
            <w:pPr>
              <w:pStyle w:val="TableParagraph"/>
              <w:jc w:val="left"/>
              <w:rPr>
                <w:sz w:val="12"/>
              </w:rPr>
            </w:pPr>
          </w:p>
        </w:tc>
        <w:tc>
          <w:tcPr>
            <w:tcW w:w="697" w:type="dxa"/>
            <w:shd w:val="clear" w:color="auto" w:fill="F9FCF9"/>
          </w:tcPr>
          <w:p>
            <w:pPr>
              <w:pStyle w:val="TableParagraph"/>
              <w:jc w:val="left"/>
              <w:rPr>
                <w:sz w:val="12"/>
              </w:rPr>
            </w:pPr>
          </w:p>
        </w:tc>
        <w:tc>
          <w:tcPr>
            <w:tcW w:w="551" w:type="dxa"/>
            <w:shd w:val="clear" w:color="auto" w:fill="F9FCF9"/>
          </w:tcPr>
          <w:p>
            <w:pPr>
              <w:pStyle w:val="TableParagraph"/>
              <w:spacing w:line="148" w:lineRule="exact" w:before="12"/>
              <w:ind w:left="166"/>
              <w:jc w:val="left"/>
              <w:rPr>
                <w:sz w:val="14"/>
              </w:rPr>
            </w:pPr>
            <w:r>
              <w:rPr>
                <w:sz w:val="14"/>
              </w:rPr>
              <w:t>837</w:t>
            </w:r>
          </w:p>
        </w:tc>
        <w:tc>
          <w:tcPr>
            <w:tcW w:w="906" w:type="dxa"/>
            <w:shd w:val="clear" w:color="auto" w:fill="F9FCF9"/>
          </w:tcPr>
          <w:p>
            <w:pPr>
              <w:pStyle w:val="TableParagraph"/>
              <w:spacing w:line="148" w:lineRule="exact" w:before="12"/>
              <w:ind w:left="32" w:right="32"/>
              <w:rPr>
                <w:sz w:val="14"/>
              </w:rPr>
            </w:pPr>
            <w:r>
              <w:rPr>
                <w:sz w:val="14"/>
              </w:rPr>
              <w:t>647</w:t>
            </w:r>
          </w:p>
        </w:tc>
        <w:tc>
          <w:tcPr>
            <w:tcW w:w="869" w:type="dxa"/>
            <w:shd w:val="clear" w:color="auto" w:fill="F9FCF9"/>
          </w:tcPr>
          <w:p>
            <w:pPr>
              <w:pStyle w:val="TableParagraph"/>
              <w:spacing w:line="148" w:lineRule="exact" w:before="12"/>
              <w:ind w:left="26" w:right="26"/>
              <w:rPr>
                <w:sz w:val="14"/>
              </w:rPr>
            </w:pPr>
            <w:r>
              <w:rPr>
                <w:sz w:val="14"/>
              </w:rPr>
              <w:t>654</w:t>
            </w:r>
          </w:p>
        </w:tc>
        <w:tc>
          <w:tcPr>
            <w:tcW w:w="751" w:type="dxa"/>
            <w:shd w:val="clear" w:color="auto" w:fill="F9FCF9"/>
          </w:tcPr>
          <w:p>
            <w:pPr>
              <w:pStyle w:val="TableParagraph"/>
              <w:spacing w:line="148" w:lineRule="exact" w:before="12"/>
              <w:ind w:right="265"/>
              <w:jc w:val="right"/>
              <w:rPr>
                <w:sz w:val="14"/>
              </w:rPr>
            </w:pPr>
            <w:r>
              <w:rPr>
                <w:sz w:val="14"/>
              </w:rPr>
              <w:t>846</w:t>
            </w:r>
          </w:p>
        </w:tc>
        <w:tc>
          <w:tcPr>
            <w:tcW w:w="617" w:type="dxa"/>
            <w:shd w:val="clear" w:color="auto" w:fill="F9FCF9"/>
          </w:tcPr>
          <w:p>
            <w:pPr>
              <w:pStyle w:val="TableParagraph"/>
              <w:spacing w:line="148" w:lineRule="exact" w:before="12"/>
              <w:ind w:left="49" w:right="50"/>
              <w:rPr>
                <w:sz w:val="14"/>
              </w:rPr>
            </w:pPr>
            <w:r>
              <w:rPr>
                <w:sz w:val="14"/>
              </w:rPr>
              <w:t>1028</w:t>
            </w:r>
          </w:p>
        </w:tc>
        <w:tc>
          <w:tcPr>
            <w:tcW w:w="429" w:type="dxa"/>
            <w:shd w:val="clear" w:color="auto" w:fill="F9FCF9"/>
          </w:tcPr>
          <w:p>
            <w:pPr>
              <w:pStyle w:val="TableParagraph"/>
              <w:spacing w:line="148" w:lineRule="exact" w:before="12"/>
              <w:ind w:left="66" w:right="67"/>
              <w:rPr>
                <w:b/>
                <w:sz w:val="14"/>
              </w:rPr>
            </w:pPr>
            <w:r>
              <w:rPr>
                <w:b/>
                <w:sz w:val="14"/>
              </w:rPr>
              <w:t>647</w:t>
            </w:r>
          </w:p>
        </w:tc>
        <w:tc>
          <w:tcPr>
            <w:tcW w:w="382" w:type="dxa"/>
            <w:shd w:val="clear" w:color="auto" w:fill="F9FCF9"/>
          </w:tcPr>
          <w:p>
            <w:pPr>
              <w:pStyle w:val="TableParagraph"/>
              <w:spacing w:line="148" w:lineRule="exact" w:before="12"/>
              <w:ind w:left="25" w:right="26"/>
              <w:rPr>
                <w:b/>
                <w:sz w:val="14"/>
              </w:rPr>
            </w:pPr>
            <w:r>
              <w:rPr>
                <w:b/>
                <w:sz w:val="14"/>
              </w:rPr>
              <w:t>1941</w:t>
            </w:r>
          </w:p>
        </w:tc>
        <w:tc>
          <w:tcPr>
            <w:tcW w:w="85" w:type="dxa"/>
            <w:shd w:val="clear" w:color="auto" w:fill="F9FCF9"/>
          </w:tcPr>
          <w:p>
            <w:pPr>
              <w:pStyle w:val="TableParagraph"/>
              <w:jc w:val="left"/>
              <w:rPr>
                <w:sz w:val="12"/>
              </w:rPr>
            </w:pPr>
          </w:p>
        </w:tc>
        <w:tc>
          <w:tcPr>
            <w:tcW w:w="904" w:type="dxa"/>
            <w:shd w:val="clear" w:color="auto" w:fill="F9FCF9"/>
          </w:tcPr>
          <w:p>
            <w:pPr>
              <w:pStyle w:val="TableParagraph"/>
              <w:spacing w:line="148" w:lineRule="exact" w:before="12"/>
              <w:ind w:left="85" w:right="87"/>
              <w:rPr>
                <w:sz w:val="14"/>
              </w:rPr>
            </w:pPr>
            <w:r>
              <w:rPr>
                <w:sz w:val="14"/>
              </w:rPr>
              <w:t>1282</w:t>
            </w:r>
          </w:p>
        </w:tc>
        <w:tc>
          <w:tcPr>
            <w:tcW w:w="949" w:type="dxa"/>
            <w:shd w:val="clear" w:color="auto" w:fill="F9FCF9"/>
          </w:tcPr>
          <w:p>
            <w:pPr>
              <w:pStyle w:val="TableParagraph"/>
              <w:spacing w:line="148" w:lineRule="exact" w:before="12"/>
              <w:ind w:left="108" w:right="110"/>
              <w:rPr>
                <w:sz w:val="14"/>
              </w:rPr>
            </w:pPr>
            <w:r>
              <w:rPr>
                <w:sz w:val="14"/>
              </w:rPr>
              <w:t>1170</w:t>
            </w:r>
          </w:p>
        </w:tc>
        <w:tc>
          <w:tcPr>
            <w:tcW w:w="1738" w:type="dxa"/>
            <w:shd w:val="clear" w:color="auto" w:fill="F9FCF9"/>
          </w:tcPr>
          <w:p>
            <w:pPr>
              <w:pStyle w:val="TableParagraph"/>
              <w:spacing w:line="148" w:lineRule="exact" w:before="12"/>
              <w:ind w:left="90" w:right="93"/>
              <w:rPr>
                <w:sz w:val="14"/>
              </w:rPr>
            </w:pPr>
            <w:r>
              <w:rPr>
                <w:sz w:val="14"/>
              </w:rPr>
              <w:t>1493</w:t>
            </w: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Incremental TCR for capture (US$ kW</w:t>
            </w:r>
            <w:r>
              <w:rPr>
                <w:position w:val="5"/>
                <w:sz w:val="8"/>
              </w:rPr>
              <w:t>-1</w:t>
            </w:r>
            <w:r>
              <w:rPr>
                <w:sz w:val="14"/>
              </w:rPr>
              <w:t>)</w:t>
            </w:r>
          </w:p>
        </w:tc>
        <w:tc>
          <w:tcPr>
            <w:tcW w:w="855" w:type="dxa"/>
            <w:shd w:val="clear" w:color="auto" w:fill="F9FCF9"/>
          </w:tcPr>
          <w:p>
            <w:pPr>
              <w:pStyle w:val="TableParagraph"/>
              <w:spacing w:line="148" w:lineRule="exact" w:before="12"/>
              <w:ind w:left="29" w:right="24"/>
              <w:rPr>
                <w:sz w:val="14"/>
              </w:rPr>
            </w:pPr>
            <w:r>
              <w:rPr>
                <w:sz w:val="14"/>
              </w:rPr>
              <w:t>947</w:t>
            </w:r>
          </w:p>
        </w:tc>
        <w:tc>
          <w:tcPr>
            <w:tcW w:w="725" w:type="dxa"/>
            <w:shd w:val="clear" w:color="auto" w:fill="F9FCF9"/>
          </w:tcPr>
          <w:p>
            <w:pPr>
              <w:pStyle w:val="TableParagraph"/>
              <w:spacing w:line="148" w:lineRule="exact" w:before="12"/>
              <w:ind w:left="45" w:right="41"/>
              <w:rPr>
                <w:sz w:val="14"/>
              </w:rPr>
            </w:pPr>
            <w:r>
              <w:rPr>
                <w:sz w:val="14"/>
              </w:rPr>
              <w:t>1602</w:t>
            </w:r>
          </w:p>
        </w:tc>
        <w:tc>
          <w:tcPr>
            <w:tcW w:w="663" w:type="dxa"/>
            <w:shd w:val="clear" w:color="auto" w:fill="F9FCF9"/>
          </w:tcPr>
          <w:p>
            <w:pPr>
              <w:pStyle w:val="TableParagraph"/>
              <w:jc w:val="left"/>
              <w:rPr>
                <w:sz w:val="12"/>
              </w:rPr>
            </w:pPr>
          </w:p>
        </w:tc>
        <w:tc>
          <w:tcPr>
            <w:tcW w:w="697" w:type="dxa"/>
            <w:shd w:val="clear" w:color="auto" w:fill="F9FCF9"/>
          </w:tcPr>
          <w:p>
            <w:pPr>
              <w:pStyle w:val="TableParagraph"/>
              <w:jc w:val="left"/>
              <w:rPr>
                <w:sz w:val="12"/>
              </w:rPr>
            </w:pPr>
          </w:p>
        </w:tc>
        <w:tc>
          <w:tcPr>
            <w:tcW w:w="551" w:type="dxa"/>
            <w:shd w:val="clear" w:color="auto" w:fill="F9FCF9"/>
          </w:tcPr>
          <w:p>
            <w:pPr>
              <w:pStyle w:val="TableParagraph"/>
              <w:spacing w:line="148" w:lineRule="exact" w:before="12"/>
              <w:ind w:left="166"/>
              <w:jc w:val="left"/>
              <w:rPr>
                <w:sz w:val="14"/>
              </w:rPr>
            </w:pPr>
            <w:r>
              <w:rPr>
                <w:sz w:val="14"/>
              </w:rPr>
              <w:t>837</w:t>
            </w:r>
          </w:p>
        </w:tc>
        <w:tc>
          <w:tcPr>
            <w:tcW w:w="906" w:type="dxa"/>
            <w:shd w:val="clear" w:color="auto" w:fill="F9FCF9"/>
          </w:tcPr>
          <w:p>
            <w:pPr>
              <w:pStyle w:val="TableParagraph"/>
              <w:spacing w:line="148" w:lineRule="exact" w:before="12"/>
              <w:ind w:left="32" w:right="32"/>
              <w:rPr>
                <w:sz w:val="14"/>
              </w:rPr>
            </w:pPr>
            <w:r>
              <w:rPr>
                <w:sz w:val="14"/>
              </w:rPr>
              <w:t>647</w:t>
            </w:r>
          </w:p>
        </w:tc>
        <w:tc>
          <w:tcPr>
            <w:tcW w:w="869" w:type="dxa"/>
            <w:shd w:val="clear" w:color="auto" w:fill="F9FCF9"/>
          </w:tcPr>
          <w:p>
            <w:pPr>
              <w:pStyle w:val="TableParagraph"/>
              <w:spacing w:line="148" w:lineRule="exact" w:before="12"/>
              <w:ind w:left="26" w:right="26"/>
              <w:rPr>
                <w:sz w:val="14"/>
              </w:rPr>
            </w:pPr>
            <w:r>
              <w:rPr>
                <w:sz w:val="14"/>
              </w:rPr>
              <w:t>654</w:t>
            </w:r>
          </w:p>
        </w:tc>
        <w:tc>
          <w:tcPr>
            <w:tcW w:w="751" w:type="dxa"/>
            <w:shd w:val="clear" w:color="auto" w:fill="F9FCF9"/>
          </w:tcPr>
          <w:p>
            <w:pPr>
              <w:pStyle w:val="TableParagraph"/>
              <w:spacing w:line="148" w:lineRule="exact" w:before="12"/>
              <w:ind w:right="265"/>
              <w:jc w:val="right"/>
              <w:rPr>
                <w:sz w:val="14"/>
              </w:rPr>
            </w:pPr>
            <w:r>
              <w:rPr>
                <w:sz w:val="14"/>
              </w:rPr>
              <w:t>846</w:t>
            </w:r>
          </w:p>
        </w:tc>
        <w:tc>
          <w:tcPr>
            <w:tcW w:w="617" w:type="dxa"/>
            <w:shd w:val="clear" w:color="auto" w:fill="F9FCF9"/>
          </w:tcPr>
          <w:p>
            <w:pPr>
              <w:pStyle w:val="TableParagraph"/>
              <w:spacing w:line="148" w:lineRule="exact" w:before="12"/>
              <w:ind w:left="49" w:right="50"/>
              <w:rPr>
                <w:sz w:val="14"/>
              </w:rPr>
            </w:pPr>
            <w:r>
              <w:rPr>
                <w:sz w:val="14"/>
              </w:rPr>
              <w:t>868</w:t>
            </w:r>
          </w:p>
        </w:tc>
        <w:tc>
          <w:tcPr>
            <w:tcW w:w="429" w:type="dxa"/>
            <w:shd w:val="clear" w:color="auto" w:fill="F9FCF9"/>
          </w:tcPr>
          <w:p>
            <w:pPr>
              <w:pStyle w:val="TableParagraph"/>
              <w:spacing w:line="148" w:lineRule="exact" w:before="12"/>
              <w:ind w:left="66" w:right="67"/>
              <w:rPr>
                <w:b/>
                <w:sz w:val="14"/>
              </w:rPr>
            </w:pPr>
            <w:r>
              <w:rPr>
                <w:b/>
                <w:sz w:val="14"/>
              </w:rPr>
              <w:t>647</w:t>
            </w:r>
          </w:p>
        </w:tc>
        <w:tc>
          <w:tcPr>
            <w:tcW w:w="382" w:type="dxa"/>
            <w:shd w:val="clear" w:color="auto" w:fill="F9FCF9"/>
          </w:tcPr>
          <w:p>
            <w:pPr>
              <w:pStyle w:val="TableParagraph"/>
              <w:spacing w:line="148" w:lineRule="exact" w:before="12"/>
              <w:ind w:left="25" w:right="26"/>
              <w:rPr>
                <w:b/>
                <w:sz w:val="14"/>
              </w:rPr>
            </w:pPr>
            <w:r>
              <w:rPr>
                <w:b/>
                <w:sz w:val="14"/>
              </w:rPr>
              <w:t>1602</w:t>
            </w:r>
          </w:p>
        </w:tc>
        <w:tc>
          <w:tcPr>
            <w:tcW w:w="85" w:type="dxa"/>
            <w:shd w:val="clear" w:color="auto" w:fill="F9FCF9"/>
          </w:tcPr>
          <w:p>
            <w:pPr>
              <w:pStyle w:val="TableParagraph"/>
              <w:jc w:val="left"/>
              <w:rPr>
                <w:sz w:val="12"/>
              </w:rPr>
            </w:pPr>
          </w:p>
        </w:tc>
        <w:tc>
          <w:tcPr>
            <w:tcW w:w="904" w:type="dxa"/>
            <w:shd w:val="clear" w:color="auto" w:fill="F9FCF9"/>
          </w:tcPr>
          <w:p>
            <w:pPr>
              <w:pStyle w:val="TableParagraph"/>
              <w:spacing w:line="148" w:lineRule="exact" w:before="12"/>
              <w:ind w:left="85" w:right="87"/>
              <w:rPr>
                <w:sz w:val="14"/>
              </w:rPr>
            </w:pPr>
            <w:r>
              <w:rPr>
                <w:sz w:val="14"/>
              </w:rPr>
              <w:t>802</w:t>
            </w:r>
          </w:p>
        </w:tc>
        <w:tc>
          <w:tcPr>
            <w:tcW w:w="949" w:type="dxa"/>
            <w:shd w:val="clear" w:color="auto" w:fill="F9FCF9"/>
          </w:tcPr>
          <w:p>
            <w:pPr>
              <w:pStyle w:val="TableParagraph"/>
              <w:spacing w:line="148" w:lineRule="exact" w:before="12"/>
              <w:ind w:left="108" w:right="110"/>
              <w:rPr>
                <w:sz w:val="14"/>
              </w:rPr>
            </w:pPr>
            <w:r>
              <w:rPr>
                <w:sz w:val="14"/>
              </w:rPr>
              <w:t>690</w:t>
            </w:r>
          </w:p>
        </w:tc>
        <w:tc>
          <w:tcPr>
            <w:tcW w:w="1738" w:type="dxa"/>
            <w:shd w:val="clear" w:color="auto" w:fill="F9FCF9"/>
          </w:tcPr>
          <w:p>
            <w:pPr>
              <w:pStyle w:val="TableParagraph"/>
              <w:spacing w:line="148" w:lineRule="exact" w:before="12"/>
              <w:ind w:left="90" w:right="93"/>
              <w:rPr>
                <w:sz w:val="14"/>
              </w:rPr>
            </w:pPr>
            <w:r>
              <w:rPr>
                <w:sz w:val="14"/>
              </w:rPr>
              <w:t>1493</w:t>
            </w:r>
          </w:p>
        </w:tc>
      </w:tr>
      <w:tr>
        <w:trPr>
          <w:trHeight w:val="180" w:hRule="atLeast"/>
        </w:trPr>
        <w:tc>
          <w:tcPr>
            <w:tcW w:w="2467" w:type="dxa"/>
            <w:shd w:val="clear" w:color="auto" w:fill="F9FCF9"/>
          </w:tcPr>
          <w:p>
            <w:pPr>
              <w:pStyle w:val="TableParagraph"/>
              <w:spacing w:line="148" w:lineRule="exact" w:before="11"/>
              <w:ind w:left="20"/>
              <w:jc w:val="left"/>
              <w:rPr>
                <w:b/>
                <w:sz w:val="14"/>
              </w:rPr>
            </w:pPr>
            <w:r>
              <w:rPr>
                <w:b/>
                <w:sz w:val="14"/>
              </w:rPr>
              <w:t>Reference plant COE (uS$ mWh</w:t>
            </w:r>
            <w:r>
              <w:rPr>
                <w:b/>
                <w:position w:val="5"/>
                <w:sz w:val="8"/>
              </w:rPr>
              <w:t>-1</w:t>
            </w:r>
            <w:r>
              <w:rPr>
                <w:b/>
                <w:sz w:val="14"/>
              </w:rPr>
              <w:t>)</w:t>
            </w:r>
          </w:p>
        </w:tc>
        <w:tc>
          <w:tcPr>
            <w:tcW w:w="855" w:type="dxa"/>
            <w:shd w:val="clear" w:color="auto" w:fill="F9FCF9"/>
          </w:tcPr>
          <w:p>
            <w:pPr>
              <w:pStyle w:val="TableParagraph"/>
              <w:spacing w:line="148" w:lineRule="exact" w:before="12"/>
              <w:ind w:left="29" w:right="24"/>
              <w:rPr>
                <w:b/>
                <w:sz w:val="14"/>
              </w:rPr>
            </w:pPr>
            <w:r>
              <w:rPr>
                <w:b/>
                <w:sz w:val="14"/>
              </w:rPr>
              <w:t>18.8</w:t>
            </w:r>
          </w:p>
        </w:tc>
        <w:tc>
          <w:tcPr>
            <w:tcW w:w="725" w:type="dxa"/>
            <w:shd w:val="clear" w:color="auto" w:fill="F9FCF9"/>
          </w:tcPr>
          <w:p>
            <w:pPr>
              <w:pStyle w:val="TableParagraph"/>
              <w:jc w:val="left"/>
              <w:rPr>
                <w:sz w:val="12"/>
              </w:rPr>
            </w:pPr>
          </w:p>
        </w:tc>
        <w:tc>
          <w:tcPr>
            <w:tcW w:w="663" w:type="dxa"/>
            <w:shd w:val="clear" w:color="auto" w:fill="F9FCF9"/>
          </w:tcPr>
          <w:p>
            <w:pPr>
              <w:pStyle w:val="TableParagraph"/>
              <w:spacing w:line="148" w:lineRule="exact" w:before="12"/>
              <w:ind w:right="200"/>
              <w:jc w:val="right"/>
              <w:rPr>
                <w:b/>
                <w:sz w:val="14"/>
              </w:rPr>
            </w:pPr>
            <w:r>
              <w:rPr>
                <w:b/>
                <w:sz w:val="14"/>
              </w:rPr>
              <w:t>18.0</w:t>
            </w:r>
          </w:p>
        </w:tc>
        <w:tc>
          <w:tcPr>
            <w:tcW w:w="697" w:type="dxa"/>
            <w:shd w:val="clear" w:color="auto" w:fill="F9FCF9"/>
          </w:tcPr>
          <w:p>
            <w:pPr>
              <w:pStyle w:val="TableParagraph"/>
              <w:spacing w:line="148" w:lineRule="exact" w:before="12"/>
              <w:ind w:left="164" w:right="162"/>
              <w:rPr>
                <w:b/>
                <w:sz w:val="14"/>
              </w:rPr>
            </w:pPr>
            <w:r>
              <w:rPr>
                <w:b/>
                <w:sz w:val="14"/>
              </w:rPr>
              <w:t>18.0</w:t>
            </w:r>
          </w:p>
        </w:tc>
        <w:tc>
          <w:tcPr>
            <w:tcW w:w="551" w:type="dxa"/>
            <w:shd w:val="clear" w:color="auto" w:fill="F9FCF9"/>
          </w:tcPr>
          <w:p>
            <w:pPr>
              <w:pStyle w:val="TableParagraph"/>
              <w:spacing w:line="148" w:lineRule="exact" w:before="12"/>
              <w:ind w:left="148"/>
              <w:jc w:val="left"/>
              <w:rPr>
                <w:b/>
                <w:sz w:val="14"/>
              </w:rPr>
            </w:pPr>
            <w:r>
              <w:rPr>
                <w:b/>
                <w:sz w:val="14"/>
              </w:rPr>
              <w:t>20.6</w:t>
            </w:r>
          </w:p>
        </w:tc>
        <w:tc>
          <w:tcPr>
            <w:tcW w:w="906" w:type="dxa"/>
            <w:shd w:val="clear" w:color="auto" w:fill="F9FCF9"/>
          </w:tcPr>
          <w:p>
            <w:pPr>
              <w:pStyle w:val="TableParagraph"/>
              <w:spacing w:line="148" w:lineRule="exact" w:before="12"/>
              <w:ind w:left="32" w:right="32"/>
              <w:rPr>
                <w:b/>
                <w:sz w:val="14"/>
              </w:rPr>
            </w:pPr>
            <w:r>
              <w:rPr>
                <w:b/>
                <w:sz w:val="14"/>
              </w:rPr>
              <w:t>20.6</w:t>
            </w:r>
          </w:p>
        </w:tc>
        <w:tc>
          <w:tcPr>
            <w:tcW w:w="869" w:type="dxa"/>
            <w:shd w:val="clear" w:color="auto" w:fill="F9FCF9"/>
          </w:tcPr>
          <w:p>
            <w:pPr>
              <w:pStyle w:val="TableParagraph"/>
              <w:spacing w:line="148" w:lineRule="exact" w:before="12"/>
              <w:ind w:left="26" w:right="26"/>
              <w:rPr>
                <w:b/>
                <w:sz w:val="14"/>
              </w:rPr>
            </w:pPr>
            <w:r>
              <w:rPr>
                <w:b/>
                <w:sz w:val="14"/>
              </w:rPr>
              <w:t>20.6</w:t>
            </w:r>
          </w:p>
        </w:tc>
        <w:tc>
          <w:tcPr>
            <w:tcW w:w="751" w:type="dxa"/>
            <w:shd w:val="clear" w:color="auto" w:fill="F9FCF9"/>
          </w:tcPr>
          <w:p>
            <w:pPr>
              <w:pStyle w:val="TableParagraph"/>
              <w:jc w:val="left"/>
              <w:rPr>
                <w:sz w:val="12"/>
              </w:rPr>
            </w:pPr>
          </w:p>
        </w:tc>
        <w:tc>
          <w:tcPr>
            <w:tcW w:w="617" w:type="dxa"/>
            <w:shd w:val="clear" w:color="auto" w:fill="F9FCF9"/>
          </w:tcPr>
          <w:p>
            <w:pPr>
              <w:pStyle w:val="TableParagraph"/>
              <w:spacing w:line="148" w:lineRule="exact" w:before="12"/>
              <w:ind w:left="49" w:right="50"/>
              <w:rPr>
                <w:b/>
                <w:sz w:val="14"/>
              </w:rPr>
            </w:pPr>
            <w:r>
              <w:rPr>
                <w:b/>
                <w:sz w:val="14"/>
              </w:rPr>
              <w:t>26.0</w:t>
            </w:r>
          </w:p>
        </w:tc>
        <w:tc>
          <w:tcPr>
            <w:tcW w:w="429" w:type="dxa"/>
            <w:shd w:val="clear" w:color="auto" w:fill="F9FCF9"/>
          </w:tcPr>
          <w:p>
            <w:pPr>
              <w:pStyle w:val="TableParagraph"/>
              <w:spacing w:line="148" w:lineRule="exact" w:before="12"/>
              <w:ind w:left="66" w:right="67"/>
              <w:rPr>
                <w:b/>
                <w:sz w:val="14"/>
              </w:rPr>
            </w:pPr>
            <w:r>
              <w:rPr>
                <w:b/>
                <w:sz w:val="14"/>
              </w:rPr>
              <w:t>18</w:t>
            </w:r>
          </w:p>
        </w:tc>
        <w:tc>
          <w:tcPr>
            <w:tcW w:w="382" w:type="dxa"/>
            <w:shd w:val="clear" w:color="auto" w:fill="F9FCF9"/>
          </w:tcPr>
          <w:p>
            <w:pPr>
              <w:pStyle w:val="TableParagraph"/>
              <w:spacing w:line="148" w:lineRule="exact" w:before="12"/>
              <w:ind w:left="25" w:right="26"/>
              <w:rPr>
                <w:b/>
                <w:sz w:val="14"/>
              </w:rPr>
            </w:pPr>
            <w:r>
              <w:rPr>
                <w:b/>
                <w:sz w:val="14"/>
              </w:rPr>
              <w:t>26</w:t>
            </w:r>
          </w:p>
        </w:tc>
        <w:tc>
          <w:tcPr>
            <w:tcW w:w="85" w:type="dxa"/>
            <w:shd w:val="clear" w:color="auto" w:fill="F9FCF9"/>
          </w:tcPr>
          <w:p>
            <w:pPr>
              <w:pStyle w:val="TableParagraph"/>
              <w:jc w:val="left"/>
              <w:rPr>
                <w:sz w:val="12"/>
              </w:rPr>
            </w:pPr>
          </w:p>
        </w:tc>
        <w:tc>
          <w:tcPr>
            <w:tcW w:w="904" w:type="dxa"/>
            <w:shd w:val="clear" w:color="auto" w:fill="F9FCF9"/>
          </w:tcPr>
          <w:p>
            <w:pPr>
              <w:pStyle w:val="TableParagraph"/>
              <w:spacing w:line="148" w:lineRule="exact" w:before="12"/>
              <w:ind w:left="85" w:right="87"/>
              <w:rPr>
                <w:b/>
                <w:sz w:val="14"/>
              </w:rPr>
            </w:pPr>
            <w:r>
              <w:rPr>
                <w:b/>
                <w:sz w:val="14"/>
              </w:rPr>
              <w:t>27.0</w:t>
            </w:r>
          </w:p>
        </w:tc>
        <w:tc>
          <w:tcPr>
            <w:tcW w:w="949" w:type="dxa"/>
            <w:shd w:val="clear" w:color="auto" w:fill="F9FCF9"/>
          </w:tcPr>
          <w:p>
            <w:pPr>
              <w:pStyle w:val="TableParagraph"/>
              <w:spacing w:line="148" w:lineRule="exact" w:before="12"/>
              <w:ind w:left="108" w:right="110"/>
              <w:rPr>
                <w:b/>
                <w:sz w:val="14"/>
              </w:rPr>
            </w:pPr>
            <w:r>
              <w:rPr>
                <w:b/>
                <w:sz w:val="14"/>
              </w:rPr>
              <w:t>27.0</w:t>
            </w:r>
          </w:p>
        </w:tc>
        <w:tc>
          <w:tcPr>
            <w:tcW w:w="1738" w:type="dxa"/>
            <w:shd w:val="clear" w:color="auto" w:fill="F9FCF9"/>
          </w:tcPr>
          <w:p>
            <w:pPr>
              <w:pStyle w:val="TableParagraph"/>
              <w:spacing w:line="148" w:lineRule="exact" w:before="12"/>
              <w:ind w:left="90" w:right="93"/>
              <w:rPr>
                <w:b/>
                <w:sz w:val="14"/>
              </w:rPr>
            </w:pPr>
            <w:r>
              <w:rPr>
                <w:b/>
                <w:sz w:val="14"/>
              </w:rPr>
              <w:t>21</w:t>
            </w:r>
          </w:p>
        </w:tc>
      </w:tr>
      <w:tr>
        <w:trPr>
          <w:trHeight w:val="180" w:hRule="atLeast"/>
        </w:trPr>
        <w:tc>
          <w:tcPr>
            <w:tcW w:w="2467" w:type="dxa"/>
            <w:shd w:val="clear" w:color="auto" w:fill="F9FCF9"/>
          </w:tcPr>
          <w:p>
            <w:pPr>
              <w:pStyle w:val="TableParagraph"/>
              <w:spacing w:line="148" w:lineRule="exact" w:before="11"/>
              <w:ind w:left="20"/>
              <w:jc w:val="left"/>
              <w:rPr>
                <w:b/>
                <w:sz w:val="14"/>
              </w:rPr>
            </w:pPr>
            <w:r>
              <w:rPr>
                <w:b/>
                <w:sz w:val="14"/>
              </w:rPr>
              <w:t>Capture plant COE (uS$ mWh</w:t>
            </w:r>
            <w:r>
              <w:rPr>
                <w:b/>
                <w:position w:val="5"/>
                <w:sz w:val="8"/>
              </w:rPr>
              <w:t>-1</w:t>
            </w:r>
            <w:r>
              <w:rPr>
                <w:b/>
                <w:sz w:val="14"/>
              </w:rPr>
              <w:t>)</w:t>
            </w:r>
          </w:p>
        </w:tc>
        <w:tc>
          <w:tcPr>
            <w:tcW w:w="855" w:type="dxa"/>
            <w:shd w:val="clear" w:color="auto" w:fill="F9FCF9"/>
          </w:tcPr>
          <w:p>
            <w:pPr>
              <w:pStyle w:val="TableParagraph"/>
              <w:spacing w:line="148" w:lineRule="exact" w:before="12"/>
              <w:ind w:left="29" w:right="24"/>
              <w:rPr>
                <w:b/>
                <w:sz w:val="14"/>
              </w:rPr>
            </w:pPr>
            <w:r>
              <w:rPr>
                <w:b/>
                <w:sz w:val="14"/>
              </w:rPr>
              <w:t>54.3</w:t>
            </w:r>
          </w:p>
        </w:tc>
        <w:tc>
          <w:tcPr>
            <w:tcW w:w="725" w:type="dxa"/>
            <w:shd w:val="clear" w:color="auto" w:fill="F9FCF9"/>
          </w:tcPr>
          <w:p>
            <w:pPr>
              <w:pStyle w:val="TableParagraph"/>
              <w:jc w:val="left"/>
              <w:rPr>
                <w:sz w:val="12"/>
              </w:rPr>
            </w:pPr>
          </w:p>
        </w:tc>
        <w:tc>
          <w:tcPr>
            <w:tcW w:w="663" w:type="dxa"/>
            <w:shd w:val="clear" w:color="auto" w:fill="F9FCF9"/>
          </w:tcPr>
          <w:p>
            <w:pPr>
              <w:pStyle w:val="TableParagraph"/>
              <w:spacing w:line="148" w:lineRule="exact" w:before="12"/>
              <w:ind w:right="200"/>
              <w:jc w:val="right"/>
              <w:rPr>
                <w:b/>
                <w:sz w:val="14"/>
              </w:rPr>
            </w:pPr>
            <w:r>
              <w:rPr>
                <w:b/>
                <w:sz w:val="14"/>
              </w:rPr>
              <w:t>70.4</w:t>
            </w:r>
          </w:p>
        </w:tc>
        <w:tc>
          <w:tcPr>
            <w:tcW w:w="697" w:type="dxa"/>
            <w:shd w:val="clear" w:color="auto" w:fill="F9FCF9"/>
          </w:tcPr>
          <w:p>
            <w:pPr>
              <w:pStyle w:val="TableParagraph"/>
              <w:spacing w:line="148" w:lineRule="exact" w:before="12"/>
              <w:ind w:left="164" w:right="162"/>
              <w:rPr>
                <w:b/>
                <w:sz w:val="14"/>
              </w:rPr>
            </w:pPr>
            <w:r>
              <w:rPr>
                <w:b/>
                <w:sz w:val="14"/>
              </w:rPr>
              <w:t>66.7</w:t>
            </w:r>
          </w:p>
        </w:tc>
        <w:tc>
          <w:tcPr>
            <w:tcW w:w="551" w:type="dxa"/>
            <w:shd w:val="clear" w:color="auto" w:fill="F9FCF9"/>
          </w:tcPr>
          <w:p>
            <w:pPr>
              <w:pStyle w:val="TableParagraph"/>
              <w:spacing w:line="148" w:lineRule="exact" w:before="12"/>
              <w:ind w:left="148"/>
              <w:jc w:val="left"/>
              <w:rPr>
                <w:b/>
                <w:sz w:val="14"/>
              </w:rPr>
            </w:pPr>
            <w:r>
              <w:rPr>
                <w:b/>
                <w:sz w:val="14"/>
              </w:rPr>
              <w:t>66.8</w:t>
            </w:r>
          </w:p>
        </w:tc>
        <w:tc>
          <w:tcPr>
            <w:tcW w:w="906" w:type="dxa"/>
            <w:shd w:val="clear" w:color="auto" w:fill="F9FCF9"/>
          </w:tcPr>
          <w:p>
            <w:pPr>
              <w:pStyle w:val="TableParagraph"/>
              <w:spacing w:line="148" w:lineRule="exact" w:before="12"/>
              <w:ind w:left="32" w:right="32"/>
              <w:rPr>
                <w:b/>
                <w:sz w:val="14"/>
              </w:rPr>
            </w:pPr>
            <w:r>
              <w:rPr>
                <w:b/>
                <w:sz w:val="14"/>
              </w:rPr>
              <w:t>51.1</w:t>
            </w:r>
          </w:p>
        </w:tc>
        <w:tc>
          <w:tcPr>
            <w:tcW w:w="869" w:type="dxa"/>
            <w:shd w:val="clear" w:color="auto" w:fill="F9FCF9"/>
          </w:tcPr>
          <w:p>
            <w:pPr>
              <w:pStyle w:val="TableParagraph"/>
              <w:spacing w:line="148" w:lineRule="exact" w:before="12"/>
              <w:ind w:left="26" w:right="26"/>
              <w:rPr>
                <w:b/>
                <w:sz w:val="14"/>
              </w:rPr>
            </w:pPr>
            <w:r>
              <w:rPr>
                <w:b/>
                <w:sz w:val="14"/>
              </w:rPr>
              <w:t>62.2</w:t>
            </w:r>
          </w:p>
        </w:tc>
        <w:tc>
          <w:tcPr>
            <w:tcW w:w="751" w:type="dxa"/>
            <w:shd w:val="clear" w:color="auto" w:fill="F9FCF9"/>
          </w:tcPr>
          <w:p>
            <w:pPr>
              <w:pStyle w:val="TableParagraph"/>
              <w:jc w:val="left"/>
              <w:rPr>
                <w:sz w:val="12"/>
              </w:rPr>
            </w:pPr>
          </w:p>
        </w:tc>
        <w:tc>
          <w:tcPr>
            <w:tcW w:w="617" w:type="dxa"/>
            <w:shd w:val="clear" w:color="auto" w:fill="F9FCF9"/>
          </w:tcPr>
          <w:p>
            <w:pPr>
              <w:pStyle w:val="TableParagraph"/>
              <w:spacing w:line="148" w:lineRule="exact" w:before="12"/>
              <w:ind w:left="49" w:right="50"/>
              <w:rPr>
                <w:b/>
                <w:sz w:val="14"/>
              </w:rPr>
            </w:pPr>
            <w:r>
              <w:rPr>
                <w:b/>
                <w:sz w:val="14"/>
              </w:rPr>
              <w:t>65.0</w:t>
            </w:r>
          </w:p>
        </w:tc>
        <w:tc>
          <w:tcPr>
            <w:tcW w:w="429" w:type="dxa"/>
            <w:shd w:val="clear" w:color="auto" w:fill="F9FCF9"/>
          </w:tcPr>
          <w:p>
            <w:pPr>
              <w:pStyle w:val="TableParagraph"/>
              <w:spacing w:line="148" w:lineRule="exact" w:before="12"/>
              <w:ind w:left="66" w:right="67"/>
              <w:rPr>
                <w:b/>
                <w:sz w:val="14"/>
              </w:rPr>
            </w:pPr>
            <w:r>
              <w:rPr>
                <w:b/>
                <w:sz w:val="14"/>
              </w:rPr>
              <w:t>51</w:t>
            </w:r>
          </w:p>
        </w:tc>
        <w:tc>
          <w:tcPr>
            <w:tcW w:w="382" w:type="dxa"/>
            <w:shd w:val="clear" w:color="auto" w:fill="F9FCF9"/>
          </w:tcPr>
          <w:p>
            <w:pPr>
              <w:pStyle w:val="TableParagraph"/>
              <w:spacing w:line="148" w:lineRule="exact" w:before="12"/>
              <w:ind w:left="25" w:right="26"/>
              <w:rPr>
                <w:b/>
                <w:sz w:val="14"/>
              </w:rPr>
            </w:pPr>
            <w:r>
              <w:rPr>
                <w:b/>
                <w:sz w:val="14"/>
              </w:rPr>
              <w:t>70</w:t>
            </w:r>
          </w:p>
        </w:tc>
        <w:tc>
          <w:tcPr>
            <w:tcW w:w="85" w:type="dxa"/>
            <w:shd w:val="clear" w:color="auto" w:fill="F9FCF9"/>
          </w:tcPr>
          <w:p>
            <w:pPr>
              <w:pStyle w:val="TableParagraph"/>
              <w:jc w:val="left"/>
              <w:rPr>
                <w:sz w:val="12"/>
              </w:rPr>
            </w:pPr>
          </w:p>
        </w:tc>
        <w:tc>
          <w:tcPr>
            <w:tcW w:w="904" w:type="dxa"/>
            <w:shd w:val="clear" w:color="auto" w:fill="F9FCF9"/>
          </w:tcPr>
          <w:p>
            <w:pPr>
              <w:pStyle w:val="TableParagraph"/>
              <w:spacing w:line="148" w:lineRule="exact" w:before="12"/>
              <w:ind w:left="85" w:right="87"/>
              <w:rPr>
                <w:b/>
                <w:sz w:val="14"/>
              </w:rPr>
            </w:pPr>
            <w:r>
              <w:rPr>
                <w:b/>
                <w:sz w:val="14"/>
              </w:rPr>
              <w:t>58.0</w:t>
            </w:r>
          </w:p>
        </w:tc>
        <w:tc>
          <w:tcPr>
            <w:tcW w:w="949" w:type="dxa"/>
            <w:shd w:val="clear" w:color="auto" w:fill="F9FCF9"/>
          </w:tcPr>
          <w:p>
            <w:pPr>
              <w:pStyle w:val="TableParagraph"/>
              <w:spacing w:line="148" w:lineRule="exact" w:before="12"/>
              <w:ind w:left="108" w:right="110"/>
              <w:rPr>
                <w:b/>
                <w:sz w:val="14"/>
              </w:rPr>
            </w:pPr>
            <w:r>
              <w:rPr>
                <w:b/>
                <w:sz w:val="14"/>
              </w:rPr>
              <w:t>53.0</w:t>
            </w:r>
          </w:p>
        </w:tc>
        <w:tc>
          <w:tcPr>
            <w:tcW w:w="1738" w:type="dxa"/>
            <w:shd w:val="clear" w:color="auto" w:fill="F9FCF9"/>
          </w:tcPr>
          <w:p>
            <w:pPr>
              <w:pStyle w:val="TableParagraph"/>
              <w:spacing w:line="148" w:lineRule="exact" w:before="12"/>
              <w:ind w:left="90" w:right="93"/>
              <w:rPr>
                <w:b/>
                <w:sz w:val="14"/>
              </w:rPr>
            </w:pPr>
            <w:r>
              <w:rPr>
                <w:b/>
                <w:sz w:val="14"/>
              </w:rPr>
              <w:t>62.2</w:t>
            </w:r>
          </w:p>
        </w:tc>
      </w:tr>
      <w:tr>
        <w:trPr>
          <w:trHeight w:val="360" w:hRule="atLeast"/>
        </w:trPr>
        <w:tc>
          <w:tcPr>
            <w:tcW w:w="2467" w:type="dxa"/>
            <w:shd w:val="clear" w:color="auto" w:fill="F9FCF9"/>
          </w:tcPr>
          <w:p>
            <w:pPr>
              <w:pStyle w:val="TableParagraph"/>
              <w:spacing w:before="11"/>
              <w:ind w:left="20"/>
              <w:jc w:val="left"/>
              <w:rPr>
                <w:b/>
                <w:sz w:val="14"/>
              </w:rPr>
            </w:pPr>
            <w:r>
              <w:rPr>
                <w:b/>
                <w:sz w:val="14"/>
              </w:rPr>
              <w:t>incremental COE for capture</w:t>
            </w:r>
          </w:p>
          <w:p>
            <w:pPr>
              <w:pStyle w:val="TableParagraph"/>
              <w:spacing w:line="148" w:lineRule="exact" w:before="20"/>
              <w:ind w:left="20"/>
              <w:jc w:val="left"/>
              <w:rPr>
                <w:b/>
                <w:sz w:val="14"/>
              </w:rPr>
            </w:pPr>
            <w:r>
              <w:rPr>
                <w:b/>
                <w:w w:val="105"/>
                <w:sz w:val="14"/>
              </w:rPr>
              <w:t>(uS$ mWh</w:t>
            </w:r>
            <w:r>
              <w:rPr>
                <w:b/>
                <w:w w:val="105"/>
                <w:position w:val="5"/>
                <w:sz w:val="8"/>
              </w:rPr>
              <w:t>-1</w:t>
            </w:r>
            <w:r>
              <w:rPr>
                <w:b/>
                <w:w w:val="105"/>
                <w:sz w:val="14"/>
              </w:rPr>
              <w:t>)</w:t>
            </w:r>
          </w:p>
        </w:tc>
        <w:tc>
          <w:tcPr>
            <w:tcW w:w="855" w:type="dxa"/>
            <w:shd w:val="clear" w:color="auto" w:fill="F9FCF9"/>
          </w:tcPr>
          <w:p>
            <w:pPr>
              <w:pStyle w:val="TableParagraph"/>
              <w:spacing w:before="12"/>
              <w:ind w:left="29" w:right="24"/>
              <w:rPr>
                <w:b/>
                <w:sz w:val="14"/>
              </w:rPr>
            </w:pPr>
            <w:r>
              <w:rPr>
                <w:b/>
                <w:sz w:val="14"/>
              </w:rPr>
              <w:t>35.5</w:t>
            </w:r>
          </w:p>
        </w:tc>
        <w:tc>
          <w:tcPr>
            <w:tcW w:w="725" w:type="dxa"/>
            <w:shd w:val="clear" w:color="auto" w:fill="F9FCF9"/>
          </w:tcPr>
          <w:p>
            <w:pPr>
              <w:pStyle w:val="TableParagraph"/>
              <w:spacing w:before="12"/>
              <w:ind w:left="45" w:right="41"/>
              <w:rPr>
                <w:b/>
                <w:sz w:val="14"/>
              </w:rPr>
            </w:pPr>
            <w:r>
              <w:rPr>
                <w:b/>
                <w:sz w:val="14"/>
              </w:rPr>
              <w:t>61.7</w:t>
            </w:r>
          </w:p>
        </w:tc>
        <w:tc>
          <w:tcPr>
            <w:tcW w:w="663" w:type="dxa"/>
            <w:shd w:val="clear" w:color="auto" w:fill="F9FCF9"/>
          </w:tcPr>
          <w:p>
            <w:pPr>
              <w:pStyle w:val="TableParagraph"/>
              <w:spacing w:before="12"/>
              <w:ind w:right="200"/>
              <w:jc w:val="right"/>
              <w:rPr>
                <w:b/>
                <w:sz w:val="14"/>
              </w:rPr>
            </w:pPr>
            <w:r>
              <w:rPr>
                <w:b/>
                <w:sz w:val="14"/>
              </w:rPr>
              <w:t>52.4</w:t>
            </w:r>
          </w:p>
        </w:tc>
        <w:tc>
          <w:tcPr>
            <w:tcW w:w="697" w:type="dxa"/>
            <w:shd w:val="clear" w:color="auto" w:fill="F9FCF9"/>
          </w:tcPr>
          <w:p>
            <w:pPr>
              <w:pStyle w:val="TableParagraph"/>
              <w:spacing w:before="12"/>
              <w:ind w:left="164" w:right="162"/>
              <w:rPr>
                <w:b/>
                <w:sz w:val="14"/>
              </w:rPr>
            </w:pPr>
            <w:r>
              <w:rPr>
                <w:b/>
                <w:sz w:val="14"/>
              </w:rPr>
              <w:t>48.7</w:t>
            </w:r>
          </w:p>
        </w:tc>
        <w:tc>
          <w:tcPr>
            <w:tcW w:w="551" w:type="dxa"/>
            <w:shd w:val="clear" w:color="auto" w:fill="F9FCF9"/>
          </w:tcPr>
          <w:p>
            <w:pPr>
              <w:pStyle w:val="TableParagraph"/>
              <w:spacing w:before="12"/>
              <w:ind w:left="148"/>
              <w:jc w:val="left"/>
              <w:rPr>
                <w:b/>
                <w:sz w:val="14"/>
              </w:rPr>
            </w:pPr>
            <w:r>
              <w:rPr>
                <w:b/>
                <w:sz w:val="14"/>
              </w:rPr>
              <w:t>46.2</w:t>
            </w:r>
          </w:p>
        </w:tc>
        <w:tc>
          <w:tcPr>
            <w:tcW w:w="906" w:type="dxa"/>
            <w:shd w:val="clear" w:color="auto" w:fill="F9FCF9"/>
          </w:tcPr>
          <w:p>
            <w:pPr>
              <w:pStyle w:val="TableParagraph"/>
              <w:spacing w:before="12"/>
              <w:ind w:left="32" w:right="32"/>
              <w:rPr>
                <w:b/>
                <w:sz w:val="14"/>
              </w:rPr>
            </w:pPr>
            <w:r>
              <w:rPr>
                <w:b/>
                <w:sz w:val="14"/>
              </w:rPr>
              <w:t>30.6</w:t>
            </w:r>
          </w:p>
        </w:tc>
        <w:tc>
          <w:tcPr>
            <w:tcW w:w="869" w:type="dxa"/>
            <w:shd w:val="clear" w:color="auto" w:fill="F9FCF9"/>
          </w:tcPr>
          <w:p>
            <w:pPr>
              <w:pStyle w:val="TableParagraph"/>
              <w:spacing w:before="12"/>
              <w:ind w:left="26" w:right="26"/>
              <w:rPr>
                <w:b/>
                <w:sz w:val="14"/>
              </w:rPr>
            </w:pPr>
            <w:r>
              <w:rPr>
                <w:b/>
                <w:sz w:val="14"/>
              </w:rPr>
              <w:t>41.7</w:t>
            </w:r>
          </w:p>
        </w:tc>
        <w:tc>
          <w:tcPr>
            <w:tcW w:w="751" w:type="dxa"/>
            <w:shd w:val="clear" w:color="auto" w:fill="F9FCF9"/>
          </w:tcPr>
          <w:p>
            <w:pPr>
              <w:pStyle w:val="TableParagraph"/>
              <w:spacing w:before="12"/>
              <w:ind w:right="247"/>
              <w:jc w:val="right"/>
              <w:rPr>
                <w:b/>
                <w:sz w:val="14"/>
              </w:rPr>
            </w:pPr>
            <w:r>
              <w:rPr>
                <w:b/>
                <w:sz w:val="14"/>
              </w:rPr>
              <w:t>33.2</w:t>
            </w:r>
          </w:p>
        </w:tc>
        <w:tc>
          <w:tcPr>
            <w:tcW w:w="617" w:type="dxa"/>
            <w:shd w:val="clear" w:color="auto" w:fill="F9FCF9"/>
          </w:tcPr>
          <w:p>
            <w:pPr>
              <w:pStyle w:val="TableParagraph"/>
              <w:spacing w:before="12"/>
              <w:ind w:left="49" w:right="50"/>
              <w:rPr>
                <w:b/>
                <w:sz w:val="14"/>
              </w:rPr>
            </w:pPr>
            <w:r>
              <w:rPr>
                <w:b/>
                <w:sz w:val="14"/>
              </w:rPr>
              <w:t>39.0</w:t>
            </w:r>
          </w:p>
        </w:tc>
        <w:tc>
          <w:tcPr>
            <w:tcW w:w="429" w:type="dxa"/>
            <w:shd w:val="clear" w:color="auto" w:fill="F9FCF9"/>
          </w:tcPr>
          <w:p>
            <w:pPr>
              <w:pStyle w:val="TableParagraph"/>
              <w:spacing w:before="12"/>
              <w:ind w:left="66" w:right="67"/>
              <w:rPr>
                <w:b/>
                <w:sz w:val="14"/>
              </w:rPr>
            </w:pPr>
            <w:r>
              <w:rPr>
                <w:b/>
                <w:sz w:val="14"/>
              </w:rPr>
              <w:t>31</w:t>
            </w:r>
          </w:p>
        </w:tc>
        <w:tc>
          <w:tcPr>
            <w:tcW w:w="382" w:type="dxa"/>
            <w:shd w:val="clear" w:color="auto" w:fill="F9FCF9"/>
          </w:tcPr>
          <w:p>
            <w:pPr>
              <w:pStyle w:val="TableParagraph"/>
              <w:spacing w:before="12"/>
              <w:ind w:left="25" w:right="26"/>
              <w:rPr>
                <w:b/>
                <w:sz w:val="14"/>
              </w:rPr>
            </w:pPr>
            <w:r>
              <w:rPr>
                <w:b/>
                <w:sz w:val="14"/>
              </w:rPr>
              <w:t>62</w:t>
            </w:r>
          </w:p>
        </w:tc>
        <w:tc>
          <w:tcPr>
            <w:tcW w:w="85" w:type="dxa"/>
            <w:shd w:val="clear" w:color="auto" w:fill="F9FCF9"/>
          </w:tcPr>
          <w:p>
            <w:pPr>
              <w:pStyle w:val="TableParagraph"/>
              <w:jc w:val="left"/>
              <w:rPr>
                <w:sz w:val="14"/>
              </w:rPr>
            </w:pPr>
          </w:p>
        </w:tc>
        <w:tc>
          <w:tcPr>
            <w:tcW w:w="904" w:type="dxa"/>
            <w:shd w:val="clear" w:color="auto" w:fill="F9FCF9"/>
          </w:tcPr>
          <w:p>
            <w:pPr>
              <w:pStyle w:val="TableParagraph"/>
              <w:spacing w:before="12"/>
              <w:ind w:left="85" w:right="87"/>
              <w:rPr>
                <w:b/>
                <w:sz w:val="14"/>
              </w:rPr>
            </w:pPr>
            <w:r>
              <w:rPr>
                <w:b/>
                <w:sz w:val="14"/>
              </w:rPr>
              <w:t>31.0</w:t>
            </w:r>
          </w:p>
        </w:tc>
        <w:tc>
          <w:tcPr>
            <w:tcW w:w="949" w:type="dxa"/>
            <w:shd w:val="clear" w:color="auto" w:fill="F9FCF9"/>
          </w:tcPr>
          <w:p>
            <w:pPr>
              <w:pStyle w:val="TableParagraph"/>
              <w:spacing w:before="12"/>
              <w:ind w:left="108" w:right="110"/>
              <w:rPr>
                <w:b/>
                <w:sz w:val="14"/>
              </w:rPr>
            </w:pPr>
            <w:r>
              <w:rPr>
                <w:b/>
                <w:sz w:val="14"/>
              </w:rPr>
              <w:t>26.0</w:t>
            </w:r>
          </w:p>
        </w:tc>
        <w:tc>
          <w:tcPr>
            <w:tcW w:w="1738" w:type="dxa"/>
            <w:shd w:val="clear" w:color="auto" w:fill="F9FCF9"/>
          </w:tcPr>
          <w:p>
            <w:pPr>
              <w:pStyle w:val="TableParagraph"/>
              <w:spacing w:before="12"/>
              <w:ind w:left="90" w:right="93"/>
              <w:rPr>
                <w:b/>
                <w:sz w:val="14"/>
              </w:rPr>
            </w:pPr>
            <w:r>
              <w:rPr>
                <w:b/>
                <w:sz w:val="14"/>
              </w:rPr>
              <w:t>41.2</w:t>
            </w: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 increase in capital cost (over ref. plant)</w:t>
            </w:r>
          </w:p>
        </w:tc>
        <w:tc>
          <w:tcPr>
            <w:tcW w:w="855" w:type="dxa"/>
            <w:shd w:val="clear" w:color="auto" w:fill="F9FCF9"/>
          </w:tcPr>
          <w:p>
            <w:pPr>
              <w:pStyle w:val="TableParagraph"/>
              <w:jc w:val="left"/>
              <w:rPr>
                <w:sz w:val="12"/>
              </w:rPr>
            </w:pPr>
          </w:p>
        </w:tc>
        <w:tc>
          <w:tcPr>
            <w:tcW w:w="725" w:type="dxa"/>
            <w:shd w:val="clear" w:color="auto" w:fill="F9FCF9"/>
          </w:tcPr>
          <w:p>
            <w:pPr>
              <w:pStyle w:val="TableParagraph"/>
              <w:jc w:val="left"/>
              <w:rPr>
                <w:sz w:val="12"/>
              </w:rPr>
            </w:pPr>
          </w:p>
        </w:tc>
        <w:tc>
          <w:tcPr>
            <w:tcW w:w="663" w:type="dxa"/>
            <w:shd w:val="clear" w:color="auto" w:fill="F9FCF9"/>
          </w:tcPr>
          <w:p>
            <w:pPr>
              <w:pStyle w:val="TableParagraph"/>
              <w:jc w:val="left"/>
              <w:rPr>
                <w:sz w:val="12"/>
              </w:rPr>
            </w:pPr>
          </w:p>
        </w:tc>
        <w:tc>
          <w:tcPr>
            <w:tcW w:w="697" w:type="dxa"/>
            <w:shd w:val="clear" w:color="auto" w:fill="F9FCF9"/>
          </w:tcPr>
          <w:p>
            <w:pPr>
              <w:pStyle w:val="TableParagraph"/>
              <w:jc w:val="left"/>
              <w:rPr>
                <w:sz w:val="12"/>
              </w:rPr>
            </w:pPr>
          </w:p>
        </w:tc>
        <w:tc>
          <w:tcPr>
            <w:tcW w:w="551" w:type="dxa"/>
            <w:shd w:val="clear" w:color="auto" w:fill="F9FCF9"/>
          </w:tcPr>
          <w:p>
            <w:pPr>
              <w:pStyle w:val="TableParagraph"/>
              <w:jc w:val="left"/>
              <w:rPr>
                <w:sz w:val="12"/>
              </w:rPr>
            </w:pPr>
          </w:p>
        </w:tc>
        <w:tc>
          <w:tcPr>
            <w:tcW w:w="906" w:type="dxa"/>
            <w:shd w:val="clear" w:color="auto" w:fill="F9FCF9"/>
          </w:tcPr>
          <w:p>
            <w:pPr>
              <w:pStyle w:val="TableParagraph"/>
              <w:jc w:val="left"/>
              <w:rPr>
                <w:sz w:val="12"/>
              </w:rPr>
            </w:pPr>
          </w:p>
        </w:tc>
        <w:tc>
          <w:tcPr>
            <w:tcW w:w="869" w:type="dxa"/>
            <w:shd w:val="clear" w:color="auto" w:fill="F9FCF9"/>
          </w:tcPr>
          <w:p>
            <w:pPr>
              <w:pStyle w:val="TableParagraph"/>
              <w:jc w:val="left"/>
              <w:rPr>
                <w:sz w:val="12"/>
              </w:rPr>
            </w:pPr>
          </w:p>
        </w:tc>
        <w:tc>
          <w:tcPr>
            <w:tcW w:w="751" w:type="dxa"/>
            <w:shd w:val="clear" w:color="auto" w:fill="F9FCF9"/>
          </w:tcPr>
          <w:p>
            <w:pPr>
              <w:pStyle w:val="TableParagraph"/>
              <w:jc w:val="left"/>
              <w:rPr>
                <w:sz w:val="12"/>
              </w:rPr>
            </w:pPr>
          </w:p>
        </w:tc>
        <w:tc>
          <w:tcPr>
            <w:tcW w:w="617" w:type="dxa"/>
            <w:shd w:val="clear" w:color="auto" w:fill="F9FCF9"/>
          </w:tcPr>
          <w:p>
            <w:pPr>
              <w:pStyle w:val="TableParagraph"/>
              <w:jc w:val="left"/>
              <w:rPr>
                <w:sz w:val="12"/>
              </w:rPr>
            </w:pPr>
          </w:p>
        </w:tc>
        <w:tc>
          <w:tcPr>
            <w:tcW w:w="429" w:type="dxa"/>
            <w:shd w:val="clear" w:color="auto" w:fill="F9FCF9"/>
          </w:tcPr>
          <w:p>
            <w:pPr>
              <w:pStyle w:val="TableParagraph"/>
              <w:jc w:val="left"/>
              <w:rPr>
                <w:sz w:val="12"/>
              </w:rPr>
            </w:pPr>
          </w:p>
        </w:tc>
        <w:tc>
          <w:tcPr>
            <w:tcW w:w="382" w:type="dxa"/>
            <w:shd w:val="clear" w:color="auto" w:fill="F9FCF9"/>
          </w:tcPr>
          <w:p>
            <w:pPr>
              <w:pStyle w:val="TableParagraph"/>
              <w:jc w:val="left"/>
              <w:rPr>
                <w:sz w:val="12"/>
              </w:rPr>
            </w:pPr>
          </w:p>
        </w:tc>
        <w:tc>
          <w:tcPr>
            <w:tcW w:w="85" w:type="dxa"/>
            <w:shd w:val="clear" w:color="auto" w:fill="F9FCF9"/>
          </w:tcPr>
          <w:p>
            <w:pPr>
              <w:pStyle w:val="TableParagraph"/>
              <w:jc w:val="left"/>
              <w:rPr>
                <w:sz w:val="12"/>
              </w:rPr>
            </w:pPr>
          </w:p>
        </w:tc>
        <w:tc>
          <w:tcPr>
            <w:tcW w:w="904" w:type="dxa"/>
            <w:shd w:val="clear" w:color="auto" w:fill="F9FCF9"/>
          </w:tcPr>
          <w:p>
            <w:pPr>
              <w:pStyle w:val="TableParagraph"/>
              <w:jc w:val="left"/>
              <w:rPr>
                <w:sz w:val="12"/>
              </w:rPr>
            </w:pPr>
          </w:p>
        </w:tc>
        <w:tc>
          <w:tcPr>
            <w:tcW w:w="949" w:type="dxa"/>
            <w:shd w:val="clear" w:color="auto" w:fill="F9FCF9"/>
          </w:tcPr>
          <w:p>
            <w:pPr>
              <w:pStyle w:val="TableParagraph"/>
              <w:jc w:val="left"/>
              <w:rPr>
                <w:sz w:val="12"/>
              </w:rPr>
            </w:pPr>
          </w:p>
        </w:tc>
        <w:tc>
          <w:tcPr>
            <w:tcW w:w="1738" w:type="dxa"/>
            <w:shd w:val="clear" w:color="auto" w:fill="F9FCF9"/>
          </w:tcPr>
          <w:p>
            <w:pPr>
              <w:pStyle w:val="TableParagraph"/>
              <w:jc w:val="left"/>
              <w:rPr>
                <w:sz w:val="12"/>
              </w:rPr>
            </w:pPr>
          </w:p>
        </w:tc>
      </w:tr>
      <w:tr>
        <w:trPr>
          <w:trHeight w:val="180" w:hRule="atLeast"/>
        </w:trPr>
        <w:tc>
          <w:tcPr>
            <w:tcW w:w="2467" w:type="dxa"/>
            <w:shd w:val="clear" w:color="auto" w:fill="F9FCF9"/>
          </w:tcPr>
          <w:p>
            <w:pPr>
              <w:pStyle w:val="TableParagraph"/>
              <w:spacing w:line="148" w:lineRule="exact" w:before="12"/>
              <w:ind w:left="20"/>
              <w:jc w:val="left"/>
              <w:rPr>
                <w:b/>
                <w:sz w:val="14"/>
              </w:rPr>
            </w:pPr>
            <w:r>
              <w:rPr>
                <w:b/>
                <w:sz w:val="14"/>
              </w:rPr>
              <w:t>% increase in COE (over ref. plant)</w:t>
            </w:r>
          </w:p>
        </w:tc>
        <w:tc>
          <w:tcPr>
            <w:tcW w:w="855" w:type="dxa"/>
            <w:shd w:val="clear" w:color="auto" w:fill="F9FCF9"/>
          </w:tcPr>
          <w:p>
            <w:pPr>
              <w:pStyle w:val="TableParagraph"/>
              <w:spacing w:line="148" w:lineRule="exact" w:before="12"/>
              <w:ind w:left="29" w:right="24"/>
              <w:rPr>
                <w:b/>
                <w:sz w:val="14"/>
              </w:rPr>
            </w:pPr>
            <w:r>
              <w:rPr>
                <w:b/>
                <w:sz w:val="14"/>
              </w:rPr>
              <w:t>189</w:t>
            </w:r>
          </w:p>
        </w:tc>
        <w:tc>
          <w:tcPr>
            <w:tcW w:w="725" w:type="dxa"/>
            <w:shd w:val="clear" w:color="auto" w:fill="F9FCF9"/>
          </w:tcPr>
          <w:p>
            <w:pPr>
              <w:pStyle w:val="TableParagraph"/>
              <w:jc w:val="left"/>
              <w:rPr>
                <w:sz w:val="12"/>
              </w:rPr>
            </w:pPr>
          </w:p>
        </w:tc>
        <w:tc>
          <w:tcPr>
            <w:tcW w:w="663" w:type="dxa"/>
            <w:shd w:val="clear" w:color="auto" w:fill="F9FCF9"/>
          </w:tcPr>
          <w:p>
            <w:pPr>
              <w:pStyle w:val="TableParagraph"/>
              <w:spacing w:line="148" w:lineRule="exact" w:before="12"/>
              <w:ind w:right="217"/>
              <w:jc w:val="right"/>
              <w:rPr>
                <w:b/>
                <w:sz w:val="14"/>
              </w:rPr>
            </w:pPr>
            <w:r>
              <w:rPr>
                <w:b/>
                <w:sz w:val="14"/>
              </w:rPr>
              <w:t>291</w:t>
            </w:r>
          </w:p>
        </w:tc>
        <w:tc>
          <w:tcPr>
            <w:tcW w:w="697" w:type="dxa"/>
            <w:shd w:val="clear" w:color="auto" w:fill="F9FCF9"/>
          </w:tcPr>
          <w:p>
            <w:pPr>
              <w:pStyle w:val="TableParagraph"/>
              <w:spacing w:line="148" w:lineRule="exact" w:before="12"/>
              <w:ind w:left="164" w:right="162"/>
              <w:rPr>
                <w:b/>
                <w:sz w:val="14"/>
              </w:rPr>
            </w:pPr>
            <w:r>
              <w:rPr>
                <w:b/>
                <w:sz w:val="14"/>
              </w:rPr>
              <w:t>271</w:t>
            </w:r>
          </w:p>
        </w:tc>
        <w:tc>
          <w:tcPr>
            <w:tcW w:w="551" w:type="dxa"/>
            <w:shd w:val="clear" w:color="auto" w:fill="F9FCF9"/>
          </w:tcPr>
          <w:p>
            <w:pPr>
              <w:pStyle w:val="TableParagraph"/>
              <w:spacing w:line="148" w:lineRule="exact" w:before="12"/>
              <w:ind w:left="166"/>
              <w:jc w:val="left"/>
              <w:rPr>
                <w:b/>
                <w:sz w:val="14"/>
              </w:rPr>
            </w:pPr>
            <w:r>
              <w:rPr>
                <w:b/>
                <w:sz w:val="14"/>
              </w:rPr>
              <w:t>225</w:t>
            </w:r>
          </w:p>
        </w:tc>
        <w:tc>
          <w:tcPr>
            <w:tcW w:w="906" w:type="dxa"/>
            <w:shd w:val="clear" w:color="auto" w:fill="F9FCF9"/>
          </w:tcPr>
          <w:p>
            <w:pPr>
              <w:pStyle w:val="TableParagraph"/>
              <w:spacing w:line="148" w:lineRule="exact" w:before="12"/>
              <w:ind w:left="32" w:right="32"/>
              <w:rPr>
                <w:b/>
                <w:sz w:val="14"/>
              </w:rPr>
            </w:pPr>
            <w:r>
              <w:rPr>
                <w:b/>
                <w:sz w:val="14"/>
              </w:rPr>
              <w:t>149</w:t>
            </w:r>
          </w:p>
        </w:tc>
        <w:tc>
          <w:tcPr>
            <w:tcW w:w="869" w:type="dxa"/>
            <w:shd w:val="clear" w:color="auto" w:fill="F9FCF9"/>
          </w:tcPr>
          <w:p>
            <w:pPr>
              <w:pStyle w:val="TableParagraph"/>
              <w:spacing w:line="148" w:lineRule="exact" w:before="12"/>
              <w:ind w:left="26" w:right="26"/>
              <w:rPr>
                <w:b/>
                <w:sz w:val="14"/>
              </w:rPr>
            </w:pPr>
            <w:r>
              <w:rPr>
                <w:b/>
                <w:sz w:val="14"/>
              </w:rPr>
              <w:t>203</w:t>
            </w:r>
          </w:p>
        </w:tc>
        <w:tc>
          <w:tcPr>
            <w:tcW w:w="751" w:type="dxa"/>
            <w:shd w:val="clear" w:color="auto" w:fill="F9FCF9"/>
          </w:tcPr>
          <w:p>
            <w:pPr>
              <w:pStyle w:val="TableParagraph"/>
              <w:jc w:val="left"/>
              <w:rPr>
                <w:sz w:val="12"/>
              </w:rPr>
            </w:pPr>
          </w:p>
        </w:tc>
        <w:tc>
          <w:tcPr>
            <w:tcW w:w="617" w:type="dxa"/>
            <w:shd w:val="clear" w:color="auto" w:fill="F9FCF9"/>
          </w:tcPr>
          <w:p>
            <w:pPr>
              <w:pStyle w:val="TableParagraph"/>
              <w:spacing w:line="148" w:lineRule="exact" w:before="12"/>
              <w:ind w:left="49" w:right="50"/>
              <w:rPr>
                <w:b/>
                <w:sz w:val="14"/>
              </w:rPr>
            </w:pPr>
            <w:r>
              <w:rPr>
                <w:b/>
                <w:sz w:val="14"/>
              </w:rPr>
              <w:t>150</w:t>
            </w:r>
          </w:p>
        </w:tc>
        <w:tc>
          <w:tcPr>
            <w:tcW w:w="429" w:type="dxa"/>
            <w:shd w:val="clear" w:color="auto" w:fill="F9FCF9"/>
          </w:tcPr>
          <w:p>
            <w:pPr>
              <w:pStyle w:val="TableParagraph"/>
              <w:spacing w:line="148" w:lineRule="exact" w:before="12"/>
              <w:ind w:left="64" w:right="67"/>
              <w:rPr>
                <w:b/>
                <w:sz w:val="14"/>
              </w:rPr>
            </w:pPr>
            <w:r>
              <w:rPr>
                <w:b/>
                <w:sz w:val="14"/>
              </w:rPr>
              <w:t>149</w:t>
            </w:r>
          </w:p>
        </w:tc>
        <w:tc>
          <w:tcPr>
            <w:tcW w:w="382" w:type="dxa"/>
            <w:shd w:val="clear" w:color="auto" w:fill="F9FCF9"/>
          </w:tcPr>
          <w:p>
            <w:pPr>
              <w:pStyle w:val="TableParagraph"/>
              <w:spacing w:line="148" w:lineRule="exact" w:before="12"/>
              <w:ind w:left="25" w:right="26"/>
              <w:rPr>
                <w:b/>
                <w:sz w:val="14"/>
              </w:rPr>
            </w:pPr>
            <w:r>
              <w:rPr>
                <w:b/>
                <w:sz w:val="14"/>
              </w:rPr>
              <w:t>291</w:t>
            </w:r>
          </w:p>
        </w:tc>
        <w:tc>
          <w:tcPr>
            <w:tcW w:w="85" w:type="dxa"/>
            <w:shd w:val="clear" w:color="auto" w:fill="F9FCF9"/>
          </w:tcPr>
          <w:p>
            <w:pPr>
              <w:pStyle w:val="TableParagraph"/>
              <w:jc w:val="left"/>
              <w:rPr>
                <w:sz w:val="12"/>
              </w:rPr>
            </w:pPr>
          </w:p>
        </w:tc>
        <w:tc>
          <w:tcPr>
            <w:tcW w:w="904" w:type="dxa"/>
            <w:shd w:val="clear" w:color="auto" w:fill="F9FCF9"/>
          </w:tcPr>
          <w:p>
            <w:pPr>
              <w:pStyle w:val="TableParagraph"/>
              <w:spacing w:line="148" w:lineRule="exact" w:before="12"/>
              <w:ind w:left="85" w:right="87"/>
              <w:rPr>
                <w:b/>
                <w:sz w:val="14"/>
              </w:rPr>
            </w:pPr>
            <w:r>
              <w:rPr>
                <w:b/>
                <w:sz w:val="14"/>
              </w:rPr>
              <w:t>115</w:t>
            </w:r>
          </w:p>
        </w:tc>
        <w:tc>
          <w:tcPr>
            <w:tcW w:w="949" w:type="dxa"/>
            <w:shd w:val="clear" w:color="auto" w:fill="F9FCF9"/>
          </w:tcPr>
          <w:p>
            <w:pPr>
              <w:pStyle w:val="TableParagraph"/>
              <w:spacing w:line="148" w:lineRule="exact" w:before="12"/>
              <w:ind w:left="108" w:right="110"/>
              <w:rPr>
                <w:b/>
                <w:sz w:val="14"/>
              </w:rPr>
            </w:pPr>
            <w:r>
              <w:rPr>
                <w:b/>
                <w:sz w:val="14"/>
              </w:rPr>
              <w:t>96</w:t>
            </w:r>
          </w:p>
        </w:tc>
        <w:tc>
          <w:tcPr>
            <w:tcW w:w="1738" w:type="dxa"/>
            <w:shd w:val="clear" w:color="auto" w:fill="F9FCF9"/>
          </w:tcPr>
          <w:p>
            <w:pPr>
              <w:pStyle w:val="TableParagraph"/>
              <w:spacing w:line="148" w:lineRule="exact" w:before="12"/>
              <w:ind w:left="90" w:right="93"/>
              <w:rPr>
                <w:b/>
                <w:sz w:val="14"/>
              </w:rPr>
            </w:pPr>
            <w:r>
              <w:rPr>
                <w:b/>
                <w:sz w:val="14"/>
              </w:rPr>
              <w:t>196</w:t>
            </w: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Cost of CO</w:t>
            </w:r>
            <w:r>
              <w:rPr>
                <w:position w:val="-4"/>
                <w:sz w:val="8"/>
              </w:rPr>
              <w:t>2 </w:t>
            </w:r>
            <w:r>
              <w:rPr>
                <w:sz w:val="14"/>
              </w:rPr>
              <w:t>captured (US$/tCO</w:t>
            </w:r>
            <w:r>
              <w:rPr>
                <w:position w:val="-4"/>
                <w:sz w:val="8"/>
              </w:rPr>
              <w:t>2</w:t>
            </w:r>
            <w:r>
              <w:rPr>
                <w:sz w:val="14"/>
              </w:rPr>
              <w:t>)</w:t>
            </w:r>
          </w:p>
        </w:tc>
        <w:tc>
          <w:tcPr>
            <w:tcW w:w="855" w:type="dxa"/>
            <w:shd w:val="clear" w:color="auto" w:fill="F9FCF9"/>
          </w:tcPr>
          <w:p>
            <w:pPr>
              <w:pStyle w:val="TableParagraph"/>
              <w:spacing w:line="148" w:lineRule="exact" w:before="12"/>
              <w:ind w:left="29" w:right="24"/>
              <w:rPr>
                <w:sz w:val="14"/>
              </w:rPr>
            </w:pPr>
            <w:r>
              <w:rPr>
                <w:sz w:val="14"/>
              </w:rPr>
              <w:t>35</w:t>
            </w:r>
          </w:p>
        </w:tc>
        <w:tc>
          <w:tcPr>
            <w:tcW w:w="725" w:type="dxa"/>
            <w:shd w:val="clear" w:color="auto" w:fill="F9FCF9"/>
          </w:tcPr>
          <w:p>
            <w:pPr>
              <w:pStyle w:val="TableParagraph"/>
              <w:spacing w:line="148" w:lineRule="exact" w:before="12"/>
              <w:ind w:left="45" w:right="41"/>
              <w:rPr>
                <w:sz w:val="14"/>
              </w:rPr>
            </w:pPr>
            <w:r>
              <w:rPr>
                <w:sz w:val="14"/>
              </w:rPr>
              <w:t>42</w:t>
            </w:r>
          </w:p>
        </w:tc>
        <w:tc>
          <w:tcPr>
            <w:tcW w:w="663" w:type="dxa"/>
            <w:shd w:val="clear" w:color="auto" w:fill="F9FCF9"/>
          </w:tcPr>
          <w:p>
            <w:pPr>
              <w:pStyle w:val="TableParagraph"/>
              <w:jc w:val="left"/>
              <w:rPr>
                <w:sz w:val="12"/>
              </w:rPr>
            </w:pPr>
          </w:p>
        </w:tc>
        <w:tc>
          <w:tcPr>
            <w:tcW w:w="697" w:type="dxa"/>
            <w:shd w:val="clear" w:color="auto" w:fill="F9FCF9"/>
          </w:tcPr>
          <w:p>
            <w:pPr>
              <w:pStyle w:val="TableParagraph"/>
              <w:jc w:val="left"/>
              <w:rPr>
                <w:sz w:val="12"/>
              </w:rPr>
            </w:pPr>
          </w:p>
        </w:tc>
        <w:tc>
          <w:tcPr>
            <w:tcW w:w="551" w:type="dxa"/>
            <w:shd w:val="clear" w:color="auto" w:fill="F9FCF9"/>
          </w:tcPr>
          <w:p>
            <w:pPr>
              <w:pStyle w:val="TableParagraph"/>
              <w:spacing w:line="148" w:lineRule="exact" w:before="12"/>
              <w:ind w:left="181" w:right="180"/>
              <w:rPr>
                <w:sz w:val="14"/>
              </w:rPr>
            </w:pPr>
            <w:r>
              <w:rPr>
                <w:sz w:val="14"/>
              </w:rPr>
              <w:t>31</w:t>
            </w:r>
          </w:p>
        </w:tc>
        <w:tc>
          <w:tcPr>
            <w:tcW w:w="906" w:type="dxa"/>
            <w:shd w:val="clear" w:color="auto" w:fill="F9FCF9"/>
          </w:tcPr>
          <w:p>
            <w:pPr>
              <w:pStyle w:val="TableParagraph"/>
              <w:spacing w:line="148" w:lineRule="exact" w:before="12"/>
              <w:ind w:left="32" w:right="32"/>
              <w:rPr>
                <w:sz w:val="14"/>
              </w:rPr>
            </w:pPr>
            <w:r>
              <w:rPr>
                <w:sz w:val="14"/>
              </w:rPr>
              <w:t>41</w:t>
            </w:r>
          </w:p>
        </w:tc>
        <w:tc>
          <w:tcPr>
            <w:tcW w:w="869" w:type="dxa"/>
            <w:shd w:val="clear" w:color="auto" w:fill="F9FCF9"/>
          </w:tcPr>
          <w:p>
            <w:pPr>
              <w:pStyle w:val="TableParagraph"/>
              <w:spacing w:line="148" w:lineRule="exact" w:before="12"/>
              <w:ind w:left="26" w:right="26"/>
              <w:rPr>
                <w:sz w:val="14"/>
              </w:rPr>
            </w:pPr>
            <w:r>
              <w:rPr>
                <w:sz w:val="14"/>
              </w:rPr>
              <w:t>56</w:t>
            </w:r>
          </w:p>
        </w:tc>
        <w:tc>
          <w:tcPr>
            <w:tcW w:w="751" w:type="dxa"/>
            <w:shd w:val="clear" w:color="auto" w:fill="F9FCF9"/>
          </w:tcPr>
          <w:p>
            <w:pPr>
              <w:pStyle w:val="TableParagraph"/>
              <w:spacing w:line="148" w:lineRule="exact" w:before="12"/>
              <w:ind w:left="63" w:right="64"/>
              <w:rPr>
                <w:sz w:val="14"/>
              </w:rPr>
            </w:pPr>
            <w:r>
              <w:rPr>
                <w:sz w:val="14"/>
              </w:rPr>
              <w:t>40</w:t>
            </w:r>
          </w:p>
        </w:tc>
        <w:tc>
          <w:tcPr>
            <w:tcW w:w="617" w:type="dxa"/>
            <w:shd w:val="clear" w:color="auto" w:fill="F9FCF9"/>
          </w:tcPr>
          <w:p>
            <w:pPr>
              <w:pStyle w:val="TableParagraph"/>
              <w:jc w:val="left"/>
              <w:rPr>
                <w:sz w:val="12"/>
              </w:rPr>
            </w:pPr>
          </w:p>
        </w:tc>
        <w:tc>
          <w:tcPr>
            <w:tcW w:w="429" w:type="dxa"/>
            <w:shd w:val="clear" w:color="auto" w:fill="F9FCF9"/>
          </w:tcPr>
          <w:p>
            <w:pPr>
              <w:pStyle w:val="TableParagraph"/>
              <w:spacing w:line="148" w:lineRule="exact" w:before="12"/>
              <w:ind w:left="65" w:right="67"/>
              <w:rPr>
                <w:b/>
                <w:sz w:val="14"/>
              </w:rPr>
            </w:pPr>
            <w:r>
              <w:rPr>
                <w:b/>
                <w:sz w:val="14"/>
              </w:rPr>
              <w:t>31</w:t>
            </w:r>
          </w:p>
        </w:tc>
        <w:tc>
          <w:tcPr>
            <w:tcW w:w="382" w:type="dxa"/>
            <w:shd w:val="clear" w:color="auto" w:fill="F9FCF9"/>
          </w:tcPr>
          <w:p>
            <w:pPr>
              <w:pStyle w:val="TableParagraph"/>
              <w:spacing w:line="148" w:lineRule="exact" w:before="12"/>
              <w:ind w:left="25" w:right="26"/>
              <w:rPr>
                <w:b/>
                <w:sz w:val="14"/>
              </w:rPr>
            </w:pPr>
            <w:r>
              <w:rPr>
                <w:b/>
                <w:sz w:val="14"/>
              </w:rPr>
              <w:t>56</w:t>
            </w:r>
          </w:p>
        </w:tc>
        <w:tc>
          <w:tcPr>
            <w:tcW w:w="85" w:type="dxa"/>
            <w:shd w:val="clear" w:color="auto" w:fill="F9FCF9"/>
          </w:tcPr>
          <w:p>
            <w:pPr>
              <w:pStyle w:val="TableParagraph"/>
              <w:jc w:val="left"/>
              <w:rPr>
                <w:sz w:val="12"/>
              </w:rPr>
            </w:pPr>
          </w:p>
        </w:tc>
        <w:tc>
          <w:tcPr>
            <w:tcW w:w="904" w:type="dxa"/>
            <w:shd w:val="clear" w:color="auto" w:fill="F9FCF9"/>
          </w:tcPr>
          <w:p>
            <w:pPr>
              <w:pStyle w:val="TableParagraph"/>
              <w:jc w:val="left"/>
              <w:rPr>
                <w:sz w:val="12"/>
              </w:rPr>
            </w:pPr>
          </w:p>
        </w:tc>
        <w:tc>
          <w:tcPr>
            <w:tcW w:w="949" w:type="dxa"/>
            <w:shd w:val="clear" w:color="auto" w:fill="F9FCF9"/>
          </w:tcPr>
          <w:p>
            <w:pPr>
              <w:pStyle w:val="TableParagraph"/>
              <w:jc w:val="left"/>
              <w:rPr>
                <w:sz w:val="12"/>
              </w:rPr>
            </w:pPr>
          </w:p>
        </w:tc>
        <w:tc>
          <w:tcPr>
            <w:tcW w:w="1738" w:type="dxa"/>
            <w:shd w:val="clear" w:color="auto" w:fill="F9FCF9"/>
          </w:tcPr>
          <w:p>
            <w:pPr>
              <w:pStyle w:val="TableParagraph"/>
              <w:jc w:val="left"/>
              <w:rPr>
                <w:sz w:val="12"/>
              </w:rPr>
            </w:pPr>
          </w:p>
        </w:tc>
      </w:tr>
      <w:tr>
        <w:trPr>
          <w:trHeight w:val="180" w:hRule="atLeast"/>
        </w:trPr>
        <w:tc>
          <w:tcPr>
            <w:tcW w:w="2467" w:type="dxa"/>
            <w:shd w:val="clear" w:color="auto" w:fill="F9FCF9"/>
          </w:tcPr>
          <w:p>
            <w:pPr>
              <w:pStyle w:val="TableParagraph"/>
              <w:spacing w:line="148" w:lineRule="exact" w:before="12"/>
              <w:ind w:left="20"/>
              <w:jc w:val="left"/>
              <w:rPr>
                <w:sz w:val="14"/>
              </w:rPr>
            </w:pPr>
            <w:r>
              <w:rPr>
                <w:sz w:val="14"/>
              </w:rPr>
              <w:t>Cost of CO</w:t>
            </w:r>
            <w:r>
              <w:rPr>
                <w:position w:val="-4"/>
                <w:sz w:val="8"/>
              </w:rPr>
              <w:t>2 </w:t>
            </w:r>
            <w:r>
              <w:rPr>
                <w:sz w:val="14"/>
              </w:rPr>
              <w:t>avoided (US$/tCO</w:t>
            </w:r>
            <w:r>
              <w:rPr>
                <w:position w:val="-4"/>
                <w:sz w:val="8"/>
              </w:rPr>
              <w:t>2</w:t>
            </w:r>
            <w:r>
              <w:rPr>
                <w:sz w:val="14"/>
              </w:rPr>
              <w:t>)</w:t>
            </w:r>
          </w:p>
        </w:tc>
        <w:tc>
          <w:tcPr>
            <w:tcW w:w="855" w:type="dxa"/>
            <w:shd w:val="clear" w:color="auto" w:fill="F9FCF9"/>
          </w:tcPr>
          <w:p>
            <w:pPr>
              <w:pStyle w:val="TableParagraph"/>
              <w:spacing w:line="148" w:lineRule="exact" w:before="12"/>
              <w:ind w:left="29" w:right="24"/>
              <w:rPr>
                <w:sz w:val="14"/>
              </w:rPr>
            </w:pPr>
            <w:r>
              <w:rPr>
                <w:sz w:val="14"/>
              </w:rPr>
              <w:t>45</w:t>
            </w:r>
          </w:p>
        </w:tc>
        <w:tc>
          <w:tcPr>
            <w:tcW w:w="725" w:type="dxa"/>
            <w:shd w:val="clear" w:color="auto" w:fill="F9FCF9"/>
          </w:tcPr>
          <w:p>
            <w:pPr>
              <w:pStyle w:val="TableParagraph"/>
              <w:spacing w:line="148" w:lineRule="exact" w:before="12"/>
              <w:ind w:left="45" w:right="41"/>
              <w:rPr>
                <w:sz w:val="14"/>
              </w:rPr>
            </w:pPr>
            <w:r>
              <w:rPr>
                <w:sz w:val="14"/>
              </w:rPr>
              <w:t>73</w:t>
            </w:r>
          </w:p>
        </w:tc>
        <w:tc>
          <w:tcPr>
            <w:tcW w:w="663" w:type="dxa"/>
            <w:shd w:val="clear" w:color="auto" w:fill="F9FCF9"/>
          </w:tcPr>
          <w:p>
            <w:pPr>
              <w:pStyle w:val="TableParagraph"/>
              <w:spacing w:line="148" w:lineRule="exact" w:before="12"/>
              <w:ind w:right="252"/>
              <w:jc w:val="right"/>
              <w:rPr>
                <w:sz w:val="14"/>
              </w:rPr>
            </w:pPr>
            <w:r>
              <w:rPr>
                <w:sz w:val="14"/>
              </w:rPr>
              <w:t>67</w:t>
            </w:r>
          </w:p>
        </w:tc>
        <w:tc>
          <w:tcPr>
            <w:tcW w:w="697" w:type="dxa"/>
            <w:shd w:val="clear" w:color="auto" w:fill="F9FCF9"/>
          </w:tcPr>
          <w:p>
            <w:pPr>
              <w:pStyle w:val="TableParagraph"/>
              <w:spacing w:line="148" w:lineRule="exact" w:before="12"/>
              <w:ind w:left="164" w:right="162"/>
              <w:rPr>
                <w:sz w:val="14"/>
              </w:rPr>
            </w:pPr>
            <w:r>
              <w:rPr>
                <w:sz w:val="14"/>
              </w:rPr>
              <w:t>59</w:t>
            </w:r>
          </w:p>
        </w:tc>
        <w:tc>
          <w:tcPr>
            <w:tcW w:w="551" w:type="dxa"/>
            <w:shd w:val="clear" w:color="auto" w:fill="F9FCF9"/>
          </w:tcPr>
          <w:p>
            <w:pPr>
              <w:pStyle w:val="TableParagraph"/>
              <w:spacing w:line="148" w:lineRule="exact" w:before="12"/>
              <w:ind w:left="181" w:right="180"/>
              <w:rPr>
                <w:sz w:val="14"/>
              </w:rPr>
            </w:pPr>
            <w:r>
              <w:rPr>
                <w:sz w:val="14"/>
              </w:rPr>
              <w:t>56</w:t>
            </w:r>
          </w:p>
        </w:tc>
        <w:tc>
          <w:tcPr>
            <w:tcW w:w="906" w:type="dxa"/>
            <w:shd w:val="clear" w:color="auto" w:fill="F9FCF9"/>
          </w:tcPr>
          <w:p>
            <w:pPr>
              <w:pStyle w:val="TableParagraph"/>
              <w:spacing w:line="148" w:lineRule="exact" w:before="12"/>
              <w:ind w:left="32" w:right="32"/>
              <w:rPr>
                <w:sz w:val="14"/>
              </w:rPr>
            </w:pPr>
            <w:r>
              <w:rPr>
                <w:sz w:val="14"/>
              </w:rPr>
              <w:t>48</w:t>
            </w:r>
          </w:p>
        </w:tc>
        <w:tc>
          <w:tcPr>
            <w:tcW w:w="869" w:type="dxa"/>
            <w:shd w:val="clear" w:color="auto" w:fill="F9FCF9"/>
          </w:tcPr>
          <w:p>
            <w:pPr>
              <w:pStyle w:val="TableParagraph"/>
              <w:spacing w:line="148" w:lineRule="exact" w:before="12"/>
              <w:ind w:left="26" w:right="26"/>
              <w:rPr>
                <w:sz w:val="14"/>
              </w:rPr>
            </w:pPr>
            <w:r>
              <w:rPr>
                <w:sz w:val="14"/>
              </w:rPr>
              <w:t>66</w:t>
            </w:r>
          </w:p>
        </w:tc>
        <w:tc>
          <w:tcPr>
            <w:tcW w:w="751" w:type="dxa"/>
            <w:shd w:val="clear" w:color="auto" w:fill="F9FCF9"/>
          </w:tcPr>
          <w:p>
            <w:pPr>
              <w:pStyle w:val="TableParagraph"/>
              <w:spacing w:line="148" w:lineRule="exact" w:before="12"/>
              <w:ind w:left="63" w:right="64"/>
              <w:rPr>
                <w:sz w:val="14"/>
              </w:rPr>
            </w:pPr>
            <w:r>
              <w:rPr>
                <w:sz w:val="14"/>
              </w:rPr>
              <w:t>55</w:t>
            </w:r>
          </w:p>
        </w:tc>
        <w:tc>
          <w:tcPr>
            <w:tcW w:w="617" w:type="dxa"/>
            <w:shd w:val="clear" w:color="auto" w:fill="F9FCF9"/>
          </w:tcPr>
          <w:p>
            <w:pPr>
              <w:pStyle w:val="TableParagraph"/>
              <w:jc w:val="left"/>
              <w:rPr>
                <w:sz w:val="12"/>
              </w:rPr>
            </w:pPr>
          </w:p>
        </w:tc>
        <w:tc>
          <w:tcPr>
            <w:tcW w:w="429" w:type="dxa"/>
            <w:shd w:val="clear" w:color="auto" w:fill="F9FCF9"/>
          </w:tcPr>
          <w:p>
            <w:pPr>
              <w:pStyle w:val="TableParagraph"/>
              <w:spacing w:line="148" w:lineRule="exact" w:before="12"/>
              <w:ind w:left="65" w:right="67"/>
              <w:rPr>
                <w:b/>
                <w:sz w:val="14"/>
              </w:rPr>
            </w:pPr>
            <w:r>
              <w:rPr>
                <w:b/>
                <w:sz w:val="14"/>
              </w:rPr>
              <w:t>45</w:t>
            </w:r>
          </w:p>
        </w:tc>
        <w:tc>
          <w:tcPr>
            <w:tcW w:w="382" w:type="dxa"/>
            <w:shd w:val="clear" w:color="auto" w:fill="F9FCF9"/>
          </w:tcPr>
          <w:p>
            <w:pPr>
              <w:pStyle w:val="TableParagraph"/>
              <w:spacing w:line="148" w:lineRule="exact" w:before="12"/>
              <w:ind w:left="25" w:right="26"/>
              <w:rPr>
                <w:b/>
                <w:sz w:val="14"/>
              </w:rPr>
            </w:pPr>
            <w:r>
              <w:rPr>
                <w:b/>
                <w:sz w:val="14"/>
              </w:rPr>
              <w:t>73</w:t>
            </w:r>
          </w:p>
        </w:tc>
        <w:tc>
          <w:tcPr>
            <w:tcW w:w="85" w:type="dxa"/>
            <w:shd w:val="clear" w:color="auto" w:fill="F9FCF9"/>
          </w:tcPr>
          <w:p>
            <w:pPr>
              <w:pStyle w:val="TableParagraph"/>
              <w:jc w:val="left"/>
              <w:rPr>
                <w:sz w:val="12"/>
              </w:rPr>
            </w:pPr>
          </w:p>
        </w:tc>
        <w:tc>
          <w:tcPr>
            <w:tcW w:w="904" w:type="dxa"/>
            <w:shd w:val="clear" w:color="auto" w:fill="F9FCF9"/>
          </w:tcPr>
          <w:p>
            <w:pPr>
              <w:pStyle w:val="TableParagraph"/>
              <w:jc w:val="left"/>
              <w:rPr>
                <w:sz w:val="12"/>
              </w:rPr>
            </w:pPr>
          </w:p>
        </w:tc>
        <w:tc>
          <w:tcPr>
            <w:tcW w:w="949" w:type="dxa"/>
            <w:shd w:val="clear" w:color="auto" w:fill="F9FCF9"/>
          </w:tcPr>
          <w:p>
            <w:pPr>
              <w:pStyle w:val="TableParagraph"/>
              <w:jc w:val="left"/>
              <w:rPr>
                <w:sz w:val="12"/>
              </w:rPr>
            </w:pPr>
          </w:p>
        </w:tc>
        <w:tc>
          <w:tcPr>
            <w:tcW w:w="1738" w:type="dxa"/>
            <w:shd w:val="clear" w:color="auto" w:fill="F9FCF9"/>
          </w:tcPr>
          <w:p>
            <w:pPr>
              <w:pStyle w:val="TableParagraph"/>
              <w:spacing w:line="148" w:lineRule="exact" w:before="12"/>
              <w:ind w:left="90" w:right="93"/>
              <w:rPr>
                <w:sz w:val="14"/>
              </w:rPr>
            </w:pPr>
            <w:r>
              <w:rPr>
                <w:sz w:val="14"/>
              </w:rPr>
              <w:t>46</w:t>
            </w:r>
          </w:p>
        </w:tc>
      </w:tr>
      <w:tr>
        <w:trPr>
          <w:trHeight w:val="360" w:hRule="atLeast"/>
        </w:trPr>
        <w:tc>
          <w:tcPr>
            <w:tcW w:w="2467" w:type="dxa"/>
            <w:shd w:val="clear" w:color="auto" w:fill="F9FCF9"/>
          </w:tcPr>
          <w:p>
            <w:pPr>
              <w:pStyle w:val="TableParagraph"/>
              <w:spacing w:before="12"/>
              <w:ind w:left="20"/>
              <w:jc w:val="left"/>
              <w:rPr>
                <w:sz w:val="14"/>
              </w:rPr>
            </w:pPr>
            <w:r>
              <w:rPr>
                <w:sz w:val="14"/>
              </w:rPr>
              <w:t>Capture cost confidence level</w:t>
            </w:r>
          </w:p>
          <w:p>
            <w:pPr>
              <w:pStyle w:val="TableParagraph"/>
              <w:spacing w:line="148" w:lineRule="exact" w:before="19"/>
              <w:ind w:left="20"/>
              <w:jc w:val="left"/>
              <w:rPr>
                <w:sz w:val="14"/>
              </w:rPr>
            </w:pPr>
            <w:r>
              <w:rPr>
                <w:sz w:val="14"/>
              </w:rPr>
              <w:t>(see Table 3.6)</w:t>
            </w:r>
          </w:p>
        </w:tc>
        <w:tc>
          <w:tcPr>
            <w:tcW w:w="7445" w:type="dxa"/>
            <w:gridSpan w:val="11"/>
            <w:shd w:val="clear" w:color="auto" w:fill="F9FCF9"/>
          </w:tcPr>
          <w:p>
            <w:pPr>
              <w:pStyle w:val="TableParagraph"/>
              <w:spacing w:before="12"/>
              <w:ind w:left="3456" w:right="3417"/>
              <w:rPr>
                <w:sz w:val="14"/>
              </w:rPr>
            </w:pPr>
            <w:r>
              <w:rPr>
                <w:sz w:val="14"/>
              </w:rPr>
              <w:t>moderate</w:t>
            </w:r>
          </w:p>
        </w:tc>
        <w:tc>
          <w:tcPr>
            <w:tcW w:w="85" w:type="dxa"/>
            <w:shd w:val="clear" w:color="auto" w:fill="F9FCF9"/>
          </w:tcPr>
          <w:p>
            <w:pPr>
              <w:pStyle w:val="TableParagraph"/>
              <w:jc w:val="left"/>
              <w:rPr>
                <w:sz w:val="14"/>
              </w:rPr>
            </w:pPr>
          </w:p>
        </w:tc>
        <w:tc>
          <w:tcPr>
            <w:tcW w:w="3591" w:type="dxa"/>
            <w:gridSpan w:val="3"/>
            <w:shd w:val="clear" w:color="auto" w:fill="F9FCF9"/>
          </w:tcPr>
          <w:p>
            <w:pPr>
              <w:pStyle w:val="TableParagraph"/>
              <w:spacing w:before="12"/>
              <w:ind w:left="1508" w:right="1511"/>
              <w:rPr>
                <w:sz w:val="14"/>
              </w:rPr>
            </w:pPr>
            <w:r>
              <w:rPr>
                <w:sz w:val="14"/>
              </w:rPr>
              <w:t>moderate</w:t>
            </w:r>
          </w:p>
        </w:tc>
      </w:tr>
    </w:tbl>
    <w:p>
      <w:pPr>
        <w:spacing w:line="194" w:lineRule="auto" w:before="55"/>
        <w:ind w:left="572" w:right="616" w:hanging="39"/>
        <w:jc w:val="left"/>
        <w:rPr>
          <w:sz w:val="14"/>
        </w:rPr>
      </w:pPr>
      <w:bookmarkStart w:name="_bookmark38" w:id="86"/>
      <w:bookmarkEnd w:id="86"/>
      <w:r>
        <w:rPr/>
      </w:r>
      <w:r>
        <w:rPr>
          <w:sz w:val="14"/>
        </w:rPr>
        <w:t>Notes: All costs in this table are for capture only and do not include the costs of CO</w:t>
      </w:r>
      <w:r>
        <w:rPr>
          <w:position w:val="-4"/>
          <w:sz w:val="8"/>
        </w:rPr>
        <w:t>2 </w:t>
      </w:r>
      <w:r>
        <w:rPr>
          <w:sz w:val="14"/>
        </w:rPr>
        <w:t>transport and storage; see Chapter 8 for total CCS costs. * Reported HHV values converted to LHV assuming LHV/HHV = 0.96 for coal and 0.90 for natural gas. **Reported capital costs increased by 15% to estimate interest during construction and other owners’ costs.</w:t>
      </w:r>
    </w:p>
    <w:p>
      <w:pPr>
        <w:spacing w:after="0" w:line="194" w:lineRule="auto"/>
        <w:jc w:val="left"/>
        <w:rPr>
          <w:sz w:val="14"/>
        </w:rPr>
        <w:sectPr>
          <w:headerReference w:type="default" r:id="rId183"/>
          <w:headerReference w:type="even" r:id="rId184"/>
          <w:pgSz w:w="15840" w:h="12240" w:orient="landscape"/>
          <w:pgMar w:header="934" w:footer="0" w:top="1120" w:bottom="280" w:left="600" w:right="1000"/>
        </w:sectPr>
      </w:pPr>
    </w:p>
    <w:p>
      <w:pPr>
        <w:pStyle w:val="BodyText"/>
        <w:spacing w:before="8"/>
        <w:rPr>
          <w:sz w:val="18"/>
        </w:rPr>
      </w:pPr>
      <w:r>
        <w:rPr/>
        <w:pict>
          <v:shape style="position:absolute;margin-left:752.653625pt;margin-top:35.850399pt;width:12pt;height:17pt;mso-position-horizontal-relative:page;mso-position-vertical-relative:page;z-index:251736064" type="#_x0000_t202" filled="false" stroked="false">
            <v:textbox inset="0,0,0,0" style="layout-flow:vertical">
              <w:txbxContent>
                <w:p>
                  <w:pPr>
                    <w:spacing w:line="213" w:lineRule="exact" w:before="0"/>
                    <w:ind w:left="20" w:right="0" w:firstLine="0"/>
                    <w:jc w:val="left"/>
                    <w:rPr>
                      <w:b/>
                      <w:sz w:val="20"/>
                    </w:rPr>
                  </w:pPr>
                  <w:r>
                    <w:rPr>
                      <w:b/>
                      <w:sz w:val="20"/>
                    </w:rPr>
                    <w:t>154</w:t>
                  </w:r>
                </w:p>
              </w:txbxContent>
            </v:textbox>
            <w10:wrap type="none"/>
          </v:shape>
        </w:pict>
      </w:r>
      <w:r>
        <w:rPr/>
        <w:pict>
          <v:shape style="position:absolute;margin-left:752.653625pt;margin-top:306.362793pt;width:12pt;height:250pt;mso-position-horizontal-relative:page;mso-position-vertical-relative:page;z-index:251737088" type="#_x0000_t202" filled="false" stroked="false">
            <v:textbox inset="0,0,0,0" style="layout-flow:vertical">
              <w:txbxContent>
                <w:p>
                  <w:pPr>
                    <w:spacing w:line="213" w:lineRule="exact" w:before="0"/>
                    <w:ind w:left="20" w:right="0" w:firstLine="0"/>
                    <w:jc w:val="left"/>
                    <w:rPr>
                      <w:i/>
                      <w:sz w:val="20"/>
                    </w:rPr>
                  </w:pPr>
                  <w:r>
                    <w:rPr>
                      <w:i/>
                      <w:sz w:val="20"/>
                    </w:rPr>
                    <w:t>IPCC Special Report on Carbon dioxide Capture and Storage</w:t>
                  </w:r>
                </w:p>
              </w:txbxContent>
            </v:textbox>
            <w10:wrap type="none"/>
          </v:shape>
        </w:pict>
      </w:r>
    </w:p>
    <w:tbl>
      <w:tblPr>
        <w:tblW w:w="0" w:type="auto"/>
        <w:jc w:val="left"/>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19"/>
        <w:gridCol w:w="1046"/>
        <w:gridCol w:w="1046"/>
        <w:gridCol w:w="1046"/>
        <w:gridCol w:w="1046"/>
        <w:gridCol w:w="1046"/>
        <w:gridCol w:w="1150"/>
        <w:gridCol w:w="1198"/>
        <w:gridCol w:w="851"/>
        <w:gridCol w:w="1335"/>
      </w:tblGrid>
      <w:tr>
        <w:trPr>
          <w:trHeight w:val="238" w:hRule="atLeast"/>
        </w:trPr>
        <w:tc>
          <w:tcPr>
            <w:tcW w:w="3719" w:type="dxa"/>
            <w:shd w:val="clear" w:color="auto" w:fill="E0EEE0"/>
          </w:tcPr>
          <w:p>
            <w:pPr>
              <w:pStyle w:val="TableParagraph"/>
              <w:spacing w:line="200" w:lineRule="exact" w:before="18"/>
              <w:ind w:left="78"/>
              <w:jc w:val="left"/>
              <w:rPr>
                <w:b/>
                <w:sz w:val="18"/>
              </w:rPr>
            </w:pPr>
            <w:r>
              <w:rPr>
                <w:b/>
                <w:sz w:val="18"/>
              </w:rPr>
              <w:t>Study Assumptions and Results</w:t>
            </w:r>
          </w:p>
        </w:tc>
        <w:tc>
          <w:tcPr>
            <w:tcW w:w="1046" w:type="dxa"/>
            <w:shd w:val="clear" w:color="auto" w:fill="E0EEE0"/>
          </w:tcPr>
          <w:p>
            <w:pPr>
              <w:pStyle w:val="TableParagraph"/>
              <w:spacing w:line="200" w:lineRule="exact" w:before="18"/>
              <w:ind w:left="79" w:right="73"/>
              <w:rPr>
                <w:b/>
                <w:sz w:val="18"/>
              </w:rPr>
            </w:pPr>
            <w:r>
              <w:rPr>
                <w:b/>
                <w:sz w:val="18"/>
              </w:rPr>
              <w:t>Parsons</w:t>
            </w:r>
          </w:p>
        </w:tc>
        <w:tc>
          <w:tcPr>
            <w:tcW w:w="1046" w:type="dxa"/>
            <w:shd w:val="clear" w:color="auto" w:fill="E0EEE0"/>
          </w:tcPr>
          <w:p>
            <w:pPr>
              <w:pStyle w:val="TableParagraph"/>
              <w:spacing w:line="200" w:lineRule="exact" w:before="18"/>
              <w:ind w:left="80" w:right="64"/>
              <w:rPr>
                <w:b/>
                <w:sz w:val="18"/>
              </w:rPr>
            </w:pPr>
            <w:r>
              <w:rPr>
                <w:b/>
                <w:spacing w:val="-1"/>
                <w:sz w:val="18"/>
              </w:rPr>
              <w:t>NE</w:t>
            </w:r>
            <w:r>
              <w:rPr>
                <w:b/>
                <w:w w:val="200"/>
                <w:sz w:val="18"/>
              </w:rPr>
              <w:t>t</w:t>
            </w:r>
            <w:r>
              <w:rPr>
                <w:b/>
                <w:sz w:val="18"/>
              </w:rPr>
              <w:t>L</w:t>
            </w:r>
          </w:p>
        </w:tc>
        <w:tc>
          <w:tcPr>
            <w:tcW w:w="1046" w:type="dxa"/>
            <w:shd w:val="clear" w:color="auto" w:fill="E0EEE0"/>
          </w:tcPr>
          <w:p>
            <w:pPr>
              <w:pStyle w:val="TableParagraph"/>
              <w:spacing w:line="200" w:lineRule="exact" w:before="18"/>
              <w:ind w:left="80" w:right="73"/>
              <w:rPr>
                <w:b/>
                <w:sz w:val="18"/>
              </w:rPr>
            </w:pPr>
            <w:r>
              <w:rPr>
                <w:b/>
                <w:w w:val="110"/>
                <w:sz w:val="18"/>
              </w:rPr>
              <w:t>iEA GHG</w:t>
            </w:r>
          </w:p>
        </w:tc>
        <w:tc>
          <w:tcPr>
            <w:tcW w:w="1046" w:type="dxa"/>
            <w:shd w:val="clear" w:color="auto" w:fill="E0EEE0"/>
          </w:tcPr>
          <w:p>
            <w:pPr>
              <w:pStyle w:val="TableParagraph"/>
              <w:spacing w:line="200" w:lineRule="exact" w:before="18"/>
              <w:ind w:left="80" w:right="72"/>
              <w:rPr>
                <w:b/>
                <w:sz w:val="18"/>
              </w:rPr>
            </w:pPr>
            <w:r>
              <w:rPr>
                <w:b/>
                <w:w w:val="110"/>
                <w:sz w:val="18"/>
              </w:rPr>
              <w:t>iEA GHG</w:t>
            </w:r>
          </w:p>
        </w:tc>
        <w:tc>
          <w:tcPr>
            <w:tcW w:w="1046" w:type="dxa"/>
            <w:shd w:val="clear" w:color="auto" w:fill="E0EEE0"/>
          </w:tcPr>
          <w:p>
            <w:pPr>
              <w:pStyle w:val="TableParagraph"/>
              <w:spacing w:line="200" w:lineRule="exact" w:before="18"/>
              <w:ind w:left="80" w:right="62"/>
              <w:rPr>
                <w:b/>
                <w:sz w:val="18"/>
              </w:rPr>
            </w:pPr>
            <w:bookmarkStart w:name="_bookmark39" w:id="87"/>
            <w:bookmarkEnd w:id="87"/>
            <w:r>
              <w:rPr/>
            </w:r>
            <w:bookmarkStart w:name="_bookmark40" w:id="88"/>
            <w:bookmarkEnd w:id="88"/>
            <w:r>
              <w:rPr/>
            </w:r>
            <w:r>
              <w:rPr>
                <w:b/>
                <w:sz w:val="18"/>
              </w:rPr>
              <w:t>CCP</w:t>
            </w:r>
          </w:p>
        </w:tc>
        <w:tc>
          <w:tcPr>
            <w:tcW w:w="1150" w:type="dxa"/>
            <w:shd w:val="clear" w:color="auto" w:fill="E0EEE0"/>
          </w:tcPr>
          <w:p>
            <w:pPr>
              <w:pStyle w:val="TableParagraph"/>
              <w:spacing w:line="200" w:lineRule="exact" w:before="18"/>
              <w:ind w:left="111" w:right="102"/>
              <w:rPr>
                <w:b/>
                <w:i/>
                <w:sz w:val="18"/>
              </w:rPr>
            </w:pPr>
            <w:bookmarkStart w:name="_bookmark41" w:id="89"/>
            <w:bookmarkEnd w:id="89"/>
            <w:r>
              <w:rPr/>
            </w:r>
            <w:r>
              <w:rPr>
                <w:b/>
                <w:sz w:val="18"/>
              </w:rPr>
              <w:t>Rubin </w:t>
            </w:r>
            <w:r>
              <w:rPr>
                <w:b/>
                <w:i/>
                <w:sz w:val="18"/>
              </w:rPr>
              <w:t>et al.</w:t>
            </w:r>
          </w:p>
        </w:tc>
        <w:tc>
          <w:tcPr>
            <w:tcW w:w="1198" w:type="dxa"/>
            <w:shd w:val="clear" w:color="auto" w:fill="E0EEE0"/>
          </w:tcPr>
          <w:p>
            <w:pPr>
              <w:pStyle w:val="TableParagraph"/>
              <w:spacing w:line="200" w:lineRule="exact" w:before="18"/>
              <w:ind w:left="135" w:right="126"/>
              <w:rPr>
                <w:b/>
                <w:i/>
                <w:sz w:val="18"/>
              </w:rPr>
            </w:pPr>
            <w:r>
              <w:rPr>
                <w:b/>
                <w:sz w:val="18"/>
              </w:rPr>
              <w:t>Rubin </w:t>
            </w:r>
            <w:r>
              <w:rPr>
                <w:b/>
                <w:i/>
                <w:sz w:val="18"/>
              </w:rPr>
              <w:t>et al.</w:t>
            </w:r>
          </w:p>
        </w:tc>
        <w:tc>
          <w:tcPr>
            <w:tcW w:w="2186" w:type="dxa"/>
            <w:gridSpan w:val="2"/>
            <w:shd w:val="clear" w:color="auto" w:fill="E0EEE0"/>
          </w:tcPr>
          <w:p>
            <w:pPr>
              <w:pStyle w:val="TableParagraph"/>
              <w:spacing w:line="200" w:lineRule="exact" w:before="18"/>
              <w:ind w:left="827" w:right="819"/>
              <w:rPr>
                <w:b/>
                <w:sz w:val="18"/>
              </w:rPr>
            </w:pPr>
            <w:bookmarkStart w:name="_bookmark42" w:id="90"/>
            <w:bookmarkEnd w:id="90"/>
            <w:r>
              <w:rPr/>
            </w:r>
            <w:r>
              <w:rPr>
                <w:b/>
                <w:sz w:val="18"/>
              </w:rPr>
              <w:t>Range</w:t>
            </w:r>
          </w:p>
        </w:tc>
      </w:tr>
      <w:tr>
        <w:trPr>
          <w:trHeight w:val="238" w:hRule="atLeast"/>
        </w:trPr>
        <w:tc>
          <w:tcPr>
            <w:tcW w:w="3719" w:type="dxa"/>
            <w:shd w:val="clear" w:color="auto" w:fill="E0EEE0"/>
          </w:tcPr>
          <w:p>
            <w:pPr>
              <w:pStyle w:val="TableParagraph"/>
              <w:jc w:val="left"/>
              <w:rPr>
                <w:sz w:val="16"/>
              </w:rPr>
            </w:pPr>
          </w:p>
        </w:tc>
        <w:tc>
          <w:tcPr>
            <w:tcW w:w="1046" w:type="dxa"/>
            <w:shd w:val="clear" w:color="auto" w:fill="E0EEE0"/>
          </w:tcPr>
          <w:p>
            <w:pPr>
              <w:pStyle w:val="TableParagraph"/>
              <w:spacing w:line="200" w:lineRule="exact" w:before="18"/>
              <w:ind w:left="79" w:right="73"/>
              <w:rPr>
                <w:b/>
                <w:sz w:val="18"/>
              </w:rPr>
            </w:pPr>
            <w:r>
              <w:rPr>
                <w:b/>
                <w:sz w:val="18"/>
              </w:rPr>
              <w:t>2002(b)</w:t>
            </w:r>
          </w:p>
        </w:tc>
        <w:tc>
          <w:tcPr>
            <w:tcW w:w="1046" w:type="dxa"/>
            <w:shd w:val="clear" w:color="auto" w:fill="E0EEE0"/>
          </w:tcPr>
          <w:p>
            <w:pPr>
              <w:pStyle w:val="TableParagraph"/>
              <w:spacing w:line="200" w:lineRule="exact" w:before="18"/>
              <w:ind w:left="79" w:right="73"/>
              <w:rPr>
                <w:b/>
                <w:sz w:val="18"/>
              </w:rPr>
            </w:pPr>
            <w:r>
              <w:rPr>
                <w:b/>
                <w:sz w:val="18"/>
              </w:rPr>
              <w:t>2002</w:t>
            </w:r>
          </w:p>
        </w:tc>
        <w:tc>
          <w:tcPr>
            <w:tcW w:w="1046" w:type="dxa"/>
            <w:shd w:val="clear" w:color="auto" w:fill="E0EEE0"/>
          </w:tcPr>
          <w:p>
            <w:pPr>
              <w:pStyle w:val="TableParagraph"/>
              <w:spacing w:line="200" w:lineRule="exact" w:before="18"/>
              <w:ind w:left="80" w:right="73"/>
              <w:rPr>
                <w:b/>
                <w:sz w:val="18"/>
              </w:rPr>
            </w:pPr>
            <w:r>
              <w:rPr>
                <w:b/>
                <w:sz w:val="18"/>
              </w:rPr>
              <w:t>2004</w:t>
            </w:r>
          </w:p>
        </w:tc>
        <w:tc>
          <w:tcPr>
            <w:tcW w:w="1046" w:type="dxa"/>
            <w:shd w:val="clear" w:color="auto" w:fill="E0EEE0"/>
          </w:tcPr>
          <w:p>
            <w:pPr>
              <w:pStyle w:val="TableParagraph"/>
              <w:spacing w:line="200" w:lineRule="exact" w:before="18"/>
              <w:ind w:left="80" w:right="72"/>
              <w:rPr>
                <w:b/>
                <w:sz w:val="18"/>
              </w:rPr>
            </w:pPr>
            <w:r>
              <w:rPr>
                <w:b/>
                <w:sz w:val="18"/>
              </w:rPr>
              <w:t>2004</w:t>
            </w:r>
          </w:p>
        </w:tc>
        <w:tc>
          <w:tcPr>
            <w:tcW w:w="1046" w:type="dxa"/>
            <w:shd w:val="clear" w:color="auto" w:fill="E0EEE0"/>
          </w:tcPr>
          <w:p>
            <w:pPr>
              <w:pStyle w:val="TableParagraph"/>
              <w:spacing w:line="200" w:lineRule="exact" w:before="18"/>
              <w:ind w:left="80" w:right="71"/>
              <w:rPr>
                <w:b/>
                <w:sz w:val="18"/>
              </w:rPr>
            </w:pPr>
            <w:r>
              <w:rPr>
                <w:b/>
                <w:sz w:val="18"/>
              </w:rPr>
              <w:t>2005</w:t>
            </w:r>
          </w:p>
        </w:tc>
        <w:tc>
          <w:tcPr>
            <w:tcW w:w="1150" w:type="dxa"/>
            <w:shd w:val="clear" w:color="auto" w:fill="E0EEE0"/>
          </w:tcPr>
          <w:p>
            <w:pPr>
              <w:pStyle w:val="TableParagraph"/>
              <w:spacing w:line="200" w:lineRule="exact" w:before="18"/>
              <w:ind w:left="111" w:right="102"/>
              <w:rPr>
                <w:b/>
                <w:sz w:val="18"/>
              </w:rPr>
            </w:pPr>
            <w:r>
              <w:rPr>
                <w:b/>
                <w:sz w:val="18"/>
              </w:rPr>
              <w:t>2005</w:t>
            </w:r>
          </w:p>
        </w:tc>
        <w:tc>
          <w:tcPr>
            <w:tcW w:w="1198" w:type="dxa"/>
            <w:shd w:val="clear" w:color="auto" w:fill="E0EEE0"/>
          </w:tcPr>
          <w:p>
            <w:pPr>
              <w:pStyle w:val="TableParagraph"/>
              <w:spacing w:line="200" w:lineRule="exact" w:before="18"/>
              <w:ind w:left="135" w:right="126"/>
              <w:rPr>
                <w:b/>
                <w:sz w:val="18"/>
              </w:rPr>
            </w:pPr>
            <w:r>
              <w:rPr>
                <w:b/>
                <w:sz w:val="18"/>
              </w:rPr>
              <w:t>2005</w:t>
            </w:r>
          </w:p>
        </w:tc>
        <w:tc>
          <w:tcPr>
            <w:tcW w:w="851" w:type="dxa"/>
            <w:shd w:val="clear" w:color="auto" w:fill="E0EEE0"/>
          </w:tcPr>
          <w:p>
            <w:pPr>
              <w:pStyle w:val="TableParagraph"/>
              <w:spacing w:line="200" w:lineRule="exact" w:before="18"/>
              <w:ind w:right="263"/>
              <w:jc w:val="right"/>
              <w:rPr>
                <w:b/>
                <w:sz w:val="18"/>
              </w:rPr>
            </w:pPr>
            <w:r>
              <w:rPr>
                <w:b/>
                <w:sz w:val="18"/>
              </w:rPr>
              <w:t>min</w:t>
            </w:r>
          </w:p>
        </w:tc>
        <w:tc>
          <w:tcPr>
            <w:tcW w:w="1335" w:type="dxa"/>
            <w:shd w:val="clear" w:color="auto" w:fill="E0EEE0"/>
          </w:tcPr>
          <w:p>
            <w:pPr>
              <w:pStyle w:val="TableParagraph"/>
              <w:spacing w:line="200" w:lineRule="exact" w:before="18"/>
              <w:ind w:left="444" w:right="436"/>
              <w:rPr>
                <w:b/>
                <w:sz w:val="18"/>
              </w:rPr>
            </w:pPr>
            <w:r>
              <w:rPr>
                <w:b/>
                <w:sz w:val="18"/>
              </w:rPr>
              <w:t>max</w:t>
            </w:r>
          </w:p>
        </w:tc>
      </w:tr>
      <w:tr>
        <w:trPr>
          <w:trHeight w:val="238" w:hRule="atLeast"/>
        </w:trPr>
        <w:tc>
          <w:tcPr>
            <w:tcW w:w="3719" w:type="dxa"/>
            <w:shd w:val="clear" w:color="auto" w:fill="F9FCF9"/>
          </w:tcPr>
          <w:p>
            <w:pPr>
              <w:pStyle w:val="TableParagraph"/>
              <w:spacing w:line="200" w:lineRule="exact" w:before="18"/>
              <w:ind w:left="275"/>
              <w:jc w:val="left"/>
              <w:rPr>
                <w:b/>
                <w:i/>
                <w:sz w:val="18"/>
              </w:rPr>
            </w:pPr>
            <w:r>
              <w:rPr>
                <w:b/>
                <w:i/>
                <w:sz w:val="18"/>
              </w:rPr>
              <w:t>Reference Plant (without capture)</w:t>
            </w:r>
          </w:p>
        </w:tc>
        <w:tc>
          <w:tcPr>
            <w:tcW w:w="1046" w:type="dxa"/>
            <w:shd w:val="clear" w:color="auto" w:fill="F9FCF9"/>
          </w:tcPr>
          <w:p>
            <w:pPr>
              <w:pStyle w:val="TableParagraph"/>
              <w:spacing w:line="200" w:lineRule="exact" w:before="18"/>
              <w:ind w:left="6"/>
              <w:rPr>
                <w:b/>
                <w:i/>
                <w:sz w:val="18"/>
              </w:rPr>
            </w:pPr>
            <w:r>
              <w:rPr>
                <w:b/>
                <w:i/>
                <w:sz w:val="18"/>
              </w:rPr>
              <w:t>*</w:t>
            </w:r>
          </w:p>
        </w:tc>
        <w:tc>
          <w:tcPr>
            <w:tcW w:w="1046" w:type="dxa"/>
            <w:shd w:val="clear" w:color="auto" w:fill="F9FCF9"/>
          </w:tcPr>
          <w:p>
            <w:pPr>
              <w:pStyle w:val="TableParagraph"/>
              <w:jc w:val="left"/>
              <w:rPr>
                <w:sz w:val="16"/>
              </w:rPr>
            </w:pPr>
          </w:p>
        </w:tc>
        <w:tc>
          <w:tcPr>
            <w:tcW w:w="1046" w:type="dxa"/>
            <w:shd w:val="clear" w:color="auto" w:fill="F9FCF9"/>
          </w:tcPr>
          <w:p>
            <w:pPr>
              <w:pStyle w:val="TableParagraph"/>
              <w:jc w:val="left"/>
              <w:rPr>
                <w:sz w:val="16"/>
              </w:rPr>
            </w:pPr>
          </w:p>
        </w:tc>
        <w:tc>
          <w:tcPr>
            <w:tcW w:w="1046" w:type="dxa"/>
            <w:shd w:val="clear" w:color="auto" w:fill="F9FCF9"/>
          </w:tcPr>
          <w:p>
            <w:pPr>
              <w:pStyle w:val="TableParagraph"/>
              <w:jc w:val="left"/>
              <w:rPr>
                <w:sz w:val="16"/>
              </w:rPr>
            </w:pPr>
          </w:p>
        </w:tc>
        <w:tc>
          <w:tcPr>
            <w:tcW w:w="1046" w:type="dxa"/>
            <w:shd w:val="clear" w:color="auto" w:fill="F9FCF9"/>
          </w:tcPr>
          <w:p>
            <w:pPr>
              <w:pStyle w:val="TableParagraph"/>
              <w:jc w:val="left"/>
              <w:rPr>
                <w:sz w:val="16"/>
              </w:rPr>
            </w:pPr>
          </w:p>
        </w:tc>
        <w:tc>
          <w:tcPr>
            <w:tcW w:w="1150" w:type="dxa"/>
            <w:shd w:val="clear" w:color="auto" w:fill="F9FCF9"/>
          </w:tcPr>
          <w:p>
            <w:pPr>
              <w:pStyle w:val="TableParagraph"/>
              <w:spacing w:line="200" w:lineRule="exact" w:before="18"/>
              <w:ind w:left="9"/>
              <w:rPr>
                <w:b/>
                <w:i/>
                <w:sz w:val="18"/>
              </w:rPr>
            </w:pPr>
            <w:r>
              <w:rPr>
                <w:b/>
                <w:i/>
                <w:sz w:val="18"/>
              </w:rPr>
              <w:t>*</w:t>
            </w:r>
          </w:p>
        </w:tc>
        <w:tc>
          <w:tcPr>
            <w:tcW w:w="1198" w:type="dxa"/>
            <w:shd w:val="clear" w:color="auto" w:fill="F9FCF9"/>
          </w:tcPr>
          <w:p>
            <w:pPr>
              <w:pStyle w:val="TableParagraph"/>
              <w:spacing w:line="200" w:lineRule="exact" w:before="18"/>
              <w:ind w:left="9"/>
              <w:rPr>
                <w:b/>
                <w:i/>
                <w:sz w:val="18"/>
              </w:rPr>
            </w:pPr>
            <w:r>
              <w:rPr>
                <w:b/>
                <w:i/>
                <w:sz w:val="18"/>
              </w:rPr>
              <w:t>*</w:t>
            </w:r>
          </w:p>
        </w:tc>
        <w:tc>
          <w:tcPr>
            <w:tcW w:w="851" w:type="dxa"/>
            <w:shd w:val="clear" w:color="auto" w:fill="F9FCF9"/>
          </w:tcPr>
          <w:p>
            <w:pPr>
              <w:pStyle w:val="TableParagraph"/>
              <w:jc w:val="left"/>
              <w:rPr>
                <w:sz w:val="16"/>
              </w:rPr>
            </w:pPr>
          </w:p>
        </w:tc>
        <w:tc>
          <w:tcPr>
            <w:tcW w:w="1335" w:type="dxa"/>
            <w:shd w:val="clear" w:color="auto" w:fill="F9FCF9"/>
          </w:tcPr>
          <w:p>
            <w:pPr>
              <w:pStyle w:val="TableParagraph"/>
              <w:jc w:val="left"/>
              <w:rPr>
                <w:sz w:val="16"/>
              </w:rPr>
            </w:pP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Plant type (boiler, gas turbine, comb.cycle)</w:t>
            </w:r>
          </w:p>
        </w:tc>
        <w:tc>
          <w:tcPr>
            <w:tcW w:w="1046" w:type="dxa"/>
            <w:shd w:val="clear" w:color="auto" w:fill="F9FCF9"/>
          </w:tcPr>
          <w:p>
            <w:pPr>
              <w:pStyle w:val="TableParagraph"/>
              <w:spacing w:line="200" w:lineRule="exact" w:before="18"/>
              <w:ind w:left="79" w:right="73"/>
              <w:rPr>
                <w:sz w:val="18"/>
              </w:rPr>
            </w:pPr>
            <w:r>
              <w:rPr>
                <w:sz w:val="18"/>
              </w:rPr>
              <w:t>comb.cycle</w:t>
            </w:r>
          </w:p>
        </w:tc>
        <w:tc>
          <w:tcPr>
            <w:tcW w:w="1046" w:type="dxa"/>
            <w:shd w:val="clear" w:color="auto" w:fill="F9FCF9"/>
          </w:tcPr>
          <w:p>
            <w:pPr>
              <w:pStyle w:val="TableParagraph"/>
              <w:spacing w:line="200" w:lineRule="exact" w:before="18"/>
              <w:ind w:left="80" w:right="73"/>
              <w:rPr>
                <w:sz w:val="18"/>
              </w:rPr>
            </w:pPr>
            <w:r>
              <w:rPr>
                <w:sz w:val="18"/>
              </w:rPr>
              <w:t>comb.cycle</w:t>
            </w:r>
          </w:p>
        </w:tc>
        <w:tc>
          <w:tcPr>
            <w:tcW w:w="1046" w:type="dxa"/>
            <w:shd w:val="clear" w:color="auto" w:fill="F9FCF9"/>
          </w:tcPr>
          <w:p>
            <w:pPr>
              <w:pStyle w:val="TableParagraph"/>
              <w:spacing w:line="200" w:lineRule="exact" w:before="18"/>
              <w:ind w:left="80" w:right="73"/>
              <w:rPr>
                <w:sz w:val="18"/>
              </w:rPr>
            </w:pPr>
            <w:r>
              <w:rPr>
                <w:sz w:val="18"/>
              </w:rPr>
              <w:t>comb.cycle</w:t>
            </w:r>
          </w:p>
        </w:tc>
        <w:tc>
          <w:tcPr>
            <w:tcW w:w="1046" w:type="dxa"/>
            <w:shd w:val="clear" w:color="auto" w:fill="F9FCF9"/>
          </w:tcPr>
          <w:p>
            <w:pPr>
              <w:pStyle w:val="TableParagraph"/>
              <w:spacing w:line="200" w:lineRule="exact" w:before="18"/>
              <w:ind w:left="80" w:right="72"/>
              <w:rPr>
                <w:sz w:val="18"/>
              </w:rPr>
            </w:pPr>
            <w:r>
              <w:rPr>
                <w:sz w:val="18"/>
              </w:rPr>
              <w:t>comb.cycle</w:t>
            </w:r>
          </w:p>
        </w:tc>
        <w:tc>
          <w:tcPr>
            <w:tcW w:w="1046" w:type="dxa"/>
            <w:shd w:val="clear" w:color="auto" w:fill="F9FCF9"/>
          </w:tcPr>
          <w:p>
            <w:pPr>
              <w:pStyle w:val="TableParagraph"/>
              <w:spacing w:line="200" w:lineRule="exact" w:before="18"/>
              <w:ind w:left="80" w:right="71"/>
              <w:rPr>
                <w:sz w:val="18"/>
              </w:rPr>
            </w:pPr>
            <w:r>
              <w:rPr>
                <w:sz w:val="18"/>
              </w:rPr>
              <w:t>comb.cycle</w:t>
            </w:r>
          </w:p>
        </w:tc>
        <w:tc>
          <w:tcPr>
            <w:tcW w:w="1150" w:type="dxa"/>
            <w:shd w:val="clear" w:color="auto" w:fill="F9FCF9"/>
          </w:tcPr>
          <w:p>
            <w:pPr>
              <w:pStyle w:val="TableParagraph"/>
              <w:spacing w:line="200" w:lineRule="exact" w:before="18"/>
              <w:ind w:left="111" w:right="102"/>
              <w:rPr>
                <w:sz w:val="18"/>
              </w:rPr>
            </w:pPr>
            <w:r>
              <w:rPr>
                <w:sz w:val="18"/>
              </w:rPr>
              <w:t>comb.cycle</w:t>
            </w:r>
          </w:p>
        </w:tc>
        <w:tc>
          <w:tcPr>
            <w:tcW w:w="1198" w:type="dxa"/>
            <w:shd w:val="clear" w:color="auto" w:fill="F9FCF9"/>
          </w:tcPr>
          <w:p>
            <w:pPr>
              <w:pStyle w:val="TableParagraph"/>
              <w:spacing w:line="200" w:lineRule="exact" w:before="18"/>
              <w:ind w:left="135" w:right="125"/>
              <w:rPr>
                <w:sz w:val="18"/>
              </w:rPr>
            </w:pPr>
            <w:r>
              <w:rPr>
                <w:sz w:val="18"/>
              </w:rPr>
              <w:t>comb.cycle</w:t>
            </w:r>
          </w:p>
        </w:tc>
        <w:tc>
          <w:tcPr>
            <w:tcW w:w="851" w:type="dxa"/>
            <w:shd w:val="clear" w:color="auto" w:fill="F9FCF9"/>
          </w:tcPr>
          <w:p>
            <w:pPr>
              <w:pStyle w:val="TableParagraph"/>
              <w:jc w:val="left"/>
              <w:rPr>
                <w:sz w:val="16"/>
              </w:rPr>
            </w:pPr>
          </w:p>
        </w:tc>
        <w:tc>
          <w:tcPr>
            <w:tcW w:w="1335" w:type="dxa"/>
            <w:shd w:val="clear" w:color="auto" w:fill="F9FCF9"/>
          </w:tcPr>
          <w:p>
            <w:pPr>
              <w:pStyle w:val="TableParagraph"/>
              <w:jc w:val="left"/>
              <w:rPr>
                <w:sz w:val="16"/>
              </w:rPr>
            </w:pP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Reference plant size (MW)</w:t>
            </w:r>
          </w:p>
        </w:tc>
        <w:tc>
          <w:tcPr>
            <w:tcW w:w="1046" w:type="dxa"/>
            <w:shd w:val="clear" w:color="auto" w:fill="F9FCF9"/>
          </w:tcPr>
          <w:p>
            <w:pPr>
              <w:pStyle w:val="TableParagraph"/>
              <w:spacing w:line="200" w:lineRule="exact" w:before="18"/>
              <w:ind w:left="79" w:right="73"/>
              <w:rPr>
                <w:sz w:val="18"/>
              </w:rPr>
            </w:pPr>
            <w:r>
              <w:rPr>
                <w:sz w:val="18"/>
              </w:rPr>
              <w:t>509</w:t>
            </w:r>
          </w:p>
        </w:tc>
        <w:tc>
          <w:tcPr>
            <w:tcW w:w="1046" w:type="dxa"/>
            <w:shd w:val="clear" w:color="auto" w:fill="F9FCF9"/>
          </w:tcPr>
          <w:p>
            <w:pPr>
              <w:pStyle w:val="TableParagraph"/>
              <w:spacing w:line="200" w:lineRule="exact" w:before="18"/>
              <w:ind w:left="79" w:right="73"/>
              <w:rPr>
                <w:sz w:val="18"/>
              </w:rPr>
            </w:pPr>
            <w:r>
              <w:rPr>
                <w:sz w:val="18"/>
              </w:rPr>
              <w:t>379</w:t>
            </w:r>
          </w:p>
        </w:tc>
        <w:tc>
          <w:tcPr>
            <w:tcW w:w="1046" w:type="dxa"/>
            <w:shd w:val="clear" w:color="auto" w:fill="F9FCF9"/>
          </w:tcPr>
          <w:p>
            <w:pPr>
              <w:pStyle w:val="TableParagraph"/>
              <w:spacing w:line="200" w:lineRule="exact" w:before="18"/>
              <w:ind w:left="80" w:right="73"/>
              <w:rPr>
                <w:sz w:val="18"/>
              </w:rPr>
            </w:pPr>
            <w:r>
              <w:rPr>
                <w:sz w:val="18"/>
              </w:rPr>
              <w:t>776</w:t>
            </w:r>
          </w:p>
        </w:tc>
        <w:tc>
          <w:tcPr>
            <w:tcW w:w="1046" w:type="dxa"/>
            <w:shd w:val="clear" w:color="auto" w:fill="F9FCF9"/>
          </w:tcPr>
          <w:p>
            <w:pPr>
              <w:pStyle w:val="TableParagraph"/>
              <w:spacing w:line="200" w:lineRule="exact" w:before="18"/>
              <w:ind w:left="80" w:right="72"/>
              <w:rPr>
                <w:sz w:val="18"/>
              </w:rPr>
            </w:pPr>
            <w:r>
              <w:rPr>
                <w:sz w:val="18"/>
              </w:rPr>
              <w:t>776</w:t>
            </w:r>
          </w:p>
        </w:tc>
        <w:tc>
          <w:tcPr>
            <w:tcW w:w="1046" w:type="dxa"/>
            <w:shd w:val="clear" w:color="auto" w:fill="F9FCF9"/>
          </w:tcPr>
          <w:p>
            <w:pPr>
              <w:pStyle w:val="TableParagraph"/>
              <w:spacing w:line="200" w:lineRule="exact" w:before="18"/>
              <w:ind w:left="80" w:right="71"/>
              <w:rPr>
                <w:sz w:val="18"/>
              </w:rPr>
            </w:pPr>
            <w:r>
              <w:rPr>
                <w:sz w:val="18"/>
              </w:rPr>
              <w:t>392</w:t>
            </w:r>
          </w:p>
        </w:tc>
        <w:tc>
          <w:tcPr>
            <w:tcW w:w="1150" w:type="dxa"/>
            <w:shd w:val="clear" w:color="auto" w:fill="F9FCF9"/>
          </w:tcPr>
          <w:p>
            <w:pPr>
              <w:pStyle w:val="TableParagraph"/>
              <w:spacing w:line="200" w:lineRule="exact" w:before="18"/>
              <w:ind w:left="111" w:right="102"/>
              <w:rPr>
                <w:sz w:val="18"/>
              </w:rPr>
            </w:pPr>
            <w:r>
              <w:rPr>
                <w:sz w:val="18"/>
              </w:rPr>
              <w:t>507</w:t>
            </w:r>
          </w:p>
        </w:tc>
        <w:tc>
          <w:tcPr>
            <w:tcW w:w="1198" w:type="dxa"/>
            <w:shd w:val="clear" w:color="auto" w:fill="F9FCF9"/>
          </w:tcPr>
          <w:p>
            <w:pPr>
              <w:pStyle w:val="TableParagraph"/>
              <w:spacing w:line="200" w:lineRule="exact" w:before="18"/>
              <w:ind w:left="135" w:right="126"/>
              <w:rPr>
                <w:sz w:val="18"/>
              </w:rPr>
            </w:pPr>
            <w:r>
              <w:rPr>
                <w:sz w:val="18"/>
              </w:rPr>
              <w:t>507</w:t>
            </w:r>
          </w:p>
        </w:tc>
        <w:tc>
          <w:tcPr>
            <w:tcW w:w="851" w:type="dxa"/>
            <w:shd w:val="clear" w:color="auto" w:fill="F9FCF9"/>
          </w:tcPr>
          <w:p>
            <w:pPr>
              <w:pStyle w:val="TableParagraph"/>
              <w:spacing w:line="200" w:lineRule="exact" w:before="18"/>
              <w:ind w:right="278"/>
              <w:jc w:val="right"/>
              <w:rPr>
                <w:b/>
                <w:sz w:val="18"/>
              </w:rPr>
            </w:pPr>
            <w:r>
              <w:rPr>
                <w:b/>
                <w:sz w:val="18"/>
              </w:rPr>
              <w:t>379</w:t>
            </w:r>
          </w:p>
        </w:tc>
        <w:tc>
          <w:tcPr>
            <w:tcW w:w="1335" w:type="dxa"/>
            <w:shd w:val="clear" w:color="auto" w:fill="F9FCF9"/>
          </w:tcPr>
          <w:p>
            <w:pPr>
              <w:pStyle w:val="TableParagraph"/>
              <w:spacing w:line="200" w:lineRule="exact" w:before="18"/>
              <w:ind w:left="444" w:right="436"/>
              <w:rPr>
                <w:b/>
                <w:sz w:val="18"/>
              </w:rPr>
            </w:pPr>
            <w:r>
              <w:rPr>
                <w:b/>
                <w:sz w:val="18"/>
              </w:rPr>
              <w:t>776</w:t>
            </w: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Plant capacity factor (%)</w:t>
            </w:r>
          </w:p>
        </w:tc>
        <w:tc>
          <w:tcPr>
            <w:tcW w:w="1046" w:type="dxa"/>
            <w:shd w:val="clear" w:color="auto" w:fill="F9FCF9"/>
          </w:tcPr>
          <w:p>
            <w:pPr>
              <w:pStyle w:val="TableParagraph"/>
              <w:spacing w:line="200" w:lineRule="exact" w:before="18"/>
              <w:ind w:left="79" w:right="73"/>
              <w:rPr>
                <w:sz w:val="18"/>
              </w:rPr>
            </w:pPr>
            <w:r>
              <w:rPr>
                <w:sz w:val="18"/>
              </w:rPr>
              <w:t>65</w:t>
            </w:r>
          </w:p>
        </w:tc>
        <w:tc>
          <w:tcPr>
            <w:tcW w:w="1046" w:type="dxa"/>
            <w:shd w:val="clear" w:color="auto" w:fill="F9FCF9"/>
          </w:tcPr>
          <w:p>
            <w:pPr>
              <w:pStyle w:val="TableParagraph"/>
              <w:spacing w:line="200" w:lineRule="exact" w:before="18"/>
              <w:ind w:left="79" w:right="73"/>
              <w:rPr>
                <w:sz w:val="18"/>
              </w:rPr>
            </w:pPr>
            <w:r>
              <w:rPr>
                <w:sz w:val="18"/>
              </w:rPr>
              <w:t>85</w:t>
            </w:r>
          </w:p>
        </w:tc>
        <w:tc>
          <w:tcPr>
            <w:tcW w:w="1046" w:type="dxa"/>
            <w:shd w:val="clear" w:color="auto" w:fill="F9FCF9"/>
          </w:tcPr>
          <w:p>
            <w:pPr>
              <w:pStyle w:val="TableParagraph"/>
              <w:spacing w:line="200" w:lineRule="exact" w:before="18"/>
              <w:ind w:left="80" w:right="73"/>
              <w:rPr>
                <w:sz w:val="18"/>
              </w:rPr>
            </w:pPr>
            <w:r>
              <w:rPr>
                <w:sz w:val="18"/>
              </w:rPr>
              <w:t>85</w:t>
            </w:r>
          </w:p>
        </w:tc>
        <w:tc>
          <w:tcPr>
            <w:tcW w:w="1046" w:type="dxa"/>
            <w:shd w:val="clear" w:color="auto" w:fill="F9FCF9"/>
          </w:tcPr>
          <w:p>
            <w:pPr>
              <w:pStyle w:val="TableParagraph"/>
              <w:spacing w:line="200" w:lineRule="exact" w:before="18"/>
              <w:ind w:left="80" w:right="72"/>
              <w:rPr>
                <w:sz w:val="18"/>
              </w:rPr>
            </w:pPr>
            <w:r>
              <w:rPr>
                <w:sz w:val="18"/>
              </w:rPr>
              <w:t>85</w:t>
            </w:r>
          </w:p>
        </w:tc>
        <w:tc>
          <w:tcPr>
            <w:tcW w:w="1046" w:type="dxa"/>
            <w:shd w:val="clear" w:color="auto" w:fill="F9FCF9"/>
          </w:tcPr>
          <w:p>
            <w:pPr>
              <w:pStyle w:val="TableParagraph"/>
              <w:spacing w:line="200" w:lineRule="exact" w:before="18"/>
              <w:ind w:left="80" w:right="71"/>
              <w:rPr>
                <w:sz w:val="18"/>
              </w:rPr>
            </w:pPr>
            <w:r>
              <w:rPr>
                <w:sz w:val="18"/>
              </w:rPr>
              <w:t>95</w:t>
            </w:r>
          </w:p>
        </w:tc>
        <w:tc>
          <w:tcPr>
            <w:tcW w:w="1150" w:type="dxa"/>
            <w:shd w:val="clear" w:color="auto" w:fill="F9FCF9"/>
          </w:tcPr>
          <w:p>
            <w:pPr>
              <w:pStyle w:val="TableParagraph"/>
              <w:spacing w:line="200" w:lineRule="exact" w:before="18"/>
              <w:ind w:left="111" w:right="102"/>
              <w:rPr>
                <w:sz w:val="18"/>
              </w:rPr>
            </w:pPr>
            <w:r>
              <w:rPr>
                <w:sz w:val="18"/>
              </w:rPr>
              <w:t>75</w:t>
            </w:r>
          </w:p>
        </w:tc>
        <w:tc>
          <w:tcPr>
            <w:tcW w:w="1198" w:type="dxa"/>
            <w:shd w:val="clear" w:color="auto" w:fill="F9FCF9"/>
          </w:tcPr>
          <w:p>
            <w:pPr>
              <w:pStyle w:val="TableParagraph"/>
              <w:spacing w:line="200" w:lineRule="exact" w:before="18"/>
              <w:ind w:left="135" w:right="126"/>
              <w:rPr>
                <w:sz w:val="18"/>
              </w:rPr>
            </w:pPr>
            <w:r>
              <w:rPr>
                <w:sz w:val="18"/>
              </w:rPr>
              <w:t>50</w:t>
            </w:r>
          </w:p>
        </w:tc>
        <w:tc>
          <w:tcPr>
            <w:tcW w:w="851" w:type="dxa"/>
            <w:shd w:val="clear" w:color="auto" w:fill="F9FCF9"/>
          </w:tcPr>
          <w:p>
            <w:pPr>
              <w:pStyle w:val="TableParagraph"/>
              <w:spacing w:line="200" w:lineRule="exact" w:before="18"/>
              <w:ind w:left="30" w:right="21"/>
              <w:rPr>
                <w:b/>
                <w:sz w:val="18"/>
              </w:rPr>
            </w:pPr>
            <w:r>
              <w:rPr>
                <w:b/>
                <w:sz w:val="18"/>
              </w:rPr>
              <w:t>50</w:t>
            </w:r>
          </w:p>
        </w:tc>
        <w:tc>
          <w:tcPr>
            <w:tcW w:w="1335" w:type="dxa"/>
            <w:shd w:val="clear" w:color="auto" w:fill="F9FCF9"/>
          </w:tcPr>
          <w:p>
            <w:pPr>
              <w:pStyle w:val="TableParagraph"/>
              <w:spacing w:line="200" w:lineRule="exact" w:before="18"/>
              <w:ind w:left="444" w:right="436"/>
              <w:rPr>
                <w:b/>
                <w:sz w:val="18"/>
              </w:rPr>
            </w:pPr>
            <w:r>
              <w:rPr>
                <w:b/>
                <w:sz w:val="18"/>
              </w:rPr>
              <w:t>95</w:t>
            </w:r>
          </w:p>
        </w:tc>
      </w:tr>
      <w:tr>
        <w:trPr>
          <w:trHeight w:val="280" w:hRule="atLeast"/>
        </w:trPr>
        <w:tc>
          <w:tcPr>
            <w:tcW w:w="3719" w:type="dxa"/>
            <w:shd w:val="clear" w:color="auto" w:fill="F9FCF9"/>
          </w:tcPr>
          <w:p>
            <w:pPr>
              <w:pStyle w:val="TableParagraph"/>
              <w:spacing w:before="18"/>
              <w:ind w:left="78"/>
              <w:jc w:val="left"/>
              <w:rPr>
                <w:sz w:val="18"/>
              </w:rPr>
            </w:pPr>
            <w:r>
              <w:rPr>
                <w:sz w:val="18"/>
              </w:rPr>
              <w:t>Net plant efficiency, LHV (%)</w:t>
            </w:r>
          </w:p>
        </w:tc>
        <w:tc>
          <w:tcPr>
            <w:tcW w:w="1046" w:type="dxa"/>
            <w:shd w:val="clear" w:color="auto" w:fill="F9FCF9"/>
          </w:tcPr>
          <w:p>
            <w:pPr>
              <w:pStyle w:val="TableParagraph"/>
              <w:spacing w:before="18"/>
              <w:ind w:left="79" w:right="73"/>
              <w:rPr>
                <w:sz w:val="18"/>
              </w:rPr>
            </w:pPr>
            <w:r>
              <w:rPr>
                <w:sz w:val="18"/>
              </w:rPr>
              <w:t>55.1</w:t>
            </w:r>
          </w:p>
        </w:tc>
        <w:tc>
          <w:tcPr>
            <w:tcW w:w="1046" w:type="dxa"/>
            <w:shd w:val="clear" w:color="auto" w:fill="F9FCF9"/>
          </w:tcPr>
          <w:p>
            <w:pPr>
              <w:pStyle w:val="TableParagraph"/>
              <w:spacing w:before="18"/>
              <w:ind w:left="79" w:right="73"/>
              <w:rPr>
                <w:sz w:val="18"/>
              </w:rPr>
            </w:pPr>
            <w:r>
              <w:rPr>
                <w:sz w:val="18"/>
              </w:rPr>
              <w:t>57.9</w:t>
            </w:r>
          </w:p>
        </w:tc>
        <w:tc>
          <w:tcPr>
            <w:tcW w:w="1046" w:type="dxa"/>
            <w:shd w:val="clear" w:color="auto" w:fill="F9FCF9"/>
          </w:tcPr>
          <w:p>
            <w:pPr>
              <w:pStyle w:val="TableParagraph"/>
              <w:spacing w:before="18"/>
              <w:ind w:left="80" w:right="73"/>
              <w:rPr>
                <w:sz w:val="18"/>
              </w:rPr>
            </w:pPr>
            <w:r>
              <w:rPr>
                <w:sz w:val="18"/>
              </w:rPr>
              <w:t>55.6</w:t>
            </w:r>
          </w:p>
        </w:tc>
        <w:tc>
          <w:tcPr>
            <w:tcW w:w="1046" w:type="dxa"/>
            <w:shd w:val="clear" w:color="auto" w:fill="F9FCF9"/>
          </w:tcPr>
          <w:p>
            <w:pPr>
              <w:pStyle w:val="TableParagraph"/>
              <w:spacing w:before="18"/>
              <w:ind w:left="80" w:right="72"/>
              <w:rPr>
                <w:sz w:val="18"/>
              </w:rPr>
            </w:pPr>
            <w:r>
              <w:rPr>
                <w:sz w:val="18"/>
              </w:rPr>
              <w:t>55.6</w:t>
            </w:r>
          </w:p>
        </w:tc>
        <w:tc>
          <w:tcPr>
            <w:tcW w:w="1046" w:type="dxa"/>
            <w:shd w:val="clear" w:color="auto" w:fill="F9FCF9"/>
          </w:tcPr>
          <w:p>
            <w:pPr>
              <w:pStyle w:val="TableParagraph"/>
              <w:spacing w:before="18"/>
              <w:ind w:left="80" w:right="71"/>
              <w:rPr>
                <w:sz w:val="18"/>
              </w:rPr>
            </w:pPr>
            <w:r>
              <w:rPr>
                <w:sz w:val="18"/>
              </w:rPr>
              <w:t>57.6</w:t>
            </w:r>
          </w:p>
        </w:tc>
        <w:tc>
          <w:tcPr>
            <w:tcW w:w="1150" w:type="dxa"/>
            <w:shd w:val="clear" w:color="auto" w:fill="F9FCF9"/>
          </w:tcPr>
          <w:p>
            <w:pPr>
              <w:pStyle w:val="TableParagraph"/>
              <w:spacing w:before="18"/>
              <w:ind w:left="111" w:right="102"/>
              <w:rPr>
                <w:sz w:val="18"/>
              </w:rPr>
            </w:pPr>
            <w:r>
              <w:rPr>
                <w:sz w:val="18"/>
              </w:rPr>
              <w:t>55.8</w:t>
            </w:r>
          </w:p>
        </w:tc>
        <w:tc>
          <w:tcPr>
            <w:tcW w:w="1198" w:type="dxa"/>
            <w:shd w:val="clear" w:color="auto" w:fill="F9FCF9"/>
          </w:tcPr>
          <w:p>
            <w:pPr>
              <w:pStyle w:val="TableParagraph"/>
              <w:spacing w:before="18"/>
              <w:ind w:left="135" w:right="126"/>
              <w:rPr>
                <w:sz w:val="18"/>
              </w:rPr>
            </w:pPr>
            <w:r>
              <w:rPr>
                <w:sz w:val="18"/>
              </w:rPr>
              <w:t>55.8</w:t>
            </w:r>
          </w:p>
        </w:tc>
        <w:tc>
          <w:tcPr>
            <w:tcW w:w="851" w:type="dxa"/>
            <w:shd w:val="clear" w:color="auto" w:fill="F9FCF9"/>
          </w:tcPr>
          <w:p>
            <w:pPr>
              <w:pStyle w:val="TableParagraph"/>
              <w:spacing w:before="18"/>
              <w:ind w:left="30" w:right="21"/>
              <w:rPr>
                <w:b/>
                <w:sz w:val="18"/>
              </w:rPr>
            </w:pPr>
            <w:r>
              <w:rPr>
                <w:b/>
                <w:sz w:val="18"/>
              </w:rPr>
              <w:t>55</w:t>
            </w:r>
          </w:p>
        </w:tc>
        <w:tc>
          <w:tcPr>
            <w:tcW w:w="1335" w:type="dxa"/>
            <w:shd w:val="clear" w:color="auto" w:fill="F9FCF9"/>
          </w:tcPr>
          <w:p>
            <w:pPr>
              <w:pStyle w:val="TableParagraph"/>
              <w:spacing w:before="18"/>
              <w:ind w:left="444" w:right="436"/>
              <w:rPr>
                <w:b/>
                <w:sz w:val="18"/>
              </w:rPr>
            </w:pPr>
            <w:r>
              <w:rPr>
                <w:b/>
                <w:sz w:val="18"/>
              </w:rPr>
              <w:t>58</w:t>
            </w: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Fuel cost, LHV (US$ GJ</w:t>
            </w:r>
            <w:r>
              <w:rPr>
                <w:position w:val="6"/>
                <w:sz w:val="10"/>
              </w:rPr>
              <w:t>-1</w:t>
            </w:r>
            <w:r>
              <w:rPr>
                <w:sz w:val="18"/>
              </w:rPr>
              <w:t>)</w:t>
            </w:r>
          </w:p>
        </w:tc>
        <w:tc>
          <w:tcPr>
            <w:tcW w:w="1046" w:type="dxa"/>
            <w:shd w:val="clear" w:color="auto" w:fill="F9FCF9"/>
          </w:tcPr>
          <w:p>
            <w:pPr>
              <w:pStyle w:val="TableParagraph"/>
              <w:spacing w:line="200" w:lineRule="exact" w:before="18"/>
              <w:ind w:left="79" w:right="73"/>
              <w:rPr>
                <w:sz w:val="18"/>
              </w:rPr>
            </w:pPr>
            <w:r>
              <w:rPr>
                <w:sz w:val="18"/>
              </w:rPr>
              <w:t>2.82</w:t>
            </w:r>
          </w:p>
        </w:tc>
        <w:tc>
          <w:tcPr>
            <w:tcW w:w="1046" w:type="dxa"/>
            <w:shd w:val="clear" w:color="auto" w:fill="F9FCF9"/>
          </w:tcPr>
          <w:p>
            <w:pPr>
              <w:pStyle w:val="TableParagraph"/>
              <w:spacing w:line="200" w:lineRule="exact" w:before="18"/>
              <w:ind w:left="79" w:right="73"/>
              <w:rPr>
                <w:sz w:val="18"/>
              </w:rPr>
            </w:pPr>
            <w:r>
              <w:rPr>
                <w:sz w:val="18"/>
              </w:rPr>
              <w:t>3.55</w:t>
            </w:r>
          </w:p>
        </w:tc>
        <w:tc>
          <w:tcPr>
            <w:tcW w:w="1046" w:type="dxa"/>
            <w:shd w:val="clear" w:color="auto" w:fill="F9FCF9"/>
          </w:tcPr>
          <w:p>
            <w:pPr>
              <w:pStyle w:val="TableParagraph"/>
              <w:spacing w:line="200" w:lineRule="exact" w:before="18"/>
              <w:ind w:left="80" w:right="73"/>
              <w:rPr>
                <w:sz w:val="18"/>
              </w:rPr>
            </w:pPr>
            <w:r>
              <w:rPr>
                <w:sz w:val="18"/>
              </w:rPr>
              <w:t>3.00</w:t>
            </w:r>
          </w:p>
        </w:tc>
        <w:tc>
          <w:tcPr>
            <w:tcW w:w="1046" w:type="dxa"/>
            <w:shd w:val="clear" w:color="auto" w:fill="F9FCF9"/>
          </w:tcPr>
          <w:p>
            <w:pPr>
              <w:pStyle w:val="TableParagraph"/>
              <w:spacing w:line="200" w:lineRule="exact" w:before="18"/>
              <w:ind w:left="80" w:right="72"/>
              <w:rPr>
                <w:sz w:val="18"/>
              </w:rPr>
            </w:pPr>
            <w:r>
              <w:rPr>
                <w:sz w:val="18"/>
              </w:rPr>
              <w:t>3.00</w:t>
            </w:r>
          </w:p>
        </w:tc>
        <w:tc>
          <w:tcPr>
            <w:tcW w:w="1046" w:type="dxa"/>
            <w:shd w:val="clear" w:color="auto" w:fill="F9FCF9"/>
          </w:tcPr>
          <w:p>
            <w:pPr>
              <w:pStyle w:val="TableParagraph"/>
              <w:spacing w:line="200" w:lineRule="exact" w:before="18"/>
              <w:ind w:left="80" w:right="71"/>
              <w:rPr>
                <w:sz w:val="18"/>
              </w:rPr>
            </w:pPr>
            <w:r>
              <w:rPr>
                <w:sz w:val="18"/>
              </w:rPr>
              <w:t>2.96</w:t>
            </w:r>
          </w:p>
        </w:tc>
        <w:tc>
          <w:tcPr>
            <w:tcW w:w="1150" w:type="dxa"/>
            <w:shd w:val="clear" w:color="auto" w:fill="F9FCF9"/>
          </w:tcPr>
          <w:p>
            <w:pPr>
              <w:pStyle w:val="TableParagraph"/>
              <w:spacing w:line="200" w:lineRule="exact" w:before="18"/>
              <w:ind w:left="111" w:right="102"/>
              <w:rPr>
                <w:sz w:val="18"/>
              </w:rPr>
            </w:pPr>
            <w:r>
              <w:rPr>
                <w:sz w:val="18"/>
              </w:rPr>
              <w:t>4.44</w:t>
            </w:r>
          </w:p>
        </w:tc>
        <w:tc>
          <w:tcPr>
            <w:tcW w:w="1198" w:type="dxa"/>
            <w:shd w:val="clear" w:color="auto" w:fill="F9FCF9"/>
          </w:tcPr>
          <w:p>
            <w:pPr>
              <w:pStyle w:val="TableParagraph"/>
              <w:spacing w:line="200" w:lineRule="exact" w:before="18"/>
              <w:ind w:left="135" w:right="126"/>
              <w:rPr>
                <w:sz w:val="18"/>
              </w:rPr>
            </w:pPr>
            <w:r>
              <w:rPr>
                <w:sz w:val="18"/>
              </w:rPr>
              <w:t>4.44</w:t>
            </w:r>
          </w:p>
        </w:tc>
        <w:tc>
          <w:tcPr>
            <w:tcW w:w="851" w:type="dxa"/>
            <w:shd w:val="clear" w:color="auto" w:fill="F9FCF9"/>
          </w:tcPr>
          <w:p>
            <w:pPr>
              <w:pStyle w:val="TableParagraph"/>
              <w:spacing w:line="200" w:lineRule="exact" w:before="18"/>
              <w:ind w:right="256"/>
              <w:jc w:val="right"/>
              <w:rPr>
                <w:b/>
                <w:sz w:val="18"/>
              </w:rPr>
            </w:pPr>
            <w:r>
              <w:rPr>
                <w:b/>
                <w:sz w:val="18"/>
              </w:rPr>
              <w:t>2.82</w:t>
            </w:r>
          </w:p>
        </w:tc>
        <w:tc>
          <w:tcPr>
            <w:tcW w:w="1335" w:type="dxa"/>
            <w:shd w:val="clear" w:color="auto" w:fill="F9FCF9"/>
          </w:tcPr>
          <w:p>
            <w:pPr>
              <w:pStyle w:val="TableParagraph"/>
              <w:spacing w:line="200" w:lineRule="exact" w:before="18"/>
              <w:ind w:left="444" w:right="436"/>
              <w:rPr>
                <w:b/>
                <w:sz w:val="18"/>
              </w:rPr>
            </w:pPr>
            <w:r>
              <w:rPr>
                <w:b/>
                <w:sz w:val="18"/>
              </w:rPr>
              <w:t>4.44</w:t>
            </w:r>
          </w:p>
        </w:tc>
      </w:tr>
      <w:tr>
        <w:trPr>
          <w:trHeight w:val="238" w:hRule="atLeast"/>
        </w:trPr>
        <w:tc>
          <w:tcPr>
            <w:tcW w:w="3719" w:type="dxa"/>
            <w:shd w:val="clear" w:color="auto" w:fill="F9FCF9"/>
          </w:tcPr>
          <w:p>
            <w:pPr>
              <w:pStyle w:val="TableParagraph"/>
              <w:spacing w:line="50" w:lineRule="exact" w:before="34"/>
              <w:ind w:right="463"/>
              <w:jc w:val="right"/>
              <w:rPr>
                <w:sz w:val="10"/>
              </w:rPr>
            </w:pPr>
            <w:r>
              <w:rPr>
                <w:sz w:val="10"/>
              </w:rPr>
              <w:t>-1</w:t>
            </w:r>
          </w:p>
          <w:p>
            <w:pPr>
              <w:pStyle w:val="TableParagraph"/>
              <w:spacing w:line="91" w:lineRule="auto" w:before="11"/>
              <w:ind w:left="78"/>
              <w:jc w:val="left"/>
              <w:rPr>
                <w:sz w:val="18"/>
              </w:rPr>
            </w:pPr>
            <w:r>
              <w:rPr>
                <w:sz w:val="18"/>
              </w:rPr>
              <w:t>Reference plant emission rate (tCO</w:t>
            </w:r>
            <w:r>
              <w:rPr>
                <w:position w:val="-5"/>
                <w:sz w:val="10"/>
              </w:rPr>
              <w:t>2 </w:t>
            </w:r>
            <w:r>
              <w:rPr>
                <w:sz w:val="18"/>
              </w:rPr>
              <w:t>MWh )</w:t>
            </w:r>
          </w:p>
        </w:tc>
        <w:tc>
          <w:tcPr>
            <w:tcW w:w="1046" w:type="dxa"/>
            <w:shd w:val="clear" w:color="auto" w:fill="F9FCF9"/>
          </w:tcPr>
          <w:p>
            <w:pPr>
              <w:pStyle w:val="TableParagraph"/>
              <w:spacing w:line="200" w:lineRule="exact" w:before="18"/>
              <w:ind w:left="79" w:right="73"/>
              <w:rPr>
                <w:sz w:val="18"/>
              </w:rPr>
            </w:pPr>
            <w:r>
              <w:rPr>
                <w:sz w:val="18"/>
              </w:rPr>
              <w:t>0.364</w:t>
            </w:r>
          </w:p>
        </w:tc>
        <w:tc>
          <w:tcPr>
            <w:tcW w:w="1046" w:type="dxa"/>
            <w:shd w:val="clear" w:color="auto" w:fill="F9FCF9"/>
          </w:tcPr>
          <w:p>
            <w:pPr>
              <w:pStyle w:val="TableParagraph"/>
              <w:spacing w:line="200" w:lineRule="exact" w:before="18"/>
              <w:ind w:left="79" w:right="73"/>
              <w:rPr>
                <w:sz w:val="18"/>
              </w:rPr>
            </w:pPr>
            <w:r>
              <w:rPr>
                <w:sz w:val="18"/>
              </w:rPr>
              <w:t>0.344</w:t>
            </w:r>
          </w:p>
        </w:tc>
        <w:tc>
          <w:tcPr>
            <w:tcW w:w="1046" w:type="dxa"/>
            <w:shd w:val="clear" w:color="auto" w:fill="F9FCF9"/>
          </w:tcPr>
          <w:p>
            <w:pPr>
              <w:pStyle w:val="TableParagraph"/>
              <w:spacing w:line="200" w:lineRule="exact" w:before="18"/>
              <w:ind w:left="80" w:right="73"/>
              <w:rPr>
                <w:sz w:val="18"/>
              </w:rPr>
            </w:pPr>
            <w:r>
              <w:rPr>
                <w:sz w:val="18"/>
              </w:rPr>
              <w:t>0.379</w:t>
            </w:r>
          </w:p>
        </w:tc>
        <w:tc>
          <w:tcPr>
            <w:tcW w:w="1046" w:type="dxa"/>
            <w:shd w:val="clear" w:color="auto" w:fill="F9FCF9"/>
          </w:tcPr>
          <w:p>
            <w:pPr>
              <w:pStyle w:val="TableParagraph"/>
              <w:spacing w:line="200" w:lineRule="exact" w:before="18"/>
              <w:ind w:left="80" w:right="72"/>
              <w:rPr>
                <w:sz w:val="18"/>
              </w:rPr>
            </w:pPr>
            <w:r>
              <w:rPr>
                <w:sz w:val="18"/>
              </w:rPr>
              <w:t>0.379</w:t>
            </w:r>
          </w:p>
        </w:tc>
        <w:tc>
          <w:tcPr>
            <w:tcW w:w="1046" w:type="dxa"/>
            <w:shd w:val="clear" w:color="auto" w:fill="F9FCF9"/>
          </w:tcPr>
          <w:p>
            <w:pPr>
              <w:pStyle w:val="TableParagraph"/>
              <w:spacing w:line="200" w:lineRule="exact" w:before="18"/>
              <w:ind w:left="80" w:right="71"/>
              <w:rPr>
                <w:sz w:val="18"/>
              </w:rPr>
            </w:pPr>
            <w:r>
              <w:rPr>
                <w:sz w:val="18"/>
              </w:rPr>
              <w:t>0.37</w:t>
            </w:r>
          </w:p>
        </w:tc>
        <w:tc>
          <w:tcPr>
            <w:tcW w:w="1150" w:type="dxa"/>
            <w:shd w:val="clear" w:color="auto" w:fill="F9FCF9"/>
          </w:tcPr>
          <w:p>
            <w:pPr>
              <w:pStyle w:val="TableParagraph"/>
              <w:spacing w:line="200" w:lineRule="exact" w:before="18"/>
              <w:ind w:left="111" w:right="102"/>
              <w:rPr>
                <w:sz w:val="18"/>
              </w:rPr>
            </w:pPr>
            <w:r>
              <w:rPr>
                <w:sz w:val="18"/>
              </w:rPr>
              <w:t>0.367</w:t>
            </w:r>
          </w:p>
        </w:tc>
        <w:tc>
          <w:tcPr>
            <w:tcW w:w="1198" w:type="dxa"/>
            <w:shd w:val="clear" w:color="auto" w:fill="F9FCF9"/>
          </w:tcPr>
          <w:p>
            <w:pPr>
              <w:pStyle w:val="TableParagraph"/>
              <w:spacing w:line="200" w:lineRule="exact" w:before="18"/>
              <w:ind w:left="135" w:right="126"/>
              <w:rPr>
                <w:sz w:val="18"/>
              </w:rPr>
            </w:pPr>
            <w:r>
              <w:rPr>
                <w:sz w:val="18"/>
              </w:rPr>
              <w:t>0.367</w:t>
            </w:r>
          </w:p>
        </w:tc>
        <w:tc>
          <w:tcPr>
            <w:tcW w:w="851" w:type="dxa"/>
            <w:shd w:val="clear" w:color="auto" w:fill="F9FCF9"/>
          </w:tcPr>
          <w:p>
            <w:pPr>
              <w:pStyle w:val="TableParagraph"/>
              <w:spacing w:line="200" w:lineRule="exact" w:before="18"/>
              <w:ind w:right="211"/>
              <w:jc w:val="right"/>
              <w:rPr>
                <w:b/>
                <w:sz w:val="18"/>
              </w:rPr>
            </w:pPr>
            <w:r>
              <w:rPr>
                <w:b/>
                <w:sz w:val="18"/>
              </w:rPr>
              <w:t>0.344</w:t>
            </w:r>
          </w:p>
        </w:tc>
        <w:tc>
          <w:tcPr>
            <w:tcW w:w="1335" w:type="dxa"/>
            <w:shd w:val="clear" w:color="auto" w:fill="F9FCF9"/>
          </w:tcPr>
          <w:p>
            <w:pPr>
              <w:pStyle w:val="TableParagraph"/>
              <w:spacing w:line="200" w:lineRule="exact" w:before="18"/>
              <w:ind w:left="444" w:right="436"/>
              <w:rPr>
                <w:b/>
                <w:sz w:val="18"/>
              </w:rPr>
            </w:pPr>
            <w:r>
              <w:rPr>
                <w:b/>
                <w:sz w:val="18"/>
              </w:rPr>
              <w:t>0.379</w:t>
            </w:r>
          </w:p>
        </w:tc>
      </w:tr>
      <w:tr>
        <w:trPr>
          <w:trHeight w:val="238" w:hRule="atLeast"/>
        </w:trPr>
        <w:tc>
          <w:tcPr>
            <w:tcW w:w="3719" w:type="dxa"/>
            <w:shd w:val="clear" w:color="auto" w:fill="F9FCF9"/>
          </w:tcPr>
          <w:p>
            <w:pPr>
              <w:pStyle w:val="TableParagraph"/>
              <w:spacing w:line="200" w:lineRule="exact" w:before="18"/>
              <w:ind w:left="276"/>
              <w:jc w:val="left"/>
              <w:rPr>
                <w:b/>
                <w:i/>
                <w:sz w:val="18"/>
              </w:rPr>
            </w:pPr>
            <w:r>
              <w:rPr>
                <w:b/>
                <w:i/>
                <w:sz w:val="18"/>
              </w:rPr>
              <w:t>Capture Plant Design</w:t>
            </w:r>
          </w:p>
        </w:tc>
        <w:tc>
          <w:tcPr>
            <w:tcW w:w="1046" w:type="dxa"/>
            <w:shd w:val="clear" w:color="auto" w:fill="F9FCF9"/>
          </w:tcPr>
          <w:p>
            <w:pPr>
              <w:pStyle w:val="TableParagraph"/>
              <w:jc w:val="left"/>
              <w:rPr>
                <w:sz w:val="16"/>
              </w:rPr>
            </w:pPr>
          </w:p>
        </w:tc>
        <w:tc>
          <w:tcPr>
            <w:tcW w:w="1046" w:type="dxa"/>
            <w:shd w:val="clear" w:color="auto" w:fill="F9FCF9"/>
          </w:tcPr>
          <w:p>
            <w:pPr>
              <w:pStyle w:val="TableParagraph"/>
              <w:jc w:val="left"/>
              <w:rPr>
                <w:sz w:val="16"/>
              </w:rPr>
            </w:pPr>
          </w:p>
        </w:tc>
        <w:tc>
          <w:tcPr>
            <w:tcW w:w="1046" w:type="dxa"/>
            <w:shd w:val="clear" w:color="auto" w:fill="F9FCF9"/>
          </w:tcPr>
          <w:p>
            <w:pPr>
              <w:pStyle w:val="TableParagraph"/>
              <w:jc w:val="left"/>
              <w:rPr>
                <w:sz w:val="16"/>
              </w:rPr>
            </w:pPr>
          </w:p>
        </w:tc>
        <w:tc>
          <w:tcPr>
            <w:tcW w:w="1046" w:type="dxa"/>
            <w:shd w:val="clear" w:color="auto" w:fill="F9FCF9"/>
          </w:tcPr>
          <w:p>
            <w:pPr>
              <w:pStyle w:val="TableParagraph"/>
              <w:jc w:val="left"/>
              <w:rPr>
                <w:sz w:val="16"/>
              </w:rPr>
            </w:pPr>
          </w:p>
        </w:tc>
        <w:tc>
          <w:tcPr>
            <w:tcW w:w="1046" w:type="dxa"/>
            <w:shd w:val="clear" w:color="auto" w:fill="F9FCF9"/>
          </w:tcPr>
          <w:p>
            <w:pPr>
              <w:pStyle w:val="TableParagraph"/>
              <w:jc w:val="left"/>
              <w:rPr>
                <w:sz w:val="16"/>
              </w:rPr>
            </w:pPr>
          </w:p>
        </w:tc>
        <w:tc>
          <w:tcPr>
            <w:tcW w:w="1150" w:type="dxa"/>
            <w:shd w:val="clear" w:color="auto" w:fill="F9FCF9"/>
          </w:tcPr>
          <w:p>
            <w:pPr>
              <w:pStyle w:val="TableParagraph"/>
              <w:jc w:val="left"/>
              <w:rPr>
                <w:sz w:val="16"/>
              </w:rPr>
            </w:pPr>
          </w:p>
        </w:tc>
        <w:tc>
          <w:tcPr>
            <w:tcW w:w="1198" w:type="dxa"/>
            <w:shd w:val="clear" w:color="auto" w:fill="F9FCF9"/>
          </w:tcPr>
          <w:p>
            <w:pPr>
              <w:pStyle w:val="TableParagraph"/>
              <w:jc w:val="left"/>
              <w:rPr>
                <w:sz w:val="16"/>
              </w:rPr>
            </w:pPr>
          </w:p>
        </w:tc>
        <w:tc>
          <w:tcPr>
            <w:tcW w:w="851" w:type="dxa"/>
            <w:shd w:val="clear" w:color="auto" w:fill="F9FCF9"/>
          </w:tcPr>
          <w:p>
            <w:pPr>
              <w:pStyle w:val="TableParagraph"/>
              <w:jc w:val="left"/>
              <w:rPr>
                <w:sz w:val="16"/>
              </w:rPr>
            </w:pPr>
          </w:p>
        </w:tc>
        <w:tc>
          <w:tcPr>
            <w:tcW w:w="1335" w:type="dxa"/>
            <w:shd w:val="clear" w:color="auto" w:fill="F9FCF9"/>
          </w:tcPr>
          <w:p>
            <w:pPr>
              <w:pStyle w:val="TableParagraph"/>
              <w:jc w:val="left"/>
              <w:rPr>
                <w:sz w:val="16"/>
              </w:rPr>
            </w:pP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CO</w:t>
            </w:r>
            <w:r>
              <w:rPr>
                <w:position w:val="-5"/>
                <w:sz w:val="10"/>
              </w:rPr>
              <w:t>2 </w:t>
            </w:r>
            <w:r>
              <w:rPr>
                <w:sz w:val="18"/>
              </w:rPr>
              <w:t>capture technology</w:t>
            </w:r>
          </w:p>
        </w:tc>
        <w:tc>
          <w:tcPr>
            <w:tcW w:w="1046" w:type="dxa"/>
            <w:shd w:val="clear" w:color="auto" w:fill="F9FCF9"/>
          </w:tcPr>
          <w:p>
            <w:pPr>
              <w:pStyle w:val="TableParagraph"/>
              <w:spacing w:line="200" w:lineRule="exact" w:before="18"/>
              <w:ind w:left="80" w:right="65"/>
              <w:rPr>
                <w:sz w:val="18"/>
              </w:rPr>
            </w:pPr>
            <w:r>
              <w:rPr>
                <w:sz w:val="18"/>
              </w:rPr>
              <w:t>MEA</w:t>
            </w:r>
          </w:p>
        </w:tc>
        <w:tc>
          <w:tcPr>
            <w:tcW w:w="1046" w:type="dxa"/>
            <w:shd w:val="clear" w:color="auto" w:fill="F9FCF9"/>
          </w:tcPr>
          <w:p>
            <w:pPr>
              <w:pStyle w:val="TableParagraph"/>
              <w:spacing w:line="200" w:lineRule="exact" w:before="18"/>
              <w:ind w:left="80" w:right="64"/>
              <w:rPr>
                <w:sz w:val="18"/>
              </w:rPr>
            </w:pPr>
            <w:r>
              <w:rPr>
                <w:sz w:val="18"/>
              </w:rPr>
              <w:t>MEA</w:t>
            </w:r>
          </w:p>
        </w:tc>
        <w:tc>
          <w:tcPr>
            <w:tcW w:w="1046" w:type="dxa"/>
            <w:shd w:val="clear" w:color="auto" w:fill="F9FCF9"/>
          </w:tcPr>
          <w:p>
            <w:pPr>
              <w:pStyle w:val="TableParagraph"/>
              <w:spacing w:line="200" w:lineRule="exact" w:before="18"/>
              <w:ind w:left="80" w:right="63"/>
              <w:rPr>
                <w:sz w:val="18"/>
              </w:rPr>
            </w:pPr>
            <w:r>
              <w:rPr>
                <w:sz w:val="18"/>
              </w:rPr>
              <w:t>MEA</w:t>
            </w:r>
          </w:p>
        </w:tc>
        <w:tc>
          <w:tcPr>
            <w:tcW w:w="1046" w:type="dxa"/>
            <w:shd w:val="clear" w:color="auto" w:fill="F9FCF9"/>
          </w:tcPr>
          <w:p>
            <w:pPr>
              <w:pStyle w:val="TableParagraph"/>
              <w:spacing w:line="200" w:lineRule="exact" w:before="18"/>
              <w:ind w:left="80" w:right="72"/>
              <w:rPr>
                <w:sz w:val="18"/>
              </w:rPr>
            </w:pPr>
            <w:r>
              <w:rPr>
                <w:sz w:val="18"/>
              </w:rPr>
              <w:t>KS-1</w:t>
            </w:r>
          </w:p>
        </w:tc>
        <w:tc>
          <w:tcPr>
            <w:tcW w:w="1046" w:type="dxa"/>
            <w:shd w:val="clear" w:color="auto" w:fill="F9FCF9"/>
          </w:tcPr>
          <w:p>
            <w:pPr>
              <w:pStyle w:val="TableParagraph"/>
              <w:spacing w:line="200" w:lineRule="exact" w:before="18"/>
              <w:ind w:left="80" w:right="62"/>
              <w:rPr>
                <w:sz w:val="18"/>
              </w:rPr>
            </w:pPr>
            <w:r>
              <w:rPr>
                <w:sz w:val="18"/>
              </w:rPr>
              <w:t>MEA</w:t>
            </w:r>
          </w:p>
        </w:tc>
        <w:tc>
          <w:tcPr>
            <w:tcW w:w="1150" w:type="dxa"/>
            <w:shd w:val="clear" w:color="auto" w:fill="F9FCF9"/>
          </w:tcPr>
          <w:p>
            <w:pPr>
              <w:pStyle w:val="TableParagraph"/>
              <w:spacing w:line="200" w:lineRule="exact" w:before="18"/>
              <w:ind w:left="111" w:right="92"/>
              <w:rPr>
                <w:sz w:val="18"/>
              </w:rPr>
            </w:pPr>
            <w:r>
              <w:rPr>
                <w:sz w:val="18"/>
              </w:rPr>
              <w:t>MEA</w:t>
            </w:r>
          </w:p>
        </w:tc>
        <w:tc>
          <w:tcPr>
            <w:tcW w:w="1198" w:type="dxa"/>
            <w:shd w:val="clear" w:color="auto" w:fill="F9FCF9"/>
          </w:tcPr>
          <w:p>
            <w:pPr>
              <w:pStyle w:val="TableParagraph"/>
              <w:spacing w:line="200" w:lineRule="exact" w:before="18"/>
              <w:ind w:left="135" w:right="116"/>
              <w:rPr>
                <w:sz w:val="18"/>
              </w:rPr>
            </w:pPr>
            <w:r>
              <w:rPr>
                <w:sz w:val="18"/>
              </w:rPr>
              <w:t>MEA</w:t>
            </w:r>
          </w:p>
        </w:tc>
        <w:tc>
          <w:tcPr>
            <w:tcW w:w="851" w:type="dxa"/>
            <w:shd w:val="clear" w:color="auto" w:fill="F9FCF9"/>
          </w:tcPr>
          <w:p>
            <w:pPr>
              <w:pStyle w:val="TableParagraph"/>
              <w:jc w:val="left"/>
              <w:rPr>
                <w:sz w:val="16"/>
              </w:rPr>
            </w:pPr>
          </w:p>
        </w:tc>
        <w:tc>
          <w:tcPr>
            <w:tcW w:w="1335" w:type="dxa"/>
            <w:shd w:val="clear" w:color="auto" w:fill="F9FCF9"/>
          </w:tcPr>
          <w:p>
            <w:pPr>
              <w:pStyle w:val="TableParagraph"/>
              <w:jc w:val="left"/>
              <w:rPr>
                <w:sz w:val="16"/>
              </w:rPr>
            </w:pP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Net plant size with capture (MW)</w:t>
            </w:r>
          </w:p>
        </w:tc>
        <w:tc>
          <w:tcPr>
            <w:tcW w:w="1046" w:type="dxa"/>
            <w:shd w:val="clear" w:color="auto" w:fill="F9FCF9"/>
          </w:tcPr>
          <w:p>
            <w:pPr>
              <w:pStyle w:val="TableParagraph"/>
              <w:spacing w:line="200" w:lineRule="exact" w:before="18"/>
              <w:ind w:left="79" w:right="73"/>
              <w:rPr>
                <w:sz w:val="18"/>
              </w:rPr>
            </w:pPr>
            <w:r>
              <w:rPr>
                <w:sz w:val="18"/>
              </w:rPr>
              <w:t>399</w:t>
            </w:r>
          </w:p>
        </w:tc>
        <w:tc>
          <w:tcPr>
            <w:tcW w:w="1046" w:type="dxa"/>
            <w:shd w:val="clear" w:color="auto" w:fill="F9FCF9"/>
          </w:tcPr>
          <w:p>
            <w:pPr>
              <w:pStyle w:val="TableParagraph"/>
              <w:spacing w:line="200" w:lineRule="exact" w:before="18"/>
              <w:ind w:left="79" w:right="73"/>
              <w:rPr>
                <w:sz w:val="18"/>
              </w:rPr>
            </w:pPr>
            <w:r>
              <w:rPr>
                <w:sz w:val="18"/>
              </w:rPr>
              <w:t>327</w:t>
            </w:r>
          </w:p>
        </w:tc>
        <w:tc>
          <w:tcPr>
            <w:tcW w:w="1046" w:type="dxa"/>
            <w:shd w:val="clear" w:color="auto" w:fill="F9FCF9"/>
          </w:tcPr>
          <w:p>
            <w:pPr>
              <w:pStyle w:val="TableParagraph"/>
              <w:spacing w:line="200" w:lineRule="exact" w:before="18"/>
              <w:ind w:left="80" w:right="73"/>
              <w:rPr>
                <w:sz w:val="18"/>
              </w:rPr>
            </w:pPr>
            <w:r>
              <w:rPr>
                <w:sz w:val="18"/>
              </w:rPr>
              <w:t>662</w:t>
            </w:r>
          </w:p>
        </w:tc>
        <w:tc>
          <w:tcPr>
            <w:tcW w:w="1046" w:type="dxa"/>
            <w:shd w:val="clear" w:color="auto" w:fill="F9FCF9"/>
          </w:tcPr>
          <w:p>
            <w:pPr>
              <w:pStyle w:val="TableParagraph"/>
              <w:spacing w:line="200" w:lineRule="exact" w:before="18"/>
              <w:ind w:left="80" w:right="72"/>
              <w:rPr>
                <w:sz w:val="18"/>
              </w:rPr>
            </w:pPr>
            <w:r>
              <w:rPr>
                <w:sz w:val="18"/>
              </w:rPr>
              <w:t>692</w:t>
            </w:r>
          </w:p>
        </w:tc>
        <w:tc>
          <w:tcPr>
            <w:tcW w:w="1046" w:type="dxa"/>
            <w:shd w:val="clear" w:color="auto" w:fill="F9FCF9"/>
          </w:tcPr>
          <w:p>
            <w:pPr>
              <w:pStyle w:val="TableParagraph"/>
              <w:spacing w:line="200" w:lineRule="exact" w:before="18"/>
              <w:ind w:left="80" w:right="71"/>
              <w:rPr>
                <w:sz w:val="18"/>
              </w:rPr>
            </w:pPr>
            <w:r>
              <w:rPr>
                <w:sz w:val="18"/>
              </w:rPr>
              <w:t>323</w:t>
            </w:r>
          </w:p>
        </w:tc>
        <w:tc>
          <w:tcPr>
            <w:tcW w:w="1150" w:type="dxa"/>
            <w:shd w:val="clear" w:color="auto" w:fill="F9FCF9"/>
          </w:tcPr>
          <w:p>
            <w:pPr>
              <w:pStyle w:val="TableParagraph"/>
              <w:spacing w:line="200" w:lineRule="exact" w:before="18"/>
              <w:ind w:left="111" w:right="102"/>
              <w:rPr>
                <w:sz w:val="18"/>
              </w:rPr>
            </w:pPr>
            <w:r>
              <w:rPr>
                <w:sz w:val="18"/>
              </w:rPr>
              <w:t>432</w:t>
            </w:r>
          </w:p>
        </w:tc>
        <w:tc>
          <w:tcPr>
            <w:tcW w:w="1198" w:type="dxa"/>
            <w:shd w:val="clear" w:color="auto" w:fill="F9FCF9"/>
          </w:tcPr>
          <w:p>
            <w:pPr>
              <w:pStyle w:val="TableParagraph"/>
              <w:spacing w:line="200" w:lineRule="exact" w:before="18"/>
              <w:ind w:left="135" w:right="126"/>
              <w:rPr>
                <w:sz w:val="18"/>
              </w:rPr>
            </w:pPr>
            <w:r>
              <w:rPr>
                <w:sz w:val="18"/>
              </w:rPr>
              <w:t>432</w:t>
            </w:r>
          </w:p>
        </w:tc>
        <w:tc>
          <w:tcPr>
            <w:tcW w:w="851" w:type="dxa"/>
            <w:shd w:val="clear" w:color="auto" w:fill="F9FCF9"/>
          </w:tcPr>
          <w:p>
            <w:pPr>
              <w:pStyle w:val="TableParagraph"/>
              <w:spacing w:line="200" w:lineRule="exact" w:before="18"/>
              <w:ind w:right="278"/>
              <w:jc w:val="right"/>
              <w:rPr>
                <w:b/>
                <w:sz w:val="18"/>
              </w:rPr>
            </w:pPr>
            <w:r>
              <w:rPr>
                <w:b/>
                <w:sz w:val="18"/>
              </w:rPr>
              <w:t>323</w:t>
            </w:r>
          </w:p>
        </w:tc>
        <w:tc>
          <w:tcPr>
            <w:tcW w:w="1335" w:type="dxa"/>
            <w:shd w:val="clear" w:color="auto" w:fill="F9FCF9"/>
          </w:tcPr>
          <w:p>
            <w:pPr>
              <w:pStyle w:val="TableParagraph"/>
              <w:spacing w:line="200" w:lineRule="exact" w:before="18"/>
              <w:ind w:left="444" w:right="436"/>
              <w:rPr>
                <w:b/>
                <w:sz w:val="18"/>
              </w:rPr>
            </w:pPr>
            <w:r>
              <w:rPr>
                <w:b/>
                <w:sz w:val="18"/>
              </w:rPr>
              <w:t>692</w:t>
            </w: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Net plant efficiency, LHV (%)</w:t>
            </w:r>
          </w:p>
        </w:tc>
        <w:tc>
          <w:tcPr>
            <w:tcW w:w="1046" w:type="dxa"/>
            <w:shd w:val="clear" w:color="auto" w:fill="F9FCF9"/>
          </w:tcPr>
          <w:p>
            <w:pPr>
              <w:pStyle w:val="TableParagraph"/>
              <w:spacing w:line="200" w:lineRule="exact" w:before="18"/>
              <w:ind w:left="79" w:right="73"/>
              <w:rPr>
                <w:sz w:val="18"/>
              </w:rPr>
            </w:pPr>
            <w:r>
              <w:rPr>
                <w:sz w:val="18"/>
              </w:rPr>
              <w:t>47.4</w:t>
            </w:r>
          </w:p>
        </w:tc>
        <w:tc>
          <w:tcPr>
            <w:tcW w:w="1046" w:type="dxa"/>
            <w:shd w:val="clear" w:color="auto" w:fill="F9FCF9"/>
          </w:tcPr>
          <w:p>
            <w:pPr>
              <w:pStyle w:val="TableParagraph"/>
              <w:spacing w:line="200" w:lineRule="exact" w:before="18"/>
              <w:ind w:left="79" w:right="73"/>
              <w:rPr>
                <w:sz w:val="18"/>
              </w:rPr>
            </w:pPr>
            <w:r>
              <w:rPr>
                <w:sz w:val="18"/>
              </w:rPr>
              <w:t>49.9</w:t>
            </w:r>
          </w:p>
        </w:tc>
        <w:tc>
          <w:tcPr>
            <w:tcW w:w="1046" w:type="dxa"/>
            <w:shd w:val="clear" w:color="auto" w:fill="F9FCF9"/>
          </w:tcPr>
          <w:p>
            <w:pPr>
              <w:pStyle w:val="TableParagraph"/>
              <w:spacing w:line="200" w:lineRule="exact" w:before="18"/>
              <w:ind w:left="80" w:right="73"/>
              <w:rPr>
                <w:sz w:val="18"/>
              </w:rPr>
            </w:pPr>
            <w:r>
              <w:rPr>
                <w:sz w:val="18"/>
              </w:rPr>
              <w:t>47.4</w:t>
            </w:r>
          </w:p>
        </w:tc>
        <w:tc>
          <w:tcPr>
            <w:tcW w:w="1046" w:type="dxa"/>
            <w:shd w:val="clear" w:color="auto" w:fill="F9FCF9"/>
          </w:tcPr>
          <w:p>
            <w:pPr>
              <w:pStyle w:val="TableParagraph"/>
              <w:spacing w:line="200" w:lineRule="exact" w:before="18"/>
              <w:ind w:left="80" w:right="72"/>
              <w:rPr>
                <w:sz w:val="18"/>
              </w:rPr>
            </w:pPr>
            <w:r>
              <w:rPr>
                <w:sz w:val="18"/>
              </w:rPr>
              <w:t>49.6</w:t>
            </w:r>
          </w:p>
        </w:tc>
        <w:tc>
          <w:tcPr>
            <w:tcW w:w="1046" w:type="dxa"/>
            <w:shd w:val="clear" w:color="auto" w:fill="F9FCF9"/>
          </w:tcPr>
          <w:p>
            <w:pPr>
              <w:pStyle w:val="TableParagraph"/>
              <w:spacing w:line="200" w:lineRule="exact" w:before="18"/>
              <w:ind w:left="80" w:right="71"/>
              <w:rPr>
                <w:sz w:val="18"/>
              </w:rPr>
            </w:pPr>
            <w:r>
              <w:rPr>
                <w:sz w:val="18"/>
              </w:rPr>
              <w:t>47.4</w:t>
            </w:r>
          </w:p>
        </w:tc>
        <w:tc>
          <w:tcPr>
            <w:tcW w:w="1150" w:type="dxa"/>
            <w:shd w:val="clear" w:color="auto" w:fill="F9FCF9"/>
          </w:tcPr>
          <w:p>
            <w:pPr>
              <w:pStyle w:val="TableParagraph"/>
              <w:spacing w:line="200" w:lineRule="exact" w:before="18"/>
              <w:ind w:left="111" w:right="102"/>
              <w:rPr>
                <w:sz w:val="18"/>
              </w:rPr>
            </w:pPr>
            <w:r>
              <w:rPr>
                <w:sz w:val="18"/>
              </w:rPr>
              <w:t>47.6</w:t>
            </w:r>
          </w:p>
        </w:tc>
        <w:tc>
          <w:tcPr>
            <w:tcW w:w="1198" w:type="dxa"/>
            <w:shd w:val="clear" w:color="auto" w:fill="F9FCF9"/>
          </w:tcPr>
          <w:p>
            <w:pPr>
              <w:pStyle w:val="TableParagraph"/>
              <w:spacing w:line="200" w:lineRule="exact" w:before="18"/>
              <w:ind w:left="135" w:right="126"/>
              <w:rPr>
                <w:sz w:val="18"/>
              </w:rPr>
            </w:pPr>
            <w:r>
              <w:rPr>
                <w:sz w:val="18"/>
              </w:rPr>
              <w:t>47.6</w:t>
            </w:r>
          </w:p>
        </w:tc>
        <w:tc>
          <w:tcPr>
            <w:tcW w:w="851" w:type="dxa"/>
            <w:shd w:val="clear" w:color="auto" w:fill="F9FCF9"/>
          </w:tcPr>
          <w:p>
            <w:pPr>
              <w:pStyle w:val="TableParagraph"/>
              <w:spacing w:line="200" w:lineRule="exact" w:before="18"/>
              <w:ind w:left="30" w:right="21"/>
              <w:rPr>
                <w:b/>
                <w:sz w:val="18"/>
              </w:rPr>
            </w:pPr>
            <w:r>
              <w:rPr>
                <w:b/>
                <w:sz w:val="18"/>
              </w:rPr>
              <w:t>47</w:t>
            </w:r>
          </w:p>
        </w:tc>
        <w:tc>
          <w:tcPr>
            <w:tcW w:w="1335" w:type="dxa"/>
            <w:shd w:val="clear" w:color="auto" w:fill="F9FCF9"/>
          </w:tcPr>
          <w:p>
            <w:pPr>
              <w:pStyle w:val="TableParagraph"/>
              <w:spacing w:line="200" w:lineRule="exact" w:before="18"/>
              <w:ind w:left="444" w:right="436"/>
              <w:rPr>
                <w:b/>
                <w:sz w:val="18"/>
              </w:rPr>
            </w:pPr>
            <w:r>
              <w:rPr>
                <w:b/>
                <w:sz w:val="18"/>
              </w:rPr>
              <w:t>50</w:t>
            </w: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CO</w:t>
            </w:r>
            <w:r>
              <w:rPr>
                <w:position w:val="-5"/>
                <w:sz w:val="10"/>
              </w:rPr>
              <w:t>2 </w:t>
            </w:r>
            <w:r>
              <w:rPr>
                <w:sz w:val="18"/>
              </w:rPr>
              <w:t>capture system efficiency (%)</w:t>
            </w:r>
          </w:p>
        </w:tc>
        <w:tc>
          <w:tcPr>
            <w:tcW w:w="1046" w:type="dxa"/>
            <w:shd w:val="clear" w:color="auto" w:fill="F9FCF9"/>
          </w:tcPr>
          <w:p>
            <w:pPr>
              <w:pStyle w:val="TableParagraph"/>
              <w:spacing w:line="200" w:lineRule="exact" w:before="18"/>
              <w:ind w:left="79" w:right="73"/>
              <w:rPr>
                <w:sz w:val="18"/>
              </w:rPr>
            </w:pPr>
            <w:r>
              <w:rPr>
                <w:sz w:val="18"/>
              </w:rPr>
              <w:t>90</w:t>
            </w:r>
          </w:p>
        </w:tc>
        <w:tc>
          <w:tcPr>
            <w:tcW w:w="1046" w:type="dxa"/>
            <w:shd w:val="clear" w:color="auto" w:fill="F9FCF9"/>
          </w:tcPr>
          <w:p>
            <w:pPr>
              <w:pStyle w:val="TableParagraph"/>
              <w:spacing w:line="200" w:lineRule="exact" w:before="18"/>
              <w:ind w:left="79" w:right="73"/>
              <w:rPr>
                <w:sz w:val="18"/>
              </w:rPr>
            </w:pPr>
            <w:r>
              <w:rPr>
                <w:sz w:val="18"/>
              </w:rPr>
              <w:t>90</w:t>
            </w:r>
          </w:p>
        </w:tc>
        <w:tc>
          <w:tcPr>
            <w:tcW w:w="1046" w:type="dxa"/>
            <w:shd w:val="clear" w:color="auto" w:fill="F9FCF9"/>
          </w:tcPr>
          <w:p>
            <w:pPr>
              <w:pStyle w:val="TableParagraph"/>
              <w:spacing w:line="200" w:lineRule="exact" w:before="18"/>
              <w:ind w:left="80" w:right="73"/>
              <w:rPr>
                <w:sz w:val="18"/>
              </w:rPr>
            </w:pPr>
            <w:r>
              <w:rPr>
                <w:sz w:val="18"/>
              </w:rPr>
              <w:t>85</w:t>
            </w:r>
          </w:p>
        </w:tc>
        <w:tc>
          <w:tcPr>
            <w:tcW w:w="1046" w:type="dxa"/>
            <w:shd w:val="clear" w:color="auto" w:fill="F9FCF9"/>
          </w:tcPr>
          <w:p>
            <w:pPr>
              <w:pStyle w:val="TableParagraph"/>
              <w:spacing w:line="200" w:lineRule="exact" w:before="18"/>
              <w:ind w:left="80" w:right="72"/>
              <w:rPr>
                <w:sz w:val="18"/>
              </w:rPr>
            </w:pPr>
            <w:r>
              <w:rPr>
                <w:sz w:val="18"/>
              </w:rPr>
              <w:t>85</w:t>
            </w:r>
          </w:p>
        </w:tc>
        <w:tc>
          <w:tcPr>
            <w:tcW w:w="1046" w:type="dxa"/>
            <w:shd w:val="clear" w:color="auto" w:fill="F9FCF9"/>
          </w:tcPr>
          <w:p>
            <w:pPr>
              <w:pStyle w:val="TableParagraph"/>
              <w:spacing w:line="200" w:lineRule="exact" w:before="18"/>
              <w:ind w:left="80" w:right="71"/>
              <w:rPr>
                <w:sz w:val="18"/>
              </w:rPr>
            </w:pPr>
            <w:r>
              <w:rPr>
                <w:sz w:val="18"/>
              </w:rPr>
              <w:t>86</w:t>
            </w:r>
          </w:p>
        </w:tc>
        <w:tc>
          <w:tcPr>
            <w:tcW w:w="1150" w:type="dxa"/>
            <w:shd w:val="clear" w:color="auto" w:fill="F9FCF9"/>
          </w:tcPr>
          <w:p>
            <w:pPr>
              <w:pStyle w:val="TableParagraph"/>
              <w:spacing w:line="200" w:lineRule="exact" w:before="18"/>
              <w:ind w:left="111" w:right="102"/>
              <w:rPr>
                <w:sz w:val="18"/>
              </w:rPr>
            </w:pPr>
            <w:r>
              <w:rPr>
                <w:sz w:val="18"/>
              </w:rPr>
              <w:t>90</w:t>
            </w:r>
          </w:p>
        </w:tc>
        <w:tc>
          <w:tcPr>
            <w:tcW w:w="1198" w:type="dxa"/>
            <w:shd w:val="clear" w:color="auto" w:fill="F9FCF9"/>
          </w:tcPr>
          <w:p>
            <w:pPr>
              <w:pStyle w:val="TableParagraph"/>
              <w:spacing w:line="200" w:lineRule="exact" w:before="18"/>
              <w:ind w:left="135" w:right="126"/>
              <w:rPr>
                <w:sz w:val="18"/>
              </w:rPr>
            </w:pPr>
            <w:r>
              <w:rPr>
                <w:sz w:val="18"/>
              </w:rPr>
              <w:t>90</w:t>
            </w:r>
          </w:p>
        </w:tc>
        <w:tc>
          <w:tcPr>
            <w:tcW w:w="851" w:type="dxa"/>
            <w:shd w:val="clear" w:color="auto" w:fill="F9FCF9"/>
          </w:tcPr>
          <w:p>
            <w:pPr>
              <w:pStyle w:val="TableParagraph"/>
              <w:spacing w:line="200" w:lineRule="exact" w:before="18"/>
              <w:ind w:left="30" w:right="21"/>
              <w:rPr>
                <w:b/>
                <w:sz w:val="18"/>
              </w:rPr>
            </w:pPr>
            <w:r>
              <w:rPr>
                <w:b/>
                <w:sz w:val="18"/>
              </w:rPr>
              <w:t>85</w:t>
            </w:r>
          </w:p>
        </w:tc>
        <w:tc>
          <w:tcPr>
            <w:tcW w:w="1335" w:type="dxa"/>
            <w:shd w:val="clear" w:color="auto" w:fill="F9FCF9"/>
          </w:tcPr>
          <w:p>
            <w:pPr>
              <w:pStyle w:val="TableParagraph"/>
              <w:spacing w:line="200" w:lineRule="exact" w:before="18"/>
              <w:ind w:left="444" w:right="436"/>
              <w:rPr>
                <w:b/>
                <w:sz w:val="18"/>
              </w:rPr>
            </w:pPr>
            <w:r>
              <w:rPr>
                <w:b/>
                <w:sz w:val="18"/>
              </w:rPr>
              <w:t>90</w:t>
            </w:r>
          </w:p>
        </w:tc>
      </w:tr>
      <w:tr>
        <w:trPr>
          <w:trHeight w:val="238" w:hRule="atLeast"/>
        </w:trPr>
        <w:tc>
          <w:tcPr>
            <w:tcW w:w="3719" w:type="dxa"/>
            <w:shd w:val="clear" w:color="auto" w:fill="F9FCF9"/>
          </w:tcPr>
          <w:p>
            <w:pPr>
              <w:pStyle w:val="TableParagraph"/>
              <w:spacing w:line="50" w:lineRule="exact" w:before="34"/>
              <w:ind w:right="643"/>
              <w:jc w:val="right"/>
              <w:rPr>
                <w:sz w:val="10"/>
              </w:rPr>
            </w:pPr>
            <w:r>
              <w:rPr>
                <w:sz w:val="10"/>
              </w:rPr>
              <w:t>-1</w:t>
            </w:r>
          </w:p>
          <w:p>
            <w:pPr>
              <w:pStyle w:val="TableParagraph"/>
              <w:spacing w:line="91" w:lineRule="auto" w:before="11"/>
              <w:ind w:left="78"/>
              <w:jc w:val="left"/>
              <w:rPr>
                <w:sz w:val="18"/>
              </w:rPr>
            </w:pPr>
            <w:r>
              <w:rPr>
                <w:sz w:val="18"/>
              </w:rPr>
              <w:t>CO</w:t>
            </w:r>
            <w:r>
              <w:rPr>
                <w:position w:val="-5"/>
                <w:sz w:val="10"/>
              </w:rPr>
              <w:t>2 </w:t>
            </w:r>
            <w:r>
              <w:rPr>
                <w:sz w:val="18"/>
              </w:rPr>
              <w:t>emission rate after capture (t MWh )</w:t>
            </w:r>
          </w:p>
        </w:tc>
        <w:tc>
          <w:tcPr>
            <w:tcW w:w="1046" w:type="dxa"/>
            <w:shd w:val="clear" w:color="auto" w:fill="F9FCF9"/>
          </w:tcPr>
          <w:p>
            <w:pPr>
              <w:pStyle w:val="TableParagraph"/>
              <w:spacing w:line="200" w:lineRule="exact" w:before="18"/>
              <w:ind w:left="79" w:right="73"/>
              <w:rPr>
                <w:sz w:val="18"/>
              </w:rPr>
            </w:pPr>
            <w:r>
              <w:rPr>
                <w:sz w:val="18"/>
              </w:rPr>
              <w:t>0.045</w:t>
            </w:r>
          </w:p>
        </w:tc>
        <w:tc>
          <w:tcPr>
            <w:tcW w:w="1046" w:type="dxa"/>
            <w:shd w:val="clear" w:color="auto" w:fill="F9FCF9"/>
          </w:tcPr>
          <w:p>
            <w:pPr>
              <w:pStyle w:val="TableParagraph"/>
              <w:spacing w:line="200" w:lineRule="exact" w:before="18"/>
              <w:ind w:left="79" w:right="73"/>
              <w:rPr>
                <w:sz w:val="18"/>
              </w:rPr>
            </w:pPr>
            <w:r>
              <w:rPr>
                <w:sz w:val="18"/>
              </w:rPr>
              <w:t>0.040</w:t>
            </w:r>
          </w:p>
        </w:tc>
        <w:tc>
          <w:tcPr>
            <w:tcW w:w="1046" w:type="dxa"/>
            <w:shd w:val="clear" w:color="auto" w:fill="F9FCF9"/>
          </w:tcPr>
          <w:p>
            <w:pPr>
              <w:pStyle w:val="TableParagraph"/>
              <w:spacing w:line="200" w:lineRule="exact" w:before="18"/>
              <w:ind w:left="80" w:right="73"/>
              <w:rPr>
                <w:sz w:val="18"/>
              </w:rPr>
            </w:pPr>
            <w:r>
              <w:rPr>
                <w:sz w:val="18"/>
              </w:rPr>
              <w:t>0.066</w:t>
            </w:r>
          </w:p>
        </w:tc>
        <w:tc>
          <w:tcPr>
            <w:tcW w:w="1046" w:type="dxa"/>
            <w:shd w:val="clear" w:color="auto" w:fill="F9FCF9"/>
          </w:tcPr>
          <w:p>
            <w:pPr>
              <w:pStyle w:val="TableParagraph"/>
              <w:spacing w:line="200" w:lineRule="exact" w:before="18"/>
              <w:ind w:left="80" w:right="72"/>
              <w:rPr>
                <w:sz w:val="18"/>
              </w:rPr>
            </w:pPr>
            <w:r>
              <w:rPr>
                <w:sz w:val="18"/>
              </w:rPr>
              <w:t>0.063</w:t>
            </w:r>
          </w:p>
        </w:tc>
        <w:tc>
          <w:tcPr>
            <w:tcW w:w="1046" w:type="dxa"/>
            <w:shd w:val="clear" w:color="auto" w:fill="F9FCF9"/>
          </w:tcPr>
          <w:p>
            <w:pPr>
              <w:pStyle w:val="TableParagraph"/>
              <w:spacing w:line="200" w:lineRule="exact" w:before="18"/>
              <w:ind w:left="80" w:right="71"/>
              <w:rPr>
                <w:sz w:val="18"/>
              </w:rPr>
            </w:pPr>
            <w:r>
              <w:rPr>
                <w:sz w:val="18"/>
              </w:rPr>
              <w:t>0.063</w:t>
            </w:r>
          </w:p>
        </w:tc>
        <w:tc>
          <w:tcPr>
            <w:tcW w:w="1150" w:type="dxa"/>
            <w:shd w:val="clear" w:color="auto" w:fill="F9FCF9"/>
          </w:tcPr>
          <w:p>
            <w:pPr>
              <w:pStyle w:val="TableParagraph"/>
              <w:spacing w:line="200" w:lineRule="exact" w:before="18"/>
              <w:ind w:left="111" w:right="102"/>
              <w:rPr>
                <w:sz w:val="18"/>
              </w:rPr>
            </w:pPr>
            <w:r>
              <w:rPr>
                <w:sz w:val="18"/>
              </w:rPr>
              <w:t>0.043</w:t>
            </w:r>
          </w:p>
        </w:tc>
        <w:tc>
          <w:tcPr>
            <w:tcW w:w="1198" w:type="dxa"/>
            <w:shd w:val="clear" w:color="auto" w:fill="F9FCF9"/>
          </w:tcPr>
          <w:p>
            <w:pPr>
              <w:pStyle w:val="TableParagraph"/>
              <w:spacing w:line="200" w:lineRule="exact" w:before="18"/>
              <w:ind w:left="135" w:right="126"/>
              <w:rPr>
                <w:sz w:val="18"/>
              </w:rPr>
            </w:pPr>
            <w:r>
              <w:rPr>
                <w:sz w:val="18"/>
              </w:rPr>
              <w:t>0.043</w:t>
            </w:r>
          </w:p>
        </w:tc>
        <w:tc>
          <w:tcPr>
            <w:tcW w:w="851" w:type="dxa"/>
            <w:shd w:val="clear" w:color="auto" w:fill="F9FCF9"/>
          </w:tcPr>
          <w:p>
            <w:pPr>
              <w:pStyle w:val="TableParagraph"/>
              <w:spacing w:line="200" w:lineRule="exact" w:before="18"/>
              <w:ind w:right="211"/>
              <w:jc w:val="right"/>
              <w:rPr>
                <w:b/>
                <w:sz w:val="18"/>
              </w:rPr>
            </w:pPr>
            <w:r>
              <w:rPr>
                <w:b/>
                <w:sz w:val="18"/>
              </w:rPr>
              <w:t>0.040</w:t>
            </w:r>
          </w:p>
        </w:tc>
        <w:tc>
          <w:tcPr>
            <w:tcW w:w="1335" w:type="dxa"/>
            <w:shd w:val="clear" w:color="auto" w:fill="F9FCF9"/>
          </w:tcPr>
          <w:p>
            <w:pPr>
              <w:pStyle w:val="TableParagraph"/>
              <w:spacing w:line="200" w:lineRule="exact" w:before="18"/>
              <w:ind w:left="444" w:right="436"/>
              <w:rPr>
                <w:b/>
                <w:sz w:val="18"/>
              </w:rPr>
            </w:pPr>
            <w:r>
              <w:rPr>
                <w:b/>
                <w:sz w:val="18"/>
              </w:rPr>
              <w:t>0.066</w:t>
            </w:r>
          </w:p>
        </w:tc>
      </w:tr>
      <w:tr>
        <w:trPr>
          <w:trHeight w:val="238" w:hRule="atLeast"/>
        </w:trPr>
        <w:tc>
          <w:tcPr>
            <w:tcW w:w="3719" w:type="dxa"/>
            <w:shd w:val="clear" w:color="auto" w:fill="F9FCF9"/>
          </w:tcPr>
          <w:p>
            <w:pPr>
              <w:pStyle w:val="TableParagraph"/>
              <w:spacing w:line="50" w:lineRule="exact" w:before="34"/>
              <w:ind w:left="1545" w:right="2035"/>
              <w:rPr>
                <w:sz w:val="10"/>
              </w:rPr>
            </w:pPr>
            <w:r>
              <w:rPr>
                <w:w w:val="105"/>
                <w:sz w:val="10"/>
              </w:rPr>
              <w:t>-1</w:t>
            </w:r>
          </w:p>
          <w:p>
            <w:pPr>
              <w:pStyle w:val="TableParagraph"/>
              <w:spacing w:line="91" w:lineRule="auto" w:before="11"/>
              <w:ind w:left="78"/>
              <w:jc w:val="left"/>
              <w:rPr>
                <w:sz w:val="18"/>
              </w:rPr>
            </w:pPr>
            <w:r>
              <w:rPr>
                <w:sz w:val="18"/>
              </w:rPr>
              <w:t>CO</w:t>
            </w:r>
            <w:r>
              <w:rPr>
                <w:position w:val="-5"/>
                <w:sz w:val="10"/>
              </w:rPr>
              <w:t>2 </w:t>
            </w:r>
            <w:r>
              <w:rPr>
                <w:sz w:val="18"/>
              </w:rPr>
              <w:t>captured (Mt yr )</w:t>
            </w:r>
          </w:p>
        </w:tc>
        <w:tc>
          <w:tcPr>
            <w:tcW w:w="1046" w:type="dxa"/>
            <w:shd w:val="clear" w:color="auto" w:fill="F9FCF9"/>
          </w:tcPr>
          <w:p>
            <w:pPr>
              <w:pStyle w:val="TableParagraph"/>
              <w:spacing w:line="200" w:lineRule="exact" w:before="18"/>
              <w:ind w:left="79" w:right="73"/>
              <w:rPr>
                <w:sz w:val="18"/>
              </w:rPr>
            </w:pPr>
            <w:r>
              <w:rPr>
                <w:sz w:val="18"/>
              </w:rPr>
              <w:t>0.949</w:t>
            </w:r>
          </w:p>
        </w:tc>
        <w:tc>
          <w:tcPr>
            <w:tcW w:w="1046" w:type="dxa"/>
            <w:shd w:val="clear" w:color="auto" w:fill="F9FCF9"/>
          </w:tcPr>
          <w:p>
            <w:pPr>
              <w:pStyle w:val="TableParagraph"/>
              <w:spacing w:line="200" w:lineRule="exact" w:before="18"/>
              <w:ind w:left="79" w:right="73"/>
              <w:rPr>
                <w:sz w:val="18"/>
              </w:rPr>
            </w:pPr>
            <w:r>
              <w:rPr>
                <w:sz w:val="18"/>
              </w:rPr>
              <w:t>0.875</w:t>
            </w:r>
          </w:p>
        </w:tc>
        <w:tc>
          <w:tcPr>
            <w:tcW w:w="1046" w:type="dxa"/>
            <w:shd w:val="clear" w:color="auto" w:fill="F9FCF9"/>
          </w:tcPr>
          <w:p>
            <w:pPr>
              <w:pStyle w:val="TableParagraph"/>
              <w:spacing w:line="200" w:lineRule="exact" w:before="18"/>
              <w:ind w:left="80" w:right="73"/>
              <w:rPr>
                <w:sz w:val="18"/>
              </w:rPr>
            </w:pPr>
            <w:r>
              <w:rPr>
                <w:sz w:val="18"/>
              </w:rPr>
              <w:t>1.844</w:t>
            </w:r>
          </w:p>
        </w:tc>
        <w:tc>
          <w:tcPr>
            <w:tcW w:w="1046" w:type="dxa"/>
            <w:shd w:val="clear" w:color="auto" w:fill="F9FCF9"/>
          </w:tcPr>
          <w:p>
            <w:pPr>
              <w:pStyle w:val="TableParagraph"/>
              <w:spacing w:line="200" w:lineRule="exact" w:before="18"/>
              <w:ind w:left="80" w:right="72"/>
              <w:rPr>
                <w:sz w:val="18"/>
              </w:rPr>
            </w:pPr>
            <w:r>
              <w:rPr>
                <w:sz w:val="18"/>
              </w:rPr>
              <w:t>1.844</w:t>
            </w:r>
          </w:p>
        </w:tc>
        <w:tc>
          <w:tcPr>
            <w:tcW w:w="1046" w:type="dxa"/>
            <w:shd w:val="clear" w:color="auto" w:fill="F9FCF9"/>
          </w:tcPr>
          <w:p>
            <w:pPr>
              <w:pStyle w:val="TableParagraph"/>
              <w:spacing w:line="200" w:lineRule="exact" w:before="18"/>
              <w:ind w:left="80" w:right="71"/>
              <w:rPr>
                <w:sz w:val="18"/>
              </w:rPr>
            </w:pPr>
            <w:r>
              <w:rPr>
                <w:sz w:val="18"/>
              </w:rPr>
              <w:t>1.09</w:t>
            </w:r>
          </w:p>
        </w:tc>
        <w:tc>
          <w:tcPr>
            <w:tcW w:w="1150" w:type="dxa"/>
            <w:shd w:val="clear" w:color="auto" w:fill="F9FCF9"/>
          </w:tcPr>
          <w:p>
            <w:pPr>
              <w:pStyle w:val="TableParagraph"/>
              <w:spacing w:line="200" w:lineRule="exact" w:before="18"/>
              <w:ind w:left="111" w:right="102"/>
              <w:rPr>
                <w:sz w:val="18"/>
              </w:rPr>
            </w:pPr>
            <w:r>
              <w:rPr>
                <w:sz w:val="18"/>
              </w:rPr>
              <w:t>1.099</w:t>
            </w:r>
          </w:p>
        </w:tc>
        <w:tc>
          <w:tcPr>
            <w:tcW w:w="1198" w:type="dxa"/>
            <w:shd w:val="clear" w:color="auto" w:fill="F9FCF9"/>
          </w:tcPr>
          <w:p>
            <w:pPr>
              <w:pStyle w:val="TableParagraph"/>
              <w:spacing w:line="200" w:lineRule="exact" w:before="18"/>
              <w:ind w:left="135" w:right="126"/>
              <w:rPr>
                <w:sz w:val="18"/>
              </w:rPr>
            </w:pPr>
            <w:r>
              <w:rPr>
                <w:sz w:val="18"/>
              </w:rPr>
              <w:t>0.733</w:t>
            </w:r>
          </w:p>
        </w:tc>
        <w:tc>
          <w:tcPr>
            <w:tcW w:w="851" w:type="dxa"/>
            <w:shd w:val="clear" w:color="auto" w:fill="F9FCF9"/>
          </w:tcPr>
          <w:p>
            <w:pPr>
              <w:pStyle w:val="TableParagraph"/>
              <w:spacing w:line="200" w:lineRule="exact" w:before="18"/>
              <w:ind w:right="211"/>
              <w:jc w:val="right"/>
              <w:rPr>
                <w:b/>
                <w:sz w:val="18"/>
              </w:rPr>
            </w:pPr>
            <w:r>
              <w:rPr>
                <w:b/>
                <w:sz w:val="18"/>
              </w:rPr>
              <w:t>0.733</w:t>
            </w:r>
          </w:p>
        </w:tc>
        <w:tc>
          <w:tcPr>
            <w:tcW w:w="1335" w:type="dxa"/>
            <w:shd w:val="clear" w:color="auto" w:fill="F9FCF9"/>
          </w:tcPr>
          <w:p>
            <w:pPr>
              <w:pStyle w:val="TableParagraph"/>
              <w:spacing w:line="200" w:lineRule="exact" w:before="18"/>
              <w:ind w:left="444" w:right="436"/>
              <w:rPr>
                <w:b/>
                <w:sz w:val="18"/>
              </w:rPr>
            </w:pPr>
            <w:r>
              <w:rPr>
                <w:b/>
                <w:sz w:val="18"/>
              </w:rPr>
              <w:t>1.844</w:t>
            </w: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CO</w:t>
            </w:r>
            <w:r>
              <w:rPr>
                <w:position w:val="-5"/>
                <w:sz w:val="10"/>
              </w:rPr>
              <w:t>2 </w:t>
            </w:r>
            <w:r>
              <w:rPr>
                <w:sz w:val="18"/>
              </w:rPr>
              <w:t>product pressure (MPa)</w:t>
            </w:r>
          </w:p>
        </w:tc>
        <w:tc>
          <w:tcPr>
            <w:tcW w:w="1046" w:type="dxa"/>
            <w:shd w:val="clear" w:color="auto" w:fill="F9FCF9"/>
          </w:tcPr>
          <w:p>
            <w:pPr>
              <w:pStyle w:val="TableParagraph"/>
              <w:spacing w:line="200" w:lineRule="exact" w:before="18"/>
              <w:ind w:left="79" w:right="73"/>
              <w:rPr>
                <w:sz w:val="18"/>
              </w:rPr>
            </w:pPr>
            <w:r>
              <w:rPr>
                <w:sz w:val="18"/>
              </w:rPr>
              <w:t>8.4</w:t>
            </w:r>
          </w:p>
        </w:tc>
        <w:tc>
          <w:tcPr>
            <w:tcW w:w="1046" w:type="dxa"/>
            <w:shd w:val="clear" w:color="auto" w:fill="F9FCF9"/>
          </w:tcPr>
          <w:p>
            <w:pPr>
              <w:pStyle w:val="TableParagraph"/>
              <w:spacing w:line="200" w:lineRule="exact" w:before="18"/>
              <w:ind w:left="79" w:right="73"/>
              <w:rPr>
                <w:sz w:val="18"/>
              </w:rPr>
            </w:pPr>
            <w:r>
              <w:rPr>
                <w:sz w:val="18"/>
              </w:rPr>
              <w:t>10.3</w:t>
            </w:r>
          </w:p>
        </w:tc>
        <w:tc>
          <w:tcPr>
            <w:tcW w:w="1046" w:type="dxa"/>
            <w:shd w:val="clear" w:color="auto" w:fill="F9FCF9"/>
          </w:tcPr>
          <w:p>
            <w:pPr>
              <w:pStyle w:val="TableParagraph"/>
              <w:spacing w:line="200" w:lineRule="exact" w:before="18"/>
              <w:ind w:left="80" w:right="73"/>
              <w:rPr>
                <w:sz w:val="18"/>
              </w:rPr>
            </w:pPr>
            <w:r>
              <w:rPr>
                <w:sz w:val="18"/>
              </w:rPr>
              <w:t>11.0</w:t>
            </w:r>
          </w:p>
        </w:tc>
        <w:tc>
          <w:tcPr>
            <w:tcW w:w="1046" w:type="dxa"/>
            <w:shd w:val="clear" w:color="auto" w:fill="F9FCF9"/>
          </w:tcPr>
          <w:p>
            <w:pPr>
              <w:pStyle w:val="TableParagraph"/>
              <w:spacing w:line="200" w:lineRule="exact" w:before="18"/>
              <w:ind w:left="80" w:right="72"/>
              <w:rPr>
                <w:sz w:val="18"/>
              </w:rPr>
            </w:pPr>
            <w:r>
              <w:rPr>
                <w:sz w:val="18"/>
              </w:rPr>
              <w:t>11.0</w:t>
            </w:r>
          </w:p>
        </w:tc>
        <w:tc>
          <w:tcPr>
            <w:tcW w:w="1046" w:type="dxa"/>
            <w:shd w:val="clear" w:color="auto" w:fill="F9FCF9"/>
          </w:tcPr>
          <w:p>
            <w:pPr>
              <w:pStyle w:val="TableParagraph"/>
              <w:jc w:val="left"/>
              <w:rPr>
                <w:sz w:val="16"/>
              </w:rPr>
            </w:pPr>
          </w:p>
        </w:tc>
        <w:tc>
          <w:tcPr>
            <w:tcW w:w="1150" w:type="dxa"/>
            <w:shd w:val="clear" w:color="auto" w:fill="F9FCF9"/>
          </w:tcPr>
          <w:p>
            <w:pPr>
              <w:pStyle w:val="TableParagraph"/>
              <w:spacing w:line="200" w:lineRule="exact" w:before="18"/>
              <w:ind w:left="111" w:right="102"/>
              <w:rPr>
                <w:sz w:val="18"/>
              </w:rPr>
            </w:pPr>
            <w:r>
              <w:rPr>
                <w:sz w:val="18"/>
              </w:rPr>
              <w:t>13.7</w:t>
            </w:r>
          </w:p>
        </w:tc>
        <w:tc>
          <w:tcPr>
            <w:tcW w:w="1198" w:type="dxa"/>
            <w:shd w:val="clear" w:color="auto" w:fill="F9FCF9"/>
          </w:tcPr>
          <w:p>
            <w:pPr>
              <w:pStyle w:val="TableParagraph"/>
              <w:spacing w:line="200" w:lineRule="exact" w:before="18"/>
              <w:ind w:left="135" w:right="126"/>
              <w:rPr>
                <w:sz w:val="18"/>
              </w:rPr>
            </w:pPr>
            <w:r>
              <w:rPr>
                <w:sz w:val="18"/>
              </w:rPr>
              <w:t>13.7</w:t>
            </w:r>
          </w:p>
        </w:tc>
        <w:tc>
          <w:tcPr>
            <w:tcW w:w="851" w:type="dxa"/>
            <w:shd w:val="clear" w:color="auto" w:fill="F9FCF9"/>
          </w:tcPr>
          <w:p>
            <w:pPr>
              <w:pStyle w:val="TableParagraph"/>
              <w:spacing w:line="200" w:lineRule="exact" w:before="18"/>
              <w:ind w:left="9"/>
              <w:rPr>
                <w:b/>
                <w:sz w:val="18"/>
              </w:rPr>
            </w:pPr>
            <w:r>
              <w:rPr>
                <w:b/>
                <w:sz w:val="18"/>
              </w:rPr>
              <w:t>8</w:t>
            </w:r>
          </w:p>
        </w:tc>
        <w:tc>
          <w:tcPr>
            <w:tcW w:w="1335" w:type="dxa"/>
            <w:shd w:val="clear" w:color="auto" w:fill="F9FCF9"/>
          </w:tcPr>
          <w:p>
            <w:pPr>
              <w:pStyle w:val="TableParagraph"/>
              <w:spacing w:line="200" w:lineRule="exact" w:before="18"/>
              <w:ind w:left="444" w:right="436"/>
              <w:rPr>
                <w:b/>
                <w:sz w:val="18"/>
              </w:rPr>
            </w:pPr>
            <w:r>
              <w:rPr>
                <w:b/>
                <w:sz w:val="18"/>
              </w:rPr>
              <w:t>14</w:t>
            </w: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CCS energy requirement (% more input MWh</w:t>
            </w:r>
            <w:r>
              <w:rPr>
                <w:position w:val="6"/>
                <w:sz w:val="10"/>
              </w:rPr>
              <w:t>-1</w:t>
            </w:r>
            <w:r>
              <w:rPr>
                <w:sz w:val="18"/>
              </w:rPr>
              <w:t>)</w:t>
            </w:r>
          </w:p>
        </w:tc>
        <w:tc>
          <w:tcPr>
            <w:tcW w:w="1046" w:type="dxa"/>
            <w:shd w:val="clear" w:color="auto" w:fill="F9FCF9"/>
          </w:tcPr>
          <w:p>
            <w:pPr>
              <w:pStyle w:val="TableParagraph"/>
              <w:spacing w:line="200" w:lineRule="exact" w:before="18"/>
              <w:ind w:left="79" w:right="73"/>
              <w:rPr>
                <w:sz w:val="18"/>
              </w:rPr>
            </w:pPr>
            <w:r>
              <w:rPr>
                <w:sz w:val="18"/>
              </w:rPr>
              <w:t>16</w:t>
            </w:r>
          </w:p>
        </w:tc>
        <w:tc>
          <w:tcPr>
            <w:tcW w:w="1046" w:type="dxa"/>
            <w:shd w:val="clear" w:color="auto" w:fill="F9FCF9"/>
          </w:tcPr>
          <w:p>
            <w:pPr>
              <w:pStyle w:val="TableParagraph"/>
              <w:spacing w:line="200" w:lineRule="exact" w:before="18"/>
              <w:ind w:left="79" w:right="73"/>
              <w:rPr>
                <w:sz w:val="18"/>
              </w:rPr>
            </w:pPr>
            <w:r>
              <w:rPr>
                <w:sz w:val="18"/>
              </w:rPr>
              <w:t>16</w:t>
            </w:r>
          </w:p>
        </w:tc>
        <w:tc>
          <w:tcPr>
            <w:tcW w:w="1046" w:type="dxa"/>
            <w:shd w:val="clear" w:color="auto" w:fill="F9FCF9"/>
          </w:tcPr>
          <w:p>
            <w:pPr>
              <w:pStyle w:val="TableParagraph"/>
              <w:spacing w:line="200" w:lineRule="exact" w:before="18"/>
              <w:ind w:left="80" w:right="73"/>
              <w:rPr>
                <w:sz w:val="18"/>
              </w:rPr>
            </w:pPr>
            <w:r>
              <w:rPr>
                <w:sz w:val="18"/>
              </w:rPr>
              <w:t>15</w:t>
            </w:r>
          </w:p>
        </w:tc>
        <w:tc>
          <w:tcPr>
            <w:tcW w:w="1046" w:type="dxa"/>
            <w:shd w:val="clear" w:color="auto" w:fill="F9FCF9"/>
          </w:tcPr>
          <w:p>
            <w:pPr>
              <w:pStyle w:val="TableParagraph"/>
              <w:spacing w:line="200" w:lineRule="exact" w:before="18"/>
              <w:ind w:left="80" w:right="72"/>
              <w:rPr>
                <w:sz w:val="18"/>
              </w:rPr>
            </w:pPr>
            <w:r>
              <w:rPr>
                <w:sz w:val="18"/>
              </w:rPr>
              <w:t>11</w:t>
            </w:r>
          </w:p>
        </w:tc>
        <w:tc>
          <w:tcPr>
            <w:tcW w:w="1046" w:type="dxa"/>
            <w:shd w:val="clear" w:color="auto" w:fill="F9FCF9"/>
          </w:tcPr>
          <w:p>
            <w:pPr>
              <w:pStyle w:val="TableParagraph"/>
              <w:spacing w:line="200" w:lineRule="exact" w:before="18"/>
              <w:ind w:left="80" w:right="71"/>
              <w:rPr>
                <w:sz w:val="18"/>
              </w:rPr>
            </w:pPr>
            <w:r>
              <w:rPr>
                <w:sz w:val="18"/>
              </w:rPr>
              <w:t>22</w:t>
            </w:r>
          </w:p>
        </w:tc>
        <w:tc>
          <w:tcPr>
            <w:tcW w:w="1150" w:type="dxa"/>
            <w:shd w:val="clear" w:color="auto" w:fill="F9FCF9"/>
          </w:tcPr>
          <w:p>
            <w:pPr>
              <w:pStyle w:val="TableParagraph"/>
              <w:spacing w:line="200" w:lineRule="exact" w:before="18"/>
              <w:ind w:left="111" w:right="102"/>
              <w:rPr>
                <w:sz w:val="18"/>
              </w:rPr>
            </w:pPr>
            <w:r>
              <w:rPr>
                <w:sz w:val="18"/>
              </w:rPr>
              <w:t>17</w:t>
            </w:r>
          </w:p>
        </w:tc>
        <w:tc>
          <w:tcPr>
            <w:tcW w:w="1198" w:type="dxa"/>
            <w:shd w:val="clear" w:color="auto" w:fill="F9FCF9"/>
          </w:tcPr>
          <w:p>
            <w:pPr>
              <w:pStyle w:val="TableParagraph"/>
              <w:spacing w:line="200" w:lineRule="exact" w:before="18"/>
              <w:ind w:left="135" w:right="126"/>
              <w:rPr>
                <w:sz w:val="18"/>
              </w:rPr>
            </w:pPr>
            <w:r>
              <w:rPr>
                <w:sz w:val="18"/>
              </w:rPr>
              <w:t>17</w:t>
            </w:r>
          </w:p>
        </w:tc>
        <w:tc>
          <w:tcPr>
            <w:tcW w:w="851" w:type="dxa"/>
            <w:shd w:val="clear" w:color="auto" w:fill="F9FCF9"/>
          </w:tcPr>
          <w:p>
            <w:pPr>
              <w:pStyle w:val="TableParagraph"/>
              <w:spacing w:line="200" w:lineRule="exact" w:before="18"/>
              <w:ind w:left="30" w:right="21"/>
              <w:rPr>
                <w:b/>
                <w:sz w:val="18"/>
              </w:rPr>
            </w:pPr>
            <w:r>
              <w:rPr>
                <w:b/>
                <w:sz w:val="18"/>
              </w:rPr>
              <w:t>11</w:t>
            </w:r>
          </w:p>
        </w:tc>
        <w:tc>
          <w:tcPr>
            <w:tcW w:w="1335" w:type="dxa"/>
            <w:shd w:val="clear" w:color="auto" w:fill="F9FCF9"/>
          </w:tcPr>
          <w:p>
            <w:pPr>
              <w:pStyle w:val="TableParagraph"/>
              <w:spacing w:line="200" w:lineRule="exact" w:before="18"/>
              <w:ind w:left="444" w:right="436"/>
              <w:rPr>
                <w:b/>
                <w:sz w:val="18"/>
              </w:rPr>
            </w:pPr>
            <w:r>
              <w:rPr>
                <w:b/>
                <w:sz w:val="18"/>
              </w:rPr>
              <w:t>22</w:t>
            </w:r>
          </w:p>
        </w:tc>
      </w:tr>
      <w:tr>
        <w:trPr>
          <w:trHeight w:val="238" w:hRule="atLeast"/>
        </w:trPr>
        <w:tc>
          <w:tcPr>
            <w:tcW w:w="3719" w:type="dxa"/>
            <w:shd w:val="clear" w:color="auto" w:fill="F9FCF9"/>
          </w:tcPr>
          <w:p>
            <w:pPr>
              <w:pStyle w:val="TableParagraph"/>
              <w:spacing w:line="200" w:lineRule="exact" w:before="18"/>
              <w:ind w:left="78"/>
              <w:jc w:val="left"/>
              <w:rPr>
                <w:b/>
                <w:sz w:val="18"/>
              </w:rPr>
            </w:pPr>
            <w:r>
              <w:rPr>
                <w:b/>
                <w:sz w:val="18"/>
              </w:rPr>
              <w:t>CO</w:t>
            </w:r>
            <w:r>
              <w:rPr>
                <w:b/>
                <w:position w:val="-5"/>
                <w:sz w:val="10"/>
              </w:rPr>
              <w:t>2 </w:t>
            </w:r>
            <w:r>
              <w:rPr>
                <w:b/>
                <w:sz w:val="18"/>
              </w:rPr>
              <w:t>reduction per kWh (%)</w:t>
            </w:r>
          </w:p>
        </w:tc>
        <w:tc>
          <w:tcPr>
            <w:tcW w:w="1046" w:type="dxa"/>
            <w:shd w:val="clear" w:color="auto" w:fill="F9FCF9"/>
          </w:tcPr>
          <w:p>
            <w:pPr>
              <w:pStyle w:val="TableParagraph"/>
              <w:spacing w:line="200" w:lineRule="exact" w:before="18"/>
              <w:ind w:left="79" w:right="73"/>
              <w:rPr>
                <w:b/>
                <w:sz w:val="18"/>
              </w:rPr>
            </w:pPr>
            <w:r>
              <w:rPr>
                <w:b/>
                <w:sz w:val="18"/>
              </w:rPr>
              <w:t>88</w:t>
            </w:r>
          </w:p>
        </w:tc>
        <w:tc>
          <w:tcPr>
            <w:tcW w:w="1046" w:type="dxa"/>
            <w:shd w:val="clear" w:color="auto" w:fill="F9FCF9"/>
          </w:tcPr>
          <w:p>
            <w:pPr>
              <w:pStyle w:val="TableParagraph"/>
              <w:spacing w:line="200" w:lineRule="exact" w:before="18"/>
              <w:ind w:left="79" w:right="73"/>
              <w:rPr>
                <w:b/>
                <w:sz w:val="18"/>
              </w:rPr>
            </w:pPr>
            <w:r>
              <w:rPr>
                <w:b/>
                <w:sz w:val="18"/>
              </w:rPr>
              <w:t>88</w:t>
            </w:r>
          </w:p>
        </w:tc>
        <w:tc>
          <w:tcPr>
            <w:tcW w:w="1046" w:type="dxa"/>
            <w:shd w:val="clear" w:color="auto" w:fill="F9FCF9"/>
          </w:tcPr>
          <w:p>
            <w:pPr>
              <w:pStyle w:val="TableParagraph"/>
              <w:spacing w:line="200" w:lineRule="exact" w:before="18"/>
              <w:ind w:left="80" w:right="73"/>
              <w:rPr>
                <w:b/>
                <w:sz w:val="18"/>
              </w:rPr>
            </w:pPr>
            <w:r>
              <w:rPr>
                <w:b/>
                <w:sz w:val="18"/>
              </w:rPr>
              <w:t>83</w:t>
            </w:r>
          </w:p>
        </w:tc>
        <w:tc>
          <w:tcPr>
            <w:tcW w:w="1046" w:type="dxa"/>
            <w:shd w:val="clear" w:color="auto" w:fill="F9FCF9"/>
          </w:tcPr>
          <w:p>
            <w:pPr>
              <w:pStyle w:val="TableParagraph"/>
              <w:spacing w:line="200" w:lineRule="exact" w:before="18"/>
              <w:ind w:left="80" w:right="72"/>
              <w:rPr>
                <w:b/>
                <w:sz w:val="18"/>
              </w:rPr>
            </w:pPr>
            <w:r>
              <w:rPr>
                <w:b/>
                <w:sz w:val="18"/>
              </w:rPr>
              <w:t>83</w:t>
            </w:r>
          </w:p>
        </w:tc>
        <w:tc>
          <w:tcPr>
            <w:tcW w:w="1046" w:type="dxa"/>
            <w:shd w:val="clear" w:color="auto" w:fill="F9FCF9"/>
          </w:tcPr>
          <w:p>
            <w:pPr>
              <w:pStyle w:val="TableParagraph"/>
              <w:spacing w:line="200" w:lineRule="exact" w:before="18"/>
              <w:ind w:left="80" w:right="71"/>
              <w:rPr>
                <w:b/>
                <w:sz w:val="18"/>
              </w:rPr>
            </w:pPr>
            <w:r>
              <w:rPr>
                <w:b/>
                <w:sz w:val="18"/>
              </w:rPr>
              <w:t>83</w:t>
            </w:r>
          </w:p>
        </w:tc>
        <w:tc>
          <w:tcPr>
            <w:tcW w:w="1150" w:type="dxa"/>
            <w:shd w:val="clear" w:color="auto" w:fill="F9FCF9"/>
          </w:tcPr>
          <w:p>
            <w:pPr>
              <w:pStyle w:val="TableParagraph"/>
              <w:spacing w:line="200" w:lineRule="exact" w:before="18"/>
              <w:ind w:left="111" w:right="102"/>
              <w:rPr>
                <w:b/>
                <w:sz w:val="18"/>
              </w:rPr>
            </w:pPr>
            <w:r>
              <w:rPr>
                <w:b/>
                <w:sz w:val="18"/>
              </w:rPr>
              <w:t>88</w:t>
            </w:r>
          </w:p>
        </w:tc>
        <w:tc>
          <w:tcPr>
            <w:tcW w:w="1198" w:type="dxa"/>
            <w:shd w:val="clear" w:color="auto" w:fill="F9FCF9"/>
          </w:tcPr>
          <w:p>
            <w:pPr>
              <w:pStyle w:val="TableParagraph"/>
              <w:spacing w:line="200" w:lineRule="exact" w:before="18"/>
              <w:ind w:left="135" w:right="126"/>
              <w:rPr>
                <w:b/>
                <w:sz w:val="18"/>
              </w:rPr>
            </w:pPr>
            <w:r>
              <w:rPr>
                <w:b/>
                <w:sz w:val="18"/>
              </w:rPr>
              <w:t>88</w:t>
            </w:r>
          </w:p>
        </w:tc>
        <w:tc>
          <w:tcPr>
            <w:tcW w:w="851" w:type="dxa"/>
            <w:shd w:val="clear" w:color="auto" w:fill="F9FCF9"/>
          </w:tcPr>
          <w:p>
            <w:pPr>
              <w:pStyle w:val="TableParagraph"/>
              <w:spacing w:line="200" w:lineRule="exact" w:before="18"/>
              <w:ind w:left="30" w:right="21"/>
              <w:rPr>
                <w:b/>
                <w:sz w:val="18"/>
              </w:rPr>
            </w:pPr>
            <w:r>
              <w:rPr>
                <w:b/>
                <w:sz w:val="18"/>
              </w:rPr>
              <w:t>83</w:t>
            </w:r>
          </w:p>
        </w:tc>
        <w:tc>
          <w:tcPr>
            <w:tcW w:w="1335" w:type="dxa"/>
            <w:shd w:val="clear" w:color="auto" w:fill="F9FCF9"/>
          </w:tcPr>
          <w:p>
            <w:pPr>
              <w:pStyle w:val="TableParagraph"/>
              <w:spacing w:line="200" w:lineRule="exact" w:before="18"/>
              <w:ind w:left="444" w:right="436"/>
              <w:rPr>
                <w:b/>
                <w:sz w:val="18"/>
              </w:rPr>
            </w:pPr>
            <w:r>
              <w:rPr>
                <w:b/>
                <w:sz w:val="18"/>
              </w:rPr>
              <w:t>88</w:t>
            </w:r>
          </w:p>
        </w:tc>
      </w:tr>
      <w:tr>
        <w:trPr>
          <w:trHeight w:val="238" w:hRule="atLeast"/>
        </w:trPr>
        <w:tc>
          <w:tcPr>
            <w:tcW w:w="3719" w:type="dxa"/>
            <w:shd w:val="clear" w:color="auto" w:fill="F9FCF9"/>
          </w:tcPr>
          <w:p>
            <w:pPr>
              <w:pStyle w:val="TableParagraph"/>
              <w:spacing w:line="200" w:lineRule="exact" w:before="18"/>
              <w:ind w:left="276"/>
              <w:jc w:val="left"/>
              <w:rPr>
                <w:b/>
                <w:i/>
                <w:sz w:val="18"/>
              </w:rPr>
            </w:pPr>
            <w:r>
              <w:rPr>
                <w:b/>
                <w:i/>
                <w:sz w:val="18"/>
              </w:rPr>
              <w:t>Cost Results</w:t>
            </w:r>
          </w:p>
        </w:tc>
        <w:tc>
          <w:tcPr>
            <w:tcW w:w="1046" w:type="dxa"/>
            <w:shd w:val="clear" w:color="auto" w:fill="F9FCF9"/>
          </w:tcPr>
          <w:p>
            <w:pPr>
              <w:pStyle w:val="TableParagraph"/>
              <w:jc w:val="left"/>
              <w:rPr>
                <w:sz w:val="16"/>
              </w:rPr>
            </w:pPr>
          </w:p>
        </w:tc>
        <w:tc>
          <w:tcPr>
            <w:tcW w:w="1046" w:type="dxa"/>
            <w:shd w:val="clear" w:color="auto" w:fill="F9FCF9"/>
          </w:tcPr>
          <w:p>
            <w:pPr>
              <w:pStyle w:val="TableParagraph"/>
              <w:jc w:val="left"/>
              <w:rPr>
                <w:sz w:val="16"/>
              </w:rPr>
            </w:pPr>
          </w:p>
        </w:tc>
        <w:tc>
          <w:tcPr>
            <w:tcW w:w="1046" w:type="dxa"/>
            <w:shd w:val="clear" w:color="auto" w:fill="F9FCF9"/>
          </w:tcPr>
          <w:p>
            <w:pPr>
              <w:pStyle w:val="TableParagraph"/>
              <w:jc w:val="left"/>
              <w:rPr>
                <w:sz w:val="16"/>
              </w:rPr>
            </w:pPr>
          </w:p>
        </w:tc>
        <w:tc>
          <w:tcPr>
            <w:tcW w:w="1046" w:type="dxa"/>
            <w:shd w:val="clear" w:color="auto" w:fill="F9FCF9"/>
          </w:tcPr>
          <w:p>
            <w:pPr>
              <w:pStyle w:val="TableParagraph"/>
              <w:jc w:val="left"/>
              <w:rPr>
                <w:sz w:val="16"/>
              </w:rPr>
            </w:pPr>
          </w:p>
        </w:tc>
        <w:tc>
          <w:tcPr>
            <w:tcW w:w="1046" w:type="dxa"/>
            <w:shd w:val="clear" w:color="auto" w:fill="F9FCF9"/>
          </w:tcPr>
          <w:p>
            <w:pPr>
              <w:pStyle w:val="TableParagraph"/>
              <w:jc w:val="left"/>
              <w:rPr>
                <w:sz w:val="16"/>
              </w:rPr>
            </w:pPr>
          </w:p>
        </w:tc>
        <w:tc>
          <w:tcPr>
            <w:tcW w:w="1150" w:type="dxa"/>
            <w:shd w:val="clear" w:color="auto" w:fill="F9FCF9"/>
          </w:tcPr>
          <w:p>
            <w:pPr>
              <w:pStyle w:val="TableParagraph"/>
              <w:jc w:val="left"/>
              <w:rPr>
                <w:sz w:val="16"/>
              </w:rPr>
            </w:pPr>
          </w:p>
        </w:tc>
        <w:tc>
          <w:tcPr>
            <w:tcW w:w="1198" w:type="dxa"/>
            <w:shd w:val="clear" w:color="auto" w:fill="F9FCF9"/>
          </w:tcPr>
          <w:p>
            <w:pPr>
              <w:pStyle w:val="TableParagraph"/>
              <w:jc w:val="left"/>
              <w:rPr>
                <w:sz w:val="16"/>
              </w:rPr>
            </w:pPr>
          </w:p>
        </w:tc>
        <w:tc>
          <w:tcPr>
            <w:tcW w:w="851" w:type="dxa"/>
            <w:shd w:val="clear" w:color="auto" w:fill="F9FCF9"/>
          </w:tcPr>
          <w:p>
            <w:pPr>
              <w:pStyle w:val="TableParagraph"/>
              <w:jc w:val="left"/>
              <w:rPr>
                <w:sz w:val="16"/>
              </w:rPr>
            </w:pPr>
          </w:p>
        </w:tc>
        <w:tc>
          <w:tcPr>
            <w:tcW w:w="1335" w:type="dxa"/>
            <w:shd w:val="clear" w:color="auto" w:fill="F9FCF9"/>
          </w:tcPr>
          <w:p>
            <w:pPr>
              <w:pStyle w:val="TableParagraph"/>
              <w:jc w:val="left"/>
              <w:rPr>
                <w:sz w:val="16"/>
              </w:rPr>
            </w:pP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Cost year basis (constant dollars)</w:t>
            </w:r>
          </w:p>
        </w:tc>
        <w:tc>
          <w:tcPr>
            <w:tcW w:w="1046" w:type="dxa"/>
            <w:shd w:val="clear" w:color="auto" w:fill="F9FCF9"/>
          </w:tcPr>
          <w:p>
            <w:pPr>
              <w:pStyle w:val="TableParagraph"/>
              <w:spacing w:line="200" w:lineRule="exact" w:before="18"/>
              <w:ind w:left="79" w:right="73"/>
              <w:rPr>
                <w:sz w:val="18"/>
              </w:rPr>
            </w:pPr>
            <w:r>
              <w:rPr>
                <w:sz w:val="18"/>
              </w:rPr>
              <w:t>2000</w:t>
            </w:r>
          </w:p>
        </w:tc>
        <w:tc>
          <w:tcPr>
            <w:tcW w:w="1046" w:type="dxa"/>
            <w:shd w:val="clear" w:color="auto" w:fill="F9FCF9"/>
          </w:tcPr>
          <w:p>
            <w:pPr>
              <w:pStyle w:val="TableParagraph"/>
              <w:spacing w:line="200" w:lineRule="exact" w:before="18"/>
              <w:ind w:left="79" w:right="73"/>
              <w:rPr>
                <w:sz w:val="18"/>
              </w:rPr>
            </w:pPr>
            <w:r>
              <w:rPr>
                <w:sz w:val="18"/>
              </w:rPr>
              <w:t>2002</w:t>
            </w:r>
          </w:p>
        </w:tc>
        <w:tc>
          <w:tcPr>
            <w:tcW w:w="1046" w:type="dxa"/>
            <w:shd w:val="clear" w:color="auto" w:fill="F9FCF9"/>
          </w:tcPr>
          <w:p>
            <w:pPr>
              <w:pStyle w:val="TableParagraph"/>
              <w:spacing w:line="200" w:lineRule="exact" w:before="18"/>
              <w:ind w:left="80" w:right="73"/>
              <w:rPr>
                <w:sz w:val="18"/>
              </w:rPr>
            </w:pPr>
            <w:r>
              <w:rPr>
                <w:sz w:val="18"/>
              </w:rPr>
              <w:t>2004</w:t>
            </w:r>
          </w:p>
        </w:tc>
        <w:tc>
          <w:tcPr>
            <w:tcW w:w="1046" w:type="dxa"/>
            <w:shd w:val="clear" w:color="auto" w:fill="F9FCF9"/>
          </w:tcPr>
          <w:p>
            <w:pPr>
              <w:pStyle w:val="TableParagraph"/>
              <w:spacing w:line="200" w:lineRule="exact" w:before="18"/>
              <w:ind w:left="80" w:right="72"/>
              <w:rPr>
                <w:sz w:val="18"/>
              </w:rPr>
            </w:pPr>
            <w:r>
              <w:rPr>
                <w:sz w:val="18"/>
              </w:rPr>
              <w:t>2004</w:t>
            </w:r>
          </w:p>
        </w:tc>
        <w:tc>
          <w:tcPr>
            <w:tcW w:w="1046" w:type="dxa"/>
            <w:shd w:val="clear" w:color="auto" w:fill="F9FCF9"/>
          </w:tcPr>
          <w:p>
            <w:pPr>
              <w:pStyle w:val="TableParagraph"/>
              <w:jc w:val="left"/>
              <w:rPr>
                <w:sz w:val="16"/>
              </w:rPr>
            </w:pPr>
          </w:p>
        </w:tc>
        <w:tc>
          <w:tcPr>
            <w:tcW w:w="1150" w:type="dxa"/>
            <w:shd w:val="clear" w:color="auto" w:fill="F9FCF9"/>
          </w:tcPr>
          <w:p>
            <w:pPr>
              <w:pStyle w:val="TableParagraph"/>
              <w:spacing w:line="200" w:lineRule="exact" w:before="18"/>
              <w:ind w:left="111" w:right="102"/>
              <w:rPr>
                <w:sz w:val="18"/>
              </w:rPr>
            </w:pPr>
            <w:r>
              <w:rPr>
                <w:sz w:val="18"/>
              </w:rPr>
              <w:t>2001</w:t>
            </w:r>
          </w:p>
        </w:tc>
        <w:tc>
          <w:tcPr>
            <w:tcW w:w="1198" w:type="dxa"/>
            <w:shd w:val="clear" w:color="auto" w:fill="F9FCF9"/>
          </w:tcPr>
          <w:p>
            <w:pPr>
              <w:pStyle w:val="TableParagraph"/>
              <w:spacing w:line="200" w:lineRule="exact" w:before="18"/>
              <w:ind w:left="135" w:right="126"/>
              <w:rPr>
                <w:sz w:val="18"/>
              </w:rPr>
            </w:pPr>
            <w:r>
              <w:rPr>
                <w:sz w:val="18"/>
              </w:rPr>
              <w:t>2001</w:t>
            </w:r>
          </w:p>
        </w:tc>
        <w:tc>
          <w:tcPr>
            <w:tcW w:w="851" w:type="dxa"/>
            <w:shd w:val="clear" w:color="auto" w:fill="F9FCF9"/>
          </w:tcPr>
          <w:p>
            <w:pPr>
              <w:pStyle w:val="TableParagraph"/>
              <w:jc w:val="left"/>
              <w:rPr>
                <w:sz w:val="16"/>
              </w:rPr>
            </w:pPr>
          </w:p>
        </w:tc>
        <w:tc>
          <w:tcPr>
            <w:tcW w:w="1335" w:type="dxa"/>
            <w:shd w:val="clear" w:color="auto" w:fill="F9FCF9"/>
          </w:tcPr>
          <w:p>
            <w:pPr>
              <w:pStyle w:val="TableParagraph"/>
              <w:jc w:val="left"/>
              <w:rPr>
                <w:sz w:val="16"/>
              </w:rPr>
            </w:pP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Fixed charge factor (%)</w:t>
            </w:r>
          </w:p>
        </w:tc>
        <w:tc>
          <w:tcPr>
            <w:tcW w:w="1046" w:type="dxa"/>
            <w:shd w:val="clear" w:color="auto" w:fill="F9FCF9"/>
          </w:tcPr>
          <w:p>
            <w:pPr>
              <w:pStyle w:val="TableParagraph"/>
              <w:jc w:val="left"/>
              <w:rPr>
                <w:sz w:val="16"/>
              </w:rPr>
            </w:pPr>
          </w:p>
        </w:tc>
        <w:tc>
          <w:tcPr>
            <w:tcW w:w="1046" w:type="dxa"/>
            <w:shd w:val="clear" w:color="auto" w:fill="F9FCF9"/>
          </w:tcPr>
          <w:p>
            <w:pPr>
              <w:pStyle w:val="TableParagraph"/>
              <w:jc w:val="left"/>
              <w:rPr>
                <w:sz w:val="16"/>
              </w:rPr>
            </w:pPr>
          </w:p>
        </w:tc>
        <w:tc>
          <w:tcPr>
            <w:tcW w:w="1046" w:type="dxa"/>
            <w:shd w:val="clear" w:color="auto" w:fill="F9FCF9"/>
          </w:tcPr>
          <w:p>
            <w:pPr>
              <w:pStyle w:val="TableParagraph"/>
              <w:spacing w:line="200" w:lineRule="exact" w:before="18"/>
              <w:ind w:left="80" w:right="73"/>
              <w:rPr>
                <w:sz w:val="18"/>
              </w:rPr>
            </w:pPr>
            <w:r>
              <w:rPr>
                <w:sz w:val="18"/>
              </w:rPr>
              <w:t>11.0</w:t>
            </w:r>
          </w:p>
        </w:tc>
        <w:tc>
          <w:tcPr>
            <w:tcW w:w="1046" w:type="dxa"/>
            <w:shd w:val="clear" w:color="auto" w:fill="F9FCF9"/>
          </w:tcPr>
          <w:p>
            <w:pPr>
              <w:pStyle w:val="TableParagraph"/>
              <w:spacing w:line="200" w:lineRule="exact" w:before="18"/>
              <w:ind w:left="80" w:right="72"/>
              <w:rPr>
                <w:sz w:val="18"/>
              </w:rPr>
            </w:pPr>
            <w:r>
              <w:rPr>
                <w:sz w:val="18"/>
              </w:rPr>
              <w:t>11.0</w:t>
            </w:r>
          </w:p>
        </w:tc>
        <w:tc>
          <w:tcPr>
            <w:tcW w:w="1046" w:type="dxa"/>
            <w:shd w:val="clear" w:color="auto" w:fill="F9FCF9"/>
          </w:tcPr>
          <w:p>
            <w:pPr>
              <w:pStyle w:val="TableParagraph"/>
              <w:spacing w:line="200" w:lineRule="exact" w:before="18"/>
              <w:ind w:left="80" w:right="72"/>
              <w:rPr>
                <w:sz w:val="18"/>
              </w:rPr>
            </w:pPr>
            <w:r>
              <w:rPr>
                <w:sz w:val="18"/>
              </w:rPr>
              <w:t>11.0</w:t>
            </w:r>
          </w:p>
        </w:tc>
        <w:tc>
          <w:tcPr>
            <w:tcW w:w="1150" w:type="dxa"/>
            <w:shd w:val="clear" w:color="auto" w:fill="F9FCF9"/>
          </w:tcPr>
          <w:p>
            <w:pPr>
              <w:pStyle w:val="TableParagraph"/>
              <w:spacing w:line="200" w:lineRule="exact" w:before="18"/>
              <w:ind w:left="111" w:right="102"/>
              <w:rPr>
                <w:sz w:val="18"/>
              </w:rPr>
            </w:pPr>
            <w:r>
              <w:rPr>
                <w:sz w:val="18"/>
              </w:rPr>
              <w:t>14.8</w:t>
            </w:r>
          </w:p>
        </w:tc>
        <w:tc>
          <w:tcPr>
            <w:tcW w:w="1198" w:type="dxa"/>
            <w:shd w:val="clear" w:color="auto" w:fill="F9FCF9"/>
          </w:tcPr>
          <w:p>
            <w:pPr>
              <w:pStyle w:val="TableParagraph"/>
              <w:spacing w:line="200" w:lineRule="exact" w:before="18"/>
              <w:ind w:left="135" w:right="126"/>
              <w:rPr>
                <w:sz w:val="18"/>
              </w:rPr>
            </w:pPr>
            <w:r>
              <w:rPr>
                <w:sz w:val="18"/>
              </w:rPr>
              <w:t>14.8</w:t>
            </w:r>
          </w:p>
        </w:tc>
        <w:tc>
          <w:tcPr>
            <w:tcW w:w="851" w:type="dxa"/>
            <w:shd w:val="clear" w:color="auto" w:fill="F9FCF9"/>
          </w:tcPr>
          <w:p>
            <w:pPr>
              <w:pStyle w:val="TableParagraph"/>
              <w:spacing w:line="200" w:lineRule="exact" w:before="18"/>
              <w:ind w:right="261"/>
              <w:jc w:val="right"/>
              <w:rPr>
                <w:b/>
                <w:sz w:val="18"/>
              </w:rPr>
            </w:pPr>
            <w:r>
              <w:rPr>
                <w:b/>
                <w:sz w:val="18"/>
              </w:rPr>
              <w:t>11.0</w:t>
            </w:r>
          </w:p>
        </w:tc>
        <w:tc>
          <w:tcPr>
            <w:tcW w:w="1335" w:type="dxa"/>
            <w:shd w:val="clear" w:color="auto" w:fill="F9FCF9"/>
          </w:tcPr>
          <w:p>
            <w:pPr>
              <w:pStyle w:val="TableParagraph"/>
              <w:spacing w:line="200" w:lineRule="exact" w:before="18"/>
              <w:ind w:left="444" w:right="436"/>
              <w:rPr>
                <w:b/>
                <w:sz w:val="18"/>
              </w:rPr>
            </w:pPr>
            <w:r>
              <w:rPr>
                <w:b/>
                <w:sz w:val="18"/>
              </w:rPr>
              <w:t>14.8</w:t>
            </w: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Reference plant TCR (US$ kW</w:t>
            </w:r>
            <w:r>
              <w:rPr>
                <w:position w:val="6"/>
                <w:sz w:val="10"/>
              </w:rPr>
              <w:t>-1</w:t>
            </w:r>
            <w:r>
              <w:rPr>
                <w:sz w:val="18"/>
              </w:rPr>
              <w:t>)</w:t>
            </w:r>
          </w:p>
        </w:tc>
        <w:tc>
          <w:tcPr>
            <w:tcW w:w="1046" w:type="dxa"/>
            <w:shd w:val="clear" w:color="auto" w:fill="F9FCF9"/>
          </w:tcPr>
          <w:p>
            <w:pPr>
              <w:pStyle w:val="TableParagraph"/>
              <w:spacing w:line="200" w:lineRule="exact" w:before="18"/>
              <w:ind w:left="79" w:right="73"/>
              <w:rPr>
                <w:sz w:val="18"/>
              </w:rPr>
            </w:pPr>
            <w:r>
              <w:rPr>
                <w:sz w:val="18"/>
              </w:rPr>
              <w:t>549</w:t>
            </w:r>
          </w:p>
        </w:tc>
        <w:tc>
          <w:tcPr>
            <w:tcW w:w="1046" w:type="dxa"/>
            <w:shd w:val="clear" w:color="auto" w:fill="F9FCF9"/>
          </w:tcPr>
          <w:p>
            <w:pPr>
              <w:pStyle w:val="TableParagraph"/>
              <w:spacing w:line="200" w:lineRule="exact" w:before="18"/>
              <w:ind w:left="79" w:right="73"/>
              <w:rPr>
                <w:sz w:val="18"/>
              </w:rPr>
            </w:pPr>
            <w:r>
              <w:rPr>
                <w:sz w:val="18"/>
              </w:rPr>
              <w:t>515</w:t>
            </w:r>
          </w:p>
        </w:tc>
        <w:tc>
          <w:tcPr>
            <w:tcW w:w="1046" w:type="dxa"/>
            <w:shd w:val="clear" w:color="auto" w:fill="F9FCF9"/>
          </w:tcPr>
          <w:p>
            <w:pPr>
              <w:pStyle w:val="TableParagraph"/>
              <w:spacing w:line="200" w:lineRule="exact" w:before="18"/>
              <w:ind w:left="80" w:right="73"/>
              <w:rPr>
                <w:sz w:val="18"/>
              </w:rPr>
            </w:pPr>
            <w:r>
              <w:rPr>
                <w:sz w:val="18"/>
              </w:rPr>
              <w:t>539</w:t>
            </w:r>
          </w:p>
        </w:tc>
        <w:tc>
          <w:tcPr>
            <w:tcW w:w="1046" w:type="dxa"/>
            <w:shd w:val="clear" w:color="auto" w:fill="F9FCF9"/>
          </w:tcPr>
          <w:p>
            <w:pPr>
              <w:pStyle w:val="TableParagraph"/>
              <w:spacing w:line="200" w:lineRule="exact" w:before="18"/>
              <w:ind w:left="80" w:right="72"/>
              <w:rPr>
                <w:sz w:val="18"/>
              </w:rPr>
            </w:pPr>
            <w:r>
              <w:rPr>
                <w:sz w:val="18"/>
              </w:rPr>
              <w:t>539</w:t>
            </w:r>
          </w:p>
        </w:tc>
        <w:tc>
          <w:tcPr>
            <w:tcW w:w="1046" w:type="dxa"/>
            <w:shd w:val="clear" w:color="auto" w:fill="F9FCF9"/>
          </w:tcPr>
          <w:p>
            <w:pPr>
              <w:pStyle w:val="TableParagraph"/>
              <w:spacing w:line="200" w:lineRule="exact" w:before="18"/>
              <w:ind w:left="80" w:right="71"/>
              <w:rPr>
                <w:sz w:val="18"/>
              </w:rPr>
            </w:pPr>
            <w:r>
              <w:rPr>
                <w:sz w:val="18"/>
              </w:rPr>
              <w:t>724</w:t>
            </w:r>
          </w:p>
        </w:tc>
        <w:tc>
          <w:tcPr>
            <w:tcW w:w="1150" w:type="dxa"/>
            <w:shd w:val="clear" w:color="auto" w:fill="F9FCF9"/>
          </w:tcPr>
          <w:p>
            <w:pPr>
              <w:pStyle w:val="TableParagraph"/>
              <w:spacing w:line="200" w:lineRule="exact" w:before="18"/>
              <w:ind w:left="111" w:right="102"/>
              <w:rPr>
                <w:sz w:val="18"/>
              </w:rPr>
            </w:pPr>
            <w:r>
              <w:rPr>
                <w:sz w:val="18"/>
              </w:rPr>
              <w:t>554</w:t>
            </w:r>
          </w:p>
        </w:tc>
        <w:tc>
          <w:tcPr>
            <w:tcW w:w="1198" w:type="dxa"/>
            <w:shd w:val="clear" w:color="auto" w:fill="F9FCF9"/>
          </w:tcPr>
          <w:p>
            <w:pPr>
              <w:pStyle w:val="TableParagraph"/>
              <w:spacing w:line="200" w:lineRule="exact" w:before="18"/>
              <w:ind w:left="135" w:right="126"/>
              <w:rPr>
                <w:sz w:val="18"/>
              </w:rPr>
            </w:pPr>
            <w:r>
              <w:rPr>
                <w:sz w:val="18"/>
              </w:rPr>
              <w:t>554</w:t>
            </w:r>
          </w:p>
        </w:tc>
        <w:tc>
          <w:tcPr>
            <w:tcW w:w="851" w:type="dxa"/>
            <w:shd w:val="clear" w:color="auto" w:fill="F9FCF9"/>
          </w:tcPr>
          <w:p>
            <w:pPr>
              <w:pStyle w:val="TableParagraph"/>
              <w:spacing w:line="200" w:lineRule="exact" w:before="18"/>
              <w:ind w:right="278"/>
              <w:jc w:val="right"/>
              <w:rPr>
                <w:b/>
                <w:sz w:val="18"/>
              </w:rPr>
            </w:pPr>
            <w:r>
              <w:rPr>
                <w:b/>
                <w:sz w:val="18"/>
              </w:rPr>
              <w:t>515</w:t>
            </w:r>
          </w:p>
        </w:tc>
        <w:tc>
          <w:tcPr>
            <w:tcW w:w="1335" w:type="dxa"/>
            <w:shd w:val="clear" w:color="auto" w:fill="F9FCF9"/>
          </w:tcPr>
          <w:p>
            <w:pPr>
              <w:pStyle w:val="TableParagraph"/>
              <w:spacing w:line="200" w:lineRule="exact" w:before="18"/>
              <w:ind w:left="444" w:right="436"/>
              <w:rPr>
                <w:b/>
                <w:sz w:val="18"/>
              </w:rPr>
            </w:pPr>
            <w:r>
              <w:rPr>
                <w:b/>
                <w:sz w:val="18"/>
              </w:rPr>
              <w:t>724</w:t>
            </w: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Capture plant TCR (US$ kW</w:t>
            </w:r>
            <w:r>
              <w:rPr>
                <w:position w:val="6"/>
                <w:sz w:val="10"/>
              </w:rPr>
              <w:t>-1</w:t>
            </w:r>
            <w:r>
              <w:rPr>
                <w:sz w:val="18"/>
              </w:rPr>
              <w:t>)</w:t>
            </w:r>
          </w:p>
        </w:tc>
        <w:tc>
          <w:tcPr>
            <w:tcW w:w="1046" w:type="dxa"/>
            <w:shd w:val="clear" w:color="auto" w:fill="F9FCF9"/>
          </w:tcPr>
          <w:p>
            <w:pPr>
              <w:pStyle w:val="TableParagraph"/>
              <w:spacing w:line="200" w:lineRule="exact" w:before="18"/>
              <w:ind w:left="79" w:right="73"/>
              <w:rPr>
                <w:sz w:val="18"/>
              </w:rPr>
            </w:pPr>
            <w:r>
              <w:rPr>
                <w:sz w:val="18"/>
              </w:rPr>
              <w:t>1099</w:t>
            </w:r>
          </w:p>
        </w:tc>
        <w:tc>
          <w:tcPr>
            <w:tcW w:w="1046" w:type="dxa"/>
            <w:shd w:val="clear" w:color="auto" w:fill="F9FCF9"/>
          </w:tcPr>
          <w:p>
            <w:pPr>
              <w:pStyle w:val="TableParagraph"/>
              <w:spacing w:line="200" w:lineRule="exact" w:before="18"/>
              <w:ind w:left="79" w:right="73"/>
              <w:rPr>
                <w:sz w:val="18"/>
              </w:rPr>
            </w:pPr>
            <w:r>
              <w:rPr>
                <w:sz w:val="18"/>
              </w:rPr>
              <w:t>911</w:t>
            </w:r>
          </w:p>
        </w:tc>
        <w:tc>
          <w:tcPr>
            <w:tcW w:w="1046" w:type="dxa"/>
            <w:shd w:val="clear" w:color="auto" w:fill="F9FCF9"/>
          </w:tcPr>
          <w:p>
            <w:pPr>
              <w:pStyle w:val="TableParagraph"/>
              <w:spacing w:line="200" w:lineRule="exact" w:before="18"/>
              <w:ind w:left="80" w:right="73"/>
              <w:rPr>
                <w:sz w:val="18"/>
              </w:rPr>
            </w:pPr>
            <w:r>
              <w:rPr>
                <w:sz w:val="18"/>
              </w:rPr>
              <w:t>938</w:t>
            </w:r>
          </w:p>
        </w:tc>
        <w:tc>
          <w:tcPr>
            <w:tcW w:w="1046" w:type="dxa"/>
            <w:shd w:val="clear" w:color="auto" w:fill="F9FCF9"/>
          </w:tcPr>
          <w:p>
            <w:pPr>
              <w:pStyle w:val="TableParagraph"/>
              <w:spacing w:line="200" w:lineRule="exact" w:before="18"/>
              <w:ind w:left="80" w:right="72"/>
              <w:rPr>
                <w:sz w:val="18"/>
              </w:rPr>
            </w:pPr>
            <w:r>
              <w:rPr>
                <w:sz w:val="18"/>
              </w:rPr>
              <w:t>958</w:t>
            </w:r>
          </w:p>
        </w:tc>
        <w:tc>
          <w:tcPr>
            <w:tcW w:w="1046" w:type="dxa"/>
            <w:shd w:val="clear" w:color="auto" w:fill="F9FCF9"/>
          </w:tcPr>
          <w:p>
            <w:pPr>
              <w:pStyle w:val="TableParagraph"/>
              <w:spacing w:line="200" w:lineRule="exact" w:before="18"/>
              <w:ind w:left="80" w:right="71"/>
              <w:rPr>
                <w:sz w:val="18"/>
              </w:rPr>
            </w:pPr>
            <w:r>
              <w:rPr>
                <w:sz w:val="18"/>
              </w:rPr>
              <w:t>1261</w:t>
            </w:r>
          </w:p>
        </w:tc>
        <w:tc>
          <w:tcPr>
            <w:tcW w:w="1150" w:type="dxa"/>
            <w:shd w:val="clear" w:color="auto" w:fill="F9FCF9"/>
          </w:tcPr>
          <w:p>
            <w:pPr>
              <w:pStyle w:val="TableParagraph"/>
              <w:spacing w:line="200" w:lineRule="exact" w:before="18"/>
              <w:ind w:left="111" w:right="102"/>
              <w:rPr>
                <w:sz w:val="18"/>
              </w:rPr>
            </w:pPr>
            <w:r>
              <w:rPr>
                <w:sz w:val="18"/>
              </w:rPr>
              <w:t>909</w:t>
            </w:r>
          </w:p>
        </w:tc>
        <w:tc>
          <w:tcPr>
            <w:tcW w:w="1198" w:type="dxa"/>
            <w:shd w:val="clear" w:color="auto" w:fill="F9FCF9"/>
          </w:tcPr>
          <w:p>
            <w:pPr>
              <w:pStyle w:val="TableParagraph"/>
              <w:spacing w:line="200" w:lineRule="exact" w:before="18"/>
              <w:ind w:left="135" w:right="126"/>
              <w:rPr>
                <w:sz w:val="18"/>
              </w:rPr>
            </w:pPr>
            <w:r>
              <w:rPr>
                <w:sz w:val="18"/>
              </w:rPr>
              <w:t>909</w:t>
            </w:r>
          </w:p>
        </w:tc>
        <w:tc>
          <w:tcPr>
            <w:tcW w:w="851" w:type="dxa"/>
            <w:shd w:val="clear" w:color="auto" w:fill="F9FCF9"/>
          </w:tcPr>
          <w:p>
            <w:pPr>
              <w:pStyle w:val="TableParagraph"/>
              <w:spacing w:line="200" w:lineRule="exact" w:before="18"/>
              <w:ind w:right="278"/>
              <w:jc w:val="right"/>
              <w:rPr>
                <w:b/>
                <w:sz w:val="18"/>
              </w:rPr>
            </w:pPr>
            <w:r>
              <w:rPr>
                <w:b/>
                <w:sz w:val="18"/>
              </w:rPr>
              <w:t>909</w:t>
            </w:r>
          </w:p>
        </w:tc>
        <w:tc>
          <w:tcPr>
            <w:tcW w:w="1335" w:type="dxa"/>
            <w:shd w:val="clear" w:color="auto" w:fill="F9FCF9"/>
          </w:tcPr>
          <w:p>
            <w:pPr>
              <w:pStyle w:val="TableParagraph"/>
              <w:spacing w:line="200" w:lineRule="exact" w:before="18"/>
              <w:ind w:left="444" w:right="436"/>
              <w:rPr>
                <w:b/>
                <w:sz w:val="18"/>
              </w:rPr>
            </w:pPr>
            <w:r>
              <w:rPr>
                <w:b/>
                <w:sz w:val="18"/>
              </w:rPr>
              <w:t>1261</w:t>
            </w: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Incremental TCR for capture (US$ kW</w:t>
            </w:r>
            <w:r>
              <w:rPr>
                <w:position w:val="6"/>
                <w:sz w:val="10"/>
              </w:rPr>
              <w:t>-1</w:t>
            </w:r>
            <w:r>
              <w:rPr>
                <w:sz w:val="18"/>
              </w:rPr>
              <w:t>)</w:t>
            </w:r>
          </w:p>
        </w:tc>
        <w:tc>
          <w:tcPr>
            <w:tcW w:w="1046" w:type="dxa"/>
            <w:shd w:val="clear" w:color="auto" w:fill="F9FCF9"/>
          </w:tcPr>
          <w:p>
            <w:pPr>
              <w:pStyle w:val="TableParagraph"/>
              <w:spacing w:line="200" w:lineRule="exact" w:before="18"/>
              <w:ind w:left="79" w:right="73"/>
              <w:rPr>
                <w:sz w:val="18"/>
              </w:rPr>
            </w:pPr>
            <w:r>
              <w:rPr>
                <w:sz w:val="18"/>
              </w:rPr>
              <w:t>550</w:t>
            </w:r>
          </w:p>
        </w:tc>
        <w:tc>
          <w:tcPr>
            <w:tcW w:w="1046" w:type="dxa"/>
            <w:shd w:val="clear" w:color="auto" w:fill="F9FCF9"/>
          </w:tcPr>
          <w:p>
            <w:pPr>
              <w:pStyle w:val="TableParagraph"/>
              <w:spacing w:line="200" w:lineRule="exact" w:before="18"/>
              <w:ind w:left="79" w:right="73"/>
              <w:rPr>
                <w:sz w:val="18"/>
              </w:rPr>
            </w:pPr>
            <w:r>
              <w:rPr>
                <w:sz w:val="18"/>
              </w:rPr>
              <w:t>396</w:t>
            </w:r>
          </w:p>
        </w:tc>
        <w:tc>
          <w:tcPr>
            <w:tcW w:w="1046" w:type="dxa"/>
            <w:shd w:val="clear" w:color="auto" w:fill="F9FCF9"/>
          </w:tcPr>
          <w:p>
            <w:pPr>
              <w:pStyle w:val="TableParagraph"/>
              <w:spacing w:line="200" w:lineRule="exact" w:before="18"/>
              <w:ind w:left="80" w:right="73"/>
              <w:rPr>
                <w:sz w:val="18"/>
              </w:rPr>
            </w:pPr>
            <w:r>
              <w:rPr>
                <w:sz w:val="18"/>
              </w:rPr>
              <w:t>399</w:t>
            </w:r>
          </w:p>
        </w:tc>
        <w:tc>
          <w:tcPr>
            <w:tcW w:w="1046" w:type="dxa"/>
            <w:shd w:val="clear" w:color="auto" w:fill="F9FCF9"/>
          </w:tcPr>
          <w:p>
            <w:pPr>
              <w:pStyle w:val="TableParagraph"/>
              <w:spacing w:line="200" w:lineRule="exact" w:before="18"/>
              <w:ind w:left="80" w:right="72"/>
              <w:rPr>
                <w:sz w:val="18"/>
              </w:rPr>
            </w:pPr>
            <w:r>
              <w:rPr>
                <w:sz w:val="18"/>
              </w:rPr>
              <w:t>419</w:t>
            </w:r>
          </w:p>
        </w:tc>
        <w:tc>
          <w:tcPr>
            <w:tcW w:w="1046" w:type="dxa"/>
            <w:shd w:val="clear" w:color="auto" w:fill="F9FCF9"/>
          </w:tcPr>
          <w:p>
            <w:pPr>
              <w:pStyle w:val="TableParagraph"/>
              <w:spacing w:line="200" w:lineRule="exact" w:before="18"/>
              <w:ind w:left="80" w:right="71"/>
              <w:rPr>
                <w:sz w:val="18"/>
              </w:rPr>
            </w:pPr>
            <w:r>
              <w:rPr>
                <w:sz w:val="18"/>
              </w:rPr>
              <w:t>537</w:t>
            </w:r>
          </w:p>
        </w:tc>
        <w:tc>
          <w:tcPr>
            <w:tcW w:w="1150" w:type="dxa"/>
            <w:shd w:val="clear" w:color="auto" w:fill="F9FCF9"/>
          </w:tcPr>
          <w:p>
            <w:pPr>
              <w:pStyle w:val="TableParagraph"/>
              <w:spacing w:line="200" w:lineRule="exact" w:before="18"/>
              <w:ind w:left="111" w:right="102"/>
              <w:rPr>
                <w:sz w:val="18"/>
              </w:rPr>
            </w:pPr>
            <w:r>
              <w:rPr>
                <w:sz w:val="18"/>
              </w:rPr>
              <w:t>355</w:t>
            </w:r>
          </w:p>
        </w:tc>
        <w:tc>
          <w:tcPr>
            <w:tcW w:w="1198" w:type="dxa"/>
            <w:shd w:val="clear" w:color="auto" w:fill="F9FCF9"/>
          </w:tcPr>
          <w:p>
            <w:pPr>
              <w:pStyle w:val="TableParagraph"/>
              <w:spacing w:line="200" w:lineRule="exact" w:before="18"/>
              <w:ind w:left="135" w:right="126"/>
              <w:rPr>
                <w:sz w:val="18"/>
              </w:rPr>
            </w:pPr>
            <w:r>
              <w:rPr>
                <w:sz w:val="18"/>
              </w:rPr>
              <w:t>355</w:t>
            </w:r>
          </w:p>
        </w:tc>
        <w:tc>
          <w:tcPr>
            <w:tcW w:w="851" w:type="dxa"/>
            <w:shd w:val="clear" w:color="auto" w:fill="F9FCF9"/>
          </w:tcPr>
          <w:p>
            <w:pPr>
              <w:pStyle w:val="TableParagraph"/>
              <w:spacing w:line="200" w:lineRule="exact" w:before="18"/>
              <w:ind w:right="278"/>
              <w:jc w:val="right"/>
              <w:rPr>
                <w:b/>
                <w:sz w:val="18"/>
              </w:rPr>
            </w:pPr>
            <w:r>
              <w:rPr>
                <w:b/>
                <w:sz w:val="18"/>
              </w:rPr>
              <w:t>355</w:t>
            </w:r>
          </w:p>
        </w:tc>
        <w:tc>
          <w:tcPr>
            <w:tcW w:w="1335" w:type="dxa"/>
            <w:shd w:val="clear" w:color="auto" w:fill="F9FCF9"/>
          </w:tcPr>
          <w:p>
            <w:pPr>
              <w:pStyle w:val="TableParagraph"/>
              <w:spacing w:line="200" w:lineRule="exact" w:before="18"/>
              <w:ind w:left="444" w:right="436"/>
              <w:rPr>
                <w:b/>
                <w:sz w:val="18"/>
              </w:rPr>
            </w:pPr>
            <w:r>
              <w:rPr>
                <w:b/>
                <w:sz w:val="18"/>
              </w:rPr>
              <w:t>550</w:t>
            </w:r>
          </w:p>
        </w:tc>
      </w:tr>
      <w:tr>
        <w:trPr>
          <w:trHeight w:val="238" w:hRule="atLeast"/>
        </w:trPr>
        <w:tc>
          <w:tcPr>
            <w:tcW w:w="3719" w:type="dxa"/>
            <w:shd w:val="clear" w:color="auto" w:fill="F9FCF9"/>
          </w:tcPr>
          <w:p>
            <w:pPr>
              <w:pStyle w:val="TableParagraph"/>
              <w:spacing w:line="200" w:lineRule="exact" w:before="18"/>
              <w:ind w:left="78"/>
              <w:jc w:val="left"/>
              <w:rPr>
                <w:b/>
                <w:sz w:val="18"/>
              </w:rPr>
            </w:pPr>
            <w:r>
              <w:rPr>
                <w:b/>
                <w:sz w:val="18"/>
              </w:rPr>
              <w:t>Reference plant COE (uS$ mWh</w:t>
            </w:r>
            <w:r>
              <w:rPr>
                <w:b/>
                <w:position w:val="6"/>
                <w:sz w:val="10"/>
              </w:rPr>
              <w:t>-1</w:t>
            </w:r>
            <w:r>
              <w:rPr>
                <w:b/>
                <w:sz w:val="18"/>
              </w:rPr>
              <w:t>)</w:t>
            </w:r>
          </w:p>
        </w:tc>
        <w:tc>
          <w:tcPr>
            <w:tcW w:w="1046" w:type="dxa"/>
            <w:shd w:val="clear" w:color="auto" w:fill="F9FCF9"/>
          </w:tcPr>
          <w:p>
            <w:pPr>
              <w:pStyle w:val="TableParagraph"/>
              <w:spacing w:line="200" w:lineRule="exact" w:before="18"/>
              <w:ind w:left="79" w:right="73"/>
              <w:rPr>
                <w:b/>
                <w:sz w:val="18"/>
              </w:rPr>
            </w:pPr>
            <w:r>
              <w:rPr>
                <w:b/>
                <w:sz w:val="18"/>
              </w:rPr>
              <w:t>34.2</w:t>
            </w:r>
          </w:p>
        </w:tc>
        <w:tc>
          <w:tcPr>
            <w:tcW w:w="1046" w:type="dxa"/>
            <w:shd w:val="clear" w:color="auto" w:fill="F9FCF9"/>
          </w:tcPr>
          <w:p>
            <w:pPr>
              <w:pStyle w:val="TableParagraph"/>
              <w:spacing w:line="200" w:lineRule="exact" w:before="18"/>
              <w:ind w:left="79" w:right="73"/>
              <w:rPr>
                <w:b/>
                <w:sz w:val="18"/>
              </w:rPr>
            </w:pPr>
            <w:r>
              <w:rPr>
                <w:b/>
                <w:sz w:val="18"/>
              </w:rPr>
              <w:t>34.7</w:t>
            </w:r>
          </w:p>
        </w:tc>
        <w:tc>
          <w:tcPr>
            <w:tcW w:w="1046" w:type="dxa"/>
            <w:shd w:val="clear" w:color="auto" w:fill="F9FCF9"/>
          </w:tcPr>
          <w:p>
            <w:pPr>
              <w:pStyle w:val="TableParagraph"/>
              <w:spacing w:line="200" w:lineRule="exact" w:before="18"/>
              <w:ind w:left="80" w:right="73"/>
              <w:rPr>
                <w:b/>
                <w:sz w:val="18"/>
              </w:rPr>
            </w:pPr>
            <w:r>
              <w:rPr>
                <w:b/>
                <w:sz w:val="18"/>
              </w:rPr>
              <w:t>31.3</w:t>
            </w:r>
          </w:p>
        </w:tc>
        <w:tc>
          <w:tcPr>
            <w:tcW w:w="1046" w:type="dxa"/>
            <w:shd w:val="clear" w:color="auto" w:fill="F9FCF9"/>
          </w:tcPr>
          <w:p>
            <w:pPr>
              <w:pStyle w:val="TableParagraph"/>
              <w:spacing w:line="200" w:lineRule="exact" w:before="18"/>
              <w:ind w:left="80" w:right="72"/>
              <w:rPr>
                <w:b/>
                <w:sz w:val="18"/>
              </w:rPr>
            </w:pPr>
            <w:r>
              <w:rPr>
                <w:b/>
                <w:sz w:val="18"/>
              </w:rPr>
              <w:t>31.3</w:t>
            </w:r>
          </w:p>
        </w:tc>
        <w:tc>
          <w:tcPr>
            <w:tcW w:w="1046" w:type="dxa"/>
            <w:shd w:val="clear" w:color="auto" w:fill="F9FCF9"/>
          </w:tcPr>
          <w:p>
            <w:pPr>
              <w:pStyle w:val="TableParagraph"/>
              <w:spacing w:line="200" w:lineRule="exact" w:before="18"/>
              <w:ind w:left="80" w:right="71"/>
              <w:rPr>
                <w:b/>
                <w:sz w:val="18"/>
              </w:rPr>
            </w:pPr>
            <w:r>
              <w:rPr>
                <w:b/>
                <w:sz w:val="18"/>
              </w:rPr>
              <w:t>34.2</w:t>
            </w:r>
          </w:p>
        </w:tc>
        <w:tc>
          <w:tcPr>
            <w:tcW w:w="1150" w:type="dxa"/>
            <w:shd w:val="clear" w:color="auto" w:fill="F9FCF9"/>
          </w:tcPr>
          <w:p>
            <w:pPr>
              <w:pStyle w:val="TableParagraph"/>
              <w:spacing w:line="200" w:lineRule="exact" w:before="18"/>
              <w:ind w:left="111" w:right="102"/>
              <w:rPr>
                <w:b/>
                <w:sz w:val="18"/>
              </w:rPr>
            </w:pPr>
            <w:r>
              <w:rPr>
                <w:b/>
                <w:sz w:val="18"/>
              </w:rPr>
              <w:t>43.1</w:t>
            </w:r>
          </w:p>
        </w:tc>
        <w:tc>
          <w:tcPr>
            <w:tcW w:w="1198" w:type="dxa"/>
            <w:shd w:val="clear" w:color="auto" w:fill="F9FCF9"/>
          </w:tcPr>
          <w:p>
            <w:pPr>
              <w:pStyle w:val="TableParagraph"/>
              <w:spacing w:line="200" w:lineRule="exact" w:before="18"/>
              <w:ind w:left="135" w:right="126"/>
              <w:rPr>
                <w:b/>
                <w:sz w:val="18"/>
              </w:rPr>
            </w:pPr>
            <w:r>
              <w:rPr>
                <w:b/>
                <w:sz w:val="18"/>
              </w:rPr>
              <w:t>50</w:t>
            </w:r>
          </w:p>
        </w:tc>
        <w:tc>
          <w:tcPr>
            <w:tcW w:w="851" w:type="dxa"/>
            <w:shd w:val="clear" w:color="auto" w:fill="F9FCF9"/>
          </w:tcPr>
          <w:p>
            <w:pPr>
              <w:pStyle w:val="TableParagraph"/>
              <w:spacing w:line="200" w:lineRule="exact" w:before="18"/>
              <w:ind w:left="30" w:right="21"/>
              <w:rPr>
                <w:b/>
                <w:sz w:val="18"/>
              </w:rPr>
            </w:pPr>
            <w:r>
              <w:rPr>
                <w:b/>
                <w:sz w:val="18"/>
              </w:rPr>
              <w:t>31</w:t>
            </w:r>
          </w:p>
        </w:tc>
        <w:tc>
          <w:tcPr>
            <w:tcW w:w="1335" w:type="dxa"/>
            <w:shd w:val="clear" w:color="auto" w:fill="F9FCF9"/>
          </w:tcPr>
          <w:p>
            <w:pPr>
              <w:pStyle w:val="TableParagraph"/>
              <w:spacing w:line="200" w:lineRule="exact" w:before="18"/>
              <w:ind w:left="444" w:right="436"/>
              <w:rPr>
                <w:b/>
                <w:sz w:val="18"/>
              </w:rPr>
            </w:pPr>
            <w:r>
              <w:rPr>
                <w:b/>
                <w:sz w:val="18"/>
              </w:rPr>
              <w:t>50</w:t>
            </w:r>
          </w:p>
        </w:tc>
      </w:tr>
      <w:tr>
        <w:trPr>
          <w:trHeight w:val="238" w:hRule="atLeast"/>
        </w:trPr>
        <w:tc>
          <w:tcPr>
            <w:tcW w:w="3719" w:type="dxa"/>
            <w:shd w:val="clear" w:color="auto" w:fill="F9FCF9"/>
          </w:tcPr>
          <w:p>
            <w:pPr>
              <w:pStyle w:val="TableParagraph"/>
              <w:spacing w:line="200" w:lineRule="exact" w:before="18"/>
              <w:ind w:left="78"/>
              <w:jc w:val="left"/>
              <w:rPr>
                <w:b/>
                <w:sz w:val="18"/>
              </w:rPr>
            </w:pPr>
            <w:r>
              <w:rPr>
                <w:b/>
                <w:sz w:val="18"/>
              </w:rPr>
              <w:t>Capture plant COE (uS$ mWh</w:t>
            </w:r>
            <w:r>
              <w:rPr>
                <w:b/>
                <w:position w:val="6"/>
                <w:sz w:val="10"/>
              </w:rPr>
              <w:t>-1</w:t>
            </w:r>
            <w:r>
              <w:rPr>
                <w:b/>
                <w:sz w:val="18"/>
              </w:rPr>
              <w:t>)</w:t>
            </w:r>
          </w:p>
        </w:tc>
        <w:tc>
          <w:tcPr>
            <w:tcW w:w="1046" w:type="dxa"/>
            <w:shd w:val="clear" w:color="auto" w:fill="F9FCF9"/>
          </w:tcPr>
          <w:p>
            <w:pPr>
              <w:pStyle w:val="TableParagraph"/>
              <w:spacing w:line="200" w:lineRule="exact" w:before="18"/>
              <w:ind w:left="79" w:right="73"/>
              <w:rPr>
                <w:b/>
                <w:sz w:val="18"/>
              </w:rPr>
            </w:pPr>
            <w:r>
              <w:rPr>
                <w:b/>
                <w:sz w:val="18"/>
              </w:rPr>
              <w:t>57.9</w:t>
            </w:r>
          </w:p>
        </w:tc>
        <w:tc>
          <w:tcPr>
            <w:tcW w:w="1046" w:type="dxa"/>
            <w:shd w:val="clear" w:color="auto" w:fill="F9FCF9"/>
          </w:tcPr>
          <w:p>
            <w:pPr>
              <w:pStyle w:val="TableParagraph"/>
              <w:spacing w:line="200" w:lineRule="exact" w:before="18"/>
              <w:ind w:left="79" w:right="73"/>
              <w:rPr>
                <w:b/>
                <w:sz w:val="18"/>
              </w:rPr>
            </w:pPr>
            <w:r>
              <w:rPr>
                <w:b/>
                <w:sz w:val="18"/>
              </w:rPr>
              <w:t>48.3</w:t>
            </w:r>
          </w:p>
        </w:tc>
        <w:tc>
          <w:tcPr>
            <w:tcW w:w="1046" w:type="dxa"/>
            <w:shd w:val="clear" w:color="auto" w:fill="F9FCF9"/>
          </w:tcPr>
          <w:p>
            <w:pPr>
              <w:pStyle w:val="TableParagraph"/>
              <w:spacing w:line="200" w:lineRule="exact" w:before="18"/>
              <w:ind w:left="80" w:right="73"/>
              <w:rPr>
                <w:b/>
                <w:sz w:val="18"/>
              </w:rPr>
            </w:pPr>
            <w:r>
              <w:rPr>
                <w:b/>
                <w:sz w:val="18"/>
              </w:rPr>
              <w:t>44</w:t>
            </w:r>
          </w:p>
        </w:tc>
        <w:tc>
          <w:tcPr>
            <w:tcW w:w="1046" w:type="dxa"/>
            <w:shd w:val="clear" w:color="auto" w:fill="F9FCF9"/>
          </w:tcPr>
          <w:p>
            <w:pPr>
              <w:pStyle w:val="TableParagraph"/>
              <w:spacing w:line="200" w:lineRule="exact" w:before="18"/>
              <w:ind w:left="80" w:right="72"/>
              <w:rPr>
                <w:b/>
                <w:sz w:val="18"/>
              </w:rPr>
            </w:pPr>
            <w:r>
              <w:rPr>
                <w:b/>
                <w:sz w:val="18"/>
              </w:rPr>
              <w:t>43.1</w:t>
            </w:r>
          </w:p>
        </w:tc>
        <w:tc>
          <w:tcPr>
            <w:tcW w:w="1046" w:type="dxa"/>
            <w:shd w:val="clear" w:color="auto" w:fill="F9FCF9"/>
          </w:tcPr>
          <w:p>
            <w:pPr>
              <w:pStyle w:val="TableParagraph"/>
              <w:spacing w:line="200" w:lineRule="exact" w:before="18"/>
              <w:ind w:left="80" w:right="71"/>
              <w:rPr>
                <w:b/>
                <w:sz w:val="18"/>
              </w:rPr>
            </w:pPr>
            <w:r>
              <w:rPr>
                <w:b/>
                <w:sz w:val="18"/>
              </w:rPr>
              <w:t>51.8</w:t>
            </w:r>
          </w:p>
        </w:tc>
        <w:tc>
          <w:tcPr>
            <w:tcW w:w="1150" w:type="dxa"/>
            <w:shd w:val="clear" w:color="auto" w:fill="F9FCF9"/>
          </w:tcPr>
          <w:p>
            <w:pPr>
              <w:pStyle w:val="TableParagraph"/>
              <w:spacing w:line="200" w:lineRule="exact" w:before="18"/>
              <w:ind w:left="111" w:right="102"/>
              <w:rPr>
                <w:b/>
                <w:sz w:val="18"/>
              </w:rPr>
            </w:pPr>
            <w:r>
              <w:rPr>
                <w:b/>
                <w:sz w:val="18"/>
              </w:rPr>
              <w:t>58.9</w:t>
            </w:r>
          </w:p>
        </w:tc>
        <w:tc>
          <w:tcPr>
            <w:tcW w:w="1198" w:type="dxa"/>
            <w:shd w:val="clear" w:color="auto" w:fill="F9FCF9"/>
          </w:tcPr>
          <w:p>
            <w:pPr>
              <w:pStyle w:val="TableParagraph"/>
              <w:spacing w:line="200" w:lineRule="exact" w:before="18"/>
              <w:ind w:left="135" w:right="126"/>
              <w:rPr>
                <w:b/>
                <w:sz w:val="18"/>
              </w:rPr>
            </w:pPr>
            <w:r>
              <w:rPr>
                <w:b/>
                <w:sz w:val="18"/>
              </w:rPr>
              <w:t>72</w:t>
            </w:r>
          </w:p>
        </w:tc>
        <w:tc>
          <w:tcPr>
            <w:tcW w:w="851" w:type="dxa"/>
            <w:shd w:val="clear" w:color="auto" w:fill="F9FCF9"/>
          </w:tcPr>
          <w:p>
            <w:pPr>
              <w:pStyle w:val="TableParagraph"/>
              <w:spacing w:line="200" w:lineRule="exact" w:before="18"/>
              <w:ind w:left="30" w:right="21"/>
              <w:rPr>
                <w:b/>
                <w:sz w:val="18"/>
              </w:rPr>
            </w:pPr>
            <w:r>
              <w:rPr>
                <w:b/>
                <w:sz w:val="18"/>
              </w:rPr>
              <w:t>43</w:t>
            </w:r>
          </w:p>
        </w:tc>
        <w:tc>
          <w:tcPr>
            <w:tcW w:w="1335" w:type="dxa"/>
            <w:shd w:val="clear" w:color="auto" w:fill="F9FCF9"/>
          </w:tcPr>
          <w:p>
            <w:pPr>
              <w:pStyle w:val="TableParagraph"/>
              <w:spacing w:line="200" w:lineRule="exact" w:before="18"/>
              <w:ind w:left="444" w:right="436"/>
              <w:rPr>
                <w:b/>
                <w:sz w:val="18"/>
              </w:rPr>
            </w:pPr>
            <w:r>
              <w:rPr>
                <w:b/>
                <w:sz w:val="18"/>
              </w:rPr>
              <w:t>72</w:t>
            </w:r>
          </w:p>
        </w:tc>
      </w:tr>
      <w:tr>
        <w:trPr>
          <w:trHeight w:val="238" w:hRule="atLeast"/>
        </w:trPr>
        <w:tc>
          <w:tcPr>
            <w:tcW w:w="3719" w:type="dxa"/>
            <w:shd w:val="clear" w:color="auto" w:fill="F9FCF9"/>
          </w:tcPr>
          <w:p>
            <w:pPr>
              <w:pStyle w:val="TableParagraph"/>
              <w:spacing w:line="200" w:lineRule="exact" w:before="18"/>
              <w:ind w:left="78"/>
              <w:jc w:val="left"/>
              <w:rPr>
                <w:b/>
                <w:sz w:val="18"/>
              </w:rPr>
            </w:pPr>
            <w:r>
              <w:rPr>
                <w:b/>
                <w:w w:val="105"/>
                <w:sz w:val="18"/>
              </w:rPr>
              <w:t>incremental COE for capture (uS$ mWh</w:t>
            </w:r>
            <w:r>
              <w:rPr>
                <w:b/>
                <w:w w:val="105"/>
                <w:position w:val="6"/>
                <w:sz w:val="10"/>
              </w:rPr>
              <w:t>-1</w:t>
            </w:r>
            <w:r>
              <w:rPr>
                <w:b/>
                <w:w w:val="105"/>
                <w:sz w:val="18"/>
              </w:rPr>
              <w:t>)</w:t>
            </w:r>
          </w:p>
        </w:tc>
        <w:tc>
          <w:tcPr>
            <w:tcW w:w="1046" w:type="dxa"/>
            <w:shd w:val="clear" w:color="auto" w:fill="F9FCF9"/>
          </w:tcPr>
          <w:p>
            <w:pPr>
              <w:pStyle w:val="TableParagraph"/>
              <w:spacing w:line="200" w:lineRule="exact" w:before="18"/>
              <w:ind w:left="79" w:right="73"/>
              <w:rPr>
                <w:b/>
                <w:sz w:val="18"/>
              </w:rPr>
            </w:pPr>
            <w:r>
              <w:rPr>
                <w:b/>
                <w:sz w:val="18"/>
              </w:rPr>
              <w:t>23.7</w:t>
            </w:r>
          </w:p>
        </w:tc>
        <w:tc>
          <w:tcPr>
            <w:tcW w:w="1046" w:type="dxa"/>
            <w:shd w:val="clear" w:color="auto" w:fill="F9FCF9"/>
          </w:tcPr>
          <w:p>
            <w:pPr>
              <w:pStyle w:val="TableParagraph"/>
              <w:spacing w:line="200" w:lineRule="exact" w:before="18"/>
              <w:ind w:left="79" w:right="73"/>
              <w:rPr>
                <w:b/>
                <w:sz w:val="18"/>
              </w:rPr>
            </w:pPr>
            <w:r>
              <w:rPr>
                <w:b/>
                <w:sz w:val="18"/>
              </w:rPr>
              <w:t>13.6</w:t>
            </w:r>
          </w:p>
        </w:tc>
        <w:tc>
          <w:tcPr>
            <w:tcW w:w="1046" w:type="dxa"/>
            <w:shd w:val="clear" w:color="auto" w:fill="F9FCF9"/>
          </w:tcPr>
          <w:p>
            <w:pPr>
              <w:pStyle w:val="TableParagraph"/>
              <w:spacing w:line="200" w:lineRule="exact" w:before="18"/>
              <w:ind w:left="80" w:right="73"/>
              <w:rPr>
                <w:b/>
                <w:sz w:val="18"/>
              </w:rPr>
            </w:pPr>
            <w:r>
              <w:rPr>
                <w:b/>
                <w:sz w:val="18"/>
              </w:rPr>
              <w:t>12.7</w:t>
            </w:r>
          </w:p>
        </w:tc>
        <w:tc>
          <w:tcPr>
            <w:tcW w:w="1046" w:type="dxa"/>
            <w:shd w:val="clear" w:color="auto" w:fill="F9FCF9"/>
          </w:tcPr>
          <w:p>
            <w:pPr>
              <w:pStyle w:val="TableParagraph"/>
              <w:spacing w:line="200" w:lineRule="exact" w:before="18"/>
              <w:ind w:left="80" w:right="72"/>
              <w:rPr>
                <w:b/>
                <w:sz w:val="18"/>
              </w:rPr>
            </w:pPr>
            <w:r>
              <w:rPr>
                <w:b/>
                <w:sz w:val="18"/>
              </w:rPr>
              <w:t>11.8</w:t>
            </w:r>
          </w:p>
        </w:tc>
        <w:tc>
          <w:tcPr>
            <w:tcW w:w="1046" w:type="dxa"/>
            <w:shd w:val="clear" w:color="auto" w:fill="F9FCF9"/>
          </w:tcPr>
          <w:p>
            <w:pPr>
              <w:pStyle w:val="TableParagraph"/>
              <w:spacing w:line="200" w:lineRule="exact" w:before="18"/>
              <w:ind w:left="80" w:right="71"/>
              <w:rPr>
                <w:b/>
                <w:sz w:val="18"/>
              </w:rPr>
            </w:pPr>
            <w:r>
              <w:rPr>
                <w:b/>
                <w:sz w:val="18"/>
              </w:rPr>
              <w:t>17.6</w:t>
            </w:r>
          </w:p>
        </w:tc>
        <w:tc>
          <w:tcPr>
            <w:tcW w:w="1150" w:type="dxa"/>
            <w:shd w:val="clear" w:color="auto" w:fill="F9FCF9"/>
          </w:tcPr>
          <w:p>
            <w:pPr>
              <w:pStyle w:val="TableParagraph"/>
              <w:spacing w:line="200" w:lineRule="exact" w:before="18"/>
              <w:ind w:left="111" w:right="102"/>
              <w:rPr>
                <w:b/>
                <w:sz w:val="18"/>
              </w:rPr>
            </w:pPr>
            <w:r>
              <w:rPr>
                <w:b/>
                <w:sz w:val="18"/>
              </w:rPr>
              <w:t>15.8</w:t>
            </w:r>
          </w:p>
        </w:tc>
        <w:tc>
          <w:tcPr>
            <w:tcW w:w="1198" w:type="dxa"/>
            <w:shd w:val="clear" w:color="auto" w:fill="F9FCF9"/>
          </w:tcPr>
          <w:p>
            <w:pPr>
              <w:pStyle w:val="TableParagraph"/>
              <w:spacing w:line="200" w:lineRule="exact" w:before="18"/>
              <w:ind w:left="135" w:right="126"/>
              <w:rPr>
                <w:b/>
                <w:sz w:val="18"/>
              </w:rPr>
            </w:pPr>
            <w:r>
              <w:rPr>
                <w:b/>
                <w:sz w:val="18"/>
              </w:rPr>
              <w:t>22</w:t>
            </w:r>
          </w:p>
        </w:tc>
        <w:tc>
          <w:tcPr>
            <w:tcW w:w="851" w:type="dxa"/>
            <w:shd w:val="clear" w:color="auto" w:fill="F9FCF9"/>
          </w:tcPr>
          <w:p>
            <w:pPr>
              <w:pStyle w:val="TableParagraph"/>
              <w:spacing w:line="200" w:lineRule="exact" w:before="18"/>
              <w:ind w:left="30" w:right="21"/>
              <w:rPr>
                <w:b/>
                <w:sz w:val="18"/>
              </w:rPr>
            </w:pPr>
            <w:r>
              <w:rPr>
                <w:b/>
                <w:sz w:val="18"/>
              </w:rPr>
              <w:t>12</w:t>
            </w:r>
          </w:p>
        </w:tc>
        <w:tc>
          <w:tcPr>
            <w:tcW w:w="1335" w:type="dxa"/>
            <w:shd w:val="clear" w:color="auto" w:fill="F9FCF9"/>
          </w:tcPr>
          <w:p>
            <w:pPr>
              <w:pStyle w:val="TableParagraph"/>
              <w:spacing w:line="200" w:lineRule="exact" w:before="18"/>
              <w:ind w:left="444" w:right="436"/>
              <w:rPr>
                <w:b/>
                <w:sz w:val="18"/>
              </w:rPr>
            </w:pPr>
            <w:r>
              <w:rPr>
                <w:b/>
                <w:sz w:val="18"/>
              </w:rPr>
              <w:t>24</w:t>
            </w: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 increase in capital cost (over ref. plant)</w:t>
            </w:r>
          </w:p>
        </w:tc>
        <w:tc>
          <w:tcPr>
            <w:tcW w:w="1046" w:type="dxa"/>
            <w:shd w:val="clear" w:color="auto" w:fill="F9FCF9"/>
          </w:tcPr>
          <w:p>
            <w:pPr>
              <w:pStyle w:val="TableParagraph"/>
              <w:spacing w:line="200" w:lineRule="exact" w:before="18"/>
              <w:ind w:left="79" w:right="73"/>
              <w:rPr>
                <w:sz w:val="18"/>
              </w:rPr>
            </w:pPr>
            <w:r>
              <w:rPr>
                <w:sz w:val="18"/>
              </w:rPr>
              <w:t>100</w:t>
            </w:r>
          </w:p>
        </w:tc>
        <w:tc>
          <w:tcPr>
            <w:tcW w:w="1046" w:type="dxa"/>
            <w:shd w:val="clear" w:color="auto" w:fill="F9FCF9"/>
          </w:tcPr>
          <w:p>
            <w:pPr>
              <w:pStyle w:val="TableParagraph"/>
              <w:spacing w:line="200" w:lineRule="exact" w:before="18"/>
              <w:ind w:left="79" w:right="73"/>
              <w:rPr>
                <w:sz w:val="18"/>
              </w:rPr>
            </w:pPr>
            <w:r>
              <w:rPr>
                <w:sz w:val="18"/>
              </w:rPr>
              <w:t>77</w:t>
            </w:r>
          </w:p>
        </w:tc>
        <w:tc>
          <w:tcPr>
            <w:tcW w:w="1046" w:type="dxa"/>
            <w:shd w:val="clear" w:color="auto" w:fill="F9FCF9"/>
          </w:tcPr>
          <w:p>
            <w:pPr>
              <w:pStyle w:val="TableParagraph"/>
              <w:spacing w:line="200" w:lineRule="exact" w:before="18"/>
              <w:ind w:left="80" w:right="73"/>
              <w:rPr>
                <w:sz w:val="18"/>
              </w:rPr>
            </w:pPr>
            <w:r>
              <w:rPr>
                <w:sz w:val="18"/>
              </w:rPr>
              <w:t>74</w:t>
            </w:r>
          </w:p>
        </w:tc>
        <w:tc>
          <w:tcPr>
            <w:tcW w:w="1046" w:type="dxa"/>
            <w:shd w:val="clear" w:color="auto" w:fill="F9FCF9"/>
          </w:tcPr>
          <w:p>
            <w:pPr>
              <w:pStyle w:val="TableParagraph"/>
              <w:spacing w:line="200" w:lineRule="exact" w:before="18"/>
              <w:ind w:left="80" w:right="72"/>
              <w:rPr>
                <w:sz w:val="18"/>
              </w:rPr>
            </w:pPr>
            <w:r>
              <w:rPr>
                <w:sz w:val="18"/>
              </w:rPr>
              <w:t>78</w:t>
            </w:r>
          </w:p>
        </w:tc>
        <w:tc>
          <w:tcPr>
            <w:tcW w:w="1046" w:type="dxa"/>
            <w:shd w:val="clear" w:color="auto" w:fill="F9FCF9"/>
          </w:tcPr>
          <w:p>
            <w:pPr>
              <w:pStyle w:val="TableParagraph"/>
              <w:spacing w:line="200" w:lineRule="exact" w:before="18"/>
              <w:ind w:left="80" w:right="71"/>
              <w:rPr>
                <w:sz w:val="18"/>
              </w:rPr>
            </w:pPr>
            <w:r>
              <w:rPr>
                <w:sz w:val="18"/>
              </w:rPr>
              <w:t>74</w:t>
            </w:r>
          </w:p>
        </w:tc>
        <w:tc>
          <w:tcPr>
            <w:tcW w:w="1150" w:type="dxa"/>
            <w:shd w:val="clear" w:color="auto" w:fill="F9FCF9"/>
          </w:tcPr>
          <w:p>
            <w:pPr>
              <w:pStyle w:val="TableParagraph"/>
              <w:spacing w:line="200" w:lineRule="exact" w:before="18"/>
              <w:ind w:left="111" w:right="102"/>
              <w:rPr>
                <w:sz w:val="18"/>
              </w:rPr>
            </w:pPr>
            <w:r>
              <w:rPr>
                <w:sz w:val="18"/>
              </w:rPr>
              <w:t>64</w:t>
            </w:r>
          </w:p>
        </w:tc>
        <w:tc>
          <w:tcPr>
            <w:tcW w:w="1198" w:type="dxa"/>
            <w:shd w:val="clear" w:color="auto" w:fill="F9FCF9"/>
          </w:tcPr>
          <w:p>
            <w:pPr>
              <w:pStyle w:val="TableParagraph"/>
              <w:spacing w:line="200" w:lineRule="exact" w:before="18"/>
              <w:ind w:left="135" w:right="126"/>
              <w:rPr>
                <w:sz w:val="18"/>
              </w:rPr>
            </w:pPr>
            <w:r>
              <w:rPr>
                <w:sz w:val="18"/>
              </w:rPr>
              <w:t>64</w:t>
            </w:r>
          </w:p>
        </w:tc>
        <w:tc>
          <w:tcPr>
            <w:tcW w:w="851" w:type="dxa"/>
            <w:shd w:val="clear" w:color="auto" w:fill="F9FCF9"/>
          </w:tcPr>
          <w:p>
            <w:pPr>
              <w:pStyle w:val="TableParagraph"/>
              <w:spacing w:line="200" w:lineRule="exact" w:before="18"/>
              <w:ind w:left="30" w:right="21"/>
              <w:rPr>
                <w:b/>
                <w:sz w:val="18"/>
              </w:rPr>
            </w:pPr>
            <w:r>
              <w:rPr>
                <w:b/>
                <w:sz w:val="18"/>
              </w:rPr>
              <w:t>64</w:t>
            </w:r>
          </w:p>
        </w:tc>
        <w:tc>
          <w:tcPr>
            <w:tcW w:w="1335" w:type="dxa"/>
            <w:shd w:val="clear" w:color="auto" w:fill="F9FCF9"/>
          </w:tcPr>
          <w:p>
            <w:pPr>
              <w:pStyle w:val="TableParagraph"/>
              <w:spacing w:line="200" w:lineRule="exact" w:before="18"/>
              <w:ind w:left="444" w:right="436"/>
              <w:rPr>
                <w:b/>
                <w:sz w:val="18"/>
              </w:rPr>
            </w:pPr>
            <w:r>
              <w:rPr>
                <w:b/>
                <w:sz w:val="18"/>
              </w:rPr>
              <w:t>100</w:t>
            </w:r>
          </w:p>
        </w:tc>
      </w:tr>
      <w:tr>
        <w:trPr>
          <w:trHeight w:val="238" w:hRule="atLeast"/>
        </w:trPr>
        <w:tc>
          <w:tcPr>
            <w:tcW w:w="3719" w:type="dxa"/>
            <w:shd w:val="clear" w:color="auto" w:fill="F9FCF9"/>
          </w:tcPr>
          <w:p>
            <w:pPr>
              <w:pStyle w:val="TableParagraph"/>
              <w:spacing w:line="200" w:lineRule="exact" w:before="18"/>
              <w:ind w:left="78"/>
              <w:jc w:val="left"/>
              <w:rPr>
                <w:b/>
                <w:sz w:val="18"/>
              </w:rPr>
            </w:pPr>
            <w:r>
              <w:rPr>
                <w:b/>
                <w:sz w:val="18"/>
              </w:rPr>
              <w:t>% increase in COE (over ref. plant)</w:t>
            </w:r>
          </w:p>
        </w:tc>
        <w:tc>
          <w:tcPr>
            <w:tcW w:w="1046" w:type="dxa"/>
            <w:shd w:val="clear" w:color="auto" w:fill="F9FCF9"/>
          </w:tcPr>
          <w:p>
            <w:pPr>
              <w:pStyle w:val="TableParagraph"/>
              <w:spacing w:line="200" w:lineRule="exact" w:before="18"/>
              <w:ind w:left="79" w:right="73"/>
              <w:rPr>
                <w:b/>
                <w:sz w:val="18"/>
              </w:rPr>
            </w:pPr>
            <w:r>
              <w:rPr>
                <w:b/>
                <w:sz w:val="18"/>
              </w:rPr>
              <w:t>69</w:t>
            </w:r>
          </w:p>
        </w:tc>
        <w:tc>
          <w:tcPr>
            <w:tcW w:w="1046" w:type="dxa"/>
            <w:shd w:val="clear" w:color="auto" w:fill="F9FCF9"/>
          </w:tcPr>
          <w:p>
            <w:pPr>
              <w:pStyle w:val="TableParagraph"/>
              <w:spacing w:line="200" w:lineRule="exact" w:before="18"/>
              <w:ind w:left="79" w:right="73"/>
              <w:rPr>
                <w:b/>
                <w:sz w:val="18"/>
              </w:rPr>
            </w:pPr>
            <w:r>
              <w:rPr>
                <w:b/>
                <w:sz w:val="18"/>
              </w:rPr>
              <w:t>39</w:t>
            </w:r>
          </w:p>
        </w:tc>
        <w:tc>
          <w:tcPr>
            <w:tcW w:w="1046" w:type="dxa"/>
            <w:shd w:val="clear" w:color="auto" w:fill="F9FCF9"/>
          </w:tcPr>
          <w:p>
            <w:pPr>
              <w:pStyle w:val="TableParagraph"/>
              <w:spacing w:line="200" w:lineRule="exact" w:before="18"/>
              <w:ind w:left="80" w:right="73"/>
              <w:rPr>
                <w:b/>
                <w:sz w:val="18"/>
              </w:rPr>
            </w:pPr>
            <w:r>
              <w:rPr>
                <w:b/>
                <w:sz w:val="18"/>
              </w:rPr>
              <w:t>41</w:t>
            </w:r>
          </w:p>
        </w:tc>
        <w:tc>
          <w:tcPr>
            <w:tcW w:w="1046" w:type="dxa"/>
            <w:shd w:val="clear" w:color="auto" w:fill="F9FCF9"/>
          </w:tcPr>
          <w:p>
            <w:pPr>
              <w:pStyle w:val="TableParagraph"/>
              <w:spacing w:line="200" w:lineRule="exact" w:before="18"/>
              <w:ind w:left="80" w:right="72"/>
              <w:rPr>
                <w:b/>
                <w:sz w:val="18"/>
              </w:rPr>
            </w:pPr>
            <w:r>
              <w:rPr>
                <w:b/>
                <w:sz w:val="18"/>
              </w:rPr>
              <w:t>38</w:t>
            </w:r>
          </w:p>
        </w:tc>
        <w:tc>
          <w:tcPr>
            <w:tcW w:w="1046" w:type="dxa"/>
            <w:shd w:val="clear" w:color="auto" w:fill="F9FCF9"/>
          </w:tcPr>
          <w:p>
            <w:pPr>
              <w:pStyle w:val="TableParagraph"/>
              <w:spacing w:line="200" w:lineRule="exact" w:before="18"/>
              <w:ind w:left="80" w:right="71"/>
              <w:rPr>
                <w:sz w:val="18"/>
              </w:rPr>
            </w:pPr>
            <w:r>
              <w:rPr>
                <w:sz w:val="18"/>
              </w:rPr>
              <w:t>51</w:t>
            </w:r>
          </w:p>
        </w:tc>
        <w:tc>
          <w:tcPr>
            <w:tcW w:w="1150" w:type="dxa"/>
            <w:shd w:val="clear" w:color="auto" w:fill="F9FCF9"/>
          </w:tcPr>
          <w:p>
            <w:pPr>
              <w:pStyle w:val="TableParagraph"/>
              <w:spacing w:line="200" w:lineRule="exact" w:before="18"/>
              <w:ind w:left="111" w:right="102"/>
              <w:rPr>
                <w:b/>
                <w:sz w:val="18"/>
              </w:rPr>
            </w:pPr>
            <w:r>
              <w:rPr>
                <w:b/>
                <w:sz w:val="18"/>
              </w:rPr>
              <w:t>37</w:t>
            </w:r>
          </w:p>
        </w:tc>
        <w:tc>
          <w:tcPr>
            <w:tcW w:w="1198" w:type="dxa"/>
            <w:shd w:val="clear" w:color="auto" w:fill="F9FCF9"/>
          </w:tcPr>
          <w:p>
            <w:pPr>
              <w:pStyle w:val="TableParagraph"/>
              <w:spacing w:line="200" w:lineRule="exact" w:before="18"/>
              <w:ind w:left="135" w:right="126"/>
              <w:rPr>
                <w:b/>
                <w:sz w:val="18"/>
              </w:rPr>
            </w:pPr>
            <w:r>
              <w:rPr>
                <w:b/>
                <w:sz w:val="18"/>
              </w:rPr>
              <w:t>44</w:t>
            </w:r>
          </w:p>
        </w:tc>
        <w:tc>
          <w:tcPr>
            <w:tcW w:w="851" w:type="dxa"/>
            <w:shd w:val="clear" w:color="auto" w:fill="F9FCF9"/>
          </w:tcPr>
          <w:p>
            <w:pPr>
              <w:pStyle w:val="TableParagraph"/>
              <w:spacing w:line="200" w:lineRule="exact" w:before="18"/>
              <w:ind w:left="30" w:right="21"/>
              <w:rPr>
                <w:b/>
                <w:sz w:val="18"/>
              </w:rPr>
            </w:pPr>
            <w:r>
              <w:rPr>
                <w:b/>
                <w:sz w:val="18"/>
              </w:rPr>
              <w:t>37</w:t>
            </w:r>
          </w:p>
        </w:tc>
        <w:tc>
          <w:tcPr>
            <w:tcW w:w="1335" w:type="dxa"/>
            <w:shd w:val="clear" w:color="auto" w:fill="F9FCF9"/>
          </w:tcPr>
          <w:p>
            <w:pPr>
              <w:pStyle w:val="TableParagraph"/>
              <w:spacing w:line="200" w:lineRule="exact" w:before="18"/>
              <w:ind w:left="444" w:right="436"/>
              <w:rPr>
                <w:b/>
                <w:sz w:val="18"/>
              </w:rPr>
            </w:pPr>
            <w:r>
              <w:rPr>
                <w:b/>
                <w:sz w:val="18"/>
              </w:rPr>
              <w:t>69</w:t>
            </w: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Cost of CO</w:t>
            </w:r>
            <w:r>
              <w:rPr>
                <w:position w:val="-5"/>
                <w:sz w:val="10"/>
              </w:rPr>
              <w:t>2 </w:t>
            </w:r>
            <w:r>
              <w:rPr>
                <w:sz w:val="18"/>
              </w:rPr>
              <w:t>captured (US$/tCO</w:t>
            </w:r>
            <w:r>
              <w:rPr>
                <w:position w:val="-5"/>
                <w:sz w:val="10"/>
              </w:rPr>
              <w:t>2</w:t>
            </w:r>
            <w:r>
              <w:rPr>
                <w:sz w:val="18"/>
              </w:rPr>
              <w:t>)</w:t>
            </w:r>
          </w:p>
        </w:tc>
        <w:tc>
          <w:tcPr>
            <w:tcW w:w="1046" w:type="dxa"/>
            <w:shd w:val="clear" w:color="auto" w:fill="F9FCF9"/>
          </w:tcPr>
          <w:p>
            <w:pPr>
              <w:pStyle w:val="TableParagraph"/>
              <w:spacing w:line="200" w:lineRule="exact" w:before="18"/>
              <w:ind w:left="79" w:right="73"/>
              <w:rPr>
                <w:sz w:val="18"/>
              </w:rPr>
            </w:pPr>
            <w:r>
              <w:rPr>
                <w:sz w:val="18"/>
              </w:rPr>
              <w:t>57</w:t>
            </w:r>
          </w:p>
        </w:tc>
        <w:tc>
          <w:tcPr>
            <w:tcW w:w="1046" w:type="dxa"/>
            <w:shd w:val="clear" w:color="auto" w:fill="F9FCF9"/>
          </w:tcPr>
          <w:p>
            <w:pPr>
              <w:pStyle w:val="TableParagraph"/>
              <w:spacing w:line="200" w:lineRule="exact" w:before="18"/>
              <w:ind w:left="79" w:right="73"/>
              <w:rPr>
                <w:sz w:val="18"/>
              </w:rPr>
            </w:pPr>
            <w:r>
              <w:rPr>
                <w:sz w:val="18"/>
              </w:rPr>
              <w:t>38</w:t>
            </w:r>
          </w:p>
        </w:tc>
        <w:tc>
          <w:tcPr>
            <w:tcW w:w="1046" w:type="dxa"/>
            <w:shd w:val="clear" w:color="auto" w:fill="F9FCF9"/>
          </w:tcPr>
          <w:p>
            <w:pPr>
              <w:pStyle w:val="TableParagraph"/>
              <w:spacing w:line="200" w:lineRule="exact" w:before="18"/>
              <w:ind w:left="80" w:right="73"/>
              <w:rPr>
                <w:sz w:val="18"/>
              </w:rPr>
            </w:pPr>
            <w:r>
              <w:rPr>
                <w:sz w:val="18"/>
              </w:rPr>
              <w:t>34</w:t>
            </w:r>
          </w:p>
        </w:tc>
        <w:tc>
          <w:tcPr>
            <w:tcW w:w="1046" w:type="dxa"/>
            <w:shd w:val="clear" w:color="auto" w:fill="F9FCF9"/>
          </w:tcPr>
          <w:p>
            <w:pPr>
              <w:pStyle w:val="TableParagraph"/>
              <w:spacing w:line="200" w:lineRule="exact" w:before="18"/>
              <w:ind w:left="80" w:right="72"/>
              <w:rPr>
                <w:sz w:val="18"/>
              </w:rPr>
            </w:pPr>
            <w:r>
              <w:rPr>
                <w:sz w:val="18"/>
              </w:rPr>
              <w:t>33</w:t>
            </w:r>
          </w:p>
        </w:tc>
        <w:tc>
          <w:tcPr>
            <w:tcW w:w="1046" w:type="dxa"/>
            <w:shd w:val="clear" w:color="auto" w:fill="F9FCF9"/>
          </w:tcPr>
          <w:p>
            <w:pPr>
              <w:pStyle w:val="TableParagraph"/>
              <w:spacing w:line="200" w:lineRule="exact" w:before="18"/>
              <w:ind w:left="80" w:right="71"/>
              <w:rPr>
                <w:sz w:val="18"/>
              </w:rPr>
            </w:pPr>
            <w:r>
              <w:rPr>
                <w:sz w:val="18"/>
              </w:rPr>
              <w:t>46</w:t>
            </w:r>
          </w:p>
        </w:tc>
        <w:tc>
          <w:tcPr>
            <w:tcW w:w="1150" w:type="dxa"/>
            <w:shd w:val="clear" w:color="auto" w:fill="F9FCF9"/>
          </w:tcPr>
          <w:p>
            <w:pPr>
              <w:pStyle w:val="TableParagraph"/>
              <w:spacing w:line="200" w:lineRule="exact" w:before="18"/>
              <w:ind w:left="111" w:right="102"/>
              <w:rPr>
                <w:sz w:val="18"/>
              </w:rPr>
            </w:pPr>
            <w:r>
              <w:rPr>
                <w:sz w:val="18"/>
              </w:rPr>
              <w:t>41</w:t>
            </w:r>
          </w:p>
        </w:tc>
        <w:tc>
          <w:tcPr>
            <w:tcW w:w="1198" w:type="dxa"/>
            <w:shd w:val="clear" w:color="auto" w:fill="F9FCF9"/>
          </w:tcPr>
          <w:p>
            <w:pPr>
              <w:pStyle w:val="TableParagraph"/>
              <w:spacing w:line="200" w:lineRule="exact" w:before="18"/>
              <w:ind w:left="135" w:right="126"/>
              <w:rPr>
                <w:sz w:val="18"/>
              </w:rPr>
            </w:pPr>
            <w:r>
              <w:rPr>
                <w:sz w:val="18"/>
              </w:rPr>
              <w:t>57</w:t>
            </w:r>
          </w:p>
        </w:tc>
        <w:tc>
          <w:tcPr>
            <w:tcW w:w="851" w:type="dxa"/>
            <w:shd w:val="clear" w:color="auto" w:fill="F9FCF9"/>
          </w:tcPr>
          <w:p>
            <w:pPr>
              <w:pStyle w:val="TableParagraph"/>
              <w:spacing w:line="200" w:lineRule="exact" w:before="18"/>
              <w:ind w:left="30" w:right="21"/>
              <w:rPr>
                <w:b/>
                <w:sz w:val="18"/>
              </w:rPr>
            </w:pPr>
            <w:r>
              <w:rPr>
                <w:b/>
                <w:sz w:val="18"/>
              </w:rPr>
              <w:t>33</w:t>
            </w:r>
          </w:p>
        </w:tc>
        <w:tc>
          <w:tcPr>
            <w:tcW w:w="1335" w:type="dxa"/>
            <w:shd w:val="clear" w:color="auto" w:fill="F9FCF9"/>
          </w:tcPr>
          <w:p>
            <w:pPr>
              <w:pStyle w:val="TableParagraph"/>
              <w:spacing w:line="200" w:lineRule="exact" w:before="18"/>
              <w:ind w:left="444" w:right="436"/>
              <w:rPr>
                <w:b/>
                <w:sz w:val="18"/>
              </w:rPr>
            </w:pPr>
            <w:r>
              <w:rPr>
                <w:b/>
                <w:sz w:val="18"/>
              </w:rPr>
              <w:t>57</w:t>
            </w: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Cost of CO</w:t>
            </w:r>
            <w:r>
              <w:rPr>
                <w:position w:val="-5"/>
                <w:sz w:val="10"/>
              </w:rPr>
              <w:t>2 </w:t>
            </w:r>
            <w:r>
              <w:rPr>
                <w:sz w:val="18"/>
              </w:rPr>
              <w:t>avoided (US$/tCO</w:t>
            </w:r>
            <w:r>
              <w:rPr>
                <w:position w:val="-5"/>
                <w:sz w:val="10"/>
              </w:rPr>
              <w:t>2</w:t>
            </w:r>
            <w:r>
              <w:rPr>
                <w:sz w:val="18"/>
              </w:rPr>
              <w:t>)</w:t>
            </w:r>
          </w:p>
        </w:tc>
        <w:tc>
          <w:tcPr>
            <w:tcW w:w="1046" w:type="dxa"/>
            <w:shd w:val="clear" w:color="auto" w:fill="F9FCF9"/>
          </w:tcPr>
          <w:p>
            <w:pPr>
              <w:pStyle w:val="TableParagraph"/>
              <w:spacing w:line="200" w:lineRule="exact" w:before="18"/>
              <w:ind w:left="79" w:right="73"/>
              <w:rPr>
                <w:sz w:val="18"/>
              </w:rPr>
            </w:pPr>
            <w:r>
              <w:rPr>
                <w:sz w:val="18"/>
              </w:rPr>
              <w:t>74</w:t>
            </w:r>
          </w:p>
        </w:tc>
        <w:tc>
          <w:tcPr>
            <w:tcW w:w="1046" w:type="dxa"/>
            <w:shd w:val="clear" w:color="auto" w:fill="F9FCF9"/>
          </w:tcPr>
          <w:p>
            <w:pPr>
              <w:pStyle w:val="TableParagraph"/>
              <w:spacing w:line="200" w:lineRule="exact" w:before="18"/>
              <w:ind w:left="79" w:right="73"/>
              <w:rPr>
                <w:sz w:val="18"/>
              </w:rPr>
            </w:pPr>
            <w:r>
              <w:rPr>
                <w:sz w:val="18"/>
              </w:rPr>
              <w:t>45</w:t>
            </w:r>
          </w:p>
        </w:tc>
        <w:tc>
          <w:tcPr>
            <w:tcW w:w="1046" w:type="dxa"/>
            <w:shd w:val="clear" w:color="auto" w:fill="F9FCF9"/>
          </w:tcPr>
          <w:p>
            <w:pPr>
              <w:pStyle w:val="TableParagraph"/>
              <w:spacing w:line="200" w:lineRule="exact" w:before="18"/>
              <w:ind w:left="80" w:right="73"/>
              <w:rPr>
                <w:sz w:val="18"/>
              </w:rPr>
            </w:pPr>
            <w:r>
              <w:rPr>
                <w:sz w:val="18"/>
              </w:rPr>
              <w:t>41</w:t>
            </w:r>
          </w:p>
        </w:tc>
        <w:tc>
          <w:tcPr>
            <w:tcW w:w="1046" w:type="dxa"/>
            <w:shd w:val="clear" w:color="auto" w:fill="F9FCF9"/>
          </w:tcPr>
          <w:p>
            <w:pPr>
              <w:pStyle w:val="TableParagraph"/>
              <w:spacing w:line="200" w:lineRule="exact" w:before="18"/>
              <w:ind w:left="80" w:right="72"/>
              <w:rPr>
                <w:sz w:val="18"/>
              </w:rPr>
            </w:pPr>
            <w:r>
              <w:rPr>
                <w:sz w:val="18"/>
              </w:rPr>
              <w:t>37</w:t>
            </w:r>
          </w:p>
        </w:tc>
        <w:tc>
          <w:tcPr>
            <w:tcW w:w="1046" w:type="dxa"/>
            <w:shd w:val="clear" w:color="auto" w:fill="F9FCF9"/>
          </w:tcPr>
          <w:p>
            <w:pPr>
              <w:pStyle w:val="TableParagraph"/>
              <w:spacing w:line="200" w:lineRule="exact" w:before="18"/>
              <w:ind w:left="80" w:right="71"/>
              <w:rPr>
                <w:sz w:val="18"/>
              </w:rPr>
            </w:pPr>
            <w:r>
              <w:rPr>
                <w:sz w:val="18"/>
              </w:rPr>
              <w:t>57</w:t>
            </w:r>
          </w:p>
        </w:tc>
        <w:tc>
          <w:tcPr>
            <w:tcW w:w="1150" w:type="dxa"/>
            <w:shd w:val="clear" w:color="auto" w:fill="F9FCF9"/>
          </w:tcPr>
          <w:p>
            <w:pPr>
              <w:pStyle w:val="TableParagraph"/>
              <w:spacing w:line="200" w:lineRule="exact" w:before="18"/>
              <w:ind w:left="111" w:right="102"/>
              <w:rPr>
                <w:sz w:val="18"/>
              </w:rPr>
            </w:pPr>
            <w:r>
              <w:rPr>
                <w:sz w:val="18"/>
              </w:rPr>
              <w:t>49</w:t>
            </w:r>
          </w:p>
        </w:tc>
        <w:tc>
          <w:tcPr>
            <w:tcW w:w="1198" w:type="dxa"/>
            <w:shd w:val="clear" w:color="auto" w:fill="F9FCF9"/>
          </w:tcPr>
          <w:p>
            <w:pPr>
              <w:pStyle w:val="TableParagraph"/>
              <w:spacing w:line="200" w:lineRule="exact" w:before="18"/>
              <w:ind w:left="135" w:right="126"/>
              <w:rPr>
                <w:sz w:val="18"/>
              </w:rPr>
            </w:pPr>
            <w:r>
              <w:rPr>
                <w:sz w:val="18"/>
              </w:rPr>
              <w:t>68</w:t>
            </w:r>
          </w:p>
        </w:tc>
        <w:tc>
          <w:tcPr>
            <w:tcW w:w="851" w:type="dxa"/>
            <w:shd w:val="clear" w:color="auto" w:fill="F9FCF9"/>
          </w:tcPr>
          <w:p>
            <w:pPr>
              <w:pStyle w:val="TableParagraph"/>
              <w:spacing w:line="200" w:lineRule="exact" w:before="18"/>
              <w:ind w:left="30" w:right="21"/>
              <w:rPr>
                <w:b/>
                <w:sz w:val="18"/>
              </w:rPr>
            </w:pPr>
            <w:r>
              <w:rPr>
                <w:b/>
                <w:sz w:val="18"/>
              </w:rPr>
              <w:t>37</w:t>
            </w:r>
          </w:p>
        </w:tc>
        <w:tc>
          <w:tcPr>
            <w:tcW w:w="1335" w:type="dxa"/>
            <w:shd w:val="clear" w:color="auto" w:fill="F9FCF9"/>
          </w:tcPr>
          <w:p>
            <w:pPr>
              <w:pStyle w:val="TableParagraph"/>
              <w:spacing w:line="200" w:lineRule="exact" w:before="18"/>
              <w:ind w:left="444" w:right="436"/>
              <w:rPr>
                <w:b/>
                <w:sz w:val="18"/>
              </w:rPr>
            </w:pPr>
            <w:r>
              <w:rPr>
                <w:b/>
                <w:sz w:val="18"/>
              </w:rPr>
              <w:t>74</w:t>
            </w:r>
          </w:p>
        </w:tc>
      </w:tr>
      <w:tr>
        <w:trPr>
          <w:trHeight w:val="238" w:hRule="atLeast"/>
        </w:trPr>
        <w:tc>
          <w:tcPr>
            <w:tcW w:w="3719" w:type="dxa"/>
            <w:shd w:val="clear" w:color="auto" w:fill="F9FCF9"/>
          </w:tcPr>
          <w:p>
            <w:pPr>
              <w:pStyle w:val="TableParagraph"/>
              <w:spacing w:line="200" w:lineRule="exact" w:before="18"/>
              <w:ind w:left="78"/>
              <w:jc w:val="left"/>
              <w:rPr>
                <w:sz w:val="18"/>
              </w:rPr>
            </w:pPr>
            <w:r>
              <w:rPr>
                <w:sz w:val="18"/>
              </w:rPr>
              <w:t>Capture cost confidence level </w:t>
            </w:r>
            <w:hyperlink w:history="true" w:anchor="_bookmark26">
              <w:r>
                <w:rPr>
                  <w:sz w:val="18"/>
                </w:rPr>
                <w:t>(see Table 3.6)</w:t>
              </w:r>
            </w:hyperlink>
          </w:p>
        </w:tc>
        <w:tc>
          <w:tcPr>
            <w:tcW w:w="9764" w:type="dxa"/>
            <w:gridSpan w:val="9"/>
            <w:shd w:val="clear" w:color="auto" w:fill="F9FCF9"/>
          </w:tcPr>
          <w:p>
            <w:pPr>
              <w:pStyle w:val="TableParagraph"/>
              <w:spacing w:line="200" w:lineRule="exact" w:before="18"/>
              <w:ind w:left="4550" w:right="4494"/>
              <w:rPr>
                <w:sz w:val="18"/>
              </w:rPr>
            </w:pPr>
            <w:r>
              <w:rPr>
                <w:sz w:val="18"/>
              </w:rPr>
              <w:t>moderate</w:t>
            </w:r>
          </w:p>
        </w:tc>
      </w:tr>
    </w:tbl>
    <w:p>
      <w:pPr>
        <w:spacing w:line="175" w:lineRule="auto" w:before="121"/>
        <w:ind w:left="559" w:right="616" w:firstLine="0"/>
        <w:jc w:val="left"/>
        <w:rPr>
          <w:sz w:val="16"/>
        </w:rPr>
      </w:pPr>
      <w:r>
        <w:rPr>
          <w:sz w:val="16"/>
        </w:rPr>
        <w:t>Notes: All costs in this table are for capture only and do not include the costs of CO</w:t>
      </w:r>
      <w:r>
        <w:rPr>
          <w:position w:val="-4"/>
          <w:sz w:val="9"/>
        </w:rPr>
        <w:t>2 </w:t>
      </w:r>
      <w:r>
        <w:rPr>
          <w:sz w:val="16"/>
        </w:rPr>
        <w:t>transport and storage; see Chapter 8 for total CCS costs. * Reported HHV values converted to LHV assuming LHV/HHV = 0.90 for natural gas.</w:t>
      </w:r>
    </w:p>
    <w:p>
      <w:pPr>
        <w:spacing w:after="0" w:line="175" w:lineRule="auto"/>
        <w:jc w:val="left"/>
        <w:rPr>
          <w:sz w:val="16"/>
        </w:rPr>
        <w:sectPr>
          <w:pgSz w:w="15840" w:h="12240" w:orient="landscape"/>
          <w:pgMar w:header="537" w:footer="0" w:top="720" w:bottom="280" w:left="600" w:right="1000"/>
        </w:sectPr>
      </w:pPr>
    </w:p>
    <w:p>
      <w:pPr>
        <w:pStyle w:val="BodyText"/>
        <w:spacing w:line="206" w:lineRule="auto" w:before="72"/>
        <w:ind w:left="113"/>
      </w:pPr>
      <w:bookmarkStart w:name="3.7.6 Pre-combustion CO2 capture cost fo" w:id="91"/>
      <w:bookmarkEnd w:id="91"/>
      <w:r>
        <w:rPr/>
      </w:r>
      <w:r>
        <w:rPr/>
        <w:t>CO</w:t>
      </w:r>
      <w:r>
        <w:rPr>
          <w:position w:val="-6"/>
          <w:sz w:val="11"/>
        </w:rPr>
        <w:t>2 </w:t>
      </w:r>
      <w:r>
        <w:rPr/>
        <w:t>reductions (per kWh) of the order of 83-88%, the capital cost per kW increases by 64-100%, while the COE increases</w:t>
      </w:r>
    </w:p>
    <w:p>
      <w:pPr>
        <w:pStyle w:val="BodyText"/>
        <w:spacing w:line="249" w:lineRule="auto" w:before="53"/>
        <w:ind w:left="113"/>
      </w:pPr>
      <w:r>
        <w:rPr/>
        <w:br w:type="column"/>
      </w:r>
      <w:r>
        <w:rPr/>
        <w:t>biomass growth cycle. If the biomass carbon released during combustion (as CO</w:t>
      </w:r>
      <w:r>
        <w:rPr>
          <w:position w:val="-6"/>
          <w:sz w:val="11"/>
        </w:rPr>
        <w:t>2</w:t>
      </w:r>
      <w:r>
        <w:rPr/>
        <w:t>) is then captured and stored, the net</w:t>
      </w:r>
    </w:p>
    <w:p>
      <w:pPr>
        <w:spacing w:after="0" w:line="249" w:lineRule="auto"/>
        <w:sectPr>
          <w:headerReference w:type="default" r:id="rId185"/>
          <w:headerReference w:type="even" r:id="rId186"/>
          <w:pgSz w:w="12240" w:h="15840"/>
          <w:pgMar w:header="567" w:footer="0" w:top="1200" w:bottom="280" w:left="1020" w:right="620"/>
          <w:pgNumType w:start="155"/>
          <w:cols w:num="2" w:equalWidth="0">
            <w:col w:w="5198" w:space="128"/>
            <w:col w:w="5274"/>
          </w:cols>
        </w:sectPr>
      </w:pPr>
    </w:p>
    <w:p>
      <w:pPr>
        <w:pStyle w:val="BodyText"/>
        <w:spacing w:line="181" w:lineRule="exact"/>
        <w:ind w:left="113"/>
      </w:pPr>
      <w:r>
        <w:rPr/>
        <w:t>by 37-69%, or by 12-24 US$ MWh</w:t>
      </w:r>
      <w:r>
        <w:rPr>
          <w:position w:val="7"/>
          <w:sz w:val="11"/>
        </w:rPr>
        <w:t>-1  </w:t>
      </w:r>
      <w:r>
        <w:rPr/>
        <w:t>on an absolute basis.</w:t>
      </w:r>
      <w:r>
        <w:rPr>
          <w:spacing w:val="36"/>
        </w:rPr>
        <w:t> </w:t>
      </w:r>
      <w:r>
        <w:rPr/>
        <w:t>The</w:t>
      </w:r>
    </w:p>
    <w:p>
      <w:pPr>
        <w:pStyle w:val="BodyText"/>
        <w:spacing w:line="277" w:lineRule="exact" w:before="10"/>
        <w:ind w:left="113"/>
      </w:pPr>
      <w:r>
        <w:rPr/>
        <w:t>corresponding</w:t>
      </w:r>
      <w:r>
        <w:rPr>
          <w:spacing w:val="30"/>
        </w:rPr>
        <w:t> </w:t>
      </w:r>
      <w:r>
        <w:rPr/>
        <w:t>cost</w:t>
      </w:r>
      <w:r>
        <w:rPr>
          <w:spacing w:val="31"/>
        </w:rPr>
        <w:t> </w:t>
      </w:r>
      <w:r>
        <w:rPr/>
        <w:t>of</w:t>
      </w:r>
      <w:r>
        <w:rPr>
          <w:spacing w:val="31"/>
        </w:rPr>
        <w:t> </w:t>
      </w:r>
      <w:r>
        <w:rPr/>
        <w:t>CO</w:t>
      </w:r>
      <w:r>
        <w:rPr>
          <w:position w:val="-6"/>
          <w:sz w:val="11"/>
        </w:rPr>
        <w:t>2 </w:t>
      </w:r>
      <w:r>
        <w:rPr>
          <w:spacing w:val="26"/>
          <w:position w:val="-6"/>
          <w:sz w:val="11"/>
        </w:rPr>
        <w:t> </w:t>
      </w:r>
      <w:r>
        <w:rPr/>
        <w:t>avoided</w:t>
      </w:r>
      <w:r>
        <w:rPr>
          <w:spacing w:val="31"/>
        </w:rPr>
        <w:t> </w:t>
      </w:r>
      <w:r>
        <w:rPr/>
        <w:t>ranges</w:t>
      </w:r>
      <w:r>
        <w:rPr>
          <w:spacing w:val="31"/>
        </w:rPr>
        <w:t> </w:t>
      </w:r>
      <w:r>
        <w:rPr/>
        <w:t>from</w:t>
      </w:r>
      <w:r>
        <w:rPr>
          <w:spacing w:val="30"/>
        </w:rPr>
        <w:t> </w:t>
      </w:r>
      <w:r>
        <w:rPr/>
        <w:t>37-74</w:t>
      </w:r>
      <w:r>
        <w:rPr>
          <w:spacing w:val="31"/>
        </w:rPr>
        <w:t> </w:t>
      </w:r>
      <w:r>
        <w:rPr/>
        <w:t>US$/</w:t>
      </w:r>
    </w:p>
    <w:p>
      <w:pPr>
        <w:pStyle w:val="BodyText"/>
        <w:spacing w:line="175" w:lineRule="auto"/>
        <w:ind w:left="113"/>
        <w:rPr>
          <w:sz w:val="11"/>
        </w:rPr>
      </w:pPr>
      <w:r>
        <w:rPr/>
        <w:br w:type="column"/>
      </w:r>
      <w:r>
        <w:rPr/>
        <w:t>quantity of CO</w:t>
      </w:r>
      <w:r>
        <w:rPr>
          <w:position w:val="-6"/>
          <w:sz w:val="11"/>
        </w:rPr>
        <w:t>2</w:t>
      </w:r>
    </w:p>
    <w:p>
      <w:pPr>
        <w:pStyle w:val="BodyText"/>
        <w:spacing w:line="214" w:lineRule="exact"/>
        <w:ind w:left="113"/>
      </w:pPr>
      <w:r>
        <w:rPr/>
        <w:t>be negative.</w:t>
      </w:r>
    </w:p>
    <w:p>
      <w:pPr>
        <w:pStyle w:val="BodyText"/>
        <w:spacing w:line="181" w:lineRule="exact"/>
        <w:ind w:left="32"/>
      </w:pPr>
      <w:r>
        <w:rPr/>
        <w:br w:type="column"/>
      </w:r>
      <w:r>
        <w:rPr/>
        <w:t>emitted to the atmosphere could in principle</w:t>
      </w:r>
    </w:p>
    <w:p>
      <w:pPr>
        <w:spacing w:after="0" w:line="181" w:lineRule="exact"/>
        <w:sectPr>
          <w:type w:val="continuous"/>
          <w:pgSz w:w="12240" w:h="15840"/>
          <w:pgMar w:top="480" w:bottom="280" w:left="1020" w:right="620"/>
          <w:cols w:num="3" w:equalWidth="0">
            <w:col w:w="5198" w:space="129"/>
            <w:col w:w="1417" w:space="39"/>
            <w:col w:w="3817"/>
          </w:cols>
        </w:sectPr>
      </w:pPr>
    </w:p>
    <w:p>
      <w:pPr>
        <w:pStyle w:val="BodyText"/>
        <w:spacing w:line="187" w:lineRule="auto"/>
        <w:ind w:left="113"/>
        <w:jc w:val="both"/>
      </w:pPr>
      <w:r>
        <w:rPr/>
        <w:t>tCO</w:t>
      </w:r>
      <w:r>
        <w:rPr>
          <w:position w:val="-6"/>
          <w:sz w:val="11"/>
        </w:rPr>
        <w:t>2</w:t>
      </w:r>
      <w:r>
        <w:rPr/>
        <w:t>, while the CCS energy requirement increases plant fuel</w:t>
      </w:r>
    </w:p>
    <w:p>
      <w:pPr>
        <w:pStyle w:val="BodyText"/>
        <w:spacing w:line="210" w:lineRule="exact"/>
        <w:ind w:left="113"/>
        <w:jc w:val="both"/>
      </w:pPr>
      <w:r>
        <w:rPr/>
        <w:t>consumption per kWh by 11-22%.</w:t>
      </w:r>
    </w:p>
    <w:p>
      <w:pPr>
        <w:pStyle w:val="BodyText"/>
        <w:spacing w:line="249" w:lineRule="auto" w:before="3"/>
        <w:ind w:left="113" w:right="38" w:firstLine="284"/>
        <w:jc w:val="both"/>
      </w:pPr>
      <w:r>
        <w:rPr/>
        <w:t>As seen earlier in Equations (7) to (9), assumptions about the</w:t>
      </w:r>
      <w:r>
        <w:rPr>
          <w:spacing w:val="-7"/>
        </w:rPr>
        <w:t> </w:t>
      </w:r>
      <w:r>
        <w:rPr/>
        <w:t>plant</w:t>
      </w:r>
      <w:r>
        <w:rPr>
          <w:spacing w:val="-7"/>
        </w:rPr>
        <w:t> </w:t>
      </w:r>
      <w:r>
        <w:rPr/>
        <w:t>fuel</w:t>
      </w:r>
      <w:r>
        <w:rPr>
          <w:spacing w:val="-7"/>
        </w:rPr>
        <w:t> </w:t>
      </w:r>
      <w:r>
        <w:rPr/>
        <w:t>cost</w:t>
      </w:r>
      <w:r>
        <w:rPr>
          <w:spacing w:val="-7"/>
        </w:rPr>
        <w:t> </w:t>
      </w:r>
      <w:r>
        <w:rPr/>
        <w:t>have</w:t>
      </w:r>
      <w:r>
        <w:rPr>
          <w:spacing w:val="-7"/>
        </w:rPr>
        <w:t> </w:t>
      </w:r>
      <w:r>
        <w:rPr/>
        <w:t>an</w:t>
      </w:r>
      <w:r>
        <w:rPr>
          <w:spacing w:val="-7"/>
        </w:rPr>
        <w:t> </w:t>
      </w:r>
      <w:r>
        <w:rPr/>
        <w:t>especially</w:t>
      </w:r>
      <w:r>
        <w:rPr>
          <w:spacing w:val="-7"/>
        </w:rPr>
        <w:t> </w:t>
      </w:r>
      <w:r>
        <w:rPr/>
        <w:t>important</w:t>
      </w:r>
      <w:r>
        <w:rPr>
          <w:spacing w:val="-7"/>
        </w:rPr>
        <w:t> </w:t>
      </w:r>
      <w:r>
        <w:rPr/>
        <w:t>influence</w:t>
      </w:r>
      <w:r>
        <w:rPr>
          <w:spacing w:val="-7"/>
        </w:rPr>
        <w:t> </w:t>
      </w:r>
      <w:r>
        <w:rPr/>
        <w:t>on</w:t>
      </w:r>
      <w:r>
        <w:rPr>
          <w:spacing w:val="-7"/>
        </w:rPr>
        <w:t> </w:t>
      </w:r>
      <w:r>
        <w:rPr>
          <w:spacing w:val="-4"/>
        </w:rPr>
        <w:t>the </w:t>
      </w:r>
      <w:r>
        <w:rPr/>
        <w:t>COE</w:t>
      </w:r>
      <w:r>
        <w:rPr>
          <w:spacing w:val="-22"/>
        </w:rPr>
        <w:t> </w:t>
      </w:r>
      <w:r>
        <w:rPr/>
        <w:t>for</w:t>
      </w:r>
      <w:r>
        <w:rPr>
          <w:spacing w:val="-21"/>
        </w:rPr>
        <w:t> </w:t>
      </w:r>
      <w:r>
        <w:rPr/>
        <w:t>gas-fired</w:t>
      </w:r>
      <w:r>
        <w:rPr>
          <w:spacing w:val="-21"/>
        </w:rPr>
        <w:t> </w:t>
      </w:r>
      <w:r>
        <w:rPr/>
        <w:t>plants</w:t>
      </w:r>
      <w:r>
        <w:rPr>
          <w:spacing w:val="-21"/>
        </w:rPr>
        <w:t> </w:t>
      </w:r>
      <w:r>
        <w:rPr/>
        <w:t>because</w:t>
      </w:r>
      <w:r>
        <w:rPr>
          <w:spacing w:val="-21"/>
        </w:rPr>
        <w:t> </w:t>
      </w:r>
      <w:r>
        <w:rPr/>
        <w:t>the</w:t>
      </w:r>
      <w:r>
        <w:rPr>
          <w:spacing w:val="-21"/>
        </w:rPr>
        <w:t> </w:t>
      </w:r>
      <w:r>
        <w:rPr/>
        <w:t>contribution</w:t>
      </w:r>
      <w:r>
        <w:rPr>
          <w:spacing w:val="-22"/>
        </w:rPr>
        <w:t> </w:t>
      </w:r>
      <w:r>
        <w:rPr/>
        <w:t>of</w:t>
      </w:r>
      <w:r>
        <w:rPr>
          <w:spacing w:val="-21"/>
        </w:rPr>
        <w:t> </w:t>
      </w:r>
      <w:r>
        <w:rPr/>
        <w:t>capital</w:t>
      </w:r>
      <w:r>
        <w:rPr>
          <w:spacing w:val="-21"/>
        </w:rPr>
        <w:t> </w:t>
      </w:r>
      <w:r>
        <w:rPr/>
        <w:t>costs is</w:t>
      </w:r>
      <w:r>
        <w:rPr>
          <w:spacing w:val="8"/>
        </w:rPr>
        <w:t> </w:t>
      </w:r>
      <w:r>
        <w:rPr/>
        <w:t>relatively</w:t>
      </w:r>
      <w:r>
        <w:rPr>
          <w:spacing w:val="8"/>
        </w:rPr>
        <w:t> </w:t>
      </w:r>
      <w:r>
        <w:rPr/>
        <w:t>low</w:t>
      </w:r>
      <w:r>
        <w:rPr>
          <w:spacing w:val="9"/>
        </w:rPr>
        <w:t> </w:t>
      </w:r>
      <w:r>
        <w:rPr/>
        <w:t>compared</w:t>
      </w:r>
      <w:r>
        <w:rPr>
          <w:spacing w:val="8"/>
        </w:rPr>
        <w:t> </w:t>
      </w:r>
      <w:r>
        <w:rPr/>
        <w:t>to</w:t>
      </w:r>
      <w:r>
        <w:rPr>
          <w:spacing w:val="9"/>
        </w:rPr>
        <w:t> </w:t>
      </w:r>
      <w:r>
        <w:rPr/>
        <w:t>coal</w:t>
      </w:r>
      <w:r>
        <w:rPr>
          <w:spacing w:val="8"/>
        </w:rPr>
        <w:t> </w:t>
      </w:r>
      <w:r>
        <w:rPr/>
        <w:t>plants.</w:t>
      </w:r>
      <w:r>
        <w:rPr>
          <w:spacing w:val="5"/>
        </w:rPr>
        <w:t> </w:t>
      </w:r>
      <w:r>
        <w:rPr/>
        <w:t>The</w:t>
      </w:r>
      <w:r>
        <w:rPr>
          <w:spacing w:val="8"/>
        </w:rPr>
        <w:t> </w:t>
      </w:r>
      <w:r>
        <w:rPr/>
        <w:t>studies</w:t>
      </w:r>
      <w:r>
        <w:rPr>
          <w:spacing w:val="9"/>
        </w:rPr>
        <w:t> </w:t>
      </w:r>
      <w:r>
        <w:rPr/>
        <w:t>in</w:t>
      </w:r>
      <w:r>
        <w:rPr>
          <w:spacing w:val="5"/>
        </w:rPr>
        <w:t> </w:t>
      </w:r>
      <w:hyperlink w:history="true" w:anchor="_bookmark41">
        <w:r>
          <w:rPr>
            <w:spacing w:val="-3"/>
          </w:rPr>
          <w:t>Table</w:t>
        </w:r>
      </w:hyperlink>
    </w:p>
    <w:p>
      <w:pPr>
        <w:pStyle w:val="BodyText"/>
        <w:spacing w:line="249" w:lineRule="auto" w:before="3"/>
        <w:ind w:left="113" w:right="39"/>
        <w:jc w:val="both"/>
      </w:pPr>
      <w:hyperlink w:history="true" w:anchor="_bookmark41">
        <w:r>
          <w:rPr/>
          <w:t>3.9</w:t>
        </w:r>
        <w:r>
          <w:rPr>
            <w:spacing w:val="-7"/>
          </w:rPr>
          <w:t> </w:t>
        </w:r>
      </w:hyperlink>
      <w:r>
        <w:rPr/>
        <w:t>assume</w:t>
      </w:r>
      <w:r>
        <w:rPr>
          <w:spacing w:val="-6"/>
        </w:rPr>
        <w:t> </w:t>
      </w:r>
      <w:r>
        <w:rPr/>
        <w:t>stable</w:t>
      </w:r>
      <w:r>
        <w:rPr>
          <w:spacing w:val="-6"/>
        </w:rPr>
        <w:t> </w:t>
      </w:r>
      <w:r>
        <w:rPr/>
        <w:t>gas</w:t>
      </w:r>
      <w:r>
        <w:rPr>
          <w:spacing w:val="-7"/>
        </w:rPr>
        <w:t> </w:t>
      </w:r>
      <w:r>
        <w:rPr/>
        <w:t>prices</w:t>
      </w:r>
      <w:r>
        <w:rPr>
          <w:spacing w:val="-6"/>
        </w:rPr>
        <w:t> </w:t>
      </w:r>
      <w:r>
        <w:rPr/>
        <w:t>of</w:t>
      </w:r>
      <w:r>
        <w:rPr>
          <w:spacing w:val="-6"/>
        </w:rPr>
        <w:t> </w:t>
      </w:r>
      <w:r>
        <w:rPr/>
        <w:t>2.82-4.44</w:t>
      </w:r>
      <w:r>
        <w:rPr>
          <w:spacing w:val="-7"/>
        </w:rPr>
        <w:t> </w:t>
      </w:r>
      <w:r>
        <w:rPr/>
        <w:t>US$</w:t>
      </w:r>
      <w:r>
        <w:rPr>
          <w:spacing w:val="-6"/>
        </w:rPr>
        <w:t> </w:t>
      </w:r>
      <w:r>
        <w:rPr/>
        <w:t>GJ</w:t>
      </w:r>
      <w:r>
        <w:rPr>
          <w:position w:val="7"/>
          <w:sz w:val="11"/>
        </w:rPr>
        <w:t>-1</w:t>
      </w:r>
      <w:r>
        <w:rPr>
          <w:spacing w:val="16"/>
          <w:position w:val="7"/>
          <w:sz w:val="11"/>
        </w:rPr>
        <w:t> </w:t>
      </w:r>
      <w:r>
        <w:rPr/>
        <w:t>(LHV</w:t>
      </w:r>
      <w:r>
        <w:rPr>
          <w:spacing w:val="-9"/>
        </w:rPr>
        <w:t> </w:t>
      </w:r>
      <w:r>
        <w:rPr/>
        <w:t>basis) over the life of the plant, together with high capacity factors (65-95%) representing base load operation. These assumptions result in relatively low values of COE for both the reference plant</w:t>
      </w:r>
      <w:r>
        <w:rPr>
          <w:spacing w:val="-5"/>
        </w:rPr>
        <w:t> </w:t>
      </w:r>
      <w:r>
        <w:rPr/>
        <w:t>and</w:t>
      </w:r>
      <w:r>
        <w:rPr>
          <w:spacing w:val="-4"/>
        </w:rPr>
        <w:t> </w:t>
      </w:r>
      <w:r>
        <w:rPr/>
        <w:t>capture</w:t>
      </w:r>
      <w:r>
        <w:rPr>
          <w:spacing w:val="-4"/>
        </w:rPr>
        <w:t> </w:t>
      </w:r>
      <w:r>
        <w:rPr/>
        <w:t>plant.</w:t>
      </w:r>
      <w:r>
        <w:rPr>
          <w:spacing w:val="-4"/>
        </w:rPr>
        <w:t> </w:t>
      </w:r>
      <w:r>
        <w:rPr/>
        <w:t>Since</w:t>
      </w:r>
      <w:r>
        <w:rPr>
          <w:spacing w:val="-4"/>
        </w:rPr>
        <w:t> </w:t>
      </w:r>
      <w:r>
        <w:rPr/>
        <w:t>about</w:t>
      </w:r>
      <w:r>
        <w:rPr>
          <w:spacing w:val="-4"/>
        </w:rPr>
        <w:t> </w:t>
      </w:r>
      <w:r>
        <w:rPr/>
        <w:t>2002,</w:t>
      </w:r>
      <w:r>
        <w:rPr>
          <w:spacing w:val="-4"/>
        </w:rPr>
        <w:t> </w:t>
      </w:r>
      <w:r>
        <w:rPr/>
        <w:t>however,</w:t>
      </w:r>
      <w:r>
        <w:rPr>
          <w:spacing w:val="-5"/>
        </w:rPr>
        <w:t> </w:t>
      </w:r>
      <w:r>
        <w:rPr/>
        <w:t>natural</w:t>
      </w:r>
      <w:r>
        <w:rPr>
          <w:spacing w:val="-4"/>
        </w:rPr>
        <w:t> gas </w:t>
      </w:r>
      <w:r>
        <w:rPr/>
        <w:t>prices have increased significantly in many parts of the world, which has also affected the outlook for future prices. Based  on the assumptions of one recent study (IEA GHG, 2004), the COE</w:t>
      </w:r>
      <w:r>
        <w:rPr>
          <w:spacing w:val="27"/>
        </w:rPr>
        <w:t> </w:t>
      </w:r>
      <w:r>
        <w:rPr/>
        <w:t>for</w:t>
      </w:r>
      <w:r>
        <w:rPr>
          <w:spacing w:val="28"/>
        </w:rPr>
        <w:t> </w:t>
      </w:r>
      <w:r>
        <w:rPr/>
        <w:t>an</w:t>
      </w:r>
      <w:r>
        <w:rPr>
          <w:spacing w:val="27"/>
        </w:rPr>
        <w:t> </w:t>
      </w:r>
      <w:r>
        <w:rPr/>
        <w:t>NGCC</w:t>
      </w:r>
      <w:r>
        <w:rPr>
          <w:spacing w:val="27"/>
        </w:rPr>
        <w:t> </w:t>
      </w:r>
      <w:r>
        <w:rPr/>
        <w:t>plant</w:t>
      </w:r>
      <w:r>
        <w:rPr>
          <w:spacing w:val="26"/>
        </w:rPr>
        <w:t> </w:t>
      </w:r>
      <w:r>
        <w:rPr/>
        <w:t>without</w:t>
      </w:r>
      <w:r>
        <w:rPr>
          <w:spacing w:val="27"/>
        </w:rPr>
        <w:t> </w:t>
      </w:r>
      <w:r>
        <w:rPr/>
        <w:t>capture</w:t>
      </w:r>
      <w:r>
        <w:rPr>
          <w:spacing w:val="26"/>
        </w:rPr>
        <w:t> </w:t>
      </w:r>
      <w:r>
        <w:rPr/>
        <w:t>would</w:t>
      </w:r>
      <w:r>
        <w:rPr>
          <w:spacing w:val="27"/>
        </w:rPr>
        <w:t> </w:t>
      </w:r>
      <w:r>
        <w:rPr/>
        <w:t>increase</w:t>
      </w:r>
      <w:r>
        <w:rPr>
          <w:spacing w:val="27"/>
        </w:rPr>
        <w:t> </w:t>
      </w:r>
      <w:r>
        <w:rPr/>
        <w:t>by</w:t>
      </w:r>
    </w:p>
    <w:p>
      <w:pPr>
        <w:pStyle w:val="BodyText"/>
        <w:spacing w:line="249" w:lineRule="auto" w:before="8"/>
        <w:ind w:left="113" w:right="38"/>
        <w:jc w:val="both"/>
      </w:pPr>
      <w:r>
        <w:rPr/>
        <w:t>6.8 US$ MWh</w:t>
      </w:r>
      <w:r>
        <w:rPr>
          <w:position w:val="7"/>
          <w:sz w:val="11"/>
        </w:rPr>
        <w:t>-1 </w:t>
      </w:r>
      <w:r>
        <w:rPr/>
        <w:t>for each 1.00 US$ GJ</w:t>
      </w:r>
      <w:r>
        <w:rPr>
          <w:position w:val="7"/>
          <w:sz w:val="11"/>
        </w:rPr>
        <w:t>-1 </w:t>
      </w:r>
      <w:r>
        <w:rPr/>
        <w:t>increase in natural gas price (assuming no change in plant utilization or other factors of production). An NGCC plant with CCS would see a slightly higher increase of 7.3 US$ MWh</w:t>
      </w:r>
      <w:r>
        <w:rPr>
          <w:position w:val="7"/>
          <w:sz w:val="11"/>
        </w:rPr>
        <w:t>-1</w:t>
      </w:r>
      <w:r>
        <w:rPr/>
        <w:t>. The price of natural gas, and its relation to the price of competing fuels like coal, </w:t>
      </w:r>
      <w:r>
        <w:rPr>
          <w:spacing w:val="-6"/>
        </w:rPr>
        <w:t>is     </w:t>
      </w:r>
      <w:r>
        <w:rPr/>
        <w:t>an important determinant of which type of power plant will provide the lowest cost electricity in the context of a particular situation.</w:t>
      </w:r>
      <w:r>
        <w:rPr>
          <w:spacing w:val="-11"/>
        </w:rPr>
        <w:t> </w:t>
      </w:r>
      <w:r>
        <w:rPr/>
        <w:t>However,</w:t>
      </w:r>
      <w:r>
        <w:rPr>
          <w:spacing w:val="-11"/>
        </w:rPr>
        <w:t> </w:t>
      </w:r>
      <w:r>
        <w:rPr/>
        <w:t>across</w:t>
      </w:r>
      <w:r>
        <w:rPr>
          <w:spacing w:val="-10"/>
        </w:rPr>
        <w:t> </w:t>
      </w:r>
      <w:r>
        <w:rPr/>
        <w:t>a</w:t>
      </w:r>
      <w:r>
        <w:rPr>
          <w:spacing w:val="-11"/>
        </w:rPr>
        <w:t> </w:t>
      </w:r>
      <w:r>
        <w:rPr/>
        <w:t>twofold</w:t>
      </w:r>
      <w:r>
        <w:rPr>
          <w:spacing w:val="-11"/>
        </w:rPr>
        <w:t> </w:t>
      </w:r>
      <w:r>
        <w:rPr/>
        <w:t>increase</w:t>
      </w:r>
      <w:r>
        <w:rPr>
          <w:spacing w:val="-10"/>
        </w:rPr>
        <w:t> </w:t>
      </w:r>
      <w:r>
        <w:rPr/>
        <w:t>in</w:t>
      </w:r>
      <w:r>
        <w:rPr>
          <w:spacing w:val="-11"/>
        </w:rPr>
        <w:t> </w:t>
      </w:r>
      <w:r>
        <w:rPr/>
        <w:t>gas</w:t>
      </w:r>
      <w:r>
        <w:rPr>
          <w:spacing w:val="-11"/>
        </w:rPr>
        <w:t> </w:t>
      </w:r>
      <w:r>
        <w:rPr/>
        <w:t>price</w:t>
      </w:r>
      <w:r>
        <w:rPr>
          <w:spacing w:val="-10"/>
        </w:rPr>
        <w:t> </w:t>
      </w:r>
      <w:r>
        <w:rPr/>
        <w:t>(from</w:t>
      </w:r>
    </w:p>
    <w:p>
      <w:pPr>
        <w:pStyle w:val="BodyText"/>
        <w:spacing w:line="193" w:lineRule="exact"/>
        <w:ind w:left="398"/>
        <w:jc w:val="both"/>
      </w:pPr>
      <w:r>
        <w:rPr/>
        <w:br w:type="column"/>
      </w:r>
      <w:r>
        <w:rPr/>
        <w:t>The</w:t>
      </w:r>
      <w:r>
        <w:rPr>
          <w:spacing w:val="-26"/>
        </w:rPr>
        <w:t> </w:t>
      </w:r>
      <w:r>
        <w:rPr/>
        <w:t>most</w:t>
      </w:r>
      <w:r>
        <w:rPr>
          <w:spacing w:val="-26"/>
        </w:rPr>
        <w:t> </w:t>
      </w:r>
      <w:r>
        <w:rPr/>
        <w:t>important</w:t>
      </w:r>
      <w:r>
        <w:rPr>
          <w:spacing w:val="-26"/>
        </w:rPr>
        <w:t> </w:t>
      </w:r>
      <w:r>
        <w:rPr/>
        <w:t>factor</w:t>
      </w:r>
      <w:r>
        <w:rPr>
          <w:spacing w:val="-26"/>
        </w:rPr>
        <w:t> </w:t>
      </w:r>
      <w:r>
        <w:rPr/>
        <w:t>affecting</w:t>
      </w:r>
      <w:r>
        <w:rPr>
          <w:spacing w:val="-26"/>
        </w:rPr>
        <w:t> </w:t>
      </w:r>
      <w:r>
        <w:rPr/>
        <w:t>the</w:t>
      </w:r>
      <w:r>
        <w:rPr>
          <w:spacing w:val="-26"/>
        </w:rPr>
        <w:t> </w:t>
      </w:r>
      <w:r>
        <w:rPr/>
        <w:t>economics</w:t>
      </w:r>
      <w:r>
        <w:rPr>
          <w:spacing w:val="-26"/>
        </w:rPr>
        <w:t> </w:t>
      </w:r>
      <w:r>
        <w:rPr/>
        <w:t>of</w:t>
      </w:r>
      <w:r>
        <w:rPr>
          <w:spacing w:val="-26"/>
        </w:rPr>
        <w:t> </w:t>
      </w:r>
      <w:r>
        <w:rPr/>
        <w:t>biomass</w:t>
      </w:r>
    </w:p>
    <w:p>
      <w:pPr>
        <w:pStyle w:val="BodyText"/>
        <w:spacing w:line="240" w:lineRule="exact" w:before="4"/>
        <w:ind w:left="113" w:right="113"/>
        <w:jc w:val="both"/>
      </w:pPr>
      <w:r>
        <w:rPr/>
        <w:t>use is the cost of the biomass. This can range from a negative value,</w:t>
      </w:r>
      <w:r>
        <w:rPr>
          <w:spacing w:val="-28"/>
        </w:rPr>
        <w:t> </w:t>
      </w:r>
      <w:r>
        <w:rPr/>
        <w:t>as</w:t>
      </w:r>
      <w:r>
        <w:rPr>
          <w:spacing w:val="-28"/>
        </w:rPr>
        <w:t> </w:t>
      </w:r>
      <w:r>
        <w:rPr/>
        <w:t>in</w:t>
      </w:r>
      <w:r>
        <w:rPr>
          <w:spacing w:val="-27"/>
        </w:rPr>
        <w:t> </w:t>
      </w:r>
      <w:r>
        <w:rPr/>
        <w:t>the</w:t>
      </w:r>
      <w:r>
        <w:rPr>
          <w:spacing w:val="-28"/>
        </w:rPr>
        <w:t> </w:t>
      </w:r>
      <w:r>
        <w:rPr/>
        <w:t>case</w:t>
      </w:r>
      <w:r>
        <w:rPr>
          <w:spacing w:val="-28"/>
        </w:rPr>
        <w:t> </w:t>
      </w:r>
      <w:r>
        <w:rPr/>
        <w:t>of</w:t>
      </w:r>
      <w:r>
        <w:rPr>
          <w:spacing w:val="-27"/>
        </w:rPr>
        <w:t> </w:t>
      </w:r>
      <w:r>
        <w:rPr/>
        <w:t>some</w:t>
      </w:r>
      <w:r>
        <w:rPr>
          <w:spacing w:val="-28"/>
        </w:rPr>
        <w:t> </w:t>
      </w:r>
      <w:r>
        <w:rPr/>
        <w:t>biomass</w:t>
      </w:r>
      <w:r>
        <w:rPr>
          <w:spacing w:val="-28"/>
        </w:rPr>
        <w:t> </w:t>
      </w:r>
      <w:r>
        <w:rPr/>
        <w:t>wastes,</w:t>
      </w:r>
      <w:r>
        <w:rPr>
          <w:spacing w:val="-27"/>
        </w:rPr>
        <w:t> </w:t>
      </w:r>
      <w:r>
        <w:rPr/>
        <w:t>to</w:t>
      </w:r>
      <w:r>
        <w:rPr>
          <w:spacing w:val="-28"/>
        </w:rPr>
        <w:t> </w:t>
      </w:r>
      <w:r>
        <w:rPr/>
        <w:t>costs</w:t>
      </w:r>
      <w:r>
        <w:rPr>
          <w:spacing w:val="-28"/>
        </w:rPr>
        <w:t> </w:t>
      </w:r>
      <w:r>
        <w:rPr/>
        <w:t>substantially higher</w:t>
      </w:r>
      <w:r>
        <w:rPr>
          <w:spacing w:val="-23"/>
        </w:rPr>
        <w:t> </w:t>
      </w:r>
      <w:r>
        <w:rPr/>
        <w:t>than</w:t>
      </w:r>
      <w:r>
        <w:rPr>
          <w:spacing w:val="-23"/>
        </w:rPr>
        <w:t> </w:t>
      </w:r>
      <w:r>
        <w:rPr/>
        <w:t>coal,</w:t>
      </w:r>
      <w:r>
        <w:rPr>
          <w:spacing w:val="-22"/>
        </w:rPr>
        <w:t> </w:t>
      </w:r>
      <w:r>
        <w:rPr/>
        <w:t>as</w:t>
      </w:r>
      <w:r>
        <w:rPr>
          <w:spacing w:val="-23"/>
        </w:rPr>
        <w:t> </w:t>
      </w:r>
      <w:r>
        <w:rPr/>
        <w:t>in</w:t>
      </w:r>
      <w:r>
        <w:rPr>
          <w:spacing w:val="-22"/>
        </w:rPr>
        <w:t> </w:t>
      </w:r>
      <w:r>
        <w:rPr/>
        <w:t>the</w:t>
      </w:r>
      <w:r>
        <w:rPr>
          <w:spacing w:val="-23"/>
        </w:rPr>
        <w:t> </w:t>
      </w:r>
      <w:r>
        <w:rPr/>
        <w:t>case</w:t>
      </w:r>
      <w:r>
        <w:rPr>
          <w:spacing w:val="-22"/>
        </w:rPr>
        <w:t> </w:t>
      </w:r>
      <w:r>
        <w:rPr/>
        <w:t>of</w:t>
      </w:r>
      <w:r>
        <w:rPr>
          <w:spacing w:val="-23"/>
        </w:rPr>
        <w:t> </w:t>
      </w:r>
      <w:r>
        <w:rPr/>
        <w:t>some</w:t>
      </w:r>
      <w:r>
        <w:rPr>
          <w:spacing w:val="-23"/>
        </w:rPr>
        <w:t> </w:t>
      </w:r>
      <w:r>
        <w:rPr/>
        <w:t>purposely-grown</w:t>
      </w:r>
      <w:r>
        <w:rPr>
          <w:spacing w:val="-22"/>
        </w:rPr>
        <w:t> </w:t>
      </w:r>
      <w:r>
        <w:rPr/>
        <w:t>biomass fuels, or wastes that have to be collected from diffuse sources. Power plants that use only biomass are typically smaller than coal-fired plants because local availability of biomass is often limited and biomass is more bulky and hence more </w:t>
      </w:r>
      <w:r>
        <w:rPr>
          <w:spacing w:val="-3"/>
        </w:rPr>
        <w:t>expensive </w:t>
      </w:r>
      <w:r>
        <w:rPr/>
        <w:t>to</w:t>
      </w:r>
      <w:r>
        <w:rPr>
          <w:spacing w:val="-5"/>
        </w:rPr>
        <w:t> </w:t>
      </w:r>
      <w:r>
        <w:rPr/>
        <w:t>transport</w:t>
      </w:r>
      <w:r>
        <w:rPr>
          <w:spacing w:val="-5"/>
        </w:rPr>
        <w:t> </w:t>
      </w:r>
      <w:r>
        <w:rPr/>
        <w:t>than</w:t>
      </w:r>
      <w:r>
        <w:rPr>
          <w:spacing w:val="-4"/>
        </w:rPr>
        <w:t> </w:t>
      </w:r>
      <w:r>
        <w:rPr/>
        <w:t>coal.</w:t>
      </w:r>
      <w:r>
        <w:rPr>
          <w:spacing w:val="-8"/>
        </w:rPr>
        <w:t> </w:t>
      </w:r>
      <w:r>
        <w:rPr/>
        <w:t>The</w:t>
      </w:r>
      <w:r>
        <w:rPr>
          <w:spacing w:val="-4"/>
        </w:rPr>
        <w:t> </w:t>
      </w:r>
      <w:r>
        <w:rPr/>
        <w:t>smaller</w:t>
      </w:r>
      <w:r>
        <w:rPr>
          <w:spacing w:val="-5"/>
        </w:rPr>
        <w:t> </w:t>
      </w:r>
      <w:r>
        <w:rPr/>
        <w:t>sizes</w:t>
      </w:r>
      <w:r>
        <w:rPr>
          <w:spacing w:val="-5"/>
        </w:rPr>
        <w:t> </w:t>
      </w:r>
      <w:r>
        <w:rPr/>
        <w:t>of</w:t>
      </w:r>
      <w:r>
        <w:rPr>
          <w:spacing w:val="-4"/>
        </w:rPr>
        <w:t> </w:t>
      </w:r>
      <w:r>
        <w:rPr/>
        <w:t>biomass-fired</w:t>
      </w:r>
      <w:r>
        <w:rPr>
          <w:spacing w:val="-5"/>
        </w:rPr>
        <w:t> </w:t>
      </w:r>
      <w:r>
        <w:rPr/>
        <w:t>plants would normally result in lower energy efficiencies and higher costs of CO</w:t>
      </w:r>
      <w:r>
        <w:rPr>
          <w:position w:val="-6"/>
          <w:sz w:val="11"/>
        </w:rPr>
        <w:t>2 </w:t>
      </w:r>
      <w:r>
        <w:rPr/>
        <w:t>capture. Biomass can be co-fired with coal in larger plants (Robinson </w:t>
      </w:r>
      <w:r>
        <w:rPr>
          <w:i/>
        </w:rPr>
        <w:t>et al.</w:t>
      </w:r>
      <w:r>
        <w:rPr/>
        <w:t>, 2003). In such circumstances</w:t>
      </w:r>
      <w:r>
        <w:rPr>
          <w:spacing w:val="-17"/>
        </w:rPr>
        <w:t> </w:t>
      </w:r>
      <w:r>
        <w:rPr/>
        <w:t>the incremental costs of capturing biomass-derived CO</w:t>
      </w:r>
      <w:r>
        <w:rPr>
          <w:position w:val="-6"/>
          <w:sz w:val="11"/>
        </w:rPr>
        <w:t>2 </w:t>
      </w:r>
      <w:r>
        <w:rPr/>
        <w:t>should be similar</w:t>
      </w:r>
      <w:r>
        <w:rPr>
          <w:spacing w:val="-14"/>
        </w:rPr>
        <w:t> </w:t>
      </w:r>
      <w:r>
        <w:rPr/>
        <w:t>to</w:t>
      </w:r>
      <w:r>
        <w:rPr>
          <w:spacing w:val="-13"/>
        </w:rPr>
        <w:t> </w:t>
      </w:r>
      <w:r>
        <w:rPr/>
        <w:t>costs</w:t>
      </w:r>
      <w:r>
        <w:rPr>
          <w:spacing w:val="-13"/>
        </w:rPr>
        <w:t> </w:t>
      </w:r>
      <w:r>
        <w:rPr/>
        <w:t>of</w:t>
      </w:r>
      <w:r>
        <w:rPr>
          <w:spacing w:val="-13"/>
        </w:rPr>
        <w:t> </w:t>
      </w:r>
      <w:r>
        <w:rPr/>
        <w:t>capturing</w:t>
      </w:r>
      <w:r>
        <w:rPr>
          <w:spacing w:val="-13"/>
        </w:rPr>
        <w:t> </w:t>
      </w:r>
      <w:r>
        <w:rPr/>
        <w:t>coal-derived</w:t>
      </w:r>
      <w:r>
        <w:rPr>
          <w:spacing w:val="-14"/>
        </w:rPr>
        <w:t> </w:t>
      </w:r>
      <w:r>
        <w:rPr/>
        <w:t>CO</w:t>
      </w:r>
      <w:r>
        <w:rPr>
          <w:position w:val="-6"/>
          <w:sz w:val="11"/>
        </w:rPr>
        <w:t>2</w:t>
      </w:r>
      <w:r>
        <w:rPr/>
        <w:t>.</w:t>
      </w:r>
      <w:r>
        <w:rPr>
          <w:spacing w:val="-22"/>
        </w:rPr>
        <w:t> </w:t>
      </w:r>
      <w:r>
        <w:rPr/>
        <w:t>Another</w:t>
      </w:r>
      <w:r>
        <w:rPr>
          <w:spacing w:val="-14"/>
        </w:rPr>
        <w:t> </w:t>
      </w:r>
      <w:r>
        <w:rPr/>
        <w:t>option</w:t>
      </w:r>
      <w:r>
        <w:rPr>
          <w:spacing w:val="-13"/>
        </w:rPr>
        <w:t> </w:t>
      </w:r>
      <w:r>
        <w:rPr/>
        <w:t>is to convert biomass into pellets or refined liquid fuels to reduce the</w:t>
      </w:r>
      <w:r>
        <w:rPr>
          <w:spacing w:val="-18"/>
        </w:rPr>
        <w:t> </w:t>
      </w:r>
      <w:r>
        <w:rPr/>
        <w:t>cost</w:t>
      </w:r>
      <w:r>
        <w:rPr>
          <w:spacing w:val="-17"/>
        </w:rPr>
        <w:t> </w:t>
      </w:r>
      <w:r>
        <w:rPr/>
        <w:t>of</w:t>
      </w:r>
      <w:r>
        <w:rPr>
          <w:spacing w:val="-18"/>
        </w:rPr>
        <w:t> </w:t>
      </w:r>
      <w:r>
        <w:rPr/>
        <w:t>transporting</w:t>
      </w:r>
      <w:r>
        <w:rPr>
          <w:spacing w:val="-17"/>
        </w:rPr>
        <w:t> </w:t>
      </w:r>
      <w:r>
        <w:rPr/>
        <w:t>it</w:t>
      </w:r>
      <w:r>
        <w:rPr>
          <w:spacing w:val="-18"/>
        </w:rPr>
        <w:t> </w:t>
      </w:r>
      <w:r>
        <w:rPr/>
        <w:t>over</w:t>
      </w:r>
      <w:r>
        <w:rPr>
          <w:spacing w:val="-17"/>
        </w:rPr>
        <w:t> </w:t>
      </w:r>
      <w:r>
        <w:rPr/>
        <w:t>long</w:t>
      </w:r>
      <w:r>
        <w:rPr>
          <w:spacing w:val="-18"/>
        </w:rPr>
        <w:t> </w:t>
      </w:r>
      <w:r>
        <w:rPr/>
        <w:t>distances.</w:t>
      </w:r>
      <w:r>
        <w:rPr>
          <w:spacing w:val="-17"/>
        </w:rPr>
        <w:t> </w:t>
      </w:r>
      <w:r>
        <w:rPr>
          <w:spacing w:val="-3"/>
        </w:rPr>
        <w:t>However,</w:t>
      </w:r>
      <w:r>
        <w:rPr>
          <w:spacing w:val="-17"/>
        </w:rPr>
        <w:t> </w:t>
      </w:r>
      <w:r>
        <w:rPr/>
        <w:t>there</w:t>
      </w:r>
      <w:r>
        <w:rPr>
          <w:spacing w:val="-18"/>
        </w:rPr>
        <w:t> </w:t>
      </w:r>
      <w:r>
        <w:rPr/>
        <w:t>are costs and emissions associated with production of these</w:t>
      </w:r>
      <w:r>
        <w:rPr>
          <w:spacing w:val="-30"/>
        </w:rPr>
        <w:t> </w:t>
      </w:r>
      <w:r>
        <w:rPr/>
        <w:t>refined fuels. Information on costs of CO</w:t>
      </w:r>
      <w:r>
        <w:rPr>
          <w:position w:val="-6"/>
          <w:sz w:val="11"/>
        </w:rPr>
        <w:t>2 </w:t>
      </w:r>
      <w:r>
        <w:rPr/>
        <w:t>capture at biomass-fired plants</w:t>
      </w:r>
      <w:r>
        <w:rPr>
          <w:spacing w:val="-13"/>
        </w:rPr>
        <w:t> </w:t>
      </w:r>
      <w:r>
        <w:rPr/>
        <w:t>is</w:t>
      </w:r>
      <w:r>
        <w:rPr>
          <w:spacing w:val="-13"/>
        </w:rPr>
        <w:t> </w:t>
      </w:r>
      <w:r>
        <w:rPr/>
        <w:t>sparse</w:t>
      </w:r>
      <w:r>
        <w:rPr>
          <w:spacing w:val="-13"/>
        </w:rPr>
        <w:t> </w:t>
      </w:r>
      <w:r>
        <w:rPr/>
        <w:t>but</w:t>
      </w:r>
      <w:r>
        <w:rPr>
          <w:spacing w:val="-13"/>
        </w:rPr>
        <w:t> </w:t>
      </w:r>
      <w:r>
        <w:rPr/>
        <w:t>some</w:t>
      </w:r>
      <w:r>
        <w:rPr>
          <w:spacing w:val="-12"/>
        </w:rPr>
        <w:t> </w:t>
      </w:r>
      <w:r>
        <w:rPr/>
        <w:t>information</w:t>
      </w:r>
      <w:r>
        <w:rPr>
          <w:spacing w:val="-13"/>
        </w:rPr>
        <w:t> </w:t>
      </w:r>
      <w:r>
        <w:rPr/>
        <w:t>is</w:t>
      </w:r>
      <w:r>
        <w:rPr>
          <w:spacing w:val="-13"/>
        </w:rPr>
        <w:t> </w:t>
      </w:r>
      <w:r>
        <w:rPr/>
        <w:t>given</w:t>
      </w:r>
      <w:r>
        <w:rPr>
          <w:spacing w:val="-13"/>
        </w:rPr>
        <w:t> </w:t>
      </w:r>
      <w:r>
        <w:rPr/>
        <w:t>in</w:t>
      </w:r>
      <w:r>
        <w:rPr>
          <w:spacing w:val="-12"/>
        </w:rPr>
        <w:t> </w:t>
      </w:r>
      <w:r>
        <w:rPr/>
        <w:t>Section</w:t>
      </w:r>
      <w:r>
        <w:rPr>
          <w:spacing w:val="-13"/>
        </w:rPr>
        <w:t> </w:t>
      </w:r>
      <w:r>
        <w:rPr/>
        <w:t>3.7.8.4. The overall economics of CCS with biomass combustion will depend very much on local circumstances, especially </w:t>
      </w:r>
      <w:r>
        <w:rPr>
          <w:spacing w:val="-3"/>
        </w:rPr>
        <w:t>biomass </w:t>
      </w:r>
      <w:r>
        <w:rPr/>
        <w:t>availability and cost and (as with fossil fuels) proximity to potential CO</w:t>
      </w:r>
      <w:r>
        <w:rPr>
          <w:position w:val="-6"/>
          <w:sz w:val="11"/>
        </w:rPr>
        <w:t>2 </w:t>
      </w:r>
      <w:r>
        <w:rPr/>
        <w:t>storage</w:t>
      </w:r>
      <w:r>
        <w:rPr>
          <w:spacing w:val="-13"/>
        </w:rPr>
        <w:t> </w:t>
      </w:r>
      <w:r>
        <w:rPr/>
        <w:t>sites.</w:t>
      </w:r>
    </w:p>
    <w:p>
      <w:pPr>
        <w:spacing w:after="0" w:line="240" w:lineRule="exact"/>
        <w:jc w:val="both"/>
        <w:sectPr>
          <w:type w:val="continuous"/>
          <w:pgSz w:w="12240" w:h="15840"/>
          <w:pgMar w:top="480" w:bottom="280" w:left="1020" w:right="620"/>
          <w:cols w:num="2" w:equalWidth="0">
            <w:col w:w="5199" w:space="127"/>
            <w:col w:w="5274"/>
          </w:cols>
        </w:sectPr>
      </w:pPr>
    </w:p>
    <w:p>
      <w:pPr>
        <w:pStyle w:val="BodyText"/>
        <w:spacing w:before="6"/>
        <w:ind w:left="113"/>
      </w:pPr>
      <w:r>
        <w:rPr/>
        <w:pict>
          <v:shape style="position:absolute;margin-left:225.434296pt;margin-top:8.585938pt;width:2.9pt;height:5.8pt;mso-position-horizontal-relative:page;mso-position-vertical-relative:paragraph;z-index:-272392192"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t>3-6 US$ GJ</w:t>
      </w:r>
      <w:r>
        <w:rPr>
          <w:position w:val="7"/>
          <w:sz w:val="11"/>
        </w:rPr>
        <w:t>-1</w:t>
      </w:r>
      <w:r>
        <w:rPr/>
        <w:t>), the incremental cost of CO capture changed by</w:t>
      </w:r>
    </w:p>
    <w:p>
      <w:pPr>
        <w:spacing w:after="0"/>
        <w:sectPr>
          <w:type w:val="continuous"/>
          <w:pgSz w:w="12240" w:h="15840"/>
          <w:pgMar w:top="480" w:bottom="280" w:left="1020" w:right="620"/>
        </w:sectPr>
      </w:pPr>
    </w:p>
    <w:p>
      <w:pPr>
        <w:pStyle w:val="BodyText"/>
        <w:spacing w:before="10"/>
        <w:ind w:left="113"/>
      </w:pPr>
      <w:r>
        <w:rPr/>
        <w:t>only 2 US$ MWh</w:t>
      </w:r>
      <w:r>
        <w:rPr>
          <w:position w:val="7"/>
          <w:sz w:val="11"/>
        </w:rPr>
        <w:t>-1 </w:t>
      </w:r>
      <w:r>
        <w:rPr/>
        <w:t>(US$ 0.002 kWh</w:t>
      </w:r>
      <w:r>
        <w:rPr>
          <w:position w:val="7"/>
          <w:sz w:val="11"/>
        </w:rPr>
        <w:t>-1</w:t>
      </w:r>
      <w:r>
        <w:rPr/>
        <w:t>) with all other factors</w:t>
      </w:r>
    </w:p>
    <w:p>
      <w:pPr>
        <w:pStyle w:val="Heading2"/>
        <w:numPr>
          <w:ilvl w:val="2"/>
          <w:numId w:val="29"/>
        </w:numPr>
        <w:tabs>
          <w:tab w:pos="933" w:val="left" w:leader="none"/>
          <w:tab w:pos="934" w:val="left" w:leader="none"/>
        </w:tabs>
        <w:spacing w:line="277" w:lineRule="exact" w:before="10" w:after="0"/>
        <w:ind w:left="933" w:right="0" w:hanging="821"/>
        <w:jc w:val="left"/>
        <w:rPr>
          <w:i/>
          <w:sz w:val="11"/>
        </w:rPr>
      </w:pPr>
      <w:r>
        <w:rPr>
          <w:i/>
        </w:rPr>
        <w:br w:type="column"/>
        <w:t>Pre-combustion</w:t>
      </w:r>
      <w:r>
        <w:rPr>
          <w:i/>
          <w:spacing w:val="5"/>
        </w:rPr>
        <w:t> </w:t>
      </w:r>
      <w:r>
        <w:rPr>
          <w:i/>
          <w:spacing w:val="-8"/>
        </w:rPr>
        <w:t>CO</w:t>
      </w:r>
      <w:r>
        <w:rPr>
          <w:i/>
          <w:spacing w:val="-8"/>
          <w:position w:val="-6"/>
          <w:sz w:val="11"/>
        </w:rPr>
        <w:t>2</w:t>
      </w:r>
    </w:p>
    <w:p>
      <w:pPr>
        <w:spacing w:before="10"/>
        <w:ind w:left="9" w:right="0" w:firstLine="0"/>
        <w:jc w:val="left"/>
        <w:rPr>
          <w:b/>
          <w:i/>
          <w:sz w:val="20"/>
        </w:rPr>
      </w:pPr>
      <w:r>
        <w:rPr/>
        <w:br w:type="column"/>
      </w:r>
      <w:r>
        <w:rPr>
          <w:b/>
          <w:i/>
          <w:sz w:val="20"/>
        </w:rPr>
        <w:t>capture cost for electric</w:t>
      </w:r>
    </w:p>
    <w:p>
      <w:pPr>
        <w:spacing w:after="0"/>
        <w:jc w:val="left"/>
        <w:rPr>
          <w:sz w:val="20"/>
        </w:rPr>
        <w:sectPr>
          <w:type w:val="continuous"/>
          <w:pgSz w:w="12240" w:h="15840"/>
          <w:pgMar w:top="480" w:bottom="280" w:left="1020" w:right="620"/>
          <w:cols w:num="3" w:equalWidth="0">
            <w:col w:w="5197" w:space="129"/>
            <w:col w:w="2631" w:space="40"/>
            <w:col w:w="2603"/>
          </w:cols>
        </w:sectPr>
      </w:pPr>
    </w:p>
    <w:p>
      <w:pPr>
        <w:pStyle w:val="BodyText"/>
        <w:spacing w:line="193" w:lineRule="exact"/>
        <w:ind w:left="113"/>
        <w:jc w:val="both"/>
      </w:pPr>
      <w:r>
        <w:rPr/>
        <w:t>held constant.</w:t>
      </w:r>
    </w:p>
    <w:p>
      <w:pPr>
        <w:pStyle w:val="BodyText"/>
        <w:spacing w:line="240" w:lineRule="exact" w:before="4"/>
        <w:ind w:left="113" w:right="38" w:firstLine="284"/>
        <w:jc w:val="both"/>
      </w:pPr>
      <w:r>
        <w:rPr/>
        <w:t>In</w:t>
      </w:r>
      <w:r>
        <w:rPr>
          <w:spacing w:val="-10"/>
        </w:rPr>
        <w:t> </w:t>
      </w:r>
      <w:r>
        <w:rPr/>
        <w:t>countries</w:t>
      </w:r>
      <w:r>
        <w:rPr>
          <w:spacing w:val="-9"/>
        </w:rPr>
        <w:t> </w:t>
      </w:r>
      <w:r>
        <w:rPr/>
        <w:t>like</w:t>
      </w:r>
      <w:r>
        <w:rPr>
          <w:spacing w:val="-10"/>
        </w:rPr>
        <w:t> </w:t>
      </w:r>
      <w:r>
        <w:rPr/>
        <w:t>the</w:t>
      </w:r>
      <w:r>
        <w:rPr>
          <w:spacing w:val="-9"/>
        </w:rPr>
        <w:t> </w:t>
      </w:r>
      <w:r>
        <w:rPr/>
        <w:t>US,</w:t>
      </w:r>
      <w:r>
        <w:rPr>
          <w:spacing w:val="-9"/>
        </w:rPr>
        <w:t> </w:t>
      </w:r>
      <w:r>
        <w:rPr/>
        <w:t>higher</w:t>
      </w:r>
      <w:r>
        <w:rPr>
          <w:spacing w:val="-10"/>
        </w:rPr>
        <w:t> </w:t>
      </w:r>
      <w:r>
        <w:rPr/>
        <w:t>gas</w:t>
      </w:r>
      <w:r>
        <w:rPr>
          <w:spacing w:val="-9"/>
        </w:rPr>
        <w:t> </w:t>
      </w:r>
      <w:r>
        <w:rPr/>
        <w:t>prices</w:t>
      </w:r>
      <w:r>
        <w:rPr>
          <w:spacing w:val="-10"/>
        </w:rPr>
        <w:t> </w:t>
      </w:r>
      <w:r>
        <w:rPr/>
        <w:t>have</w:t>
      </w:r>
      <w:r>
        <w:rPr>
          <w:spacing w:val="-9"/>
        </w:rPr>
        <w:t> </w:t>
      </w:r>
      <w:r>
        <w:rPr/>
        <w:t>also</w:t>
      </w:r>
      <w:r>
        <w:rPr>
          <w:spacing w:val="-9"/>
        </w:rPr>
        <w:t> </w:t>
      </w:r>
      <w:r>
        <w:rPr/>
        <w:t>resulted in</w:t>
      </w:r>
      <w:r>
        <w:rPr>
          <w:spacing w:val="-27"/>
        </w:rPr>
        <w:t> </w:t>
      </w:r>
      <w:r>
        <w:rPr/>
        <w:t>lower</w:t>
      </w:r>
      <w:r>
        <w:rPr>
          <w:spacing w:val="-27"/>
        </w:rPr>
        <w:t> </w:t>
      </w:r>
      <w:r>
        <w:rPr/>
        <w:t>utilization</w:t>
      </w:r>
      <w:r>
        <w:rPr>
          <w:spacing w:val="-27"/>
        </w:rPr>
        <w:t> </w:t>
      </w:r>
      <w:r>
        <w:rPr/>
        <w:t>rates</w:t>
      </w:r>
      <w:r>
        <w:rPr>
          <w:spacing w:val="-27"/>
        </w:rPr>
        <w:t> </w:t>
      </w:r>
      <w:r>
        <w:rPr/>
        <w:t>(averaging</w:t>
      </w:r>
      <w:r>
        <w:rPr>
          <w:spacing w:val="-27"/>
        </w:rPr>
        <w:t> </w:t>
      </w:r>
      <w:r>
        <w:rPr/>
        <w:t>30-50%)</w:t>
      </w:r>
      <w:r>
        <w:rPr>
          <w:spacing w:val="-27"/>
        </w:rPr>
        <w:t> </w:t>
      </w:r>
      <w:r>
        <w:rPr/>
        <w:t>for</w:t>
      </w:r>
      <w:r>
        <w:rPr>
          <w:spacing w:val="-26"/>
        </w:rPr>
        <w:t> </w:t>
      </w:r>
      <w:r>
        <w:rPr/>
        <w:t>plants</w:t>
      </w:r>
      <w:r>
        <w:rPr>
          <w:spacing w:val="-27"/>
        </w:rPr>
        <w:t> </w:t>
      </w:r>
      <w:r>
        <w:rPr/>
        <w:t>originally designed for base-load operation, but where lower-cost </w:t>
      </w:r>
      <w:r>
        <w:rPr>
          <w:spacing w:val="-3"/>
        </w:rPr>
        <w:t>coal </w:t>
      </w:r>
      <w:r>
        <w:rPr/>
        <w:t>plants are available for dispatch. This further raises the </w:t>
      </w:r>
      <w:r>
        <w:rPr>
          <w:spacing w:val="-3"/>
        </w:rPr>
        <w:t>average </w:t>
      </w:r>
      <w:r>
        <w:rPr/>
        <w:t>cost of electricity and CO</w:t>
      </w:r>
      <w:hyperlink w:history="true" w:anchor="_bookmark41">
        <w:r>
          <w:rPr>
            <w:position w:val="-6"/>
            <w:sz w:val="11"/>
          </w:rPr>
          <w:t>2</w:t>
        </w:r>
      </w:hyperlink>
      <w:r>
        <w:rPr>
          <w:position w:val="-6"/>
          <w:sz w:val="11"/>
        </w:rPr>
        <w:t> </w:t>
      </w:r>
      <w:r>
        <w:rPr/>
        <w:t>capture for those NGCC plants, as reflected</w:t>
      </w:r>
      <w:r>
        <w:rPr>
          <w:spacing w:val="-6"/>
        </w:rPr>
        <w:t> </w:t>
      </w:r>
      <w:r>
        <w:rPr/>
        <w:t>in</w:t>
      </w:r>
      <w:r>
        <w:rPr>
          <w:spacing w:val="-5"/>
        </w:rPr>
        <w:t> </w:t>
      </w:r>
      <w:r>
        <w:rPr/>
        <w:t>one</w:t>
      </w:r>
      <w:r>
        <w:rPr>
          <w:spacing w:val="-5"/>
        </w:rPr>
        <w:t> </w:t>
      </w:r>
      <w:r>
        <w:rPr/>
        <w:t>case</w:t>
      </w:r>
      <w:r>
        <w:rPr>
          <w:spacing w:val="-5"/>
        </w:rPr>
        <w:t> </w:t>
      </w:r>
      <w:r>
        <w:rPr/>
        <w:t>in</w:t>
      </w:r>
      <w:r>
        <w:rPr>
          <w:spacing w:val="-8"/>
        </w:rPr>
        <w:t> </w:t>
      </w:r>
      <w:hyperlink w:history="true" w:anchor="_bookmark41">
        <w:r>
          <w:rPr>
            <w:spacing w:val="-3"/>
          </w:rPr>
          <w:t>Table</w:t>
        </w:r>
        <w:r>
          <w:rPr>
            <w:spacing w:val="-5"/>
          </w:rPr>
          <w:t> </w:t>
        </w:r>
        <w:r>
          <w:rPr/>
          <w:t>3.9</w:t>
        </w:r>
        <w:r>
          <w:rPr>
            <w:spacing w:val="-5"/>
          </w:rPr>
          <w:t> </w:t>
        </w:r>
      </w:hyperlink>
      <w:r>
        <w:rPr/>
        <w:t>with</w:t>
      </w:r>
      <w:r>
        <w:rPr>
          <w:spacing w:val="-5"/>
        </w:rPr>
        <w:t> </w:t>
      </w:r>
      <w:r>
        <w:rPr/>
        <w:t>a</w:t>
      </w:r>
      <w:r>
        <w:rPr>
          <w:spacing w:val="-5"/>
        </w:rPr>
        <w:t> </w:t>
      </w:r>
      <w:r>
        <w:rPr/>
        <w:t>capacity</w:t>
      </w:r>
      <w:r>
        <w:rPr>
          <w:spacing w:val="-5"/>
        </w:rPr>
        <w:t> </w:t>
      </w:r>
      <w:r>
        <w:rPr/>
        <w:t>factor</w:t>
      </w:r>
      <w:r>
        <w:rPr>
          <w:spacing w:val="-5"/>
        </w:rPr>
        <w:t> </w:t>
      </w:r>
      <w:r>
        <w:rPr/>
        <w:t>of</w:t>
      </w:r>
      <w:r>
        <w:rPr>
          <w:spacing w:val="-5"/>
        </w:rPr>
        <w:t> </w:t>
      </w:r>
      <w:r>
        <w:rPr/>
        <w:t>50%. In</w:t>
      </w:r>
      <w:r>
        <w:rPr>
          <w:spacing w:val="-10"/>
        </w:rPr>
        <w:t> </w:t>
      </w:r>
      <w:r>
        <w:rPr/>
        <w:t>other</w:t>
      </w:r>
      <w:r>
        <w:rPr>
          <w:spacing w:val="-10"/>
        </w:rPr>
        <w:t> </w:t>
      </w:r>
      <w:r>
        <w:rPr/>
        <w:t>parts</w:t>
      </w:r>
      <w:r>
        <w:rPr>
          <w:spacing w:val="-9"/>
        </w:rPr>
        <w:t> </w:t>
      </w:r>
      <w:r>
        <w:rPr/>
        <w:t>of</w:t>
      </w:r>
      <w:r>
        <w:rPr>
          <w:spacing w:val="-10"/>
        </w:rPr>
        <w:t> </w:t>
      </w:r>
      <w:r>
        <w:rPr/>
        <w:t>the</w:t>
      </w:r>
      <w:r>
        <w:rPr>
          <w:spacing w:val="-10"/>
        </w:rPr>
        <w:t> </w:t>
      </w:r>
      <w:r>
        <w:rPr/>
        <w:t>world,</w:t>
      </w:r>
      <w:r>
        <w:rPr>
          <w:spacing w:val="-9"/>
        </w:rPr>
        <w:t> </w:t>
      </w:r>
      <w:r>
        <w:rPr/>
        <w:t>however,</w:t>
      </w:r>
      <w:r>
        <w:rPr>
          <w:spacing w:val="-10"/>
        </w:rPr>
        <w:t> </w:t>
      </w:r>
      <w:r>
        <w:rPr/>
        <w:t>lower-cost</w:t>
      </w:r>
      <w:r>
        <w:rPr>
          <w:spacing w:val="-10"/>
        </w:rPr>
        <w:t> </w:t>
      </w:r>
      <w:r>
        <w:rPr/>
        <w:t>coal</w:t>
      </w:r>
      <w:r>
        <w:rPr>
          <w:spacing w:val="-9"/>
        </w:rPr>
        <w:t> </w:t>
      </w:r>
      <w:r>
        <w:rPr/>
        <w:t>plants</w:t>
      </w:r>
      <w:r>
        <w:rPr>
          <w:spacing w:val="-10"/>
        </w:rPr>
        <w:t> </w:t>
      </w:r>
      <w:r>
        <w:rPr/>
        <w:t>may not be available, or gas supply contracts might limit the ability to curtail gas use. Such situations again illustrate that options for power generation with or without CO</w:t>
      </w:r>
      <w:r>
        <w:rPr>
          <w:position w:val="-6"/>
          <w:sz w:val="11"/>
        </w:rPr>
        <w:t>2 </w:t>
      </w:r>
      <w:r>
        <w:rPr/>
        <w:t>capture should be evaluated in the context of a particular situation or</w:t>
      </w:r>
      <w:r>
        <w:rPr>
          <w:spacing w:val="-12"/>
        </w:rPr>
        <w:t> </w:t>
      </w:r>
      <w:r>
        <w:rPr/>
        <w:t>scenario.</w:t>
      </w:r>
    </w:p>
    <w:p>
      <w:pPr>
        <w:pStyle w:val="BodyText"/>
        <w:spacing w:line="240" w:lineRule="exact"/>
        <w:ind w:left="113" w:right="38" w:firstLine="284"/>
        <w:jc w:val="both"/>
      </w:pPr>
      <w:r>
        <w:rPr/>
        <w:t>Studies of commercial post-combustion CO</w:t>
      </w:r>
      <w:r>
        <w:rPr>
          <w:position w:val="-6"/>
          <w:sz w:val="11"/>
        </w:rPr>
        <w:t>2 </w:t>
      </w:r>
      <w:r>
        <w:rPr/>
        <w:t>capture applied to simple-cycle gas turbines have been conducted for the special case of retrofitting an auxiliary power generator in a remote location </w:t>
      </w:r>
      <w:r>
        <w:rPr>
          <w:spacing w:val="-5"/>
        </w:rPr>
        <w:t>(CCP, </w:t>
      </w:r>
      <w:r>
        <w:rPr/>
        <w:t>2005). This study reported a relatively high cost of 88 US$/tCO</w:t>
      </w:r>
      <w:r>
        <w:rPr>
          <w:position w:val="-6"/>
          <w:sz w:val="11"/>
        </w:rPr>
        <w:t>2 </w:t>
      </w:r>
      <w:r>
        <w:rPr/>
        <w:t>avoided. Studies of post-combustion capture for gas-fired boilers have been limited to industrial applications, as discussed later in Section</w:t>
      </w:r>
      <w:r>
        <w:rPr>
          <w:spacing w:val="-3"/>
        </w:rPr>
        <w:t> </w:t>
      </w:r>
      <w:r>
        <w:rPr/>
        <w:t>3.7.8.</w:t>
      </w:r>
    </w:p>
    <w:p>
      <w:pPr>
        <w:pStyle w:val="BodyText"/>
        <w:spacing w:before="4"/>
        <w:rPr>
          <w:sz w:val="21"/>
        </w:rPr>
      </w:pPr>
    </w:p>
    <w:p>
      <w:pPr>
        <w:pStyle w:val="ListParagraph"/>
        <w:numPr>
          <w:ilvl w:val="3"/>
          <w:numId w:val="28"/>
        </w:numPr>
        <w:tabs>
          <w:tab w:pos="934" w:val="left" w:leader="none"/>
        </w:tabs>
        <w:spacing w:line="240" w:lineRule="auto" w:before="0" w:after="0"/>
        <w:ind w:left="933" w:right="0" w:hanging="821"/>
        <w:jc w:val="both"/>
        <w:rPr>
          <w:i/>
          <w:sz w:val="20"/>
        </w:rPr>
      </w:pPr>
      <w:r>
        <w:rPr>
          <w:i/>
          <w:sz w:val="20"/>
        </w:rPr>
        <w:t>Biomass-firing and co-firing</w:t>
      </w:r>
      <w:r>
        <w:rPr>
          <w:i/>
          <w:spacing w:val="-3"/>
          <w:sz w:val="20"/>
        </w:rPr>
        <w:t> </w:t>
      </w:r>
      <w:r>
        <w:rPr>
          <w:i/>
          <w:sz w:val="20"/>
        </w:rPr>
        <w:t>systems</w:t>
      </w:r>
    </w:p>
    <w:p>
      <w:pPr>
        <w:pStyle w:val="BodyText"/>
        <w:spacing w:line="240" w:lineRule="exact" w:before="5"/>
        <w:ind w:left="113" w:right="38"/>
        <w:jc w:val="both"/>
      </w:pPr>
      <w:r>
        <w:rPr/>
        <w:t>Power plants can be designed to be fuelled solely by biomass, or biomass can be co-fired in conventional coal-burning</w:t>
      </w:r>
      <w:r>
        <w:rPr>
          <w:spacing w:val="-32"/>
        </w:rPr>
        <w:t> </w:t>
      </w:r>
      <w:r>
        <w:rPr/>
        <w:t>plants. The requirement to reduce net CO</w:t>
      </w:r>
      <w:r>
        <w:rPr>
          <w:position w:val="-6"/>
          <w:sz w:val="11"/>
        </w:rPr>
        <w:t>2   </w:t>
      </w:r>
      <w:r>
        <w:rPr/>
        <w:t>emissions could lead </w:t>
      </w:r>
      <w:r>
        <w:rPr>
          <w:spacing w:val="-8"/>
        </w:rPr>
        <w:t>to    </w:t>
      </w:r>
      <w:r>
        <w:rPr/>
        <w:t>an increased use of biomass fuel, because plants that </w:t>
      </w:r>
      <w:r>
        <w:rPr>
          <w:spacing w:val="-3"/>
        </w:rPr>
        <w:t>utilize  </w:t>
      </w:r>
      <w:r>
        <w:rPr/>
        <w:t>biomass as a primary or supplemental fuel may be able to take credit</w:t>
      </w:r>
      <w:r>
        <w:rPr>
          <w:spacing w:val="10"/>
        </w:rPr>
        <w:t> </w:t>
      </w:r>
      <w:r>
        <w:rPr/>
        <w:t>for</w:t>
      </w:r>
      <w:r>
        <w:rPr>
          <w:spacing w:val="10"/>
        </w:rPr>
        <w:t> </w:t>
      </w:r>
      <w:r>
        <w:rPr/>
        <w:t>the</w:t>
      </w:r>
      <w:r>
        <w:rPr>
          <w:spacing w:val="10"/>
        </w:rPr>
        <w:t> </w:t>
      </w:r>
      <w:r>
        <w:rPr/>
        <w:t>carbon</w:t>
      </w:r>
      <w:r>
        <w:rPr>
          <w:spacing w:val="10"/>
        </w:rPr>
        <w:t> </w:t>
      </w:r>
      <w:r>
        <w:rPr/>
        <w:t>removed</w:t>
      </w:r>
      <w:r>
        <w:rPr>
          <w:spacing w:val="10"/>
        </w:rPr>
        <w:t> </w:t>
      </w:r>
      <w:r>
        <w:rPr/>
        <w:t>from</w:t>
      </w:r>
      <w:r>
        <w:rPr>
          <w:spacing w:val="10"/>
        </w:rPr>
        <w:t> </w:t>
      </w:r>
      <w:r>
        <w:rPr/>
        <w:t>the</w:t>
      </w:r>
      <w:r>
        <w:rPr>
          <w:spacing w:val="10"/>
        </w:rPr>
        <w:t> </w:t>
      </w:r>
      <w:r>
        <w:rPr/>
        <w:t>atmosphere</w:t>
      </w:r>
      <w:r>
        <w:rPr>
          <w:spacing w:val="10"/>
        </w:rPr>
        <w:t> </w:t>
      </w:r>
      <w:r>
        <w:rPr/>
        <w:t>during</w:t>
      </w:r>
      <w:r>
        <w:rPr>
          <w:spacing w:val="10"/>
        </w:rPr>
        <w:t> </w:t>
      </w:r>
      <w:r>
        <w:rPr>
          <w:spacing w:val="-4"/>
        </w:rPr>
        <w:t>the</w:t>
      </w:r>
    </w:p>
    <w:p>
      <w:pPr>
        <w:pStyle w:val="Heading2"/>
        <w:spacing w:line="193" w:lineRule="exact"/>
        <w:ind w:left="933" w:firstLine="0"/>
        <w:rPr>
          <w:i/>
        </w:rPr>
      </w:pPr>
      <w:r>
        <w:rPr>
          <w:b w:val="0"/>
          <w:i w:val="0"/>
        </w:rPr>
        <w:br w:type="column"/>
      </w:r>
      <w:r>
        <w:rPr>
          <w:i/>
        </w:rPr>
        <w:t>power plants (current technology)</w:t>
      </w:r>
    </w:p>
    <w:p>
      <w:pPr>
        <w:pStyle w:val="BodyText"/>
        <w:spacing w:before="3"/>
        <w:rPr>
          <w:b/>
          <w:i/>
          <w:sz w:val="21"/>
        </w:rPr>
      </w:pPr>
    </w:p>
    <w:p>
      <w:pPr>
        <w:pStyle w:val="BodyText"/>
        <w:spacing w:line="240" w:lineRule="exact"/>
        <w:ind w:left="113" w:right="113"/>
        <w:jc w:val="both"/>
      </w:pPr>
      <w:r>
        <w:rPr/>
        <w:t>Studies of pre-combustion capture for electric power plants have focused mainly on IGCC systems using coal or other solid fuels such as petroleum coke. This section of the report focuses on currently available technology for CO</w:t>
      </w:r>
      <w:r>
        <w:rPr>
          <w:position w:val="-6"/>
          <w:sz w:val="11"/>
        </w:rPr>
        <w:t>2 </w:t>
      </w:r>
      <w:r>
        <w:rPr/>
        <w:t>capture </w:t>
      </w:r>
      <w:r>
        <w:rPr>
          <w:spacing w:val="-6"/>
        </w:rPr>
        <w:t>at </w:t>
      </w:r>
      <w:r>
        <w:rPr/>
        <w:t>such plants. As before, the cost of CO</w:t>
      </w:r>
      <w:r>
        <w:rPr>
          <w:position w:val="-6"/>
          <w:sz w:val="11"/>
        </w:rPr>
        <w:t>2 </w:t>
      </w:r>
      <w:r>
        <w:rPr/>
        <w:t>capture depends not only on the choice of capture technology, but more</w:t>
      </w:r>
      <w:r>
        <w:rPr>
          <w:spacing w:val="-37"/>
        </w:rPr>
        <w:t> </w:t>
      </w:r>
      <w:r>
        <w:rPr/>
        <w:t>importantly on the characteristics and design of the overall power plant, including the fuel type and choice of gasifier. Because IGCC is not widely used for electric power generation at the present time, economic studies of IGCC power plants typically</w:t>
      </w:r>
      <w:r>
        <w:rPr>
          <w:spacing w:val="-30"/>
        </w:rPr>
        <w:t> </w:t>
      </w:r>
      <w:r>
        <w:rPr/>
        <w:t>employ design assumptions based on the limited utility experience with IGCC systems and the more extensive experience with gasification in industrial sectors such as petroleum refining</w:t>
      </w:r>
      <w:r>
        <w:rPr>
          <w:spacing w:val="-36"/>
        </w:rPr>
        <w:t> </w:t>
      </w:r>
      <w:r>
        <w:rPr/>
        <w:t>and petrochemicals.</w:t>
      </w:r>
      <w:r>
        <w:rPr>
          <w:spacing w:val="-8"/>
        </w:rPr>
        <w:t> </w:t>
      </w:r>
      <w:r>
        <w:rPr/>
        <w:t>For</w:t>
      </w:r>
      <w:r>
        <w:rPr>
          <w:spacing w:val="-8"/>
        </w:rPr>
        <w:t> </w:t>
      </w:r>
      <w:r>
        <w:rPr/>
        <w:t>oxygen-blown</w:t>
      </w:r>
      <w:r>
        <w:rPr>
          <w:spacing w:val="-8"/>
        </w:rPr>
        <w:t> </w:t>
      </w:r>
      <w:r>
        <w:rPr/>
        <w:t>gasifiers,</w:t>
      </w:r>
      <w:r>
        <w:rPr>
          <w:spacing w:val="-8"/>
        </w:rPr>
        <w:t> </w:t>
      </w:r>
      <w:r>
        <w:rPr/>
        <w:t>the</w:t>
      </w:r>
      <w:r>
        <w:rPr>
          <w:spacing w:val="-8"/>
        </w:rPr>
        <w:t> </w:t>
      </w:r>
      <w:r>
        <w:rPr/>
        <w:t>high</w:t>
      </w:r>
      <w:r>
        <w:rPr>
          <w:spacing w:val="-8"/>
        </w:rPr>
        <w:t> </w:t>
      </w:r>
      <w:r>
        <w:rPr/>
        <w:t>operating pressure and relatively high CO</w:t>
      </w:r>
      <w:r>
        <w:rPr>
          <w:position w:val="-6"/>
          <w:sz w:val="11"/>
        </w:rPr>
        <w:t>2 </w:t>
      </w:r>
      <w:r>
        <w:rPr/>
        <w:t>concentrations achievable </w:t>
      </w:r>
      <w:r>
        <w:rPr>
          <w:spacing w:val="-6"/>
        </w:rPr>
        <w:t>in </w:t>
      </w:r>
      <w:r>
        <w:rPr/>
        <w:t>IGCC systems makes physical solvent absorption systems the predominant technology of interest for pre-combustion </w:t>
      </w:r>
      <w:r>
        <w:rPr>
          <w:spacing w:val="-5"/>
        </w:rPr>
        <w:t>CO</w:t>
      </w:r>
      <w:r>
        <w:rPr>
          <w:spacing w:val="-5"/>
          <w:position w:val="-6"/>
          <w:sz w:val="11"/>
        </w:rPr>
        <w:t>2 </w:t>
      </w:r>
      <w:r>
        <w:rPr/>
        <w:t>capture (see Section 3.5.2.11). For purposes of cost reporting, we again distinguish between new plant designs and the retrofitting of existing</w:t>
      </w:r>
      <w:r>
        <w:rPr>
          <w:spacing w:val="-1"/>
        </w:rPr>
        <w:t> </w:t>
      </w:r>
      <w:r>
        <w:rPr/>
        <w:t>facilities.</w:t>
      </w:r>
    </w:p>
    <w:p>
      <w:pPr>
        <w:pStyle w:val="BodyText"/>
        <w:spacing w:before="10"/>
      </w:pPr>
    </w:p>
    <w:p>
      <w:pPr>
        <w:tabs>
          <w:tab w:pos="933" w:val="left" w:leader="none"/>
        </w:tabs>
        <w:spacing w:line="240" w:lineRule="exact" w:before="0"/>
        <w:ind w:left="113" w:right="111" w:firstLine="0"/>
        <w:jc w:val="left"/>
        <w:rPr>
          <w:sz w:val="20"/>
        </w:rPr>
      </w:pPr>
      <w:r>
        <w:rPr>
          <w:i/>
          <w:sz w:val="20"/>
        </w:rPr>
        <w:t>3.7.6.1</w:t>
        <w:tab/>
        <w:t>New coal gasification combined cycle power plants</w:t>
      </w:r>
      <w:hyperlink w:history="true" w:anchor="_bookmark44">
        <w:r>
          <w:rPr>
            <w:i/>
            <w:sz w:val="20"/>
          </w:rPr>
          <w:t> </w:t>
        </w:r>
        <w:r>
          <w:rPr>
            <w:spacing w:val="-3"/>
            <w:sz w:val="20"/>
          </w:rPr>
          <w:t>Table </w:t>
        </w:r>
        <w:r>
          <w:rPr>
            <w:sz w:val="20"/>
          </w:rPr>
          <w:t>3.10</w:t>
        </w:r>
      </w:hyperlink>
      <w:r>
        <w:rPr>
          <w:sz w:val="20"/>
        </w:rPr>
        <w:t> summarizes the key assumptions and results of several recent studies of CO</w:t>
      </w:r>
      <w:r>
        <w:rPr>
          <w:position w:val="-6"/>
          <w:sz w:val="11"/>
        </w:rPr>
        <w:t>2 </w:t>
      </w:r>
      <w:r>
        <w:rPr>
          <w:sz w:val="20"/>
        </w:rPr>
        <w:t>capture costs for new IGCC power plants ranging in size from approximately 400-800</w:t>
      </w:r>
      <w:r>
        <w:rPr>
          <w:spacing w:val="3"/>
          <w:sz w:val="20"/>
        </w:rPr>
        <w:t> </w:t>
      </w:r>
      <w:r>
        <w:rPr>
          <w:sz w:val="20"/>
        </w:rPr>
        <w:t>MW</w:t>
      </w:r>
    </w:p>
    <w:p>
      <w:pPr>
        <w:spacing w:after="0" w:line="240" w:lineRule="exact"/>
        <w:jc w:val="left"/>
        <w:rPr>
          <w:sz w:val="20"/>
        </w:rPr>
        <w:sectPr>
          <w:type w:val="continuous"/>
          <w:pgSz w:w="12240" w:h="15840"/>
          <w:pgMar w:top="480" w:bottom="280" w:left="1020" w:right="620"/>
          <w:cols w:num="2" w:equalWidth="0">
            <w:col w:w="5199" w:space="128"/>
            <w:col w:w="5273"/>
          </w:cols>
        </w:sectPr>
      </w:pPr>
    </w:p>
    <w:p>
      <w:pPr>
        <w:pStyle w:val="BodyText"/>
        <w:spacing w:before="1" w:after="1"/>
        <w:rPr>
          <w:sz w:val="21"/>
        </w:rPr>
      </w:pPr>
      <w:r>
        <w:rPr/>
        <w:pict>
          <v:shape style="position:absolute;margin-left:752.653625pt;margin-top:35.850399pt;width:12pt;height:17pt;mso-position-horizontal-relative:page;mso-position-vertical-relative:page;z-index:251739136" type="#_x0000_t202" filled="false" stroked="false">
            <v:textbox inset="0,0,0,0" style="layout-flow:vertical">
              <w:txbxContent>
                <w:p>
                  <w:pPr>
                    <w:spacing w:line="213" w:lineRule="exact" w:before="0"/>
                    <w:ind w:left="20" w:right="0" w:firstLine="0"/>
                    <w:jc w:val="left"/>
                    <w:rPr>
                      <w:b/>
                      <w:sz w:val="20"/>
                    </w:rPr>
                  </w:pPr>
                  <w:r>
                    <w:rPr>
                      <w:b/>
                      <w:sz w:val="20"/>
                    </w:rPr>
                    <w:t>156</w:t>
                  </w:r>
                </w:p>
              </w:txbxContent>
            </v:textbox>
            <w10:wrap type="none"/>
          </v:shape>
        </w:pict>
      </w:r>
      <w:r>
        <w:rPr/>
        <w:pict>
          <v:shape style="position:absolute;margin-left:752.653625pt;margin-top:306.362793pt;width:12pt;height:250pt;mso-position-horizontal-relative:page;mso-position-vertical-relative:page;z-index:251740160" type="#_x0000_t202" filled="false" stroked="false">
            <v:textbox inset="0,0,0,0" style="layout-flow:vertical">
              <w:txbxContent>
                <w:p>
                  <w:pPr>
                    <w:spacing w:line="213" w:lineRule="exact" w:before="0"/>
                    <w:ind w:left="20" w:right="0" w:firstLine="0"/>
                    <w:jc w:val="left"/>
                    <w:rPr>
                      <w:i/>
                      <w:sz w:val="20"/>
                    </w:rPr>
                  </w:pPr>
                  <w:r>
                    <w:rPr>
                      <w:i/>
                      <w:sz w:val="20"/>
                    </w:rPr>
                    <w:t>IPCC Special Report on Carbon dioxide Capture and Storage</w:t>
                  </w:r>
                </w:p>
              </w:txbxContent>
            </v:textbox>
            <w10:wrap type="none"/>
          </v:shape>
        </w:pict>
      </w:r>
    </w:p>
    <w:tbl>
      <w:tblPr>
        <w:tblW w:w="0" w:type="auto"/>
        <w:jc w:val="left"/>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3"/>
        <w:gridCol w:w="866"/>
        <w:gridCol w:w="758"/>
        <w:gridCol w:w="818"/>
        <w:gridCol w:w="866"/>
        <w:gridCol w:w="866"/>
        <w:gridCol w:w="978"/>
        <w:gridCol w:w="742"/>
        <w:gridCol w:w="866"/>
        <w:gridCol w:w="866"/>
        <w:gridCol w:w="794"/>
        <w:gridCol w:w="786"/>
        <w:gridCol w:w="503"/>
        <w:gridCol w:w="1070"/>
      </w:tblGrid>
      <w:tr>
        <w:trPr>
          <w:trHeight w:val="387" w:hRule="atLeast"/>
        </w:trPr>
        <w:tc>
          <w:tcPr>
            <w:tcW w:w="2783" w:type="dxa"/>
            <w:vMerge w:val="restart"/>
            <w:shd w:val="clear" w:color="auto" w:fill="E0EEE0"/>
          </w:tcPr>
          <w:p>
            <w:pPr>
              <w:pStyle w:val="TableParagraph"/>
              <w:spacing w:before="6"/>
              <w:jc w:val="left"/>
              <w:rPr>
                <w:sz w:val="18"/>
              </w:rPr>
            </w:pPr>
          </w:p>
          <w:p>
            <w:pPr>
              <w:pStyle w:val="TableParagraph"/>
              <w:ind w:left="20"/>
              <w:jc w:val="left"/>
              <w:rPr>
                <w:b/>
                <w:sz w:val="16"/>
              </w:rPr>
            </w:pPr>
            <w:r>
              <w:rPr>
                <w:b/>
                <w:sz w:val="16"/>
              </w:rPr>
              <w:t>Study Assumptions and Results</w:t>
            </w:r>
          </w:p>
        </w:tc>
        <w:tc>
          <w:tcPr>
            <w:tcW w:w="866" w:type="dxa"/>
            <w:shd w:val="clear" w:color="auto" w:fill="E0EEE0"/>
          </w:tcPr>
          <w:p>
            <w:pPr>
              <w:pStyle w:val="TableParagraph"/>
              <w:spacing w:before="8"/>
              <w:ind w:left="40" w:right="25"/>
              <w:rPr>
                <w:b/>
                <w:sz w:val="16"/>
              </w:rPr>
            </w:pPr>
            <w:r>
              <w:rPr>
                <w:b/>
                <w:spacing w:val="-1"/>
                <w:sz w:val="16"/>
              </w:rPr>
              <w:t>NE</w:t>
            </w:r>
            <w:r>
              <w:rPr>
                <w:b/>
                <w:w w:val="200"/>
                <w:sz w:val="16"/>
              </w:rPr>
              <w:t>t</w:t>
            </w:r>
            <w:r>
              <w:rPr>
                <w:b/>
                <w:sz w:val="16"/>
              </w:rPr>
              <w:t>L</w:t>
            </w:r>
          </w:p>
        </w:tc>
        <w:tc>
          <w:tcPr>
            <w:tcW w:w="758" w:type="dxa"/>
            <w:shd w:val="clear" w:color="auto" w:fill="E0EEE0"/>
          </w:tcPr>
          <w:p>
            <w:pPr>
              <w:pStyle w:val="TableParagraph"/>
              <w:spacing w:before="8"/>
              <w:ind w:left="31" w:right="15"/>
              <w:rPr>
                <w:b/>
                <w:sz w:val="16"/>
              </w:rPr>
            </w:pPr>
            <w:r>
              <w:rPr>
                <w:b/>
                <w:spacing w:val="-1"/>
                <w:sz w:val="16"/>
              </w:rPr>
              <w:t>NE</w:t>
            </w:r>
            <w:r>
              <w:rPr>
                <w:b/>
                <w:w w:val="200"/>
                <w:sz w:val="16"/>
              </w:rPr>
              <w:t>t</w:t>
            </w:r>
            <w:r>
              <w:rPr>
                <w:b/>
                <w:sz w:val="16"/>
              </w:rPr>
              <w:t>L</w:t>
            </w:r>
          </w:p>
        </w:tc>
        <w:tc>
          <w:tcPr>
            <w:tcW w:w="818" w:type="dxa"/>
            <w:shd w:val="clear" w:color="auto" w:fill="E0EEE0"/>
          </w:tcPr>
          <w:p>
            <w:pPr>
              <w:pStyle w:val="TableParagraph"/>
              <w:spacing w:before="8"/>
              <w:ind w:left="61" w:right="44"/>
              <w:rPr>
                <w:b/>
                <w:sz w:val="16"/>
              </w:rPr>
            </w:pPr>
            <w:r>
              <w:rPr>
                <w:b/>
                <w:spacing w:val="-1"/>
                <w:sz w:val="16"/>
              </w:rPr>
              <w:t>NE</w:t>
            </w:r>
            <w:r>
              <w:rPr>
                <w:b/>
                <w:w w:val="200"/>
                <w:sz w:val="16"/>
              </w:rPr>
              <w:t>t</w:t>
            </w:r>
            <w:r>
              <w:rPr>
                <w:b/>
                <w:sz w:val="16"/>
              </w:rPr>
              <w:t>L</w:t>
            </w:r>
          </w:p>
        </w:tc>
        <w:tc>
          <w:tcPr>
            <w:tcW w:w="866" w:type="dxa"/>
            <w:shd w:val="clear" w:color="auto" w:fill="E0EEE0"/>
          </w:tcPr>
          <w:p>
            <w:pPr>
              <w:pStyle w:val="TableParagraph"/>
              <w:spacing w:before="8"/>
              <w:ind w:left="36" w:right="26"/>
              <w:rPr>
                <w:b/>
                <w:sz w:val="16"/>
              </w:rPr>
            </w:pPr>
            <w:r>
              <w:rPr>
                <w:b/>
                <w:sz w:val="16"/>
              </w:rPr>
              <w:t>Parsons</w:t>
            </w:r>
          </w:p>
        </w:tc>
        <w:tc>
          <w:tcPr>
            <w:tcW w:w="866" w:type="dxa"/>
            <w:shd w:val="clear" w:color="auto" w:fill="E0EEE0"/>
          </w:tcPr>
          <w:p>
            <w:pPr>
              <w:pStyle w:val="TableParagraph"/>
              <w:spacing w:before="8"/>
              <w:ind w:left="36" w:right="26"/>
              <w:rPr>
                <w:b/>
                <w:sz w:val="16"/>
              </w:rPr>
            </w:pPr>
            <w:r>
              <w:rPr>
                <w:b/>
                <w:sz w:val="16"/>
              </w:rPr>
              <w:t>Simbeck</w:t>
            </w:r>
          </w:p>
        </w:tc>
        <w:tc>
          <w:tcPr>
            <w:tcW w:w="978" w:type="dxa"/>
            <w:shd w:val="clear" w:color="auto" w:fill="E0EEE0"/>
          </w:tcPr>
          <w:p>
            <w:pPr>
              <w:pStyle w:val="TableParagraph"/>
              <w:spacing w:before="8"/>
              <w:ind w:left="173" w:right="162"/>
              <w:rPr>
                <w:b/>
                <w:sz w:val="16"/>
              </w:rPr>
            </w:pPr>
            <w:r>
              <w:rPr>
                <w:b/>
                <w:sz w:val="16"/>
              </w:rPr>
              <w:t>Nsakala,</w:t>
            </w:r>
          </w:p>
          <w:p>
            <w:pPr>
              <w:pStyle w:val="TableParagraph"/>
              <w:spacing w:line="167" w:lineRule="exact" w:before="8"/>
              <w:ind w:left="173" w:right="162"/>
              <w:rPr>
                <w:b/>
                <w:i/>
                <w:sz w:val="16"/>
              </w:rPr>
            </w:pPr>
            <w:r>
              <w:rPr>
                <w:b/>
                <w:i/>
                <w:sz w:val="16"/>
              </w:rPr>
              <w:t>et al.</w:t>
            </w:r>
          </w:p>
        </w:tc>
        <w:tc>
          <w:tcPr>
            <w:tcW w:w="742" w:type="dxa"/>
            <w:shd w:val="clear" w:color="auto" w:fill="E0EEE0"/>
          </w:tcPr>
          <w:p>
            <w:pPr>
              <w:pStyle w:val="TableParagraph"/>
              <w:spacing w:before="8"/>
              <w:ind w:left="12"/>
              <w:rPr>
                <w:b/>
                <w:sz w:val="16"/>
              </w:rPr>
            </w:pPr>
            <w:r>
              <w:rPr>
                <w:b/>
                <w:w w:val="105"/>
                <w:sz w:val="16"/>
              </w:rPr>
              <w:t>iEA </w:t>
            </w:r>
            <w:bookmarkStart w:name="_bookmark43" w:id="92"/>
            <w:bookmarkEnd w:id="92"/>
            <w:r>
              <w:rPr>
                <w:b/>
                <w:w w:val="105"/>
                <w:sz w:val="16"/>
              </w:rPr>
              <w:t>GHG</w:t>
            </w:r>
          </w:p>
        </w:tc>
        <w:tc>
          <w:tcPr>
            <w:tcW w:w="866" w:type="dxa"/>
            <w:shd w:val="clear" w:color="auto" w:fill="E0EEE0"/>
          </w:tcPr>
          <w:p>
            <w:pPr>
              <w:pStyle w:val="TableParagraph"/>
              <w:spacing w:before="8"/>
              <w:ind w:right="72"/>
              <w:jc w:val="right"/>
              <w:rPr>
                <w:b/>
                <w:sz w:val="16"/>
              </w:rPr>
            </w:pPr>
            <w:r>
              <w:rPr>
                <w:b/>
                <w:w w:val="105"/>
                <w:sz w:val="16"/>
              </w:rPr>
              <w:t>iEA </w:t>
            </w:r>
            <w:bookmarkStart w:name="_bookmark44" w:id="93"/>
            <w:bookmarkEnd w:id="93"/>
            <w:r>
              <w:rPr>
                <w:b/>
                <w:w w:val="105"/>
                <w:sz w:val="16"/>
              </w:rPr>
              <w:t>GHG</w:t>
            </w:r>
          </w:p>
        </w:tc>
        <w:tc>
          <w:tcPr>
            <w:tcW w:w="866" w:type="dxa"/>
            <w:shd w:val="clear" w:color="auto" w:fill="E0EEE0"/>
          </w:tcPr>
          <w:p>
            <w:pPr>
              <w:pStyle w:val="TableParagraph"/>
              <w:spacing w:before="8"/>
              <w:ind w:left="40" w:right="26"/>
              <w:rPr>
                <w:b/>
                <w:sz w:val="16"/>
              </w:rPr>
            </w:pPr>
            <w:r>
              <w:rPr>
                <w:b/>
                <w:w w:val="110"/>
                <w:sz w:val="16"/>
              </w:rPr>
              <w:t>iEA GHG</w:t>
            </w:r>
          </w:p>
        </w:tc>
        <w:tc>
          <w:tcPr>
            <w:tcW w:w="794" w:type="dxa"/>
            <w:shd w:val="clear" w:color="auto" w:fill="E0EEE0"/>
          </w:tcPr>
          <w:p>
            <w:pPr>
              <w:pStyle w:val="TableParagraph"/>
              <w:spacing w:before="8"/>
              <w:ind w:left="186"/>
              <w:jc w:val="left"/>
              <w:rPr>
                <w:b/>
                <w:sz w:val="16"/>
              </w:rPr>
            </w:pPr>
            <w:r>
              <w:rPr>
                <w:b/>
                <w:sz w:val="16"/>
              </w:rPr>
              <w:t>Rubin</w:t>
            </w:r>
          </w:p>
          <w:p>
            <w:pPr>
              <w:pStyle w:val="TableParagraph"/>
              <w:spacing w:line="167" w:lineRule="exact" w:before="8"/>
              <w:ind w:left="237"/>
              <w:jc w:val="left"/>
              <w:rPr>
                <w:b/>
                <w:i/>
                <w:sz w:val="16"/>
              </w:rPr>
            </w:pPr>
            <w:r>
              <w:rPr>
                <w:b/>
                <w:i/>
                <w:sz w:val="16"/>
              </w:rPr>
              <w:t>et</w:t>
            </w:r>
            <w:r>
              <w:rPr>
                <w:b/>
                <w:i/>
                <w:spacing w:val="4"/>
                <w:sz w:val="16"/>
              </w:rPr>
              <w:t> </w:t>
            </w:r>
            <w:r>
              <w:rPr>
                <w:b/>
                <w:i/>
                <w:sz w:val="16"/>
              </w:rPr>
              <w:t>al.</w:t>
            </w:r>
          </w:p>
        </w:tc>
        <w:tc>
          <w:tcPr>
            <w:tcW w:w="786" w:type="dxa"/>
            <w:shd w:val="clear" w:color="auto" w:fill="E0EEE0"/>
          </w:tcPr>
          <w:p>
            <w:pPr>
              <w:pStyle w:val="TableParagraph"/>
              <w:spacing w:before="8"/>
              <w:ind w:left="182"/>
              <w:jc w:val="left"/>
              <w:rPr>
                <w:b/>
                <w:sz w:val="16"/>
              </w:rPr>
            </w:pPr>
            <w:r>
              <w:rPr>
                <w:b/>
                <w:sz w:val="16"/>
              </w:rPr>
              <w:t>Rubin</w:t>
            </w:r>
          </w:p>
          <w:p>
            <w:pPr>
              <w:pStyle w:val="TableParagraph"/>
              <w:spacing w:line="167" w:lineRule="exact" w:before="8"/>
              <w:ind w:left="234"/>
              <w:jc w:val="left"/>
              <w:rPr>
                <w:b/>
                <w:i/>
                <w:sz w:val="16"/>
              </w:rPr>
            </w:pPr>
            <w:r>
              <w:rPr>
                <w:b/>
                <w:i/>
                <w:sz w:val="16"/>
              </w:rPr>
              <w:t>et</w:t>
            </w:r>
            <w:r>
              <w:rPr>
                <w:b/>
                <w:i/>
                <w:spacing w:val="4"/>
                <w:sz w:val="16"/>
              </w:rPr>
              <w:t> </w:t>
            </w:r>
            <w:r>
              <w:rPr>
                <w:b/>
                <w:i/>
                <w:sz w:val="16"/>
              </w:rPr>
              <w:t>al.</w:t>
            </w:r>
          </w:p>
        </w:tc>
        <w:tc>
          <w:tcPr>
            <w:tcW w:w="1573" w:type="dxa"/>
            <w:gridSpan w:val="2"/>
            <w:shd w:val="clear" w:color="auto" w:fill="E0EEE0"/>
          </w:tcPr>
          <w:p>
            <w:pPr>
              <w:pStyle w:val="TableParagraph"/>
              <w:spacing w:before="8"/>
              <w:ind w:left="552" w:right="534"/>
              <w:rPr>
                <w:b/>
                <w:sz w:val="16"/>
              </w:rPr>
            </w:pPr>
            <w:r>
              <w:rPr>
                <w:b/>
                <w:sz w:val="16"/>
              </w:rPr>
              <w:t>Range</w:t>
            </w:r>
          </w:p>
        </w:tc>
      </w:tr>
      <w:tr>
        <w:trPr>
          <w:trHeight w:val="195" w:hRule="atLeast"/>
        </w:trPr>
        <w:tc>
          <w:tcPr>
            <w:tcW w:w="2783" w:type="dxa"/>
            <w:vMerge/>
            <w:tcBorders>
              <w:top w:val="nil"/>
            </w:tcBorders>
            <w:shd w:val="clear" w:color="auto" w:fill="E0EEE0"/>
          </w:tcPr>
          <w:p>
            <w:pPr>
              <w:rPr>
                <w:sz w:val="2"/>
                <w:szCs w:val="2"/>
              </w:rPr>
            </w:pPr>
          </w:p>
        </w:tc>
        <w:tc>
          <w:tcPr>
            <w:tcW w:w="866" w:type="dxa"/>
            <w:shd w:val="clear" w:color="auto" w:fill="E0EEE0"/>
          </w:tcPr>
          <w:p>
            <w:pPr>
              <w:pStyle w:val="TableParagraph"/>
              <w:spacing w:line="167" w:lineRule="exact" w:before="8"/>
              <w:ind w:left="33" w:right="26"/>
              <w:rPr>
                <w:b/>
                <w:sz w:val="16"/>
              </w:rPr>
            </w:pPr>
            <w:r>
              <w:rPr>
                <w:b/>
                <w:sz w:val="16"/>
              </w:rPr>
              <w:t>2002</w:t>
            </w:r>
          </w:p>
        </w:tc>
        <w:tc>
          <w:tcPr>
            <w:tcW w:w="758" w:type="dxa"/>
            <w:shd w:val="clear" w:color="auto" w:fill="E0EEE0"/>
          </w:tcPr>
          <w:p>
            <w:pPr>
              <w:pStyle w:val="TableParagraph"/>
              <w:spacing w:line="167" w:lineRule="exact" w:before="8"/>
              <w:ind w:left="31" w:right="23"/>
              <w:rPr>
                <w:b/>
                <w:sz w:val="16"/>
              </w:rPr>
            </w:pPr>
            <w:r>
              <w:rPr>
                <w:b/>
                <w:sz w:val="16"/>
              </w:rPr>
              <w:t>2002</w:t>
            </w:r>
          </w:p>
        </w:tc>
        <w:tc>
          <w:tcPr>
            <w:tcW w:w="818" w:type="dxa"/>
            <w:shd w:val="clear" w:color="auto" w:fill="E0EEE0"/>
          </w:tcPr>
          <w:p>
            <w:pPr>
              <w:pStyle w:val="TableParagraph"/>
              <w:spacing w:line="167" w:lineRule="exact" w:before="8"/>
              <w:ind w:left="61" w:right="52"/>
              <w:rPr>
                <w:b/>
                <w:sz w:val="16"/>
              </w:rPr>
            </w:pPr>
            <w:r>
              <w:rPr>
                <w:b/>
                <w:sz w:val="16"/>
              </w:rPr>
              <w:t>2002</w:t>
            </w:r>
          </w:p>
        </w:tc>
        <w:tc>
          <w:tcPr>
            <w:tcW w:w="866" w:type="dxa"/>
            <w:shd w:val="clear" w:color="auto" w:fill="E0EEE0"/>
          </w:tcPr>
          <w:p>
            <w:pPr>
              <w:pStyle w:val="TableParagraph"/>
              <w:spacing w:line="167" w:lineRule="exact" w:before="8"/>
              <w:ind w:left="36" w:right="26"/>
              <w:rPr>
                <w:b/>
                <w:sz w:val="16"/>
              </w:rPr>
            </w:pPr>
            <w:r>
              <w:rPr>
                <w:b/>
                <w:sz w:val="16"/>
              </w:rPr>
              <w:t>2002b</w:t>
            </w:r>
          </w:p>
        </w:tc>
        <w:tc>
          <w:tcPr>
            <w:tcW w:w="866" w:type="dxa"/>
            <w:shd w:val="clear" w:color="auto" w:fill="E0EEE0"/>
          </w:tcPr>
          <w:p>
            <w:pPr>
              <w:pStyle w:val="TableParagraph"/>
              <w:spacing w:line="167" w:lineRule="exact" w:before="8"/>
              <w:ind w:left="37" w:right="26"/>
              <w:rPr>
                <w:b/>
                <w:sz w:val="16"/>
              </w:rPr>
            </w:pPr>
            <w:r>
              <w:rPr>
                <w:b/>
                <w:sz w:val="16"/>
              </w:rPr>
              <w:t>2002</w:t>
            </w:r>
          </w:p>
        </w:tc>
        <w:tc>
          <w:tcPr>
            <w:tcW w:w="978" w:type="dxa"/>
            <w:shd w:val="clear" w:color="auto" w:fill="E0EEE0"/>
          </w:tcPr>
          <w:p>
            <w:pPr>
              <w:pStyle w:val="TableParagraph"/>
              <w:spacing w:line="167" w:lineRule="exact" w:before="8"/>
              <w:ind w:left="173" w:right="162"/>
              <w:rPr>
                <w:b/>
                <w:sz w:val="16"/>
              </w:rPr>
            </w:pPr>
            <w:r>
              <w:rPr>
                <w:b/>
                <w:sz w:val="16"/>
              </w:rPr>
              <w:t>2003</w:t>
            </w:r>
          </w:p>
        </w:tc>
        <w:tc>
          <w:tcPr>
            <w:tcW w:w="742" w:type="dxa"/>
            <w:shd w:val="clear" w:color="auto" w:fill="E0EEE0"/>
          </w:tcPr>
          <w:p>
            <w:pPr>
              <w:pStyle w:val="TableParagraph"/>
              <w:spacing w:line="167" w:lineRule="exact" w:before="8"/>
              <w:ind w:left="12"/>
              <w:rPr>
                <w:b/>
                <w:sz w:val="16"/>
              </w:rPr>
            </w:pPr>
            <w:r>
              <w:rPr>
                <w:b/>
                <w:sz w:val="16"/>
              </w:rPr>
              <w:t>2003</w:t>
            </w:r>
          </w:p>
        </w:tc>
        <w:tc>
          <w:tcPr>
            <w:tcW w:w="866" w:type="dxa"/>
            <w:shd w:val="clear" w:color="auto" w:fill="E0EEE0"/>
          </w:tcPr>
          <w:p>
            <w:pPr>
              <w:pStyle w:val="TableParagraph"/>
              <w:spacing w:line="167" w:lineRule="exact" w:before="8"/>
              <w:ind w:left="274"/>
              <w:jc w:val="left"/>
              <w:rPr>
                <w:b/>
                <w:sz w:val="16"/>
              </w:rPr>
            </w:pPr>
            <w:r>
              <w:rPr>
                <w:b/>
                <w:sz w:val="16"/>
              </w:rPr>
              <w:t>2003</w:t>
            </w:r>
          </w:p>
        </w:tc>
        <w:tc>
          <w:tcPr>
            <w:tcW w:w="866" w:type="dxa"/>
            <w:shd w:val="clear" w:color="auto" w:fill="E0EEE0"/>
          </w:tcPr>
          <w:p>
            <w:pPr>
              <w:pStyle w:val="TableParagraph"/>
              <w:spacing w:line="167" w:lineRule="exact" w:before="8"/>
              <w:ind w:left="40" w:right="26"/>
              <w:rPr>
                <w:b/>
                <w:sz w:val="16"/>
              </w:rPr>
            </w:pPr>
            <w:r>
              <w:rPr>
                <w:b/>
                <w:sz w:val="16"/>
              </w:rPr>
              <w:t>2003</w:t>
            </w:r>
          </w:p>
        </w:tc>
        <w:tc>
          <w:tcPr>
            <w:tcW w:w="794" w:type="dxa"/>
            <w:shd w:val="clear" w:color="auto" w:fill="E0EEE0"/>
          </w:tcPr>
          <w:p>
            <w:pPr>
              <w:pStyle w:val="TableParagraph"/>
              <w:spacing w:line="167" w:lineRule="exact" w:before="8"/>
              <w:ind w:left="21" w:right="6"/>
              <w:rPr>
                <w:b/>
                <w:sz w:val="16"/>
              </w:rPr>
            </w:pPr>
            <w:r>
              <w:rPr>
                <w:b/>
                <w:sz w:val="16"/>
              </w:rPr>
              <w:t>2005</w:t>
            </w:r>
          </w:p>
        </w:tc>
        <w:tc>
          <w:tcPr>
            <w:tcW w:w="786" w:type="dxa"/>
            <w:shd w:val="clear" w:color="auto" w:fill="E0EEE0"/>
          </w:tcPr>
          <w:p>
            <w:pPr>
              <w:pStyle w:val="TableParagraph"/>
              <w:spacing w:line="167" w:lineRule="exact" w:before="8"/>
              <w:ind w:left="18" w:right="2"/>
              <w:rPr>
                <w:b/>
                <w:sz w:val="16"/>
              </w:rPr>
            </w:pPr>
            <w:r>
              <w:rPr>
                <w:b/>
                <w:sz w:val="16"/>
              </w:rPr>
              <w:t>2005</w:t>
            </w:r>
          </w:p>
        </w:tc>
        <w:tc>
          <w:tcPr>
            <w:tcW w:w="503" w:type="dxa"/>
            <w:shd w:val="clear" w:color="auto" w:fill="E0EEE0"/>
          </w:tcPr>
          <w:p>
            <w:pPr>
              <w:pStyle w:val="TableParagraph"/>
              <w:spacing w:line="167" w:lineRule="exact" w:before="8"/>
              <w:ind w:left="75" w:right="58"/>
              <w:rPr>
                <w:b/>
                <w:sz w:val="16"/>
              </w:rPr>
            </w:pPr>
            <w:r>
              <w:rPr>
                <w:b/>
                <w:sz w:val="16"/>
              </w:rPr>
              <w:t>min</w:t>
            </w:r>
          </w:p>
        </w:tc>
        <w:tc>
          <w:tcPr>
            <w:tcW w:w="1070" w:type="dxa"/>
            <w:shd w:val="clear" w:color="auto" w:fill="E0EEE0"/>
          </w:tcPr>
          <w:p>
            <w:pPr>
              <w:pStyle w:val="TableParagraph"/>
              <w:spacing w:line="167" w:lineRule="exact" w:before="8"/>
              <w:ind w:left="359" w:right="340"/>
              <w:rPr>
                <w:b/>
                <w:sz w:val="16"/>
              </w:rPr>
            </w:pPr>
            <w:r>
              <w:rPr>
                <w:b/>
                <w:sz w:val="16"/>
              </w:rPr>
              <w:t>max</w:t>
            </w:r>
          </w:p>
        </w:tc>
      </w:tr>
      <w:tr>
        <w:trPr>
          <w:trHeight w:val="195" w:hRule="atLeast"/>
        </w:trPr>
        <w:tc>
          <w:tcPr>
            <w:tcW w:w="2783" w:type="dxa"/>
            <w:vMerge/>
            <w:tcBorders>
              <w:top w:val="nil"/>
            </w:tcBorders>
            <w:shd w:val="clear" w:color="auto" w:fill="E0EEE0"/>
          </w:tcPr>
          <w:p>
            <w:pPr>
              <w:rPr>
                <w:sz w:val="2"/>
                <w:szCs w:val="2"/>
              </w:rPr>
            </w:pPr>
          </w:p>
        </w:tc>
        <w:tc>
          <w:tcPr>
            <w:tcW w:w="10779" w:type="dxa"/>
            <w:gridSpan w:val="13"/>
            <w:shd w:val="clear" w:color="auto" w:fill="E0EEE0"/>
          </w:tcPr>
          <w:p>
            <w:pPr>
              <w:pStyle w:val="TableParagraph"/>
              <w:spacing w:line="167" w:lineRule="exact" w:before="8"/>
              <w:ind w:left="3505" w:right="3492"/>
              <w:rPr>
                <w:b/>
                <w:sz w:val="16"/>
              </w:rPr>
            </w:pPr>
            <w:r>
              <w:rPr>
                <w:b/>
                <w:sz w:val="16"/>
              </w:rPr>
              <w:t>PLAN</w:t>
            </w:r>
            <w:r>
              <w:rPr>
                <w:b/>
                <w:w w:val="200"/>
                <w:sz w:val="16"/>
              </w:rPr>
              <w:t>t</w:t>
            </w:r>
            <w:r>
              <w:rPr>
                <w:b/>
                <w:sz w:val="16"/>
              </w:rPr>
              <w:t>S</w:t>
            </w:r>
            <w:r>
              <w:rPr>
                <w:b/>
                <w:spacing w:val="1"/>
                <w:sz w:val="16"/>
              </w:rPr>
              <w:t> </w:t>
            </w:r>
            <w:r>
              <w:rPr>
                <w:b/>
                <w:sz w:val="16"/>
              </w:rPr>
              <w:t>W</w:t>
            </w:r>
            <w:r>
              <w:rPr>
                <w:b/>
                <w:spacing w:val="-1"/>
                <w:w w:val="172"/>
                <w:sz w:val="16"/>
              </w:rPr>
              <w:t>it</w:t>
            </w:r>
            <w:r>
              <w:rPr>
                <w:b/>
                <w:sz w:val="16"/>
              </w:rPr>
              <w:t>H</w:t>
            </w:r>
            <w:r>
              <w:rPr>
                <w:b/>
                <w:spacing w:val="4"/>
                <w:sz w:val="16"/>
              </w:rPr>
              <w:t> </w:t>
            </w:r>
            <w:r>
              <w:rPr>
                <w:b/>
                <w:sz w:val="16"/>
              </w:rPr>
              <w:t>B</w:t>
            </w:r>
            <w:r>
              <w:rPr>
                <w:b/>
                <w:spacing w:val="-1"/>
                <w:w w:val="136"/>
                <w:sz w:val="16"/>
              </w:rPr>
              <w:t>itumi</w:t>
            </w:r>
            <w:r>
              <w:rPr>
                <w:b/>
                <w:spacing w:val="-1"/>
                <w:sz w:val="16"/>
              </w:rPr>
              <w:t>NO</w:t>
            </w:r>
            <w:r>
              <w:rPr>
                <w:b/>
                <w:spacing w:val="-1"/>
                <w:w w:val="129"/>
                <w:sz w:val="16"/>
              </w:rPr>
              <w:t>u</w:t>
            </w:r>
            <w:r>
              <w:rPr>
                <w:b/>
                <w:sz w:val="16"/>
              </w:rPr>
              <w:t>S</w:t>
            </w:r>
            <w:r>
              <w:rPr>
                <w:b/>
                <w:spacing w:val="4"/>
                <w:sz w:val="16"/>
              </w:rPr>
              <w:t> </w:t>
            </w:r>
            <w:r>
              <w:rPr>
                <w:b/>
                <w:spacing w:val="-1"/>
                <w:sz w:val="16"/>
              </w:rPr>
              <w:t>COA</w:t>
            </w:r>
            <w:r>
              <w:rPr>
                <w:b/>
                <w:sz w:val="16"/>
              </w:rPr>
              <w:t>L</w:t>
            </w:r>
            <w:r>
              <w:rPr>
                <w:b/>
                <w:spacing w:val="-5"/>
                <w:sz w:val="16"/>
              </w:rPr>
              <w:t> </w:t>
            </w:r>
            <w:r>
              <w:rPr>
                <w:b/>
                <w:sz w:val="16"/>
              </w:rPr>
              <w:t>FEEDS</w:t>
            </w:r>
            <w:r>
              <w:rPr>
                <w:b/>
                <w:spacing w:val="-3"/>
                <w:w w:val="200"/>
                <w:sz w:val="16"/>
              </w:rPr>
              <w:t>t</w:t>
            </w:r>
            <w:r>
              <w:rPr>
                <w:b/>
                <w:sz w:val="16"/>
              </w:rPr>
              <w:t>OCK</w:t>
            </w:r>
          </w:p>
        </w:tc>
      </w:tr>
      <w:tr>
        <w:trPr>
          <w:trHeight w:val="195" w:hRule="atLeast"/>
        </w:trPr>
        <w:tc>
          <w:tcPr>
            <w:tcW w:w="2783" w:type="dxa"/>
            <w:shd w:val="clear" w:color="auto" w:fill="F9FCF9"/>
          </w:tcPr>
          <w:p>
            <w:pPr>
              <w:pStyle w:val="TableParagraph"/>
              <w:spacing w:line="167" w:lineRule="exact" w:before="8"/>
              <w:ind w:left="196"/>
              <w:jc w:val="left"/>
              <w:rPr>
                <w:b/>
                <w:i/>
                <w:sz w:val="16"/>
              </w:rPr>
            </w:pPr>
            <w:r>
              <w:rPr>
                <w:b/>
                <w:i/>
                <w:sz w:val="16"/>
              </w:rPr>
              <w:t>Reference Plant without capture)</w:t>
            </w:r>
          </w:p>
        </w:tc>
        <w:tc>
          <w:tcPr>
            <w:tcW w:w="866" w:type="dxa"/>
            <w:shd w:val="clear" w:color="auto" w:fill="F9FCF9"/>
          </w:tcPr>
          <w:p>
            <w:pPr>
              <w:pStyle w:val="TableParagraph"/>
              <w:spacing w:line="167" w:lineRule="exact" w:before="8"/>
              <w:ind w:left="7"/>
              <w:rPr>
                <w:sz w:val="16"/>
              </w:rPr>
            </w:pPr>
            <w:r>
              <w:rPr>
                <w:sz w:val="16"/>
              </w:rPr>
              <w:t>*</w:t>
            </w:r>
          </w:p>
        </w:tc>
        <w:tc>
          <w:tcPr>
            <w:tcW w:w="758" w:type="dxa"/>
            <w:shd w:val="clear" w:color="auto" w:fill="F9FCF9"/>
          </w:tcPr>
          <w:p>
            <w:pPr>
              <w:pStyle w:val="TableParagraph"/>
              <w:spacing w:line="167" w:lineRule="exact" w:before="8"/>
              <w:ind w:left="8"/>
              <w:rPr>
                <w:sz w:val="16"/>
              </w:rPr>
            </w:pPr>
            <w:r>
              <w:rPr>
                <w:sz w:val="16"/>
              </w:rPr>
              <w:t>*</w:t>
            </w:r>
          </w:p>
        </w:tc>
        <w:tc>
          <w:tcPr>
            <w:tcW w:w="818" w:type="dxa"/>
            <w:shd w:val="clear" w:color="auto" w:fill="F9FCF9"/>
          </w:tcPr>
          <w:p>
            <w:pPr>
              <w:pStyle w:val="TableParagraph"/>
              <w:spacing w:line="167" w:lineRule="exact" w:before="8"/>
              <w:ind w:left="9"/>
              <w:rPr>
                <w:sz w:val="16"/>
              </w:rPr>
            </w:pPr>
            <w:r>
              <w:rPr>
                <w:sz w:val="16"/>
              </w:rPr>
              <w:t>*</w:t>
            </w:r>
          </w:p>
        </w:tc>
        <w:tc>
          <w:tcPr>
            <w:tcW w:w="866" w:type="dxa"/>
            <w:shd w:val="clear" w:color="auto" w:fill="F9FCF9"/>
          </w:tcPr>
          <w:p>
            <w:pPr>
              <w:pStyle w:val="TableParagraph"/>
              <w:spacing w:line="167" w:lineRule="exact" w:before="8"/>
              <w:ind w:left="10"/>
              <w:rPr>
                <w:sz w:val="16"/>
              </w:rPr>
            </w:pPr>
            <w:r>
              <w:rPr>
                <w:sz w:val="16"/>
              </w:rPr>
              <w:t>*</w:t>
            </w:r>
          </w:p>
        </w:tc>
        <w:tc>
          <w:tcPr>
            <w:tcW w:w="866" w:type="dxa"/>
            <w:shd w:val="clear" w:color="auto" w:fill="F9FCF9"/>
          </w:tcPr>
          <w:p>
            <w:pPr>
              <w:pStyle w:val="TableParagraph"/>
              <w:jc w:val="left"/>
              <w:rPr>
                <w:sz w:val="12"/>
              </w:rPr>
            </w:pPr>
          </w:p>
        </w:tc>
        <w:tc>
          <w:tcPr>
            <w:tcW w:w="978" w:type="dxa"/>
            <w:shd w:val="clear" w:color="auto" w:fill="F9FCF9"/>
          </w:tcPr>
          <w:p>
            <w:pPr>
              <w:pStyle w:val="TableParagraph"/>
              <w:spacing w:line="167" w:lineRule="exact" w:before="8"/>
              <w:ind w:left="11"/>
              <w:rPr>
                <w:sz w:val="16"/>
              </w:rPr>
            </w:pPr>
            <w:r>
              <w:rPr>
                <w:sz w:val="16"/>
              </w:rPr>
              <w:t>*</w:t>
            </w:r>
          </w:p>
        </w:tc>
        <w:tc>
          <w:tcPr>
            <w:tcW w:w="742" w:type="dxa"/>
            <w:shd w:val="clear" w:color="auto" w:fill="F9FCF9"/>
          </w:tcPr>
          <w:p>
            <w:pPr>
              <w:pStyle w:val="TableParagraph"/>
              <w:jc w:val="left"/>
              <w:rPr>
                <w:sz w:val="12"/>
              </w:rPr>
            </w:pPr>
          </w:p>
        </w:tc>
        <w:tc>
          <w:tcPr>
            <w:tcW w:w="866" w:type="dxa"/>
            <w:shd w:val="clear" w:color="auto" w:fill="F9FCF9"/>
          </w:tcPr>
          <w:p>
            <w:pPr>
              <w:pStyle w:val="TableParagraph"/>
              <w:jc w:val="left"/>
              <w:rPr>
                <w:sz w:val="12"/>
              </w:rPr>
            </w:pPr>
          </w:p>
        </w:tc>
        <w:tc>
          <w:tcPr>
            <w:tcW w:w="866" w:type="dxa"/>
            <w:shd w:val="clear" w:color="auto" w:fill="F9FCF9"/>
          </w:tcPr>
          <w:p>
            <w:pPr>
              <w:pStyle w:val="TableParagraph"/>
              <w:jc w:val="left"/>
              <w:rPr>
                <w:sz w:val="12"/>
              </w:rPr>
            </w:pPr>
          </w:p>
        </w:tc>
        <w:tc>
          <w:tcPr>
            <w:tcW w:w="794" w:type="dxa"/>
            <w:shd w:val="clear" w:color="auto" w:fill="F9FCF9"/>
          </w:tcPr>
          <w:p>
            <w:pPr>
              <w:pStyle w:val="TableParagraph"/>
              <w:jc w:val="left"/>
              <w:rPr>
                <w:sz w:val="12"/>
              </w:rPr>
            </w:pPr>
          </w:p>
        </w:tc>
        <w:tc>
          <w:tcPr>
            <w:tcW w:w="786" w:type="dxa"/>
            <w:shd w:val="clear" w:color="auto" w:fill="F9FCF9"/>
          </w:tcPr>
          <w:p>
            <w:pPr>
              <w:pStyle w:val="TableParagraph"/>
              <w:jc w:val="left"/>
              <w:rPr>
                <w:sz w:val="12"/>
              </w:rPr>
            </w:pPr>
          </w:p>
        </w:tc>
        <w:tc>
          <w:tcPr>
            <w:tcW w:w="503" w:type="dxa"/>
            <w:shd w:val="clear" w:color="auto" w:fill="F9FCF9"/>
          </w:tcPr>
          <w:p>
            <w:pPr>
              <w:pStyle w:val="TableParagraph"/>
              <w:jc w:val="left"/>
              <w:rPr>
                <w:sz w:val="12"/>
              </w:rPr>
            </w:pPr>
          </w:p>
        </w:tc>
        <w:tc>
          <w:tcPr>
            <w:tcW w:w="1070" w:type="dxa"/>
            <w:shd w:val="clear" w:color="auto" w:fill="F9FCF9"/>
          </w:tcPr>
          <w:p>
            <w:pPr>
              <w:pStyle w:val="TableParagraph"/>
              <w:jc w:val="left"/>
              <w:rPr>
                <w:sz w:val="12"/>
              </w:rPr>
            </w:pPr>
          </w:p>
        </w:tc>
      </w:tr>
      <w:tr>
        <w:trPr>
          <w:trHeight w:val="579" w:hRule="atLeast"/>
        </w:trPr>
        <w:tc>
          <w:tcPr>
            <w:tcW w:w="2783" w:type="dxa"/>
            <w:shd w:val="clear" w:color="auto" w:fill="F9FCF9"/>
          </w:tcPr>
          <w:p>
            <w:pPr>
              <w:pStyle w:val="TableParagraph"/>
              <w:spacing w:before="8"/>
              <w:ind w:left="20"/>
              <w:jc w:val="left"/>
              <w:rPr>
                <w:sz w:val="16"/>
              </w:rPr>
            </w:pPr>
            <w:r>
              <w:rPr>
                <w:sz w:val="16"/>
              </w:rPr>
              <w:t>Gasifier name or type</w:t>
            </w:r>
          </w:p>
        </w:tc>
        <w:tc>
          <w:tcPr>
            <w:tcW w:w="866" w:type="dxa"/>
            <w:shd w:val="clear" w:color="auto" w:fill="F9FCF9"/>
          </w:tcPr>
          <w:p>
            <w:pPr>
              <w:pStyle w:val="TableParagraph"/>
              <w:spacing w:line="249" w:lineRule="auto" w:before="8"/>
              <w:ind w:left="108" w:right="99" w:firstLine="138"/>
              <w:jc w:val="left"/>
              <w:rPr>
                <w:sz w:val="16"/>
              </w:rPr>
            </w:pPr>
            <w:r>
              <w:rPr>
                <w:sz w:val="16"/>
              </w:rPr>
              <w:t>Shell, O</w:t>
            </w:r>
            <w:r>
              <w:rPr>
                <w:position w:val="-4"/>
                <w:sz w:val="9"/>
              </w:rPr>
              <w:t>2 </w:t>
            </w:r>
            <w:r>
              <w:rPr>
                <w:sz w:val="16"/>
              </w:rPr>
              <w:t>blown,</w:t>
            </w:r>
          </w:p>
          <w:p>
            <w:pPr>
              <w:pStyle w:val="TableParagraph"/>
              <w:spacing w:line="133" w:lineRule="exact"/>
              <w:ind w:left="209"/>
              <w:jc w:val="left"/>
              <w:rPr>
                <w:sz w:val="16"/>
              </w:rPr>
            </w:pPr>
            <w:r>
              <w:rPr>
                <w:sz w:val="16"/>
              </w:rPr>
              <w:t>CGCU</w:t>
            </w:r>
          </w:p>
        </w:tc>
        <w:tc>
          <w:tcPr>
            <w:tcW w:w="758" w:type="dxa"/>
            <w:shd w:val="clear" w:color="auto" w:fill="F9FCF9"/>
          </w:tcPr>
          <w:p>
            <w:pPr>
              <w:pStyle w:val="TableParagraph"/>
              <w:spacing w:line="249" w:lineRule="auto" w:before="8"/>
              <w:ind w:left="55" w:right="28" w:firstLine="120"/>
              <w:jc w:val="left"/>
              <w:rPr>
                <w:sz w:val="16"/>
              </w:rPr>
            </w:pPr>
            <w:r>
              <w:rPr>
                <w:sz w:val="16"/>
              </w:rPr>
              <w:t>E-gas, O</w:t>
            </w:r>
            <w:r>
              <w:rPr>
                <w:position w:val="-4"/>
                <w:sz w:val="9"/>
              </w:rPr>
              <w:t>2 </w:t>
            </w:r>
            <w:r>
              <w:rPr>
                <w:sz w:val="16"/>
              </w:rPr>
              <w:t>blown,</w:t>
            </w:r>
          </w:p>
          <w:p>
            <w:pPr>
              <w:pStyle w:val="TableParagraph"/>
              <w:spacing w:line="133" w:lineRule="exact"/>
              <w:ind w:left="155"/>
              <w:jc w:val="left"/>
              <w:rPr>
                <w:sz w:val="16"/>
              </w:rPr>
            </w:pPr>
            <w:r>
              <w:rPr>
                <w:sz w:val="16"/>
              </w:rPr>
              <w:t>CGUC</w:t>
            </w:r>
          </w:p>
        </w:tc>
        <w:tc>
          <w:tcPr>
            <w:tcW w:w="818" w:type="dxa"/>
            <w:shd w:val="clear" w:color="auto" w:fill="F9FCF9"/>
          </w:tcPr>
          <w:p>
            <w:pPr>
              <w:pStyle w:val="TableParagraph"/>
              <w:spacing w:line="192" w:lineRule="exact" w:before="4"/>
              <w:ind w:left="105" w:right="94" w:firstLine="73"/>
              <w:jc w:val="both"/>
              <w:rPr>
                <w:sz w:val="16"/>
              </w:rPr>
            </w:pPr>
            <w:r>
              <w:rPr>
                <w:sz w:val="16"/>
              </w:rPr>
              <w:t>Texaco quench, O</w:t>
            </w:r>
            <w:r>
              <w:rPr>
                <w:position w:val="-4"/>
                <w:sz w:val="9"/>
              </w:rPr>
              <w:t>2 </w:t>
            </w:r>
            <w:r>
              <w:rPr>
                <w:sz w:val="16"/>
              </w:rPr>
              <w:t>blown</w:t>
            </w:r>
          </w:p>
        </w:tc>
        <w:tc>
          <w:tcPr>
            <w:tcW w:w="866" w:type="dxa"/>
            <w:shd w:val="clear" w:color="auto" w:fill="F9FCF9"/>
          </w:tcPr>
          <w:p>
            <w:pPr>
              <w:pStyle w:val="TableParagraph"/>
              <w:spacing w:line="249" w:lineRule="auto" w:before="8"/>
              <w:ind w:left="130" w:right="99" w:firstLine="100"/>
              <w:jc w:val="left"/>
              <w:rPr>
                <w:sz w:val="16"/>
              </w:rPr>
            </w:pPr>
            <w:r>
              <w:rPr>
                <w:sz w:val="16"/>
              </w:rPr>
              <w:t>E-gas, O</w:t>
            </w:r>
            <w:r>
              <w:rPr>
                <w:position w:val="-4"/>
                <w:sz w:val="9"/>
              </w:rPr>
              <w:t>2 </w:t>
            </w:r>
            <w:r>
              <w:rPr>
                <w:sz w:val="16"/>
              </w:rPr>
              <w:t>blown</w:t>
            </w:r>
          </w:p>
        </w:tc>
        <w:tc>
          <w:tcPr>
            <w:tcW w:w="866" w:type="dxa"/>
            <w:shd w:val="clear" w:color="auto" w:fill="F9FCF9"/>
          </w:tcPr>
          <w:p>
            <w:pPr>
              <w:pStyle w:val="TableParagraph"/>
              <w:spacing w:line="192" w:lineRule="exact" w:before="4"/>
              <w:ind w:left="130" w:right="117" w:firstLine="73"/>
              <w:jc w:val="both"/>
              <w:rPr>
                <w:sz w:val="16"/>
              </w:rPr>
            </w:pPr>
            <w:r>
              <w:rPr>
                <w:sz w:val="16"/>
              </w:rPr>
              <w:t>Texaco quench, O</w:t>
            </w:r>
            <w:r>
              <w:rPr>
                <w:position w:val="-4"/>
                <w:sz w:val="9"/>
              </w:rPr>
              <w:t>2 </w:t>
            </w:r>
            <w:r>
              <w:rPr>
                <w:sz w:val="16"/>
              </w:rPr>
              <w:t>blown</w:t>
            </w:r>
          </w:p>
        </w:tc>
        <w:tc>
          <w:tcPr>
            <w:tcW w:w="978" w:type="dxa"/>
            <w:shd w:val="clear" w:color="auto" w:fill="F9FCF9"/>
          </w:tcPr>
          <w:p>
            <w:pPr>
              <w:pStyle w:val="TableParagraph"/>
              <w:spacing w:line="192" w:lineRule="exact" w:before="4"/>
              <w:ind w:left="37" w:right="23"/>
              <w:rPr>
                <w:sz w:val="16"/>
              </w:rPr>
            </w:pPr>
            <w:r>
              <w:rPr>
                <w:sz w:val="16"/>
              </w:rPr>
              <w:t>Texaco syngas </w:t>
            </w:r>
            <w:r>
              <w:rPr>
                <w:spacing w:val="-3"/>
                <w:sz w:val="16"/>
              </w:rPr>
              <w:t>cooler, </w:t>
            </w:r>
            <w:r>
              <w:rPr>
                <w:sz w:val="16"/>
              </w:rPr>
              <w:t>O</w:t>
            </w:r>
            <w:r>
              <w:rPr>
                <w:position w:val="-4"/>
                <w:sz w:val="9"/>
              </w:rPr>
              <w:t>2</w:t>
            </w:r>
            <w:r>
              <w:rPr>
                <w:spacing w:val="21"/>
                <w:position w:val="-4"/>
                <w:sz w:val="9"/>
              </w:rPr>
              <w:t> </w:t>
            </w:r>
            <w:r>
              <w:rPr>
                <w:sz w:val="16"/>
              </w:rPr>
              <w:t>blown</w:t>
            </w:r>
          </w:p>
        </w:tc>
        <w:tc>
          <w:tcPr>
            <w:tcW w:w="742" w:type="dxa"/>
            <w:shd w:val="clear" w:color="auto" w:fill="F9FCF9"/>
          </w:tcPr>
          <w:p>
            <w:pPr>
              <w:pStyle w:val="TableParagraph"/>
              <w:spacing w:line="192" w:lineRule="exact" w:before="4"/>
              <w:ind w:left="69" w:right="54" w:firstLine="73"/>
              <w:jc w:val="both"/>
              <w:rPr>
                <w:sz w:val="16"/>
              </w:rPr>
            </w:pPr>
            <w:r>
              <w:rPr>
                <w:sz w:val="16"/>
              </w:rPr>
              <w:t>Texaco quench, O</w:t>
            </w:r>
            <w:r>
              <w:rPr>
                <w:position w:val="-4"/>
                <w:sz w:val="9"/>
              </w:rPr>
              <w:t>2 </w:t>
            </w:r>
            <w:r>
              <w:rPr>
                <w:sz w:val="16"/>
              </w:rPr>
              <w:t>blown</w:t>
            </w:r>
          </w:p>
        </w:tc>
        <w:tc>
          <w:tcPr>
            <w:tcW w:w="866" w:type="dxa"/>
            <w:shd w:val="clear" w:color="auto" w:fill="F9FCF9"/>
          </w:tcPr>
          <w:p>
            <w:pPr>
              <w:pStyle w:val="TableParagraph"/>
              <w:spacing w:line="192" w:lineRule="exact" w:before="4"/>
              <w:ind w:left="131" w:right="116" w:firstLine="73"/>
              <w:jc w:val="both"/>
              <w:rPr>
                <w:sz w:val="16"/>
              </w:rPr>
            </w:pPr>
            <w:r>
              <w:rPr>
                <w:sz w:val="16"/>
              </w:rPr>
              <w:t>Texaco quench, O</w:t>
            </w:r>
            <w:r>
              <w:rPr>
                <w:position w:val="-4"/>
                <w:sz w:val="9"/>
              </w:rPr>
              <w:t>2 </w:t>
            </w:r>
            <w:r>
              <w:rPr>
                <w:sz w:val="16"/>
              </w:rPr>
              <w:t>blown</w:t>
            </w:r>
          </w:p>
        </w:tc>
        <w:tc>
          <w:tcPr>
            <w:tcW w:w="866" w:type="dxa"/>
            <w:shd w:val="clear" w:color="auto" w:fill="F9FCF9"/>
          </w:tcPr>
          <w:p>
            <w:pPr>
              <w:pStyle w:val="TableParagraph"/>
              <w:spacing w:line="249" w:lineRule="auto" w:before="8"/>
              <w:ind w:left="132" w:right="99" w:firstLine="118"/>
              <w:jc w:val="left"/>
              <w:rPr>
                <w:sz w:val="16"/>
              </w:rPr>
            </w:pPr>
            <w:r>
              <w:rPr>
                <w:sz w:val="16"/>
              </w:rPr>
              <w:t>Shell, O</w:t>
            </w:r>
            <w:r>
              <w:rPr>
                <w:position w:val="-4"/>
                <w:sz w:val="9"/>
              </w:rPr>
              <w:t>2 </w:t>
            </w:r>
            <w:r>
              <w:rPr>
                <w:sz w:val="16"/>
              </w:rPr>
              <w:t>blown</w:t>
            </w:r>
          </w:p>
        </w:tc>
        <w:tc>
          <w:tcPr>
            <w:tcW w:w="794" w:type="dxa"/>
            <w:shd w:val="clear" w:color="auto" w:fill="F9FCF9"/>
          </w:tcPr>
          <w:p>
            <w:pPr>
              <w:pStyle w:val="TableParagraph"/>
              <w:spacing w:line="192" w:lineRule="exact" w:before="4"/>
              <w:ind w:left="23" w:right="6"/>
              <w:rPr>
                <w:sz w:val="16"/>
              </w:rPr>
            </w:pPr>
            <w:r>
              <w:rPr>
                <w:sz w:val="16"/>
              </w:rPr>
              <w:t>Texaco quench, O</w:t>
            </w:r>
            <w:r>
              <w:rPr>
                <w:position w:val="-4"/>
                <w:sz w:val="9"/>
              </w:rPr>
              <w:t>2 </w:t>
            </w:r>
            <w:r>
              <w:rPr>
                <w:sz w:val="16"/>
              </w:rPr>
              <w:t>blown</w:t>
            </w:r>
          </w:p>
        </w:tc>
        <w:tc>
          <w:tcPr>
            <w:tcW w:w="786" w:type="dxa"/>
            <w:shd w:val="clear" w:color="auto" w:fill="F9FCF9"/>
          </w:tcPr>
          <w:p>
            <w:pPr>
              <w:pStyle w:val="TableParagraph"/>
              <w:spacing w:line="192" w:lineRule="exact" w:before="4"/>
              <w:ind w:left="93" w:right="74" w:firstLine="73"/>
              <w:jc w:val="both"/>
              <w:rPr>
                <w:sz w:val="16"/>
              </w:rPr>
            </w:pPr>
            <w:r>
              <w:rPr>
                <w:sz w:val="16"/>
              </w:rPr>
              <w:t>Texaco quench, O</w:t>
            </w:r>
            <w:r>
              <w:rPr>
                <w:position w:val="-4"/>
                <w:sz w:val="9"/>
              </w:rPr>
              <w:t>2 </w:t>
            </w:r>
            <w:r>
              <w:rPr>
                <w:sz w:val="16"/>
              </w:rPr>
              <w:t>blown</w:t>
            </w:r>
          </w:p>
        </w:tc>
        <w:tc>
          <w:tcPr>
            <w:tcW w:w="503" w:type="dxa"/>
            <w:shd w:val="clear" w:color="auto" w:fill="F9FCF9"/>
          </w:tcPr>
          <w:p>
            <w:pPr>
              <w:pStyle w:val="TableParagraph"/>
              <w:jc w:val="left"/>
              <w:rPr>
                <w:sz w:val="16"/>
              </w:rPr>
            </w:pPr>
          </w:p>
        </w:tc>
        <w:tc>
          <w:tcPr>
            <w:tcW w:w="1070" w:type="dxa"/>
            <w:shd w:val="clear" w:color="auto" w:fill="F9FCF9"/>
          </w:tcPr>
          <w:p>
            <w:pPr>
              <w:pStyle w:val="TableParagraph"/>
              <w:jc w:val="left"/>
              <w:rPr>
                <w:sz w:val="16"/>
              </w:rPr>
            </w:pPr>
          </w:p>
        </w:tc>
      </w:tr>
      <w:tr>
        <w:trPr>
          <w:trHeight w:val="194" w:hRule="atLeast"/>
        </w:trPr>
        <w:tc>
          <w:tcPr>
            <w:tcW w:w="2783" w:type="dxa"/>
            <w:shd w:val="clear" w:color="auto" w:fill="F9FCF9"/>
          </w:tcPr>
          <w:p>
            <w:pPr>
              <w:pStyle w:val="TableParagraph"/>
              <w:spacing w:line="167" w:lineRule="exact" w:before="7"/>
              <w:ind w:left="20"/>
              <w:jc w:val="left"/>
              <w:rPr>
                <w:sz w:val="16"/>
              </w:rPr>
            </w:pPr>
            <w:r>
              <w:rPr>
                <w:sz w:val="16"/>
              </w:rPr>
              <w:t>Fuel type (bit, subbit, lig; other) and %S</w:t>
            </w:r>
          </w:p>
        </w:tc>
        <w:tc>
          <w:tcPr>
            <w:tcW w:w="866" w:type="dxa"/>
            <w:shd w:val="clear" w:color="auto" w:fill="F9FCF9"/>
          </w:tcPr>
          <w:p>
            <w:pPr>
              <w:pStyle w:val="TableParagraph"/>
              <w:spacing w:line="167" w:lineRule="exact" w:before="7"/>
              <w:ind w:left="33" w:right="26"/>
              <w:rPr>
                <w:sz w:val="16"/>
              </w:rPr>
            </w:pPr>
            <w:r>
              <w:rPr>
                <w:sz w:val="16"/>
              </w:rPr>
              <w:t>Illinois #6</w:t>
            </w:r>
          </w:p>
        </w:tc>
        <w:tc>
          <w:tcPr>
            <w:tcW w:w="758" w:type="dxa"/>
            <w:shd w:val="clear" w:color="auto" w:fill="F9FCF9"/>
          </w:tcPr>
          <w:p>
            <w:pPr>
              <w:pStyle w:val="TableParagraph"/>
              <w:spacing w:line="167" w:lineRule="exact" w:before="7"/>
              <w:ind w:left="31" w:right="23"/>
              <w:rPr>
                <w:sz w:val="16"/>
              </w:rPr>
            </w:pPr>
            <w:r>
              <w:rPr>
                <w:sz w:val="16"/>
              </w:rPr>
              <w:t>Illinois #6</w:t>
            </w:r>
          </w:p>
        </w:tc>
        <w:tc>
          <w:tcPr>
            <w:tcW w:w="818" w:type="dxa"/>
            <w:shd w:val="clear" w:color="auto" w:fill="F9FCF9"/>
          </w:tcPr>
          <w:p>
            <w:pPr>
              <w:pStyle w:val="TableParagraph"/>
              <w:spacing w:line="167" w:lineRule="exact" w:before="7"/>
              <w:ind w:left="61" w:right="53"/>
              <w:rPr>
                <w:sz w:val="16"/>
              </w:rPr>
            </w:pPr>
            <w:r>
              <w:rPr>
                <w:sz w:val="16"/>
              </w:rPr>
              <w:t>Illinois #6</w:t>
            </w:r>
          </w:p>
        </w:tc>
        <w:tc>
          <w:tcPr>
            <w:tcW w:w="866" w:type="dxa"/>
            <w:shd w:val="clear" w:color="auto" w:fill="F9FCF9"/>
          </w:tcPr>
          <w:p>
            <w:pPr>
              <w:pStyle w:val="TableParagraph"/>
              <w:spacing w:line="167" w:lineRule="exact" w:before="7"/>
              <w:ind w:left="36" w:right="26"/>
              <w:rPr>
                <w:sz w:val="16"/>
              </w:rPr>
            </w:pPr>
            <w:r>
              <w:rPr>
                <w:sz w:val="16"/>
              </w:rPr>
              <w:t>bit, 2.5% S</w:t>
            </w:r>
          </w:p>
        </w:tc>
        <w:tc>
          <w:tcPr>
            <w:tcW w:w="866" w:type="dxa"/>
            <w:shd w:val="clear" w:color="auto" w:fill="F9FCF9"/>
          </w:tcPr>
          <w:p>
            <w:pPr>
              <w:pStyle w:val="TableParagraph"/>
              <w:spacing w:line="167" w:lineRule="exact" w:before="7"/>
              <w:ind w:left="37" w:right="26"/>
              <w:rPr>
                <w:sz w:val="16"/>
              </w:rPr>
            </w:pPr>
            <w:r>
              <w:rPr>
                <w:sz w:val="16"/>
              </w:rPr>
              <w:t>bit, 1% S</w:t>
            </w:r>
          </w:p>
        </w:tc>
        <w:tc>
          <w:tcPr>
            <w:tcW w:w="978" w:type="dxa"/>
            <w:shd w:val="clear" w:color="auto" w:fill="F9FCF9"/>
          </w:tcPr>
          <w:p>
            <w:pPr>
              <w:pStyle w:val="TableParagraph"/>
              <w:spacing w:line="167" w:lineRule="exact" w:before="7"/>
              <w:ind w:left="173" w:right="162"/>
              <w:rPr>
                <w:sz w:val="16"/>
              </w:rPr>
            </w:pPr>
            <w:r>
              <w:rPr>
                <w:sz w:val="16"/>
              </w:rPr>
              <w:t>bit</w:t>
            </w:r>
          </w:p>
        </w:tc>
        <w:tc>
          <w:tcPr>
            <w:tcW w:w="742" w:type="dxa"/>
            <w:shd w:val="clear" w:color="auto" w:fill="F9FCF9"/>
          </w:tcPr>
          <w:p>
            <w:pPr>
              <w:pStyle w:val="TableParagraph"/>
              <w:spacing w:line="167" w:lineRule="exact" w:before="7"/>
              <w:ind w:left="56"/>
              <w:rPr>
                <w:sz w:val="16"/>
              </w:rPr>
            </w:pPr>
            <w:r>
              <w:rPr>
                <w:sz w:val="16"/>
              </w:rPr>
              <w:t>bit, 1%S</w:t>
            </w:r>
          </w:p>
        </w:tc>
        <w:tc>
          <w:tcPr>
            <w:tcW w:w="866" w:type="dxa"/>
            <w:shd w:val="clear" w:color="auto" w:fill="F9FCF9"/>
          </w:tcPr>
          <w:p>
            <w:pPr>
              <w:pStyle w:val="TableParagraph"/>
              <w:spacing w:line="167" w:lineRule="exact" w:before="7"/>
              <w:ind w:right="119"/>
              <w:jc w:val="right"/>
              <w:rPr>
                <w:sz w:val="16"/>
              </w:rPr>
            </w:pPr>
            <w:r>
              <w:rPr>
                <w:sz w:val="16"/>
              </w:rPr>
              <w:t>bit, 1%S</w:t>
            </w:r>
          </w:p>
        </w:tc>
        <w:tc>
          <w:tcPr>
            <w:tcW w:w="866" w:type="dxa"/>
            <w:shd w:val="clear" w:color="auto" w:fill="F9FCF9"/>
          </w:tcPr>
          <w:p>
            <w:pPr>
              <w:pStyle w:val="TableParagraph"/>
              <w:spacing w:line="167" w:lineRule="exact" w:before="7"/>
              <w:ind w:left="84" w:right="26"/>
              <w:rPr>
                <w:sz w:val="16"/>
              </w:rPr>
            </w:pPr>
            <w:r>
              <w:rPr>
                <w:sz w:val="16"/>
              </w:rPr>
              <w:t>bit, 1%S</w:t>
            </w:r>
          </w:p>
        </w:tc>
        <w:tc>
          <w:tcPr>
            <w:tcW w:w="794" w:type="dxa"/>
            <w:shd w:val="clear" w:color="auto" w:fill="F9FCF9"/>
          </w:tcPr>
          <w:p>
            <w:pPr>
              <w:pStyle w:val="TableParagraph"/>
              <w:spacing w:line="167" w:lineRule="exact" w:before="7"/>
              <w:ind w:left="65" w:right="6"/>
              <w:rPr>
                <w:sz w:val="16"/>
              </w:rPr>
            </w:pPr>
            <w:r>
              <w:rPr>
                <w:sz w:val="16"/>
              </w:rPr>
              <w:t>bit, 2.1%S</w:t>
            </w:r>
          </w:p>
        </w:tc>
        <w:tc>
          <w:tcPr>
            <w:tcW w:w="786" w:type="dxa"/>
            <w:shd w:val="clear" w:color="auto" w:fill="F9FCF9"/>
          </w:tcPr>
          <w:p>
            <w:pPr>
              <w:pStyle w:val="TableParagraph"/>
              <w:spacing w:line="167" w:lineRule="exact" w:before="7"/>
              <w:ind w:left="62" w:right="2"/>
              <w:rPr>
                <w:sz w:val="16"/>
              </w:rPr>
            </w:pPr>
            <w:r>
              <w:rPr>
                <w:sz w:val="16"/>
              </w:rPr>
              <w:t>bit, 2.1%S</w:t>
            </w:r>
          </w:p>
        </w:tc>
        <w:tc>
          <w:tcPr>
            <w:tcW w:w="503" w:type="dxa"/>
            <w:shd w:val="clear" w:color="auto" w:fill="F9FCF9"/>
          </w:tcPr>
          <w:p>
            <w:pPr>
              <w:pStyle w:val="TableParagraph"/>
              <w:jc w:val="left"/>
              <w:rPr>
                <w:sz w:val="12"/>
              </w:rPr>
            </w:pPr>
          </w:p>
        </w:tc>
        <w:tc>
          <w:tcPr>
            <w:tcW w:w="1070" w:type="dxa"/>
            <w:shd w:val="clear" w:color="auto" w:fill="F9FCF9"/>
          </w:tcPr>
          <w:p>
            <w:pPr>
              <w:pStyle w:val="TableParagraph"/>
              <w:jc w:val="left"/>
              <w:rPr>
                <w:sz w:val="12"/>
              </w:rPr>
            </w:pPr>
          </w:p>
        </w:tc>
      </w:tr>
      <w:tr>
        <w:trPr>
          <w:trHeight w:val="195" w:hRule="atLeast"/>
        </w:trPr>
        <w:tc>
          <w:tcPr>
            <w:tcW w:w="2783" w:type="dxa"/>
            <w:shd w:val="clear" w:color="auto" w:fill="F9FCF9"/>
          </w:tcPr>
          <w:p>
            <w:pPr>
              <w:pStyle w:val="TableParagraph"/>
              <w:spacing w:line="167" w:lineRule="exact" w:before="8"/>
              <w:ind w:left="20"/>
              <w:jc w:val="left"/>
              <w:rPr>
                <w:sz w:val="16"/>
              </w:rPr>
            </w:pPr>
            <w:r>
              <w:rPr>
                <w:sz w:val="16"/>
              </w:rPr>
              <w:t>Reference plant size (MW)</w:t>
            </w:r>
          </w:p>
        </w:tc>
        <w:tc>
          <w:tcPr>
            <w:tcW w:w="866" w:type="dxa"/>
            <w:shd w:val="clear" w:color="auto" w:fill="F9FCF9"/>
          </w:tcPr>
          <w:p>
            <w:pPr>
              <w:pStyle w:val="TableParagraph"/>
              <w:spacing w:line="167" w:lineRule="exact" w:before="8"/>
              <w:ind w:left="33" w:right="26"/>
              <w:rPr>
                <w:sz w:val="16"/>
              </w:rPr>
            </w:pPr>
            <w:r>
              <w:rPr>
                <w:sz w:val="16"/>
              </w:rPr>
              <w:t>413</w:t>
            </w:r>
          </w:p>
        </w:tc>
        <w:tc>
          <w:tcPr>
            <w:tcW w:w="758" w:type="dxa"/>
            <w:shd w:val="clear" w:color="auto" w:fill="F9FCF9"/>
          </w:tcPr>
          <w:p>
            <w:pPr>
              <w:pStyle w:val="TableParagraph"/>
              <w:spacing w:line="167" w:lineRule="exact" w:before="8"/>
              <w:ind w:left="31" w:right="23"/>
              <w:rPr>
                <w:sz w:val="16"/>
              </w:rPr>
            </w:pPr>
            <w:r>
              <w:rPr>
                <w:sz w:val="16"/>
              </w:rPr>
              <w:t>401</w:t>
            </w:r>
          </w:p>
        </w:tc>
        <w:tc>
          <w:tcPr>
            <w:tcW w:w="818" w:type="dxa"/>
            <w:shd w:val="clear" w:color="auto" w:fill="F9FCF9"/>
          </w:tcPr>
          <w:p>
            <w:pPr>
              <w:pStyle w:val="TableParagraph"/>
              <w:spacing w:line="167" w:lineRule="exact" w:before="8"/>
              <w:ind w:left="61" w:right="52"/>
              <w:rPr>
                <w:sz w:val="16"/>
              </w:rPr>
            </w:pPr>
            <w:r>
              <w:rPr>
                <w:sz w:val="16"/>
              </w:rPr>
              <w:t>571</w:t>
            </w:r>
          </w:p>
        </w:tc>
        <w:tc>
          <w:tcPr>
            <w:tcW w:w="866" w:type="dxa"/>
            <w:shd w:val="clear" w:color="auto" w:fill="F9FCF9"/>
          </w:tcPr>
          <w:p>
            <w:pPr>
              <w:pStyle w:val="TableParagraph"/>
              <w:spacing w:line="167" w:lineRule="exact" w:before="8"/>
              <w:ind w:left="36" w:right="26"/>
              <w:rPr>
                <w:sz w:val="16"/>
              </w:rPr>
            </w:pPr>
            <w:r>
              <w:rPr>
                <w:sz w:val="16"/>
              </w:rPr>
              <w:t>425</w:t>
            </w:r>
          </w:p>
        </w:tc>
        <w:tc>
          <w:tcPr>
            <w:tcW w:w="866" w:type="dxa"/>
            <w:shd w:val="clear" w:color="auto" w:fill="F9FCF9"/>
          </w:tcPr>
          <w:p>
            <w:pPr>
              <w:pStyle w:val="TableParagraph"/>
              <w:spacing w:line="167" w:lineRule="exact" w:before="8"/>
              <w:ind w:left="37" w:right="26"/>
              <w:rPr>
                <w:sz w:val="16"/>
              </w:rPr>
            </w:pPr>
            <w:r>
              <w:rPr>
                <w:sz w:val="16"/>
              </w:rPr>
              <w:t>521</w:t>
            </w:r>
          </w:p>
        </w:tc>
        <w:tc>
          <w:tcPr>
            <w:tcW w:w="978" w:type="dxa"/>
            <w:shd w:val="clear" w:color="auto" w:fill="F9FCF9"/>
          </w:tcPr>
          <w:p>
            <w:pPr>
              <w:pStyle w:val="TableParagraph"/>
              <w:jc w:val="left"/>
              <w:rPr>
                <w:sz w:val="12"/>
              </w:rPr>
            </w:pPr>
          </w:p>
        </w:tc>
        <w:tc>
          <w:tcPr>
            <w:tcW w:w="742" w:type="dxa"/>
            <w:shd w:val="clear" w:color="auto" w:fill="F9FCF9"/>
          </w:tcPr>
          <w:p>
            <w:pPr>
              <w:pStyle w:val="TableParagraph"/>
              <w:spacing w:line="167" w:lineRule="exact" w:before="8"/>
              <w:ind w:left="12"/>
              <w:rPr>
                <w:sz w:val="16"/>
              </w:rPr>
            </w:pPr>
            <w:r>
              <w:rPr>
                <w:sz w:val="16"/>
              </w:rPr>
              <w:t>827</w:t>
            </w:r>
          </w:p>
        </w:tc>
        <w:tc>
          <w:tcPr>
            <w:tcW w:w="866" w:type="dxa"/>
            <w:shd w:val="clear" w:color="auto" w:fill="F9FCF9"/>
          </w:tcPr>
          <w:p>
            <w:pPr>
              <w:pStyle w:val="TableParagraph"/>
              <w:spacing w:line="167" w:lineRule="exact" w:before="8"/>
              <w:ind w:left="39" w:right="26"/>
              <w:rPr>
                <w:sz w:val="16"/>
              </w:rPr>
            </w:pPr>
            <w:r>
              <w:rPr>
                <w:sz w:val="16"/>
              </w:rPr>
              <w:t>827</w:t>
            </w:r>
          </w:p>
        </w:tc>
        <w:tc>
          <w:tcPr>
            <w:tcW w:w="866" w:type="dxa"/>
            <w:shd w:val="clear" w:color="auto" w:fill="F9FCF9"/>
          </w:tcPr>
          <w:p>
            <w:pPr>
              <w:pStyle w:val="TableParagraph"/>
              <w:spacing w:line="167" w:lineRule="exact" w:before="8"/>
              <w:ind w:left="40" w:right="26"/>
              <w:rPr>
                <w:sz w:val="16"/>
              </w:rPr>
            </w:pPr>
            <w:r>
              <w:rPr>
                <w:sz w:val="16"/>
              </w:rPr>
              <w:t>776</w:t>
            </w:r>
          </w:p>
        </w:tc>
        <w:tc>
          <w:tcPr>
            <w:tcW w:w="794" w:type="dxa"/>
            <w:shd w:val="clear" w:color="auto" w:fill="F9FCF9"/>
          </w:tcPr>
          <w:p>
            <w:pPr>
              <w:pStyle w:val="TableParagraph"/>
              <w:spacing w:line="167" w:lineRule="exact" w:before="8"/>
              <w:ind w:left="21" w:right="6"/>
              <w:rPr>
                <w:sz w:val="16"/>
              </w:rPr>
            </w:pPr>
            <w:r>
              <w:rPr>
                <w:sz w:val="16"/>
              </w:rPr>
              <w:t>527</w:t>
            </w:r>
          </w:p>
        </w:tc>
        <w:tc>
          <w:tcPr>
            <w:tcW w:w="786" w:type="dxa"/>
            <w:shd w:val="clear" w:color="auto" w:fill="F9FCF9"/>
          </w:tcPr>
          <w:p>
            <w:pPr>
              <w:pStyle w:val="TableParagraph"/>
              <w:spacing w:line="167" w:lineRule="exact" w:before="8"/>
              <w:ind w:left="18" w:right="2"/>
              <w:rPr>
                <w:sz w:val="16"/>
              </w:rPr>
            </w:pPr>
            <w:r>
              <w:rPr>
                <w:sz w:val="16"/>
              </w:rPr>
              <w:t>527</w:t>
            </w:r>
          </w:p>
        </w:tc>
        <w:tc>
          <w:tcPr>
            <w:tcW w:w="503" w:type="dxa"/>
            <w:shd w:val="clear" w:color="auto" w:fill="F9FCF9"/>
          </w:tcPr>
          <w:p>
            <w:pPr>
              <w:pStyle w:val="TableParagraph"/>
              <w:spacing w:line="167" w:lineRule="exact" w:before="8"/>
              <w:ind w:left="75" w:right="58"/>
              <w:rPr>
                <w:b/>
                <w:sz w:val="16"/>
              </w:rPr>
            </w:pPr>
            <w:r>
              <w:rPr>
                <w:b/>
                <w:sz w:val="16"/>
              </w:rPr>
              <w:t>401</w:t>
            </w:r>
          </w:p>
        </w:tc>
        <w:tc>
          <w:tcPr>
            <w:tcW w:w="1070" w:type="dxa"/>
            <w:shd w:val="clear" w:color="auto" w:fill="F9FCF9"/>
          </w:tcPr>
          <w:p>
            <w:pPr>
              <w:pStyle w:val="TableParagraph"/>
              <w:spacing w:line="167" w:lineRule="exact" w:before="8"/>
              <w:ind w:left="359" w:right="340"/>
              <w:rPr>
                <w:b/>
                <w:sz w:val="16"/>
              </w:rPr>
            </w:pPr>
            <w:r>
              <w:rPr>
                <w:b/>
                <w:sz w:val="16"/>
              </w:rPr>
              <w:t>827</w:t>
            </w:r>
          </w:p>
        </w:tc>
      </w:tr>
      <w:tr>
        <w:trPr>
          <w:trHeight w:val="195" w:hRule="atLeast"/>
        </w:trPr>
        <w:tc>
          <w:tcPr>
            <w:tcW w:w="2783" w:type="dxa"/>
            <w:shd w:val="clear" w:color="auto" w:fill="F9FCF9"/>
          </w:tcPr>
          <w:p>
            <w:pPr>
              <w:pStyle w:val="TableParagraph"/>
              <w:spacing w:line="167" w:lineRule="exact" w:before="8"/>
              <w:ind w:left="20"/>
              <w:jc w:val="left"/>
              <w:rPr>
                <w:sz w:val="16"/>
              </w:rPr>
            </w:pPr>
            <w:r>
              <w:rPr>
                <w:sz w:val="16"/>
              </w:rPr>
              <w:t>Plant capacity factor (%)</w:t>
            </w:r>
          </w:p>
        </w:tc>
        <w:tc>
          <w:tcPr>
            <w:tcW w:w="866" w:type="dxa"/>
            <w:shd w:val="clear" w:color="auto" w:fill="F9FCF9"/>
          </w:tcPr>
          <w:p>
            <w:pPr>
              <w:pStyle w:val="TableParagraph"/>
              <w:spacing w:line="167" w:lineRule="exact" w:before="8"/>
              <w:ind w:left="33" w:right="26"/>
              <w:rPr>
                <w:sz w:val="16"/>
              </w:rPr>
            </w:pPr>
            <w:r>
              <w:rPr>
                <w:sz w:val="16"/>
              </w:rPr>
              <w:t>85</w:t>
            </w:r>
          </w:p>
        </w:tc>
        <w:tc>
          <w:tcPr>
            <w:tcW w:w="758" w:type="dxa"/>
            <w:shd w:val="clear" w:color="auto" w:fill="F9FCF9"/>
          </w:tcPr>
          <w:p>
            <w:pPr>
              <w:pStyle w:val="TableParagraph"/>
              <w:spacing w:line="167" w:lineRule="exact" w:before="8"/>
              <w:ind w:left="31" w:right="23"/>
              <w:rPr>
                <w:sz w:val="16"/>
              </w:rPr>
            </w:pPr>
            <w:r>
              <w:rPr>
                <w:sz w:val="16"/>
              </w:rPr>
              <w:t>85</w:t>
            </w:r>
          </w:p>
        </w:tc>
        <w:tc>
          <w:tcPr>
            <w:tcW w:w="818" w:type="dxa"/>
            <w:shd w:val="clear" w:color="auto" w:fill="F9FCF9"/>
          </w:tcPr>
          <w:p>
            <w:pPr>
              <w:pStyle w:val="TableParagraph"/>
              <w:spacing w:line="167" w:lineRule="exact" w:before="8"/>
              <w:ind w:left="61" w:right="52"/>
              <w:rPr>
                <w:sz w:val="16"/>
              </w:rPr>
            </w:pPr>
            <w:r>
              <w:rPr>
                <w:sz w:val="16"/>
              </w:rPr>
              <w:t>65</w:t>
            </w:r>
          </w:p>
        </w:tc>
        <w:tc>
          <w:tcPr>
            <w:tcW w:w="866" w:type="dxa"/>
            <w:shd w:val="clear" w:color="auto" w:fill="F9FCF9"/>
          </w:tcPr>
          <w:p>
            <w:pPr>
              <w:pStyle w:val="TableParagraph"/>
              <w:spacing w:line="167" w:lineRule="exact" w:before="8"/>
              <w:ind w:left="36" w:right="26"/>
              <w:rPr>
                <w:sz w:val="16"/>
              </w:rPr>
            </w:pPr>
            <w:r>
              <w:rPr>
                <w:sz w:val="16"/>
              </w:rPr>
              <w:t>65</w:t>
            </w:r>
          </w:p>
        </w:tc>
        <w:tc>
          <w:tcPr>
            <w:tcW w:w="866" w:type="dxa"/>
            <w:shd w:val="clear" w:color="auto" w:fill="F9FCF9"/>
          </w:tcPr>
          <w:p>
            <w:pPr>
              <w:pStyle w:val="TableParagraph"/>
              <w:spacing w:line="167" w:lineRule="exact" w:before="8"/>
              <w:ind w:left="37" w:right="26"/>
              <w:rPr>
                <w:sz w:val="16"/>
              </w:rPr>
            </w:pPr>
            <w:r>
              <w:rPr>
                <w:sz w:val="16"/>
              </w:rPr>
              <w:t>80</w:t>
            </w:r>
          </w:p>
        </w:tc>
        <w:tc>
          <w:tcPr>
            <w:tcW w:w="978" w:type="dxa"/>
            <w:shd w:val="clear" w:color="auto" w:fill="F9FCF9"/>
          </w:tcPr>
          <w:p>
            <w:pPr>
              <w:pStyle w:val="TableParagraph"/>
              <w:spacing w:line="167" w:lineRule="exact" w:before="8"/>
              <w:ind w:left="173" w:right="162"/>
              <w:rPr>
                <w:sz w:val="16"/>
              </w:rPr>
            </w:pPr>
            <w:r>
              <w:rPr>
                <w:sz w:val="16"/>
              </w:rPr>
              <w:t>80</w:t>
            </w:r>
          </w:p>
        </w:tc>
        <w:tc>
          <w:tcPr>
            <w:tcW w:w="742" w:type="dxa"/>
            <w:shd w:val="clear" w:color="auto" w:fill="F9FCF9"/>
          </w:tcPr>
          <w:p>
            <w:pPr>
              <w:pStyle w:val="TableParagraph"/>
              <w:spacing w:line="167" w:lineRule="exact" w:before="8"/>
              <w:ind w:left="12"/>
              <w:rPr>
                <w:sz w:val="16"/>
              </w:rPr>
            </w:pPr>
            <w:r>
              <w:rPr>
                <w:sz w:val="16"/>
              </w:rPr>
              <w:t>85</w:t>
            </w:r>
          </w:p>
        </w:tc>
        <w:tc>
          <w:tcPr>
            <w:tcW w:w="866" w:type="dxa"/>
            <w:shd w:val="clear" w:color="auto" w:fill="F9FCF9"/>
          </w:tcPr>
          <w:p>
            <w:pPr>
              <w:pStyle w:val="TableParagraph"/>
              <w:spacing w:line="167" w:lineRule="exact" w:before="8"/>
              <w:ind w:left="39" w:right="26"/>
              <w:rPr>
                <w:sz w:val="16"/>
              </w:rPr>
            </w:pPr>
            <w:r>
              <w:rPr>
                <w:sz w:val="16"/>
              </w:rPr>
              <w:t>85</w:t>
            </w:r>
          </w:p>
        </w:tc>
        <w:tc>
          <w:tcPr>
            <w:tcW w:w="866" w:type="dxa"/>
            <w:shd w:val="clear" w:color="auto" w:fill="F9FCF9"/>
          </w:tcPr>
          <w:p>
            <w:pPr>
              <w:pStyle w:val="TableParagraph"/>
              <w:spacing w:line="167" w:lineRule="exact" w:before="8"/>
              <w:ind w:left="40" w:right="26"/>
              <w:rPr>
                <w:sz w:val="16"/>
              </w:rPr>
            </w:pPr>
            <w:r>
              <w:rPr>
                <w:sz w:val="16"/>
              </w:rPr>
              <w:t>85</w:t>
            </w:r>
          </w:p>
        </w:tc>
        <w:tc>
          <w:tcPr>
            <w:tcW w:w="794" w:type="dxa"/>
            <w:shd w:val="clear" w:color="auto" w:fill="F9FCF9"/>
          </w:tcPr>
          <w:p>
            <w:pPr>
              <w:pStyle w:val="TableParagraph"/>
              <w:spacing w:line="167" w:lineRule="exact" w:before="8"/>
              <w:ind w:left="21" w:right="6"/>
              <w:rPr>
                <w:sz w:val="16"/>
              </w:rPr>
            </w:pPr>
            <w:r>
              <w:rPr>
                <w:sz w:val="16"/>
              </w:rPr>
              <w:t>75</w:t>
            </w:r>
          </w:p>
        </w:tc>
        <w:tc>
          <w:tcPr>
            <w:tcW w:w="786" w:type="dxa"/>
            <w:shd w:val="clear" w:color="auto" w:fill="F9FCF9"/>
          </w:tcPr>
          <w:p>
            <w:pPr>
              <w:pStyle w:val="TableParagraph"/>
              <w:spacing w:line="167" w:lineRule="exact" w:before="8"/>
              <w:ind w:left="18" w:right="2"/>
              <w:rPr>
                <w:sz w:val="16"/>
              </w:rPr>
            </w:pPr>
            <w:r>
              <w:rPr>
                <w:sz w:val="16"/>
              </w:rPr>
              <w:t>65</w:t>
            </w:r>
          </w:p>
        </w:tc>
        <w:tc>
          <w:tcPr>
            <w:tcW w:w="503" w:type="dxa"/>
            <w:shd w:val="clear" w:color="auto" w:fill="F9FCF9"/>
          </w:tcPr>
          <w:p>
            <w:pPr>
              <w:pStyle w:val="TableParagraph"/>
              <w:spacing w:line="167" w:lineRule="exact" w:before="8"/>
              <w:ind w:left="75" w:right="58"/>
              <w:rPr>
                <w:b/>
                <w:sz w:val="16"/>
              </w:rPr>
            </w:pPr>
            <w:r>
              <w:rPr>
                <w:b/>
                <w:sz w:val="16"/>
              </w:rPr>
              <w:t>65</w:t>
            </w:r>
          </w:p>
        </w:tc>
        <w:tc>
          <w:tcPr>
            <w:tcW w:w="1070" w:type="dxa"/>
            <w:shd w:val="clear" w:color="auto" w:fill="F9FCF9"/>
          </w:tcPr>
          <w:p>
            <w:pPr>
              <w:pStyle w:val="TableParagraph"/>
              <w:spacing w:line="167" w:lineRule="exact" w:before="8"/>
              <w:ind w:left="359" w:right="340"/>
              <w:rPr>
                <w:b/>
                <w:sz w:val="16"/>
              </w:rPr>
            </w:pPr>
            <w:r>
              <w:rPr>
                <w:b/>
                <w:sz w:val="16"/>
              </w:rPr>
              <w:t>85</w:t>
            </w:r>
          </w:p>
        </w:tc>
      </w:tr>
      <w:tr>
        <w:trPr>
          <w:trHeight w:val="195" w:hRule="atLeast"/>
        </w:trPr>
        <w:tc>
          <w:tcPr>
            <w:tcW w:w="2783" w:type="dxa"/>
            <w:shd w:val="clear" w:color="auto" w:fill="F9FCF9"/>
          </w:tcPr>
          <w:p>
            <w:pPr>
              <w:pStyle w:val="TableParagraph"/>
              <w:spacing w:line="167" w:lineRule="exact" w:before="8"/>
              <w:ind w:left="20"/>
              <w:jc w:val="left"/>
              <w:rPr>
                <w:sz w:val="16"/>
              </w:rPr>
            </w:pPr>
            <w:r>
              <w:rPr>
                <w:sz w:val="16"/>
              </w:rPr>
              <w:t>Net plant efficiency, LHV (%)</w:t>
            </w:r>
          </w:p>
        </w:tc>
        <w:tc>
          <w:tcPr>
            <w:tcW w:w="866" w:type="dxa"/>
            <w:shd w:val="clear" w:color="auto" w:fill="F9FCF9"/>
          </w:tcPr>
          <w:p>
            <w:pPr>
              <w:pStyle w:val="TableParagraph"/>
              <w:spacing w:line="167" w:lineRule="exact" w:before="8"/>
              <w:ind w:left="33" w:right="26"/>
              <w:rPr>
                <w:sz w:val="16"/>
              </w:rPr>
            </w:pPr>
            <w:r>
              <w:rPr>
                <w:sz w:val="16"/>
              </w:rPr>
              <w:t>47.4</w:t>
            </w:r>
          </w:p>
        </w:tc>
        <w:tc>
          <w:tcPr>
            <w:tcW w:w="758" w:type="dxa"/>
            <w:shd w:val="clear" w:color="auto" w:fill="F9FCF9"/>
          </w:tcPr>
          <w:p>
            <w:pPr>
              <w:pStyle w:val="TableParagraph"/>
              <w:spacing w:line="167" w:lineRule="exact" w:before="8"/>
              <w:ind w:left="31" w:right="23"/>
              <w:rPr>
                <w:sz w:val="16"/>
              </w:rPr>
            </w:pPr>
            <w:r>
              <w:rPr>
                <w:sz w:val="16"/>
              </w:rPr>
              <w:t>46.7</w:t>
            </w:r>
          </w:p>
        </w:tc>
        <w:tc>
          <w:tcPr>
            <w:tcW w:w="818" w:type="dxa"/>
            <w:shd w:val="clear" w:color="auto" w:fill="F9FCF9"/>
          </w:tcPr>
          <w:p>
            <w:pPr>
              <w:pStyle w:val="TableParagraph"/>
              <w:spacing w:line="167" w:lineRule="exact" w:before="8"/>
              <w:ind w:left="61" w:right="52"/>
              <w:rPr>
                <w:sz w:val="16"/>
              </w:rPr>
            </w:pPr>
            <w:r>
              <w:rPr>
                <w:sz w:val="16"/>
              </w:rPr>
              <w:t>39.1</w:t>
            </w:r>
          </w:p>
        </w:tc>
        <w:tc>
          <w:tcPr>
            <w:tcW w:w="866" w:type="dxa"/>
            <w:shd w:val="clear" w:color="auto" w:fill="F9FCF9"/>
          </w:tcPr>
          <w:p>
            <w:pPr>
              <w:pStyle w:val="TableParagraph"/>
              <w:spacing w:line="167" w:lineRule="exact" w:before="8"/>
              <w:ind w:left="36" w:right="26"/>
              <w:rPr>
                <w:sz w:val="16"/>
              </w:rPr>
            </w:pPr>
            <w:r>
              <w:rPr>
                <w:sz w:val="16"/>
              </w:rPr>
              <w:t>44.8</w:t>
            </w:r>
          </w:p>
        </w:tc>
        <w:tc>
          <w:tcPr>
            <w:tcW w:w="866" w:type="dxa"/>
            <w:shd w:val="clear" w:color="auto" w:fill="F9FCF9"/>
          </w:tcPr>
          <w:p>
            <w:pPr>
              <w:pStyle w:val="TableParagraph"/>
              <w:spacing w:line="167" w:lineRule="exact" w:before="8"/>
              <w:ind w:left="37" w:right="26"/>
              <w:rPr>
                <w:sz w:val="16"/>
              </w:rPr>
            </w:pPr>
            <w:r>
              <w:rPr>
                <w:sz w:val="16"/>
              </w:rPr>
              <w:t>44.6</w:t>
            </w:r>
          </w:p>
        </w:tc>
        <w:tc>
          <w:tcPr>
            <w:tcW w:w="978" w:type="dxa"/>
            <w:shd w:val="clear" w:color="auto" w:fill="F9FCF9"/>
          </w:tcPr>
          <w:p>
            <w:pPr>
              <w:pStyle w:val="TableParagraph"/>
              <w:jc w:val="left"/>
              <w:rPr>
                <w:sz w:val="12"/>
              </w:rPr>
            </w:pPr>
          </w:p>
        </w:tc>
        <w:tc>
          <w:tcPr>
            <w:tcW w:w="742" w:type="dxa"/>
            <w:shd w:val="clear" w:color="auto" w:fill="F9FCF9"/>
          </w:tcPr>
          <w:p>
            <w:pPr>
              <w:pStyle w:val="TableParagraph"/>
              <w:spacing w:line="167" w:lineRule="exact" w:before="8"/>
              <w:ind w:left="12"/>
              <w:rPr>
                <w:sz w:val="16"/>
              </w:rPr>
            </w:pPr>
            <w:r>
              <w:rPr>
                <w:sz w:val="16"/>
              </w:rPr>
              <w:t>38.0</w:t>
            </w:r>
          </w:p>
        </w:tc>
        <w:tc>
          <w:tcPr>
            <w:tcW w:w="866" w:type="dxa"/>
            <w:shd w:val="clear" w:color="auto" w:fill="F9FCF9"/>
          </w:tcPr>
          <w:p>
            <w:pPr>
              <w:pStyle w:val="TableParagraph"/>
              <w:spacing w:line="167" w:lineRule="exact" w:before="8"/>
              <w:ind w:left="294"/>
              <w:jc w:val="left"/>
              <w:rPr>
                <w:sz w:val="16"/>
              </w:rPr>
            </w:pPr>
            <w:r>
              <w:rPr>
                <w:sz w:val="16"/>
              </w:rPr>
              <w:t>38.0</w:t>
            </w:r>
          </w:p>
        </w:tc>
        <w:tc>
          <w:tcPr>
            <w:tcW w:w="866" w:type="dxa"/>
            <w:shd w:val="clear" w:color="auto" w:fill="F9FCF9"/>
          </w:tcPr>
          <w:p>
            <w:pPr>
              <w:pStyle w:val="TableParagraph"/>
              <w:spacing w:line="167" w:lineRule="exact" w:before="8"/>
              <w:ind w:left="40" w:right="26"/>
              <w:rPr>
                <w:sz w:val="16"/>
              </w:rPr>
            </w:pPr>
            <w:r>
              <w:rPr>
                <w:sz w:val="16"/>
              </w:rPr>
              <w:t>43.1</w:t>
            </w:r>
          </w:p>
        </w:tc>
        <w:tc>
          <w:tcPr>
            <w:tcW w:w="794" w:type="dxa"/>
            <w:shd w:val="clear" w:color="auto" w:fill="F9FCF9"/>
          </w:tcPr>
          <w:p>
            <w:pPr>
              <w:pStyle w:val="TableParagraph"/>
              <w:spacing w:line="167" w:lineRule="exact" w:before="8"/>
              <w:ind w:left="21" w:right="6"/>
              <w:rPr>
                <w:sz w:val="16"/>
              </w:rPr>
            </w:pPr>
            <w:r>
              <w:rPr>
                <w:sz w:val="16"/>
              </w:rPr>
              <w:t>39.1</w:t>
            </w:r>
          </w:p>
        </w:tc>
        <w:tc>
          <w:tcPr>
            <w:tcW w:w="786" w:type="dxa"/>
            <w:shd w:val="clear" w:color="auto" w:fill="F9FCF9"/>
          </w:tcPr>
          <w:p>
            <w:pPr>
              <w:pStyle w:val="TableParagraph"/>
              <w:spacing w:line="167" w:lineRule="exact" w:before="8"/>
              <w:ind w:left="18" w:right="2"/>
              <w:rPr>
                <w:sz w:val="16"/>
              </w:rPr>
            </w:pPr>
            <w:r>
              <w:rPr>
                <w:sz w:val="16"/>
              </w:rPr>
              <w:t>39.1</w:t>
            </w:r>
          </w:p>
        </w:tc>
        <w:tc>
          <w:tcPr>
            <w:tcW w:w="503" w:type="dxa"/>
            <w:shd w:val="clear" w:color="auto" w:fill="F9FCF9"/>
          </w:tcPr>
          <w:p>
            <w:pPr>
              <w:pStyle w:val="TableParagraph"/>
              <w:spacing w:line="167" w:lineRule="exact" w:before="8"/>
              <w:ind w:left="75" w:right="58"/>
              <w:rPr>
                <w:b/>
                <w:sz w:val="16"/>
              </w:rPr>
            </w:pPr>
            <w:r>
              <w:rPr>
                <w:b/>
                <w:sz w:val="16"/>
              </w:rPr>
              <w:t>38</w:t>
            </w:r>
          </w:p>
        </w:tc>
        <w:tc>
          <w:tcPr>
            <w:tcW w:w="1070" w:type="dxa"/>
            <w:shd w:val="clear" w:color="auto" w:fill="F9FCF9"/>
          </w:tcPr>
          <w:p>
            <w:pPr>
              <w:pStyle w:val="TableParagraph"/>
              <w:spacing w:line="167" w:lineRule="exact" w:before="8"/>
              <w:ind w:left="359" w:right="340"/>
              <w:rPr>
                <w:b/>
                <w:sz w:val="16"/>
              </w:rPr>
            </w:pPr>
            <w:r>
              <w:rPr>
                <w:b/>
                <w:sz w:val="16"/>
              </w:rPr>
              <w:t>47</w:t>
            </w:r>
          </w:p>
        </w:tc>
      </w:tr>
      <w:tr>
        <w:trPr>
          <w:trHeight w:val="195" w:hRule="atLeast"/>
        </w:trPr>
        <w:tc>
          <w:tcPr>
            <w:tcW w:w="2783" w:type="dxa"/>
            <w:shd w:val="clear" w:color="auto" w:fill="F9FCF9"/>
          </w:tcPr>
          <w:p>
            <w:pPr>
              <w:pStyle w:val="TableParagraph"/>
              <w:spacing w:line="167" w:lineRule="exact" w:before="8"/>
              <w:ind w:left="20"/>
              <w:jc w:val="left"/>
              <w:rPr>
                <w:sz w:val="16"/>
              </w:rPr>
            </w:pPr>
            <w:r>
              <w:rPr>
                <w:sz w:val="16"/>
              </w:rPr>
              <w:t>Fuel cost, LHV (US$ GJ</w:t>
            </w:r>
            <w:r>
              <w:rPr>
                <w:position w:val="5"/>
                <w:sz w:val="9"/>
              </w:rPr>
              <w:t>-1</w:t>
            </w:r>
            <w:r>
              <w:rPr>
                <w:sz w:val="16"/>
              </w:rPr>
              <w:t>)</w:t>
            </w:r>
          </w:p>
        </w:tc>
        <w:tc>
          <w:tcPr>
            <w:tcW w:w="866" w:type="dxa"/>
            <w:shd w:val="clear" w:color="auto" w:fill="F9FCF9"/>
          </w:tcPr>
          <w:p>
            <w:pPr>
              <w:pStyle w:val="TableParagraph"/>
              <w:spacing w:line="167" w:lineRule="exact" w:before="8"/>
              <w:ind w:left="33" w:right="26"/>
              <w:rPr>
                <w:sz w:val="16"/>
              </w:rPr>
            </w:pPr>
            <w:r>
              <w:rPr>
                <w:sz w:val="16"/>
              </w:rPr>
              <w:t>1.03</w:t>
            </w:r>
          </w:p>
        </w:tc>
        <w:tc>
          <w:tcPr>
            <w:tcW w:w="758" w:type="dxa"/>
            <w:shd w:val="clear" w:color="auto" w:fill="F9FCF9"/>
          </w:tcPr>
          <w:p>
            <w:pPr>
              <w:pStyle w:val="TableParagraph"/>
              <w:spacing w:line="167" w:lineRule="exact" w:before="8"/>
              <w:ind w:left="31" w:right="23"/>
              <w:rPr>
                <w:sz w:val="16"/>
              </w:rPr>
            </w:pPr>
            <w:r>
              <w:rPr>
                <w:sz w:val="16"/>
              </w:rPr>
              <w:t>1.03</w:t>
            </w:r>
          </w:p>
        </w:tc>
        <w:tc>
          <w:tcPr>
            <w:tcW w:w="818" w:type="dxa"/>
            <w:shd w:val="clear" w:color="auto" w:fill="F9FCF9"/>
          </w:tcPr>
          <w:p>
            <w:pPr>
              <w:pStyle w:val="TableParagraph"/>
              <w:spacing w:line="167" w:lineRule="exact" w:before="8"/>
              <w:ind w:left="61" w:right="52"/>
              <w:rPr>
                <w:sz w:val="16"/>
              </w:rPr>
            </w:pPr>
            <w:r>
              <w:rPr>
                <w:sz w:val="16"/>
              </w:rPr>
              <w:t>1.28</w:t>
            </w:r>
          </w:p>
        </w:tc>
        <w:tc>
          <w:tcPr>
            <w:tcW w:w="866" w:type="dxa"/>
            <w:shd w:val="clear" w:color="auto" w:fill="F9FCF9"/>
          </w:tcPr>
          <w:p>
            <w:pPr>
              <w:pStyle w:val="TableParagraph"/>
              <w:spacing w:line="167" w:lineRule="exact" w:before="8"/>
              <w:ind w:left="36" w:right="26"/>
              <w:rPr>
                <w:sz w:val="16"/>
              </w:rPr>
            </w:pPr>
            <w:r>
              <w:rPr>
                <w:sz w:val="16"/>
              </w:rPr>
              <w:t>1.29</w:t>
            </w:r>
          </w:p>
        </w:tc>
        <w:tc>
          <w:tcPr>
            <w:tcW w:w="866" w:type="dxa"/>
            <w:shd w:val="clear" w:color="auto" w:fill="F9FCF9"/>
          </w:tcPr>
          <w:p>
            <w:pPr>
              <w:pStyle w:val="TableParagraph"/>
              <w:spacing w:line="167" w:lineRule="exact" w:before="8"/>
              <w:ind w:left="37" w:right="26"/>
              <w:rPr>
                <w:sz w:val="16"/>
              </w:rPr>
            </w:pPr>
            <w:r>
              <w:rPr>
                <w:sz w:val="16"/>
              </w:rPr>
              <w:t>0.98</w:t>
            </w:r>
          </w:p>
        </w:tc>
        <w:tc>
          <w:tcPr>
            <w:tcW w:w="978" w:type="dxa"/>
            <w:shd w:val="clear" w:color="auto" w:fill="F9FCF9"/>
          </w:tcPr>
          <w:p>
            <w:pPr>
              <w:pStyle w:val="TableParagraph"/>
              <w:spacing w:line="167" w:lineRule="exact" w:before="8"/>
              <w:ind w:left="173" w:right="162"/>
              <w:rPr>
                <w:sz w:val="16"/>
              </w:rPr>
            </w:pPr>
            <w:r>
              <w:rPr>
                <w:sz w:val="16"/>
              </w:rPr>
              <w:t>1.23</w:t>
            </w:r>
          </w:p>
        </w:tc>
        <w:tc>
          <w:tcPr>
            <w:tcW w:w="742" w:type="dxa"/>
            <w:shd w:val="clear" w:color="auto" w:fill="F9FCF9"/>
          </w:tcPr>
          <w:p>
            <w:pPr>
              <w:pStyle w:val="TableParagraph"/>
              <w:spacing w:line="167" w:lineRule="exact" w:before="8"/>
              <w:ind w:left="12"/>
              <w:rPr>
                <w:sz w:val="16"/>
              </w:rPr>
            </w:pPr>
            <w:r>
              <w:rPr>
                <w:sz w:val="16"/>
              </w:rPr>
              <w:t>1.50</w:t>
            </w:r>
          </w:p>
        </w:tc>
        <w:tc>
          <w:tcPr>
            <w:tcW w:w="866" w:type="dxa"/>
            <w:shd w:val="clear" w:color="auto" w:fill="F9FCF9"/>
          </w:tcPr>
          <w:p>
            <w:pPr>
              <w:pStyle w:val="TableParagraph"/>
              <w:spacing w:line="167" w:lineRule="exact" w:before="8"/>
              <w:ind w:left="294"/>
              <w:jc w:val="left"/>
              <w:rPr>
                <w:sz w:val="16"/>
              </w:rPr>
            </w:pPr>
            <w:r>
              <w:rPr>
                <w:sz w:val="16"/>
              </w:rPr>
              <w:t>1.50</w:t>
            </w:r>
          </w:p>
        </w:tc>
        <w:tc>
          <w:tcPr>
            <w:tcW w:w="866" w:type="dxa"/>
            <w:shd w:val="clear" w:color="auto" w:fill="F9FCF9"/>
          </w:tcPr>
          <w:p>
            <w:pPr>
              <w:pStyle w:val="TableParagraph"/>
              <w:spacing w:line="167" w:lineRule="exact" w:before="8"/>
              <w:ind w:left="40" w:right="26"/>
              <w:rPr>
                <w:sz w:val="16"/>
              </w:rPr>
            </w:pPr>
            <w:r>
              <w:rPr>
                <w:sz w:val="16"/>
              </w:rPr>
              <w:t>1.50</w:t>
            </w:r>
          </w:p>
        </w:tc>
        <w:tc>
          <w:tcPr>
            <w:tcW w:w="794" w:type="dxa"/>
            <w:shd w:val="clear" w:color="auto" w:fill="F9FCF9"/>
          </w:tcPr>
          <w:p>
            <w:pPr>
              <w:pStyle w:val="TableParagraph"/>
              <w:spacing w:line="167" w:lineRule="exact" w:before="8"/>
              <w:ind w:left="21" w:right="6"/>
              <w:rPr>
                <w:sz w:val="16"/>
              </w:rPr>
            </w:pPr>
            <w:r>
              <w:rPr>
                <w:sz w:val="16"/>
              </w:rPr>
              <w:t>1.25</w:t>
            </w:r>
          </w:p>
        </w:tc>
        <w:tc>
          <w:tcPr>
            <w:tcW w:w="786" w:type="dxa"/>
            <w:shd w:val="clear" w:color="auto" w:fill="F9FCF9"/>
          </w:tcPr>
          <w:p>
            <w:pPr>
              <w:pStyle w:val="TableParagraph"/>
              <w:spacing w:line="167" w:lineRule="exact" w:before="8"/>
              <w:ind w:left="18" w:right="2"/>
              <w:rPr>
                <w:sz w:val="16"/>
              </w:rPr>
            </w:pPr>
            <w:r>
              <w:rPr>
                <w:sz w:val="16"/>
              </w:rPr>
              <w:t>1.25</w:t>
            </w:r>
          </w:p>
        </w:tc>
        <w:tc>
          <w:tcPr>
            <w:tcW w:w="503" w:type="dxa"/>
            <w:shd w:val="clear" w:color="auto" w:fill="F9FCF9"/>
          </w:tcPr>
          <w:p>
            <w:pPr>
              <w:pStyle w:val="TableParagraph"/>
              <w:spacing w:line="167" w:lineRule="exact" w:before="8"/>
              <w:ind w:left="75" w:right="58"/>
              <w:rPr>
                <w:b/>
                <w:sz w:val="16"/>
              </w:rPr>
            </w:pPr>
            <w:r>
              <w:rPr>
                <w:b/>
                <w:sz w:val="16"/>
              </w:rPr>
              <w:t>0.98</w:t>
            </w:r>
          </w:p>
        </w:tc>
        <w:tc>
          <w:tcPr>
            <w:tcW w:w="1070" w:type="dxa"/>
            <w:shd w:val="clear" w:color="auto" w:fill="F9FCF9"/>
          </w:tcPr>
          <w:p>
            <w:pPr>
              <w:pStyle w:val="TableParagraph"/>
              <w:spacing w:line="167" w:lineRule="exact" w:before="8"/>
              <w:ind w:left="359" w:right="340"/>
              <w:rPr>
                <w:b/>
                <w:sz w:val="16"/>
              </w:rPr>
            </w:pPr>
            <w:r>
              <w:rPr>
                <w:b/>
                <w:sz w:val="16"/>
              </w:rPr>
              <w:t>1.50</w:t>
            </w:r>
          </w:p>
        </w:tc>
      </w:tr>
      <w:tr>
        <w:trPr>
          <w:trHeight w:val="387" w:hRule="atLeast"/>
        </w:trPr>
        <w:tc>
          <w:tcPr>
            <w:tcW w:w="2783" w:type="dxa"/>
            <w:shd w:val="clear" w:color="auto" w:fill="F9FCF9"/>
          </w:tcPr>
          <w:p>
            <w:pPr>
              <w:pStyle w:val="TableParagraph"/>
              <w:spacing w:before="8"/>
              <w:ind w:left="20"/>
              <w:jc w:val="left"/>
              <w:rPr>
                <w:sz w:val="16"/>
              </w:rPr>
            </w:pPr>
            <w:r>
              <w:rPr>
                <w:sz w:val="16"/>
              </w:rPr>
              <w:t>Reference plant emission rate</w:t>
            </w:r>
          </w:p>
          <w:p>
            <w:pPr>
              <w:pStyle w:val="TableParagraph"/>
              <w:spacing w:line="45" w:lineRule="exact" w:before="20"/>
              <w:ind w:left="804"/>
              <w:jc w:val="left"/>
              <w:rPr>
                <w:sz w:val="9"/>
              </w:rPr>
            </w:pPr>
            <w:r>
              <w:rPr>
                <w:w w:val="105"/>
                <w:sz w:val="9"/>
              </w:rPr>
              <w:t>-1</w:t>
            </w:r>
          </w:p>
          <w:p>
            <w:pPr>
              <w:pStyle w:val="TableParagraph"/>
              <w:spacing w:line="109" w:lineRule="exact"/>
              <w:ind w:left="20"/>
              <w:jc w:val="left"/>
              <w:rPr>
                <w:sz w:val="16"/>
              </w:rPr>
            </w:pPr>
            <w:r>
              <w:rPr>
                <w:sz w:val="16"/>
              </w:rPr>
              <w:t>(tCO</w:t>
            </w:r>
            <w:r>
              <w:rPr>
                <w:position w:val="-4"/>
                <w:sz w:val="9"/>
              </w:rPr>
              <w:t>2 </w:t>
            </w:r>
            <w:r>
              <w:rPr>
                <w:sz w:val="16"/>
              </w:rPr>
              <w:t>MWh )</w:t>
            </w:r>
          </w:p>
        </w:tc>
        <w:tc>
          <w:tcPr>
            <w:tcW w:w="866" w:type="dxa"/>
            <w:shd w:val="clear" w:color="auto" w:fill="F9FCF9"/>
          </w:tcPr>
          <w:p>
            <w:pPr>
              <w:pStyle w:val="TableParagraph"/>
              <w:spacing w:before="8"/>
              <w:ind w:left="33" w:right="26"/>
              <w:rPr>
                <w:sz w:val="16"/>
              </w:rPr>
            </w:pPr>
            <w:r>
              <w:rPr>
                <w:sz w:val="16"/>
              </w:rPr>
              <w:t>0.682</w:t>
            </w:r>
          </w:p>
        </w:tc>
        <w:tc>
          <w:tcPr>
            <w:tcW w:w="758" w:type="dxa"/>
            <w:shd w:val="clear" w:color="auto" w:fill="F9FCF9"/>
          </w:tcPr>
          <w:p>
            <w:pPr>
              <w:pStyle w:val="TableParagraph"/>
              <w:spacing w:before="8"/>
              <w:ind w:left="31" w:right="23"/>
              <w:rPr>
                <w:sz w:val="16"/>
              </w:rPr>
            </w:pPr>
            <w:r>
              <w:rPr>
                <w:sz w:val="16"/>
              </w:rPr>
              <w:t>0.692</w:t>
            </w:r>
          </w:p>
        </w:tc>
        <w:tc>
          <w:tcPr>
            <w:tcW w:w="818" w:type="dxa"/>
            <w:shd w:val="clear" w:color="auto" w:fill="F9FCF9"/>
          </w:tcPr>
          <w:p>
            <w:pPr>
              <w:pStyle w:val="TableParagraph"/>
              <w:spacing w:before="8"/>
              <w:ind w:left="61" w:right="52"/>
              <w:rPr>
                <w:sz w:val="16"/>
              </w:rPr>
            </w:pPr>
            <w:r>
              <w:rPr>
                <w:sz w:val="16"/>
              </w:rPr>
              <w:t>0.846</w:t>
            </w:r>
          </w:p>
        </w:tc>
        <w:tc>
          <w:tcPr>
            <w:tcW w:w="866" w:type="dxa"/>
            <w:shd w:val="clear" w:color="auto" w:fill="F9FCF9"/>
          </w:tcPr>
          <w:p>
            <w:pPr>
              <w:pStyle w:val="TableParagraph"/>
              <w:spacing w:before="8"/>
              <w:ind w:left="36" w:right="26"/>
              <w:rPr>
                <w:sz w:val="16"/>
              </w:rPr>
            </w:pPr>
            <w:r>
              <w:rPr>
                <w:sz w:val="16"/>
              </w:rPr>
              <w:t>0.718</w:t>
            </w:r>
          </w:p>
        </w:tc>
        <w:tc>
          <w:tcPr>
            <w:tcW w:w="866" w:type="dxa"/>
            <w:shd w:val="clear" w:color="auto" w:fill="F9FCF9"/>
          </w:tcPr>
          <w:p>
            <w:pPr>
              <w:pStyle w:val="TableParagraph"/>
              <w:spacing w:before="8"/>
              <w:ind w:left="37" w:right="26"/>
              <w:rPr>
                <w:sz w:val="16"/>
              </w:rPr>
            </w:pPr>
            <w:r>
              <w:rPr>
                <w:sz w:val="16"/>
              </w:rPr>
              <w:t>0.725</w:t>
            </w:r>
          </w:p>
        </w:tc>
        <w:tc>
          <w:tcPr>
            <w:tcW w:w="978" w:type="dxa"/>
            <w:shd w:val="clear" w:color="auto" w:fill="F9FCF9"/>
          </w:tcPr>
          <w:p>
            <w:pPr>
              <w:pStyle w:val="TableParagraph"/>
              <w:jc w:val="left"/>
              <w:rPr>
                <w:sz w:val="16"/>
              </w:rPr>
            </w:pPr>
          </w:p>
        </w:tc>
        <w:tc>
          <w:tcPr>
            <w:tcW w:w="742" w:type="dxa"/>
            <w:shd w:val="clear" w:color="auto" w:fill="F9FCF9"/>
          </w:tcPr>
          <w:p>
            <w:pPr>
              <w:pStyle w:val="TableParagraph"/>
              <w:spacing w:before="8"/>
              <w:ind w:left="12"/>
              <w:rPr>
                <w:sz w:val="16"/>
              </w:rPr>
            </w:pPr>
            <w:r>
              <w:rPr>
                <w:sz w:val="16"/>
              </w:rPr>
              <w:t>0.833</w:t>
            </w:r>
          </w:p>
        </w:tc>
        <w:tc>
          <w:tcPr>
            <w:tcW w:w="866" w:type="dxa"/>
            <w:shd w:val="clear" w:color="auto" w:fill="F9FCF9"/>
          </w:tcPr>
          <w:p>
            <w:pPr>
              <w:pStyle w:val="TableParagraph"/>
              <w:spacing w:before="8"/>
              <w:ind w:left="254"/>
              <w:jc w:val="left"/>
              <w:rPr>
                <w:sz w:val="16"/>
              </w:rPr>
            </w:pPr>
            <w:r>
              <w:rPr>
                <w:sz w:val="16"/>
              </w:rPr>
              <w:t>0.833</w:t>
            </w:r>
          </w:p>
        </w:tc>
        <w:tc>
          <w:tcPr>
            <w:tcW w:w="866" w:type="dxa"/>
            <w:shd w:val="clear" w:color="auto" w:fill="F9FCF9"/>
          </w:tcPr>
          <w:p>
            <w:pPr>
              <w:pStyle w:val="TableParagraph"/>
              <w:spacing w:before="8"/>
              <w:ind w:left="40" w:right="26"/>
              <w:rPr>
                <w:sz w:val="16"/>
              </w:rPr>
            </w:pPr>
            <w:r>
              <w:rPr>
                <w:sz w:val="16"/>
              </w:rPr>
              <w:t>0.763</w:t>
            </w:r>
          </w:p>
        </w:tc>
        <w:tc>
          <w:tcPr>
            <w:tcW w:w="794" w:type="dxa"/>
            <w:shd w:val="clear" w:color="auto" w:fill="F9FCF9"/>
          </w:tcPr>
          <w:p>
            <w:pPr>
              <w:pStyle w:val="TableParagraph"/>
              <w:spacing w:before="8"/>
              <w:ind w:left="21" w:right="6"/>
              <w:rPr>
                <w:sz w:val="16"/>
              </w:rPr>
            </w:pPr>
            <w:r>
              <w:rPr>
                <w:sz w:val="16"/>
              </w:rPr>
              <w:t>0.817</w:t>
            </w:r>
          </w:p>
        </w:tc>
        <w:tc>
          <w:tcPr>
            <w:tcW w:w="786" w:type="dxa"/>
            <w:shd w:val="clear" w:color="auto" w:fill="F9FCF9"/>
          </w:tcPr>
          <w:p>
            <w:pPr>
              <w:pStyle w:val="TableParagraph"/>
              <w:spacing w:before="8"/>
              <w:ind w:left="18" w:right="2"/>
              <w:rPr>
                <w:sz w:val="16"/>
              </w:rPr>
            </w:pPr>
            <w:r>
              <w:rPr>
                <w:sz w:val="16"/>
              </w:rPr>
              <w:t>0.817</w:t>
            </w:r>
          </w:p>
        </w:tc>
        <w:tc>
          <w:tcPr>
            <w:tcW w:w="503" w:type="dxa"/>
            <w:shd w:val="clear" w:color="auto" w:fill="F9FCF9"/>
          </w:tcPr>
          <w:p>
            <w:pPr>
              <w:pStyle w:val="TableParagraph"/>
              <w:spacing w:before="8"/>
              <w:ind w:left="75" w:right="58"/>
              <w:rPr>
                <w:b/>
                <w:sz w:val="16"/>
              </w:rPr>
            </w:pPr>
            <w:r>
              <w:rPr>
                <w:b/>
                <w:sz w:val="16"/>
              </w:rPr>
              <w:t>0.68</w:t>
            </w:r>
          </w:p>
        </w:tc>
        <w:tc>
          <w:tcPr>
            <w:tcW w:w="1070" w:type="dxa"/>
            <w:shd w:val="clear" w:color="auto" w:fill="F9FCF9"/>
          </w:tcPr>
          <w:p>
            <w:pPr>
              <w:pStyle w:val="TableParagraph"/>
              <w:spacing w:before="8"/>
              <w:ind w:left="359" w:right="340"/>
              <w:rPr>
                <w:b/>
                <w:sz w:val="16"/>
              </w:rPr>
            </w:pPr>
            <w:r>
              <w:rPr>
                <w:b/>
                <w:sz w:val="16"/>
              </w:rPr>
              <w:t>0.85</w:t>
            </w:r>
          </w:p>
        </w:tc>
      </w:tr>
      <w:tr>
        <w:trPr>
          <w:trHeight w:val="195" w:hRule="atLeast"/>
        </w:trPr>
        <w:tc>
          <w:tcPr>
            <w:tcW w:w="2783" w:type="dxa"/>
            <w:shd w:val="clear" w:color="auto" w:fill="F9FCF9"/>
          </w:tcPr>
          <w:p>
            <w:pPr>
              <w:pStyle w:val="TableParagraph"/>
              <w:spacing w:line="167" w:lineRule="exact" w:before="8"/>
              <w:ind w:left="196"/>
              <w:jc w:val="left"/>
              <w:rPr>
                <w:b/>
                <w:i/>
                <w:sz w:val="16"/>
              </w:rPr>
            </w:pPr>
            <w:r>
              <w:rPr>
                <w:b/>
                <w:i/>
                <w:sz w:val="16"/>
              </w:rPr>
              <w:t>Capture Plant Design</w:t>
            </w:r>
          </w:p>
        </w:tc>
        <w:tc>
          <w:tcPr>
            <w:tcW w:w="866" w:type="dxa"/>
            <w:shd w:val="clear" w:color="auto" w:fill="F9FCF9"/>
          </w:tcPr>
          <w:p>
            <w:pPr>
              <w:pStyle w:val="TableParagraph"/>
              <w:jc w:val="left"/>
              <w:rPr>
                <w:sz w:val="12"/>
              </w:rPr>
            </w:pPr>
          </w:p>
        </w:tc>
        <w:tc>
          <w:tcPr>
            <w:tcW w:w="758" w:type="dxa"/>
            <w:shd w:val="clear" w:color="auto" w:fill="F9FCF9"/>
          </w:tcPr>
          <w:p>
            <w:pPr>
              <w:pStyle w:val="TableParagraph"/>
              <w:jc w:val="left"/>
              <w:rPr>
                <w:sz w:val="12"/>
              </w:rPr>
            </w:pPr>
          </w:p>
        </w:tc>
        <w:tc>
          <w:tcPr>
            <w:tcW w:w="818" w:type="dxa"/>
            <w:shd w:val="clear" w:color="auto" w:fill="F9FCF9"/>
          </w:tcPr>
          <w:p>
            <w:pPr>
              <w:pStyle w:val="TableParagraph"/>
              <w:jc w:val="left"/>
              <w:rPr>
                <w:sz w:val="12"/>
              </w:rPr>
            </w:pPr>
          </w:p>
        </w:tc>
        <w:tc>
          <w:tcPr>
            <w:tcW w:w="866" w:type="dxa"/>
            <w:shd w:val="clear" w:color="auto" w:fill="F9FCF9"/>
          </w:tcPr>
          <w:p>
            <w:pPr>
              <w:pStyle w:val="TableParagraph"/>
              <w:jc w:val="left"/>
              <w:rPr>
                <w:sz w:val="12"/>
              </w:rPr>
            </w:pPr>
          </w:p>
        </w:tc>
        <w:tc>
          <w:tcPr>
            <w:tcW w:w="866" w:type="dxa"/>
            <w:shd w:val="clear" w:color="auto" w:fill="F9FCF9"/>
          </w:tcPr>
          <w:p>
            <w:pPr>
              <w:pStyle w:val="TableParagraph"/>
              <w:jc w:val="left"/>
              <w:rPr>
                <w:sz w:val="12"/>
              </w:rPr>
            </w:pPr>
          </w:p>
        </w:tc>
        <w:tc>
          <w:tcPr>
            <w:tcW w:w="978" w:type="dxa"/>
            <w:shd w:val="clear" w:color="auto" w:fill="F9FCF9"/>
          </w:tcPr>
          <w:p>
            <w:pPr>
              <w:pStyle w:val="TableParagraph"/>
              <w:jc w:val="left"/>
              <w:rPr>
                <w:sz w:val="12"/>
              </w:rPr>
            </w:pPr>
          </w:p>
        </w:tc>
        <w:tc>
          <w:tcPr>
            <w:tcW w:w="742" w:type="dxa"/>
            <w:shd w:val="clear" w:color="auto" w:fill="F9FCF9"/>
          </w:tcPr>
          <w:p>
            <w:pPr>
              <w:pStyle w:val="TableParagraph"/>
              <w:jc w:val="left"/>
              <w:rPr>
                <w:sz w:val="12"/>
              </w:rPr>
            </w:pPr>
          </w:p>
        </w:tc>
        <w:tc>
          <w:tcPr>
            <w:tcW w:w="866" w:type="dxa"/>
            <w:shd w:val="clear" w:color="auto" w:fill="F9FCF9"/>
          </w:tcPr>
          <w:p>
            <w:pPr>
              <w:pStyle w:val="TableParagraph"/>
              <w:jc w:val="left"/>
              <w:rPr>
                <w:sz w:val="12"/>
              </w:rPr>
            </w:pPr>
          </w:p>
        </w:tc>
        <w:tc>
          <w:tcPr>
            <w:tcW w:w="866" w:type="dxa"/>
            <w:shd w:val="clear" w:color="auto" w:fill="F9FCF9"/>
          </w:tcPr>
          <w:p>
            <w:pPr>
              <w:pStyle w:val="TableParagraph"/>
              <w:jc w:val="left"/>
              <w:rPr>
                <w:sz w:val="12"/>
              </w:rPr>
            </w:pPr>
          </w:p>
        </w:tc>
        <w:tc>
          <w:tcPr>
            <w:tcW w:w="794" w:type="dxa"/>
            <w:shd w:val="clear" w:color="auto" w:fill="F9FCF9"/>
          </w:tcPr>
          <w:p>
            <w:pPr>
              <w:pStyle w:val="TableParagraph"/>
              <w:jc w:val="left"/>
              <w:rPr>
                <w:sz w:val="12"/>
              </w:rPr>
            </w:pPr>
          </w:p>
        </w:tc>
        <w:tc>
          <w:tcPr>
            <w:tcW w:w="786" w:type="dxa"/>
            <w:shd w:val="clear" w:color="auto" w:fill="F9FCF9"/>
          </w:tcPr>
          <w:p>
            <w:pPr>
              <w:pStyle w:val="TableParagraph"/>
              <w:jc w:val="left"/>
              <w:rPr>
                <w:sz w:val="12"/>
              </w:rPr>
            </w:pPr>
          </w:p>
        </w:tc>
        <w:tc>
          <w:tcPr>
            <w:tcW w:w="503" w:type="dxa"/>
            <w:shd w:val="clear" w:color="auto" w:fill="F9FCF9"/>
          </w:tcPr>
          <w:p>
            <w:pPr>
              <w:pStyle w:val="TableParagraph"/>
              <w:jc w:val="left"/>
              <w:rPr>
                <w:sz w:val="12"/>
              </w:rPr>
            </w:pPr>
          </w:p>
        </w:tc>
        <w:tc>
          <w:tcPr>
            <w:tcW w:w="1070" w:type="dxa"/>
            <w:shd w:val="clear" w:color="auto" w:fill="F9FCF9"/>
          </w:tcPr>
          <w:p>
            <w:pPr>
              <w:pStyle w:val="TableParagraph"/>
              <w:jc w:val="left"/>
              <w:rPr>
                <w:sz w:val="12"/>
              </w:rPr>
            </w:pPr>
          </w:p>
        </w:tc>
      </w:tr>
      <w:tr>
        <w:trPr>
          <w:trHeight w:val="195" w:hRule="atLeast"/>
        </w:trPr>
        <w:tc>
          <w:tcPr>
            <w:tcW w:w="2783" w:type="dxa"/>
            <w:shd w:val="clear" w:color="auto" w:fill="F9FCF9"/>
          </w:tcPr>
          <w:p>
            <w:pPr>
              <w:pStyle w:val="TableParagraph"/>
              <w:spacing w:line="167" w:lineRule="exact" w:before="8"/>
              <w:ind w:left="20"/>
              <w:jc w:val="left"/>
              <w:rPr>
                <w:sz w:val="16"/>
              </w:rPr>
            </w:pPr>
            <w:r>
              <w:rPr>
                <w:sz w:val="16"/>
              </w:rPr>
              <w:t>CO</w:t>
            </w:r>
            <w:r>
              <w:rPr>
                <w:position w:val="-4"/>
                <w:sz w:val="9"/>
              </w:rPr>
              <w:t>2 </w:t>
            </w:r>
            <w:r>
              <w:rPr>
                <w:sz w:val="16"/>
              </w:rPr>
              <w:t>capture technology</w:t>
            </w:r>
          </w:p>
        </w:tc>
        <w:tc>
          <w:tcPr>
            <w:tcW w:w="866" w:type="dxa"/>
            <w:shd w:val="clear" w:color="auto" w:fill="F9FCF9"/>
          </w:tcPr>
          <w:p>
            <w:pPr>
              <w:pStyle w:val="TableParagraph"/>
              <w:spacing w:line="167" w:lineRule="exact" w:before="8"/>
              <w:ind w:left="33" w:right="26"/>
              <w:rPr>
                <w:sz w:val="16"/>
              </w:rPr>
            </w:pPr>
            <w:r>
              <w:rPr>
                <w:sz w:val="16"/>
              </w:rPr>
              <w:t>Selexol</w:t>
            </w:r>
          </w:p>
        </w:tc>
        <w:tc>
          <w:tcPr>
            <w:tcW w:w="758" w:type="dxa"/>
            <w:shd w:val="clear" w:color="auto" w:fill="F9FCF9"/>
          </w:tcPr>
          <w:p>
            <w:pPr>
              <w:pStyle w:val="TableParagraph"/>
              <w:spacing w:line="167" w:lineRule="exact" w:before="8"/>
              <w:ind w:left="31" w:right="23"/>
              <w:rPr>
                <w:sz w:val="16"/>
              </w:rPr>
            </w:pPr>
            <w:r>
              <w:rPr>
                <w:sz w:val="16"/>
              </w:rPr>
              <w:t>Selexol</w:t>
            </w:r>
          </w:p>
        </w:tc>
        <w:tc>
          <w:tcPr>
            <w:tcW w:w="818" w:type="dxa"/>
            <w:shd w:val="clear" w:color="auto" w:fill="F9FCF9"/>
          </w:tcPr>
          <w:p>
            <w:pPr>
              <w:pStyle w:val="TableParagraph"/>
              <w:spacing w:line="167" w:lineRule="exact" w:before="8"/>
              <w:ind w:left="61" w:right="53"/>
              <w:rPr>
                <w:sz w:val="16"/>
              </w:rPr>
            </w:pPr>
            <w:r>
              <w:rPr>
                <w:sz w:val="16"/>
              </w:rPr>
              <w:t>Selexol</w:t>
            </w:r>
          </w:p>
        </w:tc>
        <w:tc>
          <w:tcPr>
            <w:tcW w:w="866" w:type="dxa"/>
            <w:shd w:val="clear" w:color="auto" w:fill="F9FCF9"/>
          </w:tcPr>
          <w:p>
            <w:pPr>
              <w:pStyle w:val="TableParagraph"/>
              <w:spacing w:line="167" w:lineRule="exact" w:before="8"/>
              <w:ind w:left="35" w:right="26"/>
              <w:rPr>
                <w:sz w:val="16"/>
              </w:rPr>
            </w:pPr>
            <w:r>
              <w:rPr>
                <w:sz w:val="16"/>
              </w:rPr>
              <w:t>Selexol</w:t>
            </w:r>
          </w:p>
        </w:tc>
        <w:tc>
          <w:tcPr>
            <w:tcW w:w="866" w:type="dxa"/>
            <w:shd w:val="clear" w:color="auto" w:fill="F9FCF9"/>
          </w:tcPr>
          <w:p>
            <w:pPr>
              <w:pStyle w:val="TableParagraph"/>
              <w:spacing w:line="167" w:lineRule="exact" w:before="8"/>
              <w:ind w:left="36" w:right="26"/>
              <w:rPr>
                <w:sz w:val="16"/>
              </w:rPr>
            </w:pPr>
            <w:r>
              <w:rPr>
                <w:sz w:val="16"/>
              </w:rPr>
              <w:t>Selexol</w:t>
            </w:r>
          </w:p>
        </w:tc>
        <w:tc>
          <w:tcPr>
            <w:tcW w:w="978" w:type="dxa"/>
            <w:shd w:val="clear" w:color="auto" w:fill="F9FCF9"/>
          </w:tcPr>
          <w:p>
            <w:pPr>
              <w:pStyle w:val="TableParagraph"/>
              <w:spacing w:line="167" w:lineRule="exact" w:before="8"/>
              <w:ind w:left="173" w:right="162"/>
              <w:rPr>
                <w:sz w:val="16"/>
              </w:rPr>
            </w:pPr>
            <w:r>
              <w:rPr>
                <w:sz w:val="16"/>
              </w:rPr>
              <w:t>Selexol</w:t>
            </w:r>
          </w:p>
        </w:tc>
        <w:tc>
          <w:tcPr>
            <w:tcW w:w="742" w:type="dxa"/>
            <w:shd w:val="clear" w:color="auto" w:fill="F9FCF9"/>
          </w:tcPr>
          <w:p>
            <w:pPr>
              <w:pStyle w:val="TableParagraph"/>
              <w:spacing w:line="167" w:lineRule="exact" w:before="8"/>
              <w:ind w:left="12"/>
              <w:rPr>
                <w:sz w:val="16"/>
              </w:rPr>
            </w:pPr>
            <w:r>
              <w:rPr>
                <w:sz w:val="16"/>
              </w:rPr>
              <w:t>Selexol</w:t>
            </w:r>
          </w:p>
        </w:tc>
        <w:tc>
          <w:tcPr>
            <w:tcW w:w="866" w:type="dxa"/>
            <w:shd w:val="clear" w:color="auto" w:fill="F9FCF9"/>
          </w:tcPr>
          <w:p>
            <w:pPr>
              <w:pStyle w:val="TableParagraph"/>
              <w:spacing w:line="167" w:lineRule="exact" w:before="8"/>
              <w:ind w:right="35"/>
              <w:jc w:val="right"/>
              <w:rPr>
                <w:sz w:val="16"/>
              </w:rPr>
            </w:pPr>
            <w:r>
              <w:rPr>
                <w:sz w:val="16"/>
              </w:rPr>
              <w:t>Selexol. NS</w:t>
            </w:r>
          </w:p>
        </w:tc>
        <w:tc>
          <w:tcPr>
            <w:tcW w:w="866" w:type="dxa"/>
            <w:shd w:val="clear" w:color="auto" w:fill="F9FCF9"/>
          </w:tcPr>
          <w:p>
            <w:pPr>
              <w:pStyle w:val="TableParagraph"/>
              <w:spacing w:line="167" w:lineRule="exact" w:before="8"/>
              <w:ind w:left="40" w:right="26"/>
              <w:rPr>
                <w:sz w:val="16"/>
              </w:rPr>
            </w:pPr>
            <w:r>
              <w:rPr>
                <w:sz w:val="16"/>
              </w:rPr>
              <w:t>Selexol</w:t>
            </w:r>
          </w:p>
        </w:tc>
        <w:tc>
          <w:tcPr>
            <w:tcW w:w="794" w:type="dxa"/>
            <w:shd w:val="clear" w:color="auto" w:fill="F9FCF9"/>
          </w:tcPr>
          <w:p>
            <w:pPr>
              <w:pStyle w:val="TableParagraph"/>
              <w:spacing w:line="167" w:lineRule="exact" w:before="8"/>
              <w:ind w:left="21" w:right="6"/>
              <w:rPr>
                <w:sz w:val="16"/>
              </w:rPr>
            </w:pPr>
            <w:r>
              <w:rPr>
                <w:sz w:val="16"/>
              </w:rPr>
              <w:t>Selexol</w:t>
            </w:r>
          </w:p>
        </w:tc>
        <w:tc>
          <w:tcPr>
            <w:tcW w:w="786" w:type="dxa"/>
            <w:shd w:val="clear" w:color="auto" w:fill="F9FCF9"/>
          </w:tcPr>
          <w:p>
            <w:pPr>
              <w:pStyle w:val="TableParagraph"/>
              <w:spacing w:line="167" w:lineRule="exact" w:before="8"/>
              <w:ind w:left="17" w:right="2"/>
              <w:rPr>
                <w:sz w:val="16"/>
              </w:rPr>
            </w:pPr>
            <w:r>
              <w:rPr>
                <w:sz w:val="16"/>
              </w:rPr>
              <w:t>Selexol</w:t>
            </w:r>
          </w:p>
        </w:tc>
        <w:tc>
          <w:tcPr>
            <w:tcW w:w="503" w:type="dxa"/>
            <w:shd w:val="clear" w:color="auto" w:fill="F9FCF9"/>
          </w:tcPr>
          <w:p>
            <w:pPr>
              <w:pStyle w:val="TableParagraph"/>
              <w:jc w:val="left"/>
              <w:rPr>
                <w:sz w:val="12"/>
              </w:rPr>
            </w:pPr>
          </w:p>
        </w:tc>
        <w:tc>
          <w:tcPr>
            <w:tcW w:w="1070" w:type="dxa"/>
            <w:shd w:val="clear" w:color="auto" w:fill="F9FCF9"/>
          </w:tcPr>
          <w:p>
            <w:pPr>
              <w:pStyle w:val="TableParagraph"/>
              <w:jc w:val="left"/>
              <w:rPr>
                <w:sz w:val="12"/>
              </w:rPr>
            </w:pPr>
          </w:p>
        </w:tc>
      </w:tr>
      <w:tr>
        <w:trPr>
          <w:trHeight w:val="195" w:hRule="atLeast"/>
        </w:trPr>
        <w:tc>
          <w:tcPr>
            <w:tcW w:w="2783" w:type="dxa"/>
            <w:shd w:val="clear" w:color="auto" w:fill="F9FCF9"/>
          </w:tcPr>
          <w:p>
            <w:pPr>
              <w:pStyle w:val="TableParagraph"/>
              <w:spacing w:line="167" w:lineRule="exact" w:before="8"/>
              <w:ind w:left="20"/>
              <w:jc w:val="left"/>
              <w:rPr>
                <w:sz w:val="16"/>
              </w:rPr>
            </w:pPr>
            <w:r>
              <w:rPr>
                <w:sz w:val="16"/>
              </w:rPr>
              <w:t>Net plant size, with capture (MW)</w:t>
            </w:r>
          </w:p>
        </w:tc>
        <w:tc>
          <w:tcPr>
            <w:tcW w:w="866" w:type="dxa"/>
            <w:shd w:val="clear" w:color="auto" w:fill="F9FCF9"/>
          </w:tcPr>
          <w:p>
            <w:pPr>
              <w:pStyle w:val="TableParagraph"/>
              <w:spacing w:line="167" w:lineRule="exact" w:before="8"/>
              <w:ind w:left="33" w:right="26"/>
              <w:rPr>
                <w:sz w:val="16"/>
              </w:rPr>
            </w:pPr>
            <w:r>
              <w:rPr>
                <w:sz w:val="16"/>
              </w:rPr>
              <w:t>351</w:t>
            </w:r>
          </w:p>
        </w:tc>
        <w:tc>
          <w:tcPr>
            <w:tcW w:w="758" w:type="dxa"/>
            <w:shd w:val="clear" w:color="auto" w:fill="F9FCF9"/>
          </w:tcPr>
          <w:p>
            <w:pPr>
              <w:pStyle w:val="TableParagraph"/>
              <w:spacing w:line="167" w:lineRule="exact" w:before="8"/>
              <w:ind w:left="31" w:right="23"/>
              <w:rPr>
                <w:sz w:val="16"/>
              </w:rPr>
            </w:pPr>
            <w:r>
              <w:rPr>
                <w:sz w:val="16"/>
              </w:rPr>
              <w:t>359</w:t>
            </w:r>
          </w:p>
        </w:tc>
        <w:tc>
          <w:tcPr>
            <w:tcW w:w="818" w:type="dxa"/>
            <w:shd w:val="clear" w:color="auto" w:fill="F9FCF9"/>
          </w:tcPr>
          <w:p>
            <w:pPr>
              <w:pStyle w:val="TableParagraph"/>
              <w:spacing w:line="167" w:lineRule="exact" w:before="8"/>
              <w:ind w:left="61" w:right="52"/>
              <w:rPr>
                <w:sz w:val="16"/>
              </w:rPr>
            </w:pPr>
            <w:r>
              <w:rPr>
                <w:sz w:val="16"/>
              </w:rPr>
              <w:t>457</w:t>
            </w:r>
          </w:p>
        </w:tc>
        <w:tc>
          <w:tcPr>
            <w:tcW w:w="866" w:type="dxa"/>
            <w:shd w:val="clear" w:color="auto" w:fill="F9FCF9"/>
          </w:tcPr>
          <w:p>
            <w:pPr>
              <w:pStyle w:val="TableParagraph"/>
              <w:spacing w:line="167" w:lineRule="exact" w:before="8"/>
              <w:ind w:left="36" w:right="26"/>
              <w:rPr>
                <w:sz w:val="16"/>
              </w:rPr>
            </w:pPr>
            <w:r>
              <w:rPr>
                <w:sz w:val="16"/>
              </w:rPr>
              <w:t>404</w:t>
            </w:r>
          </w:p>
        </w:tc>
        <w:tc>
          <w:tcPr>
            <w:tcW w:w="866" w:type="dxa"/>
            <w:shd w:val="clear" w:color="auto" w:fill="F9FCF9"/>
          </w:tcPr>
          <w:p>
            <w:pPr>
              <w:pStyle w:val="TableParagraph"/>
              <w:spacing w:line="167" w:lineRule="exact" w:before="8"/>
              <w:ind w:left="37" w:right="26"/>
              <w:rPr>
                <w:sz w:val="16"/>
              </w:rPr>
            </w:pPr>
            <w:r>
              <w:rPr>
                <w:sz w:val="16"/>
              </w:rPr>
              <w:t>455</w:t>
            </w:r>
          </w:p>
        </w:tc>
        <w:tc>
          <w:tcPr>
            <w:tcW w:w="978" w:type="dxa"/>
            <w:shd w:val="clear" w:color="auto" w:fill="F9FCF9"/>
          </w:tcPr>
          <w:p>
            <w:pPr>
              <w:pStyle w:val="TableParagraph"/>
              <w:jc w:val="left"/>
              <w:rPr>
                <w:sz w:val="12"/>
              </w:rPr>
            </w:pPr>
          </w:p>
        </w:tc>
        <w:tc>
          <w:tcPr>
            <w:tcW w:w="742" w:type="dxa"/>
            <w:shd w:val="clear" w:color="auto" w:fill="F9FCF9"/>
          </w:tcPr>
          <w:p>
            <w:pPr>
              <w:pStyle w:val="TableParagraph"/>
              <w:spacing w:line="167" w:lineRule="exact" w:before="8"/>
              <w:ind w:left="12"/>
              <w:rPr>
                <w:sz w:val="16"/>
              </w:rPr>
            </w:pPr>
            <w:r>
              <w:rPr>
                <w:sz w:val="16"/>
              </w:rPr>
              <w:t>730</w:t>
            </w:r>
          </w:p>
        </w:tc>
        <w:tc>
          <w:tcPr>
            <w:tcW w:w="866" w:type="dxa"/>
            <w:shd w:val="clear" w:color="auto" w:fill="F9FCF9"/>
          </w:tcPr>
          <w:p>
            <w:pPr>
              <w:pStyle w:val="TableParagraph"/>
              <w:spacing w:line="167" w:lineRule="exact" w:before="8"/>
              <w:ind w:left="39" w:right="26"/>
              <w:rPr>
                <w:sz w:val="16"/>
              </w:rPr>
            </w:pPr>
            <w:r>
              <w:rPr>
                <w:sz w:val="16"/>
              </w:rPr>
              <w:t>742</w:t>
            </w:r>
          </w:p>
        </w:tc>
        <w:tc>
          <w:tcPr>
            <w:tcW w:w="866" w:type="dxa"/>
            <w:shd w:val="clear" w:color="auto" w:fill="F9FCF9"/>
          </w:tcPr>
          <w:p>
            <w:pPr>
              <w:pStyle w:val="TableParagraph"/>
              <w:spacing w:line="167" w:lineRule="exact" w:before="8"/>
              <w:ind w:left="40" w:right="26"/>
              <w:rPr>
                <w:sz w:val="16"/>
              </w:rPr>
            </w:pPr>
            <w:r>
              <w:rPr>
                <w:sz w:val="16"/>
              </w:rPr>
              <w:t>676</w:t>
            </w:r>
          </w:p>
        </w:tc>
        <w:tc>
          <w:tcPr>
            <w:tcW w:w="794" w:type="dxa"/>
            <w:shd w:val="clear" w:color="auto" w:fill="F9FCF9"/>
          </w:tcPr>
          <w:p>
            <w:pPr>
              <w:pStyle w:val="TableParagraph"/>
              <w:spacing w:line="167" w:lineRule="exact" w:before="8"/>
              <w:ind w:left="21" w:right="6"/>
              <w:rPr>
                <w:sz w:val="16"/>
              </w:rPr>
            </w:pPr>
            <w:r>
              <w:rPr>
                <w:sz w:val="16"/>
              </w:rPr>
              <w:t>492</w:t>
            </w:r>
          </w:p>
        </w:tc>
        <w:tc>
          <w:tcPr>
            <w:tcW w:w="786" w:type="dxa"/>
            <w:shd w:val="clear" w:color="auto" w:fill="F9FCF9"/>
          </w:tcPr>
          <w:p>
            <w:pPr>
              <w:pStyle w:val="TableParagraph"/>
              <w:spacing w:line="167" w:lineRule="exact" w:before="8"/>
              <w:ind w:left="18" w:right="2"/>
              <w:rPr>
                <w:sz w:val="16"/>
              </w:rPr>
            </w:pPr>
            <w:r>
              <w:rPr>
                <w:sz w:val="16"/>
              </w:rPr>
              <w:t>492</w:t>
            </w:r>
          </w:p>
        </w:tc>
        <w:tc>
          <w:tcPr>
            <w:tcW w:w="503" w:type="dxa"/>
            <w:shd w:val="clear" w:color="auto" w:fill="F9FCF9"/>
          </w:tcPr>
          <w:p>
            <w:pPr>
              <w:pStyle w:val="TableParagraph"/>
              <w:spacing w:line="167" w:lineRule="exact" w:before="8"/>
              <w:ind w:left="75" w:right="58"/>
              <w:rPr>
                <w:b/>
                <w:sz w:val="16"/>
              </w:rPr>
            </w:pPr>
            <w:r>
              <w:rPr>
                <w:b/>
                <w:sz w:val="16"/>
              </w:rPr>
              <w:t>351</w:t>
            </w:r>
          </w:p>
        </w:tc>
        <w:tc>
          <w:tcPr>
            <w:tcW w:w="1070" w:type="dxa"/>
            <w:shd w:val="clear" w:color="auto" w:fill="F9FCF9"/>
          </w:tcPr>
          <w:p>
            <w:pPr>
              <w:pStyle w:val="TableParagraph"/>
              <w:spacing w:line="167" w:lineRule="exact" w:before="8"/>
              <w:ind w:left="359" w:right="340"/>
              <w:rPr>
                <w:b/>
                <w:sz w:val="16"/>
              </w:rPr>
            </w:pPr>
            <w:r>
              <w:rPr>
                <w:b/>
                <w:sz w:val="16"/>
              </w:rPr>
              <w:t>742</w:t>
            </w:r>
          </w:p>
        </w:tc>
      </w:tr>
      <w:tr>
        <w:trPr>
          <w:trHeight w:val="195" w:hRule="atLeast"/>
        </w:trPr>
        <w:tc>
          <w:tcPr>
            <w:tcW w:w="2783" w:type="dxa"/>
            <w:shd w:val="clear" w:color="auto" w:fill="F9FCF9"/>
          </w:tcPr>
          <w:p>
            <w:pPr>
              <w:pStyle w:val="TableParagraph"/>
              <w:spacing w:line="167" w:lineRule="exact" w:before="8"/>
              <w:ind w:left="20"/>
              <w:jc w:val="left"/>
              <w:rPr>
                <w:sz w:val="16"/>
              </w:rPr>
            </w:pPr>
            <w:r>
              <w:rPr>
                <w:sz w:val="16"/>
              </w:rPr>
              <w:t>Net plant efficiency, LHV (%)</w:t>
            </w:r>
          </w:p>
        </w:tc>
        <w:tc>
          <w:tcPr>
            <w:tcW w:w="866" w:type="dxa"/>
            <w:shd w:val="clear" w:color="auto" w:fill="F9FCF9"/>
          </w:tcPr>
          <w:p>
            <w:pPr>
              <w:pStyle w:val="TableParagraph"/>
              <w:spacing w:line="167" w:lineRule="exact" w:before="8"/>
              <w:ind w:left="33" w:right="26"/>
              <w:rPr>
                <w:sz w:val="16"/>
              </w:rPr>
            </w:pPr>
            <w:r>
              <w:rPr>
                <w:sz w:val="16"/>
              </w:rPr>
              <w:t>40.1</w:t>
            </w:r>
          </w:p>
        </w:tc>
        <w:tc>
          <w:tcPr>
            <w:tcW w:w="758" w:type="dxa"/>
            <w:shd w:val="clear" w:color="auto" w:fill="F9FCF9"/>
          </w:tcPr>
          <w:p>
            <w:pPr>
              <w:pStyle w:val="TableParagraph"/>
              <w:spacing w:line="167" w:lineRule="exact" w:before="8"/>
              <w:ind w:left="31" w:right="23"/>
              <w:rPr>
                <w:sz w:val="16"/>
              </w:rPr>
            </w:pPr>
            <w:r>
              <w:rPr>
                <w:sz w:val="16"/>
              </w:rPr>
              <w:t>40.1</w:t>
            </w:r>
          </w:p>
        </w:tc>
        <w:tc>
          <w:tcPr>
            <w:tcW w:w="818" w:type="dxa"/>
            <w:shd w:val="clear" w:color="auto" w:fill="F9FCF9"/>
          </w:tcPr>
          <w:p>
            <w:pPr>
              <w:pStyle w:val="TableParagraph"/>
              <w:spacing w:line="167" w:lineRule="exact" w:before="8"/>
              <w:ind w:left="61" w:right="52"/>
              <w:rPr>
                <w:sz w:val="16"/>
              </w:rPr>
            </w:pPr>
            <w:r>
              <w:rPr>
                <w:sz w:val="16"/>
              </w:rPr>
              <w:t>31.3</w:t>
            </w:r>
          </w:p>
        </w:tc>
        <w:tc>
          <w:tcPr>
            <w:tcW w:w="866" w:type="dxa"/>
            <w:shd w:val="clear" w:color="auto" w:fill="F9FCF9"/>
          </w:tcPr>
          <w:p>
            <w:pPr>
              <w:pStyle w:val="TableParagraph"/>
              <w:spacing w:line="167" w:lineRule="exact" w:before="8"/>
              <w:ind w:left="36" w:right="26"/>
              <w:rPr>
                <w:sz w:val="16"/>
              </w:rPr>
            </w:pPr>
            <w:r>
              <w:rPr>
                <w:sz w:val="16"/>
              </w:rPr>
              <w:t>38.5</w:t>
            </w:r>
          </w:p>
        </w:tc>
        <w:tc>
          <w:tcPr>
            <w:tcW w:w="866" w:type="dxa"/>
            <w:shd w:val="clear" w:color="auto" w:fill="F9FCF9"/>
          </w:tcPr>
          <w:p>
            <w:pPr>
              <w:pStyle w:val="TableParagraph"/>
              <w:spacing w:line="167" w:lineRule="exact" w:before="8"/>
              <w:ind w:left="37" w:right="26"/>
              <w:rPr>
                <w:sz w:val="16"/>
              </w:rPr>
            </w:pPr>
            <w:r>
              <w:rPr>
                <w:sz w:val="16"/>
              </w:rPr>
              <w:t>39.0</w:t>
            </w:r>
          </w:p>
        </w:tc>
        <w:tc>
          <w:tcPr>
            <w:tcW w:w="978" w:type="dxa"/>
            <w:shd w:val="clear" w:color="auto" w:fill="F9FCF9"/>
          </w:tcPr>
          <w:p>
            <w:pPr>
              <w:pStyle w:val="TableParagraph"/>
              <w:spacing w:line="167" w:lineRule="exact" w:before="8"/>
              <w:ind w:left="173" w:right="162"/>
              <w:rPr>
                <w:sz w:val="16"/>
              </w:rPr>
            </w:pPr>
            <w:r>
              <w:rPr>
                <w:sz w:val="16"/>
              </w:rPr>
              <w:t>31.5</w:t>
            </w:r>
          </w:p>
        </w:tc>
        <w:tc>
          <w:tcPr>
            <w:tcW w:w="742" w:type="dxa"/>
            <w:shd w:val="clear" w:color="auto" w:fill="F9FCF9"/>
          </w:tcPr>
          <w:p>
            <w:pPr>
              <w:pStyle w:val="TableParagraph"/>
              <w:spacing w:line="167" w:lineRule="exact" w:before="8"/>
              <w:ind w:left="12"/>
              <w:rPr>
                <w:sz w:val="16"/>
              </w:rPr>
            </w:pPr>
            <w:r>
              <w:rPr>
                <w:sz w:val="16"/>
              </w:rPr>
              <w:t>31.5</w:t>
            </w:r>
          </w:p>
        </w:tc>
        <w:tc>
          <w:tcPr>
            <w:tcW w:w="866" w:type="dxa"/>
            <w:shd w:val="clear" w:color="auto" w:fill="F9FCF9"/>
          </w:tcPr>
          <w:p>
            <w:pPr>
              <w:pStyle w:val="TableParagraph"/>
              <w:spacing w:line="167" w:lineRule="exact" w:before="8"/>
              <w:ind w:left="294"/>
              <w:jc w:val="left"/>
              <w:rPr>
                <w:sz w:val="16"/>
              </w:rPr>
            </w:pPr>
            <w:r>
              <w:rPr>
                <w:sz w:val="16"/>
              </w:rPr>
              <w:t>32.0</w:t>
            </w:r>
          </w:p>
        </w:tc>
        <w:tc>
          <w:tcPr>
            <w:tcW w:w="866" w:type="dxa"/>
            <w:shd w:val="clear" w:color="auto" w:fill="F9FCF9"/>
          </w:tcPr>
          <w:p>
            <w:pPr>
              <w:pStyle w:val="TableParagraph"/>
              <w:spacing w:line="167" w:lineRule="exact" w:before="8"/>
              <w:ind w:left="40" w:right="26"/>
              <w:rPr>
                <w:sz w:val="16"/>
              </w:rPr>
            </w:pPr>
            <w:r>
              <w:rPr>
                <w:sz w:val="16"/>
              </w:rPr>
              <w:t>34.5</w:t>
            </w:r>
          </w:p>
        </w:tc>
        <w:tc>
          <w:tcPr>
            <w:tcW w:w="794" w:type="dxa"/>
            <w:shd w:val="clear" w:color="auto" w:fill="F9FCF9"/>
          </w:tcPr>
          <w:p>
            <w:pPr>
              <w:pStyle w:val="TableParagraph"/>
              <w:spacing w:line="167" w:lineRule="exact" w:before="8"/>
              <w:ind w:left="21" w:right="6"/>
              <w:rPr>
                <w:sz w:val="16"/>
              </w:rPr>
            </w:pPr>
            <w:r>
              <w:rPr>
                <w:sz w:val="16"/>
              </w:rPr>
              <w:t>33.8</w:t>
            </w:r>
          </w:p>
        </w:tc>
        <w:tc>
          <w:tcPr>
            <w:tcW w:w="786" w:type="dxa"/>
            <w:shd w:val="clear" w:color="auto" w:fill="F9FCF9"/>
          </w:tcPr>
          <w:p>
            <w:pPr>
              <w:pStyle w:val="TableParagraph"/>
              <w:spacing w:line="167" w:lineRule="exact" w:before="8"/>
              <w:ind w:left="18" w:right="2"/>
              <w:rPr>
                <w:sz w:val="16"/>
              </w:rPr>
            </w:pPr>
            <w:r>
              <w:rPr>
                <w:sz w:val="16"/>
              </w:rPr>
              <w:t>33.8</w:t>
            </w:r>
          </w:p>
        </w:tc>
        <w:tc>
          <w:tcPr>
            <w:tcW w:w="503" w:type="dxa"/>
            <w:shd w:val="clear" w:color="auto" w:fill="F9FCF9"/>
          </w:tcPr>
          <w:p>
            <w:pPr>
              <w:pStyle w:val="TableParagraph"/>
              <w:spacing w:line="167" w:lineRule="exact" w:before="8"/>
              <w:ind w:left="75" w:right="58"/>
              <w:rPr>
                <w:b/>
                <w:sz w:val="16"/>
              </w:rPr>
            </w:pPr>
            <w:r>
              <w:rPr>
                <w:b/>
                <w:sz w:val="16"/>
              </w:rPr>
              <w:t>31</w:t>
            </w:r>
          </w:p>
        </w:tc>
        <w:tc>
          <w:tcPr>
            <w:tcW w:w="1070" w:type="dxa"/>
            <w:shd w:val="clear" w:color="auto" w:fill="F9FCF9"/>
          </w:tcPr>
          <w:p>
            <w:pPr>
              <w:pStyle w:val="TableParagraph"/>
              <w:spacing w:line="167" w:lineRule="exact" w:before="8"/>
              <w:ind w:left="359" w:right="340"/>
              <w:rPr>
                <w:b/>
                <w:sz w:val="16"/>
              </w:rPr>
            </w:pPr>
            <w:r>
              <w:rPr>
                <w:b/>
                <w:sz w:val="16"/>
              </w:rPr>
              <w:t>40</w:t>
            </w:r>
          </w:p>
        </w:tc>
      </w:tr>
      <w:tr>
        <w:trPr>
          <w:trHeight w:val="195" w:hRule="atLeast"/>
        </w:trPr>
        <w:tc>
          <w:tcPr>
            <w:tcW w:w="2783" w:type="dxa"/>
            <w:shd w:val="clear" w:color="auto" w:fill="F9FCF9"/>
          </w:tcPr>
          <w:p>
            <w:pPr>
              <w:pStyle w:val="TableParagraph"/>
              <w:spacing w:line="167" w:lineRule="exact" w:before="8"/>
              <w:ind w:left="20"/>
              <w:jc w:val="left"/>
              <w:rPr>
                <w:sz w:val="16"/>
              </w:rPr>
            </w:pPr>
            <w:r>
              <w:rPr>
                <w:sz w:val="16"/>
              </w:rPr>
              <w:t>CO</w:t>
            </w:r>
            <w:r>
              <w:rPr>
                <w:position w:val="-4"/>
                <w:sz w:val="9"/>
              </w:rPr>
              <w:t>2 </w:t>
            </w:r>
            <w:r>
              <w:rPr>
                <w:sz w:val="16"/>
              </w:rPr>
              <w:t>capture system efficiency (%)</w:t>
            </w:r>
          </w:p>
        </w:tc>
        <w:tc>
          <w:tcPr>
            <w:tcW w:w="866" w:type="dxa"/>
            <w:shd w:val="clear" w:color="auto" w:fill="F9FCF9"/>
          </w:tcPr>
          <w:p>
            <w:pPr>
              <w:pStyle w:val="TableParagraph"/>
              <w:spacing w:line="167" w:lineRule="exact" w:before="8"/>
              <w:ind w:left="33" w:right="26"/>
              <w:rPr>
                <w:sz w:val="16"/>
              </w:rPr>
            </w:pPr>
            <w:r>
              <w:rPr>
                <w:sz w:val="16"/>
              </w:rPr>
              <w:t>89.2</w:t>
            </w:r>
          </w:p>
        </w:tc>
        <w:tc>
          <w:tcPr>
            <w:tcW w:w="758" w:type="dxa"/>
            <w:shd w:val="clear" w:color="auto" w:fill="F9FCF9"/>
          </w:tcPr>
          <w:p>
            <w:pPr>
              <w:pStyle w:val="TableParagraph"/>
              <w:spacing w:line="167" w:lineRule="exact" w:before="8"/>
              <w:ind w:left="31" w:right="23"/>
              <w:rPr>
                <w:sz w:val="16"/>
              </w:rPr>
            </w:pPr>
            <w:r>
              <w:rPr>
                <w:sz w:val="16"/>
              </w:rPr>
              <w:t>87.0</w:t>
            </w:r>
          </w:p>
        </w:tc>
        <w:tc>
          <w:tcPr>
            <w:tcW w:w="818" w:type="dxa"/>
            <w:shd w:val="clear" w:color="auto" w:fill="F9FCF9"/>
          </w:tcPr>
          <w:p>
            <w:pPr>
              <w:pStyle w:val="TableParagraph"/>
              <w:spacing w:line="167" w:lineRule="exact" w:before="8"/>
              <w:ind w:left="61" w:right="52"/>
              <w:rPr>
                <w:sz w:val="16"/>
              </w:rPr>
            </w:pPr>
            <w:r>
              <w:rPr>
                <w:sz w:val="16"/>
              </w:rPr>
              <w:t>89.0</w:t>
            </w:r>
          </w:p>
        </w:tc>
        <w:tc>
          <w:tcPr>
            <w:tcW w:w="866" w:type="dxa"/>
            <w:shd w:val="clear" w:color="auto" w:fill="F9FCF9"/>
          </w:tcPr>
          <w:p>
            <w:pPr>
              <w:pStyle w:val="TableParagraph"/>
              <w:spacing w:line="167" w:lineRule="exact" w:before="8"/>
              <w:ind w:left="36" w:right="26"/>
              <w:rPr>
                <w:sz w:val="16"/>
              </w:rPr>
            </w:pPr>
            <w:r>
              <w:rPr>
                <w:sz w:val="16"/>
              </w:rPr>
              <w:t>91.0</w:t>
            </w:r>
          </w:p>
        </w:tc>
        <w:tc>
          <w:tcPr>
            <w:tcW w:w="866" w:type="dxa"/>
            <w:shd w:val="clear" w:color="auto" w:fill="F9FCF9"/>
          </w:tcPr>
          <w:p>
            <w:pPr>
              <w:pStyle w:val="TableParagraph"/>
              <w:spacing w:line="167" w:lineRule="exact" w:before="8"/>
              <w:ind w:left="37" w:right="26"/>
              <w:rPr>
                <w:sz w:val="16"/>
              </w:rPr>
            </w:pPr>
            <w:r>
              <w:rPr>
                <w:sz w:val="16"/>
              </w:rPr>
              <w:t>91.2</w:t>
            </w:r>
          </w:p>
        </w:tc>
        <w:tc>
          <w:tcPr>
            <w:tcW w:w="978" w:type="dxa"/>
            <w:shd w:val="clear" w:color="auto" w:fill="F9FCF9"/>
          </w:tcPr>
          <w:p>
            <w:pPr>
              <w:pStyle w:val="TableParagraph"/>
              <w:jc w:val="left"/>
              <w:rPr>
                <w:sz w:val="12"/>
              </w:rPr>
            </w:pPr>
          </w:p>
        </w:tc>
        <w:tc>
          <w:tcPr>
            <w:tcW w:w="742" w:type="dxa"/>
            <w:shd w:val="clear" w:color="auto" w:fill="F9FCF9"/>
          </w:tcPr>
          <w:p>
            <w:pPr>
              <w:pStyle w:val="TableParagraph"/>
              <w:spacing w:line="167" w:lineRule="exact" w:before="8"/>
              <w:ind w:left="12"/>
              <w:rPr>
                <w:sz w:val="16"/>
              </w:rPr>
            </w:pPr>
            <w:r>
              <w:rPr>
                <w:sz w:val="16"/>
              </w:rPr>
              <w:t>85</w:t>
            </w:r>
          </w:p>
        </w:tc>
        <w:tc>
          <w:tcPr>
            <w:tcW w:w="866" w:type="dxa"/>
            <w:shd w:val="clear" w:color="auto" w:fill="F9FCF9"/>
          </w:tcPr>
          <w:p>
            <w:pPr>
              <w:pStyle w:val="TableParagraph"/>
              <w:spacing w:line="167" w:lineRule="exact" w:before="8"/>
              <w:ind w:left="39" w:right="26"/>
              <w:rPr>
                <w:sz w:val="16"/>
              </w:rPr>
            </w:pPr>
            <w:r>
              <w:rPr>
                <w:sz w:val="16"/>
              </w:rPr>
              <w:t>85</w:t>
            </w:r>
          </w:p>
        </w:tc>
        <w:tc>
          <w:tcPr>
            <w:tcW w:w="866" w:type="dxa"/>
            <w:shd w:val="clear" w:color="auto" w:fill="F9FCF9"/>
          </w:tcPr>
          <w:p>
            <w:pPr>
              <w:pStyle w:val="TableParagraph"/>
              <w:spacing w:line="167" w:lineRule="exact" w:before="8"/>
              <w:ind w:left="40" w:right="26"/>
              <w:rPr>
                <w:sz w:val="16"/>
              </w:rPr>
            </w:pPr>
            <w:r>
              <w:rPr>
                <w:sz w:val="16"/>
              </w:rPr>
              <w:t>85</w:t>
            </w:r>
          </w:p>
        </w:tc>
        <w:tc>
          <w:tcPr>
            <w:tcW w:w="794" w:type="dxa"/>
            <w:shd w:val="clear" w:color="auto" w:fill="F9FCF9"/>
          </w:tcPr>
          <w:p>
            <w:pPr>
              <w:pStyle w:val="TableParagraph"/>
              <w:spacing w:line="167" w:lineRule="exact" w:before="8"/>
              <w:ind w:left="21" w:right="6"/>
              <w:rPr>
                <w:sz w:val="16"/>
              </w:rPr>
            </w:pPr>
            <w:r>
              <w:rPr>
                <w:sz w:val="16"/>
              </w:rPr>
              <w:t>90</w:t>
            </w:r>
          </w:p>
        </w:tc>
        <w:tc>
          <w:tcPr>
            <w:tcW w:w="786" w:type="dxa"/>
            <w:shd w:val="clear" w:color="auto" w:fill="F9FCF9"/>
          </w:tcPr>
          <w:p>
            <w:pPr>
              <w:pStyle w:val="TableParagraph"/>
              <w:spacing w:line="167" w:lineRule="exact" w:before="8"/>
              <w:ind w:left="18" w:right="2"/>
              <w:rPr>
                <w:sz w:val="16"/>
              </w:rPr>
            </w:pPr>
            <w:r>
              <w:rPr>
                <w:sz w:val="16"/>
              </w:rPr>
              <w:t>90</w:t>
            </w:r>
          </w:p>
        </w:tc>
        <w:tc>
          <w:tcPr>
            <w:tcW w:w="503" w:type="dxa"/>
            <w:shd w:val="clear" w:color="auto" w:fill="F9FCF9"/>
          </w:tcPr>
          <w:p>
            <w:pPr>
              <w:pStyle w:val="TableParagraph"/>
              <w:spacing w:line="167" w:lineRule="exact" w:before="8"/>
              <w:ind w:left="75" w:right="58"/>
              <w:rPr>
                <w:b/>
                <w:sz w:val="16"/>
              </w:rPr>
            </w:pPr>
            <w:r>
              <w:rPr>
                <w:b/>
                <w:sz w:val="16"/>
              </w:rPr>
              <w:t>85</w:t>
            </w:r>
          </w:p>
        </w:tc>
        <w:tc>
          <w:tcPr>
            <w:tcW w:w="1070" w:type="dxa"/>
            <w:shd w:val="clear" w:color="auto" w:fill="F9FCF9"/>
          </w:tcPr>
          <w:p>
            <w:pPr>
              <w:pStyle w:val="TableParagraph"/>
              <w:spacing w:line="167" w:lineRule="exact" w:before="8"/>
              <w:ind w:left="359" w:right="340"/>
              <w:rPr>
                <w:b/>
                <w:sz w:val="16"/>
              </w:rPr>
            </w:pPr>
            <w:r>
              <w:rPr>
                <w:b/>
                <w:sz w:val="16"/>
              </w:rPr>
              <w:t>91</w:t>
            </w:r>
          </w:p>
        </w:tc>
      </w:tr>
      <w:tr>
        <w:trPr>
          <w:trHeight w:val="387" w:hRule="atLeast"/>
        </w:trPr>
        <w:tc>
          <w:tcPr>
            <w:tcW w:w="2783" w:type="dxa"/>
            <w:shd w:val="clear" w:color="auto" w:fill="F9FCF9"/>
          </w:tcPr>
          <w:p>
            <w:pPr>
              <w:pStyle w:val="TableParagraph"/>
              <w:spacing w:line="192" w:lineRule="exact" w:before="4"/>
              <w:ind w:left="20" w:right="693"/>
              <w:jc w:val="left"/>
              <w:rPr>
                <w:sz w:val="16"/>
              </w:rPr>
            </w:pPr>
            <w:r>
              <w:rPr>
                <w:sz w:val="16"/>
              </w:rPr>
              <w:t>CO</w:t>
            </w:r>
            <w:r>
              <w:rPr>
                <w:position w:val="-4"/>
                <w:sz w:val="9"/>
              </w:rPr>
              <w:t>2 </w:t>
            </w:r>
            <w:r>
              <w:rPr>
                <w:sz w:val="16"/>
              </w:rPr>
              <w:t>emission rate after capture (t MWh</w:t>
            </w:r>
            <w:r>
              <w:rPr>
                <w:position w:val="5"/>
                <w:sz w:val="9"/>
              </w:rPr>
              <w:t>-1</w:t>
            </w:r>
            <w:r>
              <w:rPr>
                <w:sz w:val="16"/>
              </w:rPr>
              <w:t>)</w:t>
            </w:r>
          </w:p>
        </w:tc>
        <w:tc>
          <w:tcPr>
            <w:tcW w:w="866" w:type="dxa"/>
            <w:shd w:val="clear" w:color="auto" w:fill="F9FCF9"/>
          </w:tcPr>
          <w:p>
            <w:pPr>
              <w:pStyle w:val="TableParagraph"/>
              <w:spacing w:before="8"/>
              <w:ind w:left="33" w:right="26"/>
              <w:rPr>
                <w:sz w:val="16"/>
              </w:rPr>
            </w:pPr>
            <w:r>
              <w:rPr>
                <w:sz w:val="16"/>
              </w:rPr>
              <w:t>0.087</w:t>
            </w:r>
          </w:p>
        </w:tc>
        <w:tc>
          <w:tcPr>
            <w:tcW w:w="758" w:type="dxa"/>
            <w:shd w:val="clear" w:color="auto" w:fill="F9FCF9"/>
          </w:tcPr>
          <w:p>
            <w:pPr>
              <w:pStyle w:val="TableParagraph"/>
              <w:spacing w:before="8"/>
              <w:ind w:left="31" w:right="23"/>
              <w:rPr>
                <w:sz w:val="16"/>
              </w:rPr>
            </w:pPr>
            <w:r>
              <w:rPr>
                <w:sz w:val="16"/>
              </w:rPr>
              <w:t>0.105</w:t>
            </w:r>
          </w:p>
        </w:tc>
        <w:tc>
          <w:tcPr>
            <w:tcW w:w="818" w:type="dxa"/>
            <w:shd w:val="clear" w:color="auto" w:fill="F9FCF9"/>
          </w:tcPr>
          <w:p>
            <w:pPr>
              <w:pStyle w:val="TableParagraph"/>
              <w:spacing w:before="8"/>
              <w:ind w:left="61" w:right="52"/>
              <w:rPr>
                <w:sz w:val="16"/>
              </w:rPr>
            </w:pPr>
            <w:r>
              <w:rPr>
                <w:sz w:val="16"/>
              </w:rPr>
              <w:t>0.116</w:t>
            </w:r>
          </w:p>
        </w:tc>
        <w:tc>
          <w:tcPr>
            <w:tcW w:w="866" w:type="dxa"/>
            <w:shd w:val="clear" w:color="auto" w:fill="F9FCF9"/>
          </w:tcPr>
          <w:p>
            <w:pPr>
              <w:pStyle w:val="TableParagraph"/>
              <w:spacing w:before="8"/>
              <w:ind w:left="36" w:right="26"/>
              <w:rPr>
                <w:sz w:val="16"/>
              </w:rPr>
            </w:pPr>
            <w:r>
              <w:rPr>
                <w:sz w:val="16"/>
              </w:rPr>
              <w:t>0.073</w:t>
            </w:r>
          </w:p>
        </w:tc>
        <w:tc>
          <w:tcPr>
            <w:tcW w:w="866" w:type="dxa"/>
            <w:shd w:val="clear" w:color="auto" w:fill="F9FCF9"/>
          </w:tcPr>
          <w:p>
            <w:pPr>
              <w:pStyle w:val="TableParagraph"/>
              <w:spacing w:before="8"/>
              <w:ind w:left="37" w:right="26"/>
              <w:rPr>
                <w:sz w:val="16"/>
              </w:rPr>
            </w:pPr>
            <w:r>
              <w:rPr>
                <w:sz w:val="16"/>
              </w:rPr>
              <w:t>0.065</w:t>
            </w:r>
          </w:p>
        </w:tc>
        <w:tc>
          <w:tcPr>
            <w:tcW w:w="978" w:type="dxa"/>
            <w:shd w:val="clear" w:color="auto" w:fill="F9FCF9"/>
          </w:tcPr>
          <w:p>
            <w:pPr>
              <w:pStyle w:val="TableParagraph"/>
              <w:spacing w:before="8"/>
              <w:ind w:left="173" w:right="162"/>
              <w:rPr>
                <w:sz w:val="16"/>
              </w:rPr>
            </w:pPr>
            <w:r>
              <w:rPr>
                <w:sz w:val="16"/>
              </w:rPr>
              <w:t>0.104</w:t>
            </w:r>
          </w:p>
        </w:tc>
        <w:tc>
          <w:tcPr>
            <w:tcW w:w="742" w:type="dxa"/>
            <w:shd w:val="clear" w:color="auto" w:fill="F9FCF9"/>
          </w:tcPr>
          <w:p>
            <w:pPr>
              <w:pStyle w:val="TableParagraph"/>
              <w:spacing w:before="8"/>
              <w:ind w:left="12"/>
              <w:rPr>
                <w:sz w:val="16"/>
              </w:rPr>
            </w:pPr>
            <w:r>
              <w:rPr>
                <w:sz w:val="16"/>
              </w:rPr>
              <w:t>0.152</w:t>
            </w:r>
          </w:p>
        </w:tc>
        <w:tc>
          <w:tcPr>
            <w:tcW w:w="866" w:type="dxa"/>
            <w:shd w:val="clear" w:color="auto" w:fill="F9FCF9"/>
          </w:tcPr>
          <w:p>
            <w:pPr>
              <w:pStyle w:val="TableParagraph"/>
              <w:spacing w:before="8"/>
              <w:ind w:left="254"/>
              <w:jc w:val="left"/>
              <w:rPr>
                <w:sz w:val="16"/>
              </w:rPr>
            </w:pPr>
            <w:r>
              <w:rPr>
                <w:sz w:val="16"/>
              </w:rPr>
              <w:t>0.151</w:t>
            </w:r>
          </w:p>
        </w:tc>
        <w:tc>
          <w:tcPr>
            <w:tcW w:w="866" w:type="dxa"/>
            <w:shd w:val="clear" w:color="auto" w:fill="F9FCF9"/>
          </w:tcPr>
          <w:p>
            <w:pPr>
              <w:pStyle w:val="TableParagraph"/>
              <w:spacing w:before="8"/>
              <w:ind w:left="40" w:right="26"/>
              <w:rPr>
                <w:sz w:val="16"/>
              </w:rPr>
            </w:pPr>
            <w:r>
              <w:rPr>
                <w:sz w:val="16"/>
              </w:rPr>
              <w:t>0.142</w:t>
            </w:r>
          </w:p>
        </w:tc>
        <w:tc>
          <w:tcPr>
            <w:tcW w:w="794" w:type="dxa"/>
            <w:shd w:val="clear" w:color="auto" w:fill="F9FCF9"/>
          </w:tcPr>
          <w:p>
            <w:pPr>
              <w:pStyle w:val="TableParagraph"/>
              <w:spacing w:before="8"/>
              <w:ind w:left="21" w:right="6"/>
              <w:rPr>
                <w:sz w:val="16"/>
              </w:rPr>
            </w:pPr>
            <w:r>
              <w:rPr>
                <w:sz w:val="16"/>
              </w:rPr>
              <w:t>0.097</w:t>
            </w:r>
          </w:p>
        </w:tc>
        <w:tc>
          <w:tcPr>
            <w:tcW w:w="786" w:type="dxa"/>
            <w:shd w:val="clear" w:color="auto" w:fill="F9FCF9"/>
          </w:tcPr>
          <w:p>
            <w:pPr>
              <w:pStyle w:val="TableParagraph"/>
              <w:spacing w:before="8"/>
              <w:ind w:left="18" w:right="2"/>
              <w:rPr>
                <w:sz w:val="16"/>
              </w:rPr>
            </w:pPr>
            <w:r>
              <w:rPr>
                <w:sz w:val="16"/>
              </w:rPr>
              <w:t>0.097</w:t>
            </w:r>
          </w:p>
        </w:tc>
        <w:tc>
          <w:tcPr>
            <w:tcW w:w="503" w:type="dxa"/>
            <w:shd w:val="clear" w:color="auto" w:fill="F9FCF9"/>
          </w:tcPr>
          <w:p>
            <w:pPr>
              <w:pStyle w:val="TableParagraph"/>
              <w:spacing w:before="8"/>
              <w:ind w:left="75" w:right="58"/>
              <w:rPr>
                <w:b/>
                <w:sz w:val="16"/>
              </w:rPr>
            </w:pPr>
            <w:r>
              <w:rPr>
                <w:b/>
                <w:sz w:val="16"/>
              </w:rPr>
              <w:t>0.07</w:t>
            </w:r>
          </w:p>
        </w:tc>
        <w:tc>
          <w:tcPr>
            <w:tcW w:w="1070" w:type="dxa"/>
            <w:shd w:val="clear" w:color="auto" w:fill="F9FCF9"/>
          </w:tcPr>
          <w:p>
            <w:pPr>
              <w:pStyle w:val="TableParagraph"/>
              <w:spacing w:before="8"/>
              <w:ind w:left="359" w:right="340"/>
              <w:rPr>
                <w:b/>
                <w:sz w:val="16"/>
              </w:rPr>
            </w:pPr>
            <w:r>
              <w:rPr>
                <w:b/>
                <w:sz w:val="16"/>
              </w:rPr>
              <w:t>0.15</w:t>
            </w:r>
          </w:p>
        </w:tc>
      </w:tr>
      <w:tr>
        <w:trPr>
          <w:trHeight w:val="194" w:hRule="atLeast"/>
        </w:trPr>
        <w:tc>
          <w:tcPr>
            <w:tcW w:w="2783" w:type="dxa"/>
            <w:shd w:val="clear" w:color="auto" w:fill="F9FCF9"/>
          </w:tcPr>
          <w:p>
            <w:pPr>
              <w:pStyle w:val="TableParagraph"/>
              <w:spacing w:line="167" w:lineRule="exact" w:before="7"/>
              <w:ind w:left="20"/>
              <w:jc w:val="left"/>
              <w:rPr>
                <w:sz w:val="16"/>
              </w:rPr>
            </w:pPr>
            <w:r>
              <w:rPr>
                <w:sz w:val="16"/>
              </w:rPr>
              <w:t>CO</w:t>
            </w:r>
            <w:r>
              <w:rPr>
                <w:position w:val="-4"/>
                <w:sz w:val="9"/>
              </w:rPr>
              <w:t>2 </w:t>
            </w:r>
            <w:r>
              <w:rPr>
                <w:sz w:val="16"/>
              </w:rPr>
              <w:t>captured (Mt/yr)</w:t>
            </w:r>
          </w:p>
        </w:tc>
        <w:tc>
          <w:tcPr>
            <w:tcW w:w="866" w:type="dxa"/>
            <w:shd w:val="clear" w:color="auto" w:fill="F9FCF9"/>
          </w:tcPr>
          <w:p>
            <w:pPr>
              <w:pStyle w:val="TableParagraph"/>
              <w:spacing w:line="167" w:lineRule="exact" w:before="7"/>
              <w:ind w:left="33" w:right="26"/>
              <w:rPr>
                <w:sz w:val="16"/>
              </w:rPr>
            </w:pPr>
            <w:r>
              <w:rPr>
                <w:sz w:val="16"/>
              </w:rPr>
              <w:t>1.803</w:t>
            </w:r>
          </w:p>
        </w:tc>
        <w:tc>
          <w:tcPr>
            <w:tcW w:w="758" w:type="dxa"/>
            <w:shd w:val="clear" w:color="auto" w:fill="F9FCF9"/>
          </w:tcPr>
          <w:p>
            <w:pPr>
              <w:pStyle w:val="TableParagraph"/>
              <w:spacing w:line="167" w:lineRule="exact" w:before="7"/>
              <w:ind w:left="31" w:right="23"/>
              <w:rPr>
                <w:sz w:val="16"/>
              </w:rPr>
            </w:pPr>
            <w:r>
              <w:rPr>
                <w:sz w:val="16"/>
              </w:rPr>
              <w:t>1.870</w:t>
            </w:r>
          </w:p>
        </w:tc>
        <w:tc>
          <w:tcPr>
            <w:tcW w:w="818" w:type="dxa"/>
            <w:shd w:val="clear" w:color="auto" w:fill="F9FCF9"/>
          </w:tcPr>
          <w:p>
            <w:pPr>
              <w:pStyle w:val="TableParagraph"/>
              <w:spacing w:line="167" w:lineRule="exact" w:before="7"/>
              <w:ind w:left="61" w:right="52"/>
              <w:rPr>
                <w:sz w:val="16"/>
              </w:rPr>
            </w:pPr>
            <w:r>
              <w:rPr>
                <w:sz w:val="16"/>
              </w:rPr>
              <w:t>2.368</w:t>
            </w:r>
          </w:p>
        </w:tc>
        <w:tc>
          <w:tcPr>
            <w:tcW w:w="866" w:type="dxa"/>
            <w:shd w:val="clear" w:color="auto" w:fill="F9FCF9"/>
          </w:tcPr>
          <w:p>
            <w:pPr>
              <w:pStyle w:val="TableParagraph"/>
              <w:spacing w:line="167" w:lineRule="exact" w:before="7"/>
              <w:ind w:left="36" w:right="26"/>
              <w:rPr>
                <w:sz w:val="16"/>
              </w:rPr>
            </w:pPr>
            <w:r>
              <w:rPr>
                <w:sz w:val="16"/>
              </w:rPr>
              <w:t>1.379</w:t>
            </w:r>
          </w:p>
        </w:tc>
        <w:tc>
          <w:tcPr>
            <w:tcW w:w="866" w:type="dxa"/>
            <w:shd w:val="clear" w:color="auto" w:fill="F9FCF9"/>
          </w:tcPr>
          <w:p>
            <w:pPr>
              <w:pStyle w:val="TableParagraph"/>
              <w:spacing w:line="167" w:lineRule="exact" w:before="7"/>
              <w:ind w:left="37" w:right="26"/>
              <w:rPr>
                <w:sz w:val="16"/>
              </w:rPr>
            </w:pPr>
            <w:r>
              <w:rPr>
                <w:sz w:val="16"/>
              </w:rPr>
              <w:t>2.151</w:t>
            </w:r>
          </w:p>
        </w:tc>
        <w:tc>
          <w:tcPr>
            <w:tcW w:w="978" w:type="dxa"/>
            <w:shd w:val="clear" w:color="auto" w:fill="F9FCF9"/>
          </w:tcPr>
          <w:p>
            <w:pPr>
              <w:pStyle w:val="TableParagraph"/>
              <w:jc w:val="left"/>
              <w:rPr>
                <w:sz w:val="12"/>
              </w:rPr>
            </w:pPr>
          </w:p>
        </w:tc>
        <w:tc>
          <w:tcPr>
            <w:tcW w:w="742" w:type="dxa"/>
            <w:shd w:val="clear" w:color="auto" w:fill="F9FCF9"/>
          </w:tcPr>
          <w:p>
            <w:pPr>
              <w:pStyle w:val="TableParagraph"/>
              <w:spacing w:line="167" w:lineRule="exact" w:before="7"/>
              <w:ind w:left="12"/>
              <w:rPr>
                <w:sz w:val="16"/>
              </w:rPr>
            </w:pPr>
            <w:r>
              <w:rPr>
                <w:sz w:val="16"/>
              </w:rPr>
              <w:t>4.682</w:t>
            </w:r>
          </w:p>
        </w:tc>
        <w:tc>
          <w:tcPr>
            <w:tcW w:w="866" w:type="dxa"/>
            <w:shd w:val="clear" w:color="auto" w:fill="F9FCF9"/>
          </w:tcPr>
          <w:p>
            <w:pPr>
              <w:pStyle w:val="TableParagraph"/>
              <w:spacing w:line="167" w:lineRule="exact" w:before="7"/>
              <w:ind w:left="254"/>
              <w:jc w:val="left"/>
              <w:rPr>
                <w:sz w:val="16"/>
              </w:rPr>
            </w:pPr>
            <w:r>
              <w:rPr>
                <w:sz w:val="16"/>
              </w:rPr>
              <w:t>4.728</w:t>
            </w:r>
          </w:p>
        </w:tc>
        <w:tc>
          <w:tcPr>
            <w:tcW w:w="866" w:type="dxa"/>
            <w:shd w:val="clear" w:color="auto" w:fill="F9FCF9"/>
          </w:tcPr>
          <w:p>
            <w:pPr>
              <w:pStyle w:val="TableParagraph"/>
              <w:spacing w:line="167" w:lineRule="exact" w:before="7"/>
              <w:ind w:left="40" w:right="26"/>
              <w:rPr>
                <w:sz w:val="16"/>
              </w:rPr>
            </w:pPr>
            <w:r>
              <w:rPr>
                <w:sz w:val="16"/>
              </w:rPr>
              <w:t>4.050</w:t>
            </w:r>
          </w:p>
        </w:tc>
        <w:tc>
          <w:tcPr>
            <w:tcW w:w="794" w:type="dxa"/>
            <w:shd w:val="clear" w:color="auto" w:fill="F9FCF9"/>
          </w:tcPr>
          <w:p>
            <w:pPr>
              <w:pStyle w:val="TableParagraph"/>
              <w:spacing w:line="167" w:lineRule="exact" w:before="7"/>
              <w:ind w:left="21" w:right="6"/>
              <w:rPr>
                <w:sz w:val="16"/>
              </w:rPr>
            </w:pPr>
            <w:r>
              <w:rPr>
                <w:sz w:val="16"/>
              </w:rPr>
              <w:t>2.749</w:t>
            </w:r>
          </w:p>
        </w:tc>
        <w:tc>
          <w:tcPr>
            <w:tcW w:w="786" w:type="dxa"/>
            <w:shd w:val="clear" w:color="auto" w:fill="F9FCF9"/>
          </w:tcPr>
          <w:p>
            <w:pPr>
              <w:pStyle w:val="TableParagraph"/>
              <w:spacing w:line="167" w:lineRule="exact" w:before="7"/>
              <w:ind w:left="18" w:right="2"/>
              <w:rPr>
                <w:sz w:val="16"/>
              </w:rPr>
            </w:pPr>
            <w:r>
              <w:rPr>
                <w:sz w:val="16"/>
              </w:rPr>
              <w:t>2.383</w:t>
            </w:r>
          </w:p>
        </w:tc>
        <w:tc>
          <w:tcPr>
            <w:tcW w:w="503" w:type="dxa"/>
            <w:shd w:val="clear" w:color="auto" w:fill="F9FCF9"/>
          </w:tcPr>
          <w:p>
            <w:pPr>
              <w:pStyle w:val="TableParagraph"/>
              <w:spacing w:line="167" w:lineRule="exact" w:before="7"/>
              <w:ind w:left="75" w:right="58"/>
              <w:rPr>
                <w:b/>
                <w:sz w:val="16"/>
              </w:rPr>
            </w:pPr>
            <w:r>
              <w:rPr>
                <w:b/>
                <w:sz w:val="16"/>
              </w:rPr>
              <w:t>1.38</w:t>
            </w:r>
          </w:p>
        </w:tc>
        <w:tc>
          <w:tcPr>
            <w:tcW w:w="1070" w:type="dxa"/>
            <w:shd w:val="clear" w:color="auto" w:fill="F9FCF9"/>
          </w:tcPr>
          <w:p>
            <w:pPr>
              <w:pStyle w:val="TableParagraph"/>
              <w:spacing w:line="167" w:lineRule="exact" w:before="7"/>
              <w:ind w:left="359" w:right="340"/>
              <w:rPr>
                <w:b/>
                <w:sz w:val="16"/>
              </w:rPr>
            </w:pPr>
            <w:r>
              <w:rPr>
                <w:b/>
                <w:sz w:val="16"/>
              </w:rPr>
              <w:t>4.73</w:t>
            </w:r>
          </w:p>
        </w:tc>
      </w:tr>
      <w:tr>
        <w:trPr>
          <w:trHeight w:val="195" w:hRule="atLeast"/>
        </w:trPr>
        <w:tc>
          <w:tcPr>
            <w:tcW w:w="2783" w:type="dxa"/>
            <w:shd w:val="clear" w:color="auto" w:fill="F9FCF9"/>
          </w:tcPr>
          <w:p>
            <w:pPr>
              <w:pStyle w:val="TableParagraph"/>
              <w:spacing w:line="167" w:lineRule="exact" w:before="8"/>
              <w:ind w:left="20"/>
              <w:jc w:val="left"/>
              <w:rPr>
                <w:sz w:val="16"/>
              </w:rPr>
            </w:pPr>
            <w:r>
              <w:rPr>
                <w:sz w:val="16"/>
              </w:rPr>
              <w:t>CO</w:t>
            </w:r>
            <w:r>
              <w:rPr>
                <w:position w:val="-4"/>
                <w:sz w:val="9"/>
              </w:rPr>
              <w:t>2 </w:t>
            </w:r>
            <w:r>
              <w:rPr>
                <w:sz w:val="16"/>
              </w:rPr>
              <w:t>product pressure (MPa)</w:t>
            </w:r>
          </w:p>
        </w:tc>
        <w:tc>
          <w:tcPr>
            <w:tcW w:w="866" w:type="dxa"/>
            <w:shd w:val="clear" w:color="auto" w:fill="F9FCF9"/>
          </w:tcPr>
          <w:p>
            <w:pPr>
              <w:pStyle w:val="TableParagraph"/>
              <w:spacing w:line="167" w:lineRule="exact" w:before="8"/>
              <w:ind w:left="33" w:right="26"/>
              <w:rPr>
                <w:sz w:val="16"/>
              </w:rPr>
            </w:pPr>
            <w:r>
              <w:rPr>
                <w:sz w:val="16"/>
              </w:rPr>
              <w:t>14.5</w:t>
            </w:r>
          </w:p>
        </w:tc>
        <w:tc>
          <w:tcPr>
            <w:tcW w:w="758" w:type="dxa"/>
            <w:shd w:val="clear" w:color="auto" w:fill="F9FCF9"/>
          </w:tcPr>
          <w:p>
            <w:pPr>
              <w:pStyle w:val="TableParagraph"/>
              <w:spacing w:line="167" w:lineRule="exact" w:before="8"/>
              <w:ind w:left="31" w:right="23"/>
              <w:rPr>
                <w:sz w:val="16"/>
              </w:rPr>
            </w:pPr>
            <w:r>
              <w:rPr>
                <w:sz w:val="16"/>
              </w:rPr>
              <w:t>14.5</w:t>
            </w:r>
          </w:p>
        </w:tc>
        <w:tc>
          <w:tcPr>
            <w:tcW w:w="818" w:type="dxa"/>
            <w:shd w:val="clear" w:color="auto" w:fill="F9FCF9"/>
          </w:tcPr>
          <w:p>
            <w:pPr>
              <w:pStyle w:val="TableParagraph"/>
              <w:spacing w:line="167" w:lineRule="exact" w:before="8"/>
              <w:ind w:left="61" w:right="52"/>
              <w:rPr>
                <w:sz w:val="16"/>
              </w:rPr>
            </w:pPr>
            <w:r>
              <w:rPr>
                <w:sz w:val="16"/>
              </w:rPr>
              <w:t>8.3</w:t>
            </w:r>
          </w:p>
        </w:tc>
        <w:tc>
          <w:tcPr>
            <w:tcW w:w="866" w:type="dxa"/>
            <w:shd w:val="clear" w:color="auto" w:fill="F9FCF9"/>
          </w:tcPr>
          <w:p>
            <w:pPr>
              <w:pStyle w:val="TableParagraph"/>
              <w:spacing w:line="167" w:lineRule="exact" w:before="8"/>
              <w:ind w:left="36" w:right="26"/>
              <w:rPr>
                <w:sz w:val="16"/>
              </w:rPr>
            </w:pPr>
            <w:r>
              <w:rPr>
                <w:sz w:val="16"/>
              </w:rPr>
              <w:t>8.3</w:t>
            </w:r>
          </w:p>
        </w:tc>
        <w:tc>
          <w:tcPr>
            <w:tcW w:w="866" w:type="dxa"/>
            <w:shd w:val="clear" w:color="auto" w:fill="F9FCF9"/>
          </w:tcPr>
          <w:p>
            <w:pPr>
              <w:pStyle w:val="TableParagraph"/>
              <w:jc w:val="left"/>
              <w:rPr>
                <w:sz w:val="12"/>
              </w:rPr>
            </w:pPr>
          </w:p>
        </w:tc>
        <w:tc>
          <w:tcPr>
            <w:tcW w:w="978" w:type="dxa"/>
            <w:shd w:val="clear" w:color="auto" w:fill="F9FCF9"/>
          </w:tcPr>
          <w:p>
            <w:pPr>
              <w:pStyle w:val="TableParagraph"/>
              <w:jc w:val="left"/>
              <w:rPr>
                <w:sz w:val="12"/>
              </w:rPr>
            </w:pPr>
          </w:p>
        </w:tc>
        <w:tc>
          <w:tcPr>
            <w:tcW w:w="742" w:type="dxa"/>
            <w:shd w:val="clear" w:color="auto" w:fill="F9FCF9"/>
          </w:tcPr>
          <w:p>
            <w:pPr>
              <w:pStyle w:val="TableParagraph"/>
              <w:spacing w:line="167" w:lineRule="exact" w:before="8"/>
              <w:ind w:left="12"/>
              <w:rPr>
                <w:sz w:val="16"/>
              </w:rPr>
            </w:pPr>
            <w:r>
              <w:rPr>
                <w:sz w:val="16"/>
              </w:rPr>
              <w:t>11.0</w:t>
            </w:r>
          </w:p>
        </w:tc>
        <w:tc>
          <w:tcPr>
            <w:tcW w:w="866" w:type="dxa"/>
            <w:shd w:val="clear" w:color="auto" w:fill="F9FCF9"/>
          </w:tcPr>
          <w:p>
            <w:pPr>
              <w:pStyle w:val="TableParagraph"/>
              <w:spacing w:line="167" w:lineRule="exact" w:before="8"/>
              <w:ind w:left="297"/>
              <w:jc w:val="left"/>
              <w:rPr>
                <w:sz w:val="16"/>
              </w:rPr>
            </w:pPr>
            <w:r>
              <w:rPr>
                <w:sz w:val="16"/>
              </w:rPr>
              <w:t>11.0</w:t>
            </w:r>
          </w:p>
        </w:tc>
        <w:tc>
          <w:tcPr>
            <w:tcW w:w="866" w:type="dxa"/>
            <w:shd w:val="clear" w:color="auto" w:fill="F9FCF9"/>
          </w:tcPr>
          <w:p>
            <w:pPr>
              <w:pStyle w:val="TableParagraph"/>
              <w:spacing w:line="167" w:lineRule="exact" w:before="8"/>
              <w:ind w:left="40" w:right="26"/>
              <w:rPr>
                <w:sz w:val="16"/>
              </w:rPr>
            </w:pPr>
            <w:r>
              <w:rPr>
                <w:sz w:val="16"/>
              </w:rPr>
              <w:t>11.0</w:t>
            </w:r>
          </w:p>
        </w:tc>
        <w:tc>
          <w:tcPr>
            <w:tcW w:w="794" w:type="dxa"/>
            <w:shd w:val="clear" w:color="auto" w:fill="F9FCF9"/>
          </w:tcPr>
          <w:p>
            <w:pPr>
              <w:pStyle w:val="TableParagraph"/>
              <w:spacing w:line="167" w:lineRule="exact" w:before="8"/>
              <w:ind w:left="21" w:right="6"/>
              <w:rPr>
                <w:sz w:val="16"/>
              </w:rPr>
            </w:pPr>
            <w:r>
              <w:rPr>
                <w:sz w:val="16"/>
              </w:rPr>
              <w:t>13.7</w:t>
            </w:r>
          </w:p>
        </w:tc>
        <w:tc>
          <w:tcPr>
            <w:tcW w:w="786" w:type="dxa"/>
            <w:shd w:val="clear" w:color="auto" w:fill="F9FCF9"/>
          </w:tcPr>
          <w:p>
            <w:pPr>
              <w:pStyle w:val="TableParagraph"/>
              <w:spacing w:line="167" w:lineRule="exact" w:before="8"/>
              <w:ind w:left="18" w:right="2"/>
              <w:rPr>
                <w:sz w:val="16"/>
              </w:rPr>
            </w:pPr>
            <w:r>
              <w:rPr>
                <w:sz w:val="16"/>
              </w:rPr>
              <w:t>13.7</w:t>
            </w:r>
          </w:p>
        </w:tc>
        <w:tc>
          <w:tcPr>
            <w:tcW w:w="503" w:type="dxa"/>
            <w:shd w:val="clear" w:color="auto" w:fill="F9FCF9"/>
          </w:tcPr>
          <w:p>
            <w:pPr>
              <w:pStyle w:val="TableParagraph"/>
              <w:spacing w:line="167" w:lineRule="exact" w:before="8"/>
              <w:ind w:left="17"/>
              <w:rPr>
                <w:b/>
                <w:sz w:val="16"/>
              </w:rPr>
            </w:pPr>
            <w:r>
              <w:rPr>
                <w:b/>
                <w:sz w:val="16"/>
              </w:rPr>
              <w:t>8</w:t>
            </w:r>
          </w:p>
        </w:tc>
        <w:tc>
          <w:tcPr>
            <w:tcW w:w="1070" w:type="dxa"/>
            <w:shd w:val="clear" w:color="auto" w:fill="F9FCF9"/>
          </w:tcPr>
          <w:p>
            <w:pPr>
              <w:pStyle w:val="TableParagraph"/>
              <w:spacing w:line="167" w:lineRule="exact" w:before="8"/>
              <w:ind w:left="359" w:right="340"/>
              <w:rPr>
                <w:b/>
                <w:sz w:val="16"/>
              </w:rPr>
            </w:pPr>
            <w:r>
              <w:rPr>
                <w:b/>
                <w:sz w:val="16"/>
              </w:rPr>
              <w:t>14</w:t>
            </w:r>
          </w:p>
        </w:tc>
      </w:tr>
      <w:tr>
        <w:trPr>
          <w:trHeight w:val="387" w:hRule="atLeast"/>
        </w:trPr>
        <w:tc>
          <w:tcPr>
            <w:tcW w:w="2783" w:type="dxa"/>
            <w:shd w:val="clear" w:color="auto" w:fill="F9FCF9"/>
          </w:tcPr>
          <w:p>
            <w:pPr>
              <w:pStyle w:val="TableParagraph"/>
              <w:spacing w:line="190" w:lineRule="atLeast" w:before="2"/>
              <w:ind w:left="20" w:right="177"/>
              <w:jc w:val="left"/>
              <w:rPr>
                <w:sz w:val="16"/>
              </w:rPr>
            </w:pPr>
            <w:r>
              <w:rPr>
                <w:sz w:val="16"/>
              </w:rPr>
              <w:t>CCS energy requirement (% more input MWh</w:t>
            </w:r>
            <w:r>
              <w:rPr>
                <w:position w:val="5"/>
                <w:sz w:val="9"/>
              </w:rPr>
              <w:t>-1</w:t>
            </w:r>
            <w:r>
              <w:rPr>
                <w:sz w:val="16"/>
              </w:rPr>
              <w:t>)</w:t>
            </w:r>
          </w:p>
        </w:tc>
        <w:tc>
          <w:tcPr>
            <w:tcW w:w="866" w:type="dxa"/>
            <w:shd w:val="clear" w:color="auto" w:fill="F9FCF9"/>
          </w:tcPr>
          <w:p>
            <w:pPr>
              <w:pStyle w:val="TableParagraph"/>
              <w:spacing w:before="8"/>
              <w:ind w:left="33" w:right="26"/>
              <w:rPr>
                <w:sz w:val="16"/>
              </w:rPr>
            </w:pPr>
            <w:r>
              <w:rPr>
                <w:sz w:val="16"/>
              </w:rPr>
              <w:t>18</w:t>
            </w:r>
          </w:p>
        </w:tc>
        <w:tc>
          <w:tcPr>
            <w:tcW w:w="758" w:type="dxa"/>
            <w:shd w:val="clear" w:color="auto" w:fill="F9FCF9"/>
          </w:tcPr>
          <w:p>
            <w:pPr>
              <w:pStyle w:val="TableParagraph"/>
              <w:spacing w:before="8"/>
              <w:ind w:left="31" w:right="23"/>
              <w:rPr>
                <w:sz w:val="16"/>
              </w:rPr>
            </w:pPr>
            <w:r>
              <w:rPr>
                <w:sz w:val="16"/>
              </w:rPr>
              <w:t>16</w:t>
            </w:r>
          </w:p>
        </w:tc>
        <w:tc>
          <w:tcPr>
            <w:tcW w:w="818" w:type="dxa"/>
            <w:shd w:val="clear" w:color="auto" w:fill="F9FCF9"/>
          </w:tcPr>
          <w:p>
            <w:pPr>
              <w:pStyle w:val="TableParagraph"/>
              <w:spacing w:before="8"/>
              <w:ind w:left="61" w:right="52"/>
              <w:rPr>
                <w:sz w:val="16"/>
              </w:rPr>
            </w:pPr>
            <w:r>
              <w:rPr>
                <w:sz w:val="16"/>
              </w:rPr>
              <w:t>25</w:t>
            </w:r>
          </w:p>
        </w:tc>
        <w:tc>
          <w:tcPr>
            <w:tcW w:w="866" w:type="dxa"/>
            <w:shd w:val="clear" w:color="auto" w:fill="F9FCF9"/>
          </w:tcPr>
          <w:p>
            <w:pPr>
              <w:pStyle w:val="TableParagraph"/>
              <w:spacing w:before="8"/>
              <w:ind w:left="36" w:right="26"/>
              <w:rPr>
                <w:sz w:val="16"/>
              </w:rPr>
            </w:pPr>
            <w:r>
              <w:rPr>
                <w:sz w:val="16"/>
              </w:rPr>
              <w:t>16</w:t>
            </w:r>
          </w:p>
        </w:tc>
        <w:tc>
          <w:tcPr>
            <w:tcW w:w="866" w:type="dxa"/>
            <w:shd w:val="clear" w:color="auto" w:fill="F9FCF9"/>
          </w:tcPr>
          <w:p>
            <w:pPr>
              <w:pStyle w:val="TableParagraph"/>
              <w:spacing w:before="8"/>
              <w:ind w:left="37" w:right="26"/>
              <w:rPr>
                <w:sz w:val="16"/>
              </w:rPr>
            </w:pPr>
            <w:r>
              <w:rPr>
                <w:sz w:val="16"/>
              </w:rPr>
              <w:t>14</w:t>
            </w:r>
          </w:p>
        </w:tc>
        <w:tc>
          <w:tcPr>
            <w:tcW w:w="978" w:type="dxa"/>
            <w:shd w:val="clear" w:color="auto" w:fill="F9FCF9"/>
          </w:tcPr>
          <w:p>
            <w:pPr>
              <w:pStyle w:val="TableParagraph"/>
              <w:jc w:val="left"/>
              <w:rPr>
                <w:sz w:val="16"/>
              </w:rPr>
            </w:pPr>
          </w:p>
        </w:tc>
        <w:tc>
          <w:tcPr>
            <w:tcW w:w="742" w:type="dxa"/>
            <w:shd w:val="clear" w:color="auto" w:fill="F9FCF9"/>
          </w:tcPr>
          <w:p>
            <w:pPr>
              <w:pStyle w:val="TableParagraph"/>
              <w:spacing w:before="8"/>
              <w:ind w:left="12"/>
              <w:rPr>
                <w:sz w:val="16"/>
              </w:rPr>
            </w:pPr>
            <w:r>
              <w:rPr>
                <w:sz w:val="16"/>
              </w:rPr>
              <w:t>21</w:t>
            </w:r>
          </w:p>
        </w:tc>
        <w:tc>
          <w:tcPr>
            <w:tcW w:w="866" w:type="dxa"/>
            <w:shd w:val="clear" w:color="auto" w:fill="F9FCF9"/>
          </w:tcPr>
          <w:p>
            <w:pPr>
              <w:pStyle w:val="TableParagraph"/>
              <w:spacing w:before="8"/>
              <w:ind w:left="39" w:right="26"/>
              <w:rPr>
                <w:sz w:val="16"/>
              </w:rPr>
            </w:pPr>
            <w:r>
              <w:rPr>
                <w:sz w:val="16"/>
              </w:rPr>
              <w:t>19</w:t>
            </w:r>
          </w:p>
        </w:tc>
        <w:tc>
          <w:tcPr>
            <w:tcW w:w="866" w:type="dxa"/>
            <w:shd w:val="clear" w:color="auto" w:fill="F9FCF9"/>
          </w:tcPr>
          <w:p>
            <w:pPr>
              <w:pStyle w:val="TableParagraph"/>
              <w:spacing w:before="8"/>
              <w:ind w:left="40" w:right="26"/>
              <w:rPr>
                <w:sz w:val="16"/>
              </w:rPr>
            </w:pPr>
            <w:r>
              <w:rPr>
                <w:sz w:val="16"/>
              </w:rPr>
              <w:t>25</w:t>
            </w:r>
          </w:p>
        </w:tc>
        <w:tc>
          <w:tcPr>
            <w:tcW w:w="794" w:type="dxa"/>
            <w:shd w:val="clear" w:color="auto" w:fill="F9FCF9"/>
          </w:tcPr>
          <w:p>
            <w:pPr>
              <w:pStyle w:val="TableParagraph"/>
              <w:spacing w:before="8"/>
              <w:ind w:left="21" w:right="6"/>
              <w:rPr>
                <w:sz w:val="16"/>
              </w:rPr>
            </w:pPr>
            <w:r>
              <w:rPr>
                <w:sz w:val="16"/>
              </w:rPr>
              <w:t>16</w:t>
            </w:r>
          </w:p>
        </w:tc>
        <w:tc>
          <w:tcPr>
            <w:tcW w:w="786" w:type="dxa"/>
            <w:shd w:val="clear" w:color="auto" w:fill="F9FCF9"/>
          </w:tcPr>
          <w:p>
            <w:pPr>
              <w:pStyle w:val="TableParagraph"/>
              <w:spacing w:before="8"/>
              <w:ind w:left="18" w:right="2"/>
              <w:rPr>
                <w:sz w:val="16"/>
              </w:rPr>
            </w:pPr>
            <w:r>
              <w:rPr>
                <w:sz w:val="16"/>
              </w:rPr>
              <w:t>16</w:t>
            </w:r>
          </w:p>
        </w:tc>
        <w:tc>
          <w:tcPr>
            <w:tcW w:w="503" w:type="dxa"/>
            <w:shd w:val="clear" w:color="auto" w:fill="F9FCF9"/>
          </w:tcPr>
          <w:p>
            <w:pPr>
              <w:pStyle w:val="TableParagraph"/>
              <w:spacing w:before="8"/>
              <w:ind w:left="75" w:right="58"/>
              <w:rPr>
                <w:b/>
                <w:sz w:val="16"/>
              </w:rPr>
            </w:pPr>
            <w:r>
              <w:rPr>
                <w:b/>
                <w:sz w:val="16"/>
              </w:rPr>
              <w:t>14</w:t>
            </w:r>
          </w:p>
        </w:tc>
        <w:tc>
          <w:tcPr>
            <w:tcW w:w="1070" w:type="dxa"/>
            <w:shd w:val="clear" w:color="auto" w:fill="F9FCF9"/>
          </w:tcPr>
          <w:p>
            <w:pPr>
              <w:pStyle w:val="TableParagraph"/>
              <w:spacing w:before="8"/>
              <w:ind w:left="359" w:right="340"/>
              <w:rPr>
                <w:b/>
                <w:sz w:val="16"/>
              </w:rPr>
            </w:pPr>
            <w:r>
              <w:rPr>
                <w:b/>
                <w:sz w:val="16"/>
              </w:rPr>
              <w:t>25</w:t>
            </w:r>
          </w:p>
        </w:tc>
      </w:tr>
      <w:tr>
        <w:trPr>
          <w:trHeight w:val="195" w:hRule="atLeast"/>
        </w:trPr>
        <w:tc>
          <w:tcPr>
            <w:tcW w:w="2783" w:type="dxa"/>
            <w:shd w:val="clear" w:color="auto" w:fill="F9FCF9"/>
          </w:tcPr>
          <w:p>
            <w:pPr>
              <w:pStyle w:val="TableParagraph"/>
              <w:spacing w:line="167" w:lineRule="exact" w:before="8"/>
              <w:ind w:left="20"/>
              <w:jc w:val="left"/>
              <w:rPr>
                <w:b/>
                <w:sz w:val="16"/>
              </w:rPr>
            </w:pPr>
            <w:r>
              <w:rPr>
                <w:b/>
                <w:sz w:val="16"/>
              </w:rPr>
              <w:t>CO</w:t>
            </w:r>
            <w:r>
              <w:rPr>
                <w:b/>
                <w:position w:val="-4"/>
                <w:sz w:val="9"/>
              </w:rPr>
              <w:t>2 </w:t>
            </w:r>
            <w:r>
              <w:rPr>
                <w:b/>
                <w:sz w:val="16"/>
              </w:rPr>
              <w:t>reduction per kWh (%)</w:t>
            </w:r>
          </w:p>
        </w:tc>
        <w:tc>
          <w:tcPr>
            <w:tcW w:w="866" w:type="dxa"/>
            <w:shd w:val="clear" w:color="auto" w:fill="F9FCF9"/>
          </w:tcPr>
          <w:p>
            <w:pPr>
              <w:pStyle w:val="TableParagraph"/>
              <w:spacing w:line="167" w:lineRule="exact" w:before="8"/>
              <w:ind w:left="33" w:right="26"/>
              <w:rPr>
                <w:b/>
                <w:sz w:val="16"/>
              </w:rPr>
            </w:pPr>
            <w:r>
              <w:rPr>
                <w:b/>
                <w:sz w:val="16"/>
              </w:rPr>
              <w:t>87</w:t>
            </w:r>
          </w:p>
        </w:tc>
        <w:tc>
          <w:tcPr>
            <w:tcW w:w="758" w:type="dxa"/>
            <w:shd w:val="clear" w:color="auto" w:fill="F9FCF9"/>
          </w:tcPr>
          <w:p>
            <w:pPr>
              <w:pStyle w:val="TableParagraph"/>
              <w:spacing w:line="167" w:lineRule="exact" w:before="8"/>
              <w:ind w:left="31" w:right="23"/>
              <w:rPr>
                <w:b/>
                <w:sz w:val="16"/>
              </w:rPr>
            </w:pPr>
            <w:r>
              <w:rPr>
                <w:b/>
                <w:sz w:val="16"/>
              </w:rPr>
              <w:t>85</w:t>
            </w:r>
          </w:p>
        </w:tc>
        <w:tc>
          <w:tcPr>
            <w:tcW w:w="818" w:type="dxa"/>
            <w:shd w:val="clear" w:color="auto" w:fill="F9FCF9"/>
          </w:tcPr>
          <w:p>
            <w:pPr>
              <w:pStyle w:val="TableParagraph"/>
              <w:spacing w:line="167" w:lineRule="exact" w:before="8"/>
              <w:ind w:left="61" w:right="52"/>
              <w:rPr>
                <w:b/>
                <w:sz w:val="16"/>
              </w:rPr>
            </w:pPr>
            <w:r>
              <w:rPr>
                <w:b/>
                <w:sz w:val="16"/>
              </w:rPr>
              <w:t>86</w:t>
            </w:r>
          </w:p>
        </w:tc>
        <w:tc>
          <w:tcPr>
            <w:tcW w:w="866" w:type="dxa"/>
            <w:shd w:val="clear" w:color="auto" w:fill="F9FCF9"/>
          </w:tcPr>
          <w:p>
            <w:pPr>
              <w:pStyle w:val="TableParagraph"/>
              <w:spacing w:line="167" w:lineRule="exact" w:before="8"/>
              <w:ind w:left="36" w:right="26"/>
              <w:rPr>
                <w:b/>
                <w:sz w:val="16"/>
              </w:rPr>
            </w:pPr>
            <w:r>
              <w:rPr>
                <w:b/>
                <w:sz w:val="16"/>
              </w:rPr>
              <w:t>90</w:t>
            </w:r>
          </w:p>
        </w:tc>
        <w:tc>
          <w:tcPr>
            <w:tcW w:w="866" w:type="dxa"/>
            <w:shd w:val="clear" w:color="auto" w:fill="F9FCF9"/>
          </w:tcPr>
          <w:p>
            <w:pPr>
              <w:pStyle w:val="TableParagraph"/>
              <w:spacing w:line="167" w:lineRule="exact" w:before="8"/>
              <w:ind w:left="37" w:right="26"/>
              <w:rPr>
                <w:b/>
                <w:sz w:val="16"/>
              </w:rPr>
            </w:pPr>
            <w:r>
              <w:rPr>
                <w:b/>
                <w:sz w:val="16"/>
              </w:rPr>
              <w:t>91</w:t>
            </w:r>
          </w:p>
        </w:tc>
        <w:tc>
          <w:tcPr>
            <w:tcW w:w="978" w:type="dxa"/>
            <w:shd w:val="clear" w:color="auto" w:fill="F9FCF9"/>
          </w:tcPr>
          <w:p>
            <w:pPr>
              <w:pStyle w:val="TableParagraph"/>
              <w:jc w:val="left"/>
              <w:rPr>
                <w:sz w:val="12"/>
              </w:rPr>
            </w:pPr>
          </w:p>
        </w:tc>
        <w:tc>
          <w:tcPr>
            <w:tcW w:w="742" w:type="dxa"/>
            <w:shd w:val="clear" w:color="auto" w:fill="F9FCF9"/>
          </w:tcPr>
          <w:p>
            <w:pPr>
              <w:pStyle w:val="TableParagraph"/>
              <w:spacing w:line="167" w:lineRule="exact" w:before="8"/>
              <w:ind w:left="12"/>
              <w:rPr>
                <w:b/>
                <w:sz w:val="16"/>
              </w:rPr>
            </w:pPr>
            <w:r>
              <w:rPr>
                <w:b/>
                <w:sz w:val="16"/>
              </w:rPr>
              <w:t>82</w:t>
            </w:r>
          </w:p>
        </w:tc>
        <w:tc>
          <w:tcPr>
            <w:tcW w:w="866" w:type="dxa"/>
            <w:shd w:val="clear" w:color="auto" w:fill="F9FCF9"/>
          </w:tcPr>
          <w:p>
            <w:pPr>
              <w:pStyle w:val="TableParagraph"/>
              <w:spacing w:line="167" w:lineRule="exact" w:before="8"/>
              <w:ind w:left="39" w:right="26"/>
              <w:rPr>
                <w:b/>
                <w:sz w:val="16"/>
              </w:rPr>
            </w:pPr>
            <w:r>
              <w:rPr>
                <w:b/>
                <w:sz w:val="16"/>
              </w:rPr>
              <w:t>82</w:t>
            </w:r>
          </w:p>
        </w:tc>
        <w:tc>
          <w:tcPr>
            <w:tcW w:w="866" w:type="dxa"/>
            <w:shd w:val="clear" w:color="auto" w:fill="F9FCF9"/>
          </w:tcPr>
          <w:p>
            <w:pPr>
              <w:pStyle w:val="TableParagraph"/>
              <w:spacing w:line="167" w:lineRule="exact" w:before="8"/>
              <w:ind w:left="40" w:right="26"/>
              <w:rPr>
                <w:b/>
                <w:sz w:val="16"/>
              </w:rPr>
            </w:pPr>
            <w:r>
              <w:rPr>
                <w:b/>
                <w:sz w:val="16"/>
              </w:rPr>
              <w:t>81</w:t>
            </w:r>
          </w:p>
        </w:tc>
        <w:tc>
          <w:tcPr>
            <w:tcW w:w="794" w:type="dxa"/>
            <w:shd w:val="clear" w:color="auto" w:fill="F9FCF9"/>
          </w:tcPr>
          <w:p>
            <w:pPr>
              <w:pStyle w:val="TableParagraph"/>
              <w:spacing w:line="167" w:lineRule="exact" w:before="8"/>
              <w:ind w:left="21" w:right="6"/>
              <w:rPr>
                <w:b/>
                <w:sz w:val="16"/>
              </w:rPr>
            </w:pPr>
            <w:r>
              <w:rPr>
                <w:b/>
                <w:sz w:val="16"/>
              </w:rPr>
              <w:t>88</w:t>
            </w:r>
          </w:p>
        </w:tc>
        <w:tc>
          <w:tcPr>
            <w:tcW w:w="786" w:type="dxa"/>
            <w:shd w:val="clear" w:color="auto" w:fill="F9FCF9"/>
          </w:tcPr>
          <w:p>
            <w:pPr>
              <w:pStyle w:val="TableParagraph"/>
              <w:spacing w:line="167" w:lineRule="exact" w:before="8"/>
              <w:ind w:left="18" w:right="2"/>
              <w:rPr>
                <w:b/>
                <w:sz w:val="16"/>
              </w:rPr>
            </w:pPr>
            <w:r>
              <w:rPr>
                <w:b/>
                <w:sz w:val="16"/>
              </w:rPr>
              <w:t>88</w:t>
            </w:r>
          </w:p>
        </w:tc>
        <w:tc>
          <w:tcPr>
            <w:tcW w:w="503" w:type="dxa"/>
            <w:shd w:val="clear" w:color="auto" w:fill="F9FCF9"/>
          </w:tcPr>
          <w:p>
            <w:pPr>
              <w:pStyle w:val="TableParagraph"/>
              <w:spacing w:line="167" w:lineRule="exact" w:before="8"/>
              <w:ind w:left="75" w:right="58"/>
              <w:rPr>
                <w:b/>
                <w:sz w:val="16"/>
              </w:rPr>
            </w:pPr>
            <w:r>
              <w:rPr>
                <w:b/>
                <w:sz w:val="16"/>
              </w:rPr>
              <w:t>81</w:t>
            </w:r>
          </w:p>
        </w:tc>
        <w:tc>
          <w:tcPr>
            <w:tcW w:w="1070" w:type="dxa"/>
            <w:shd w:val="clear" w:color="auto" w:fill="F9FCF9"/>
          </w:tcPr>
          <w:p>
            <w:pPr>
              <w:pStyle w:val="TableParagraph"/>
              <w:spacing w:line="167" w:lineRule="exact" w:before="8"/>
              <w:ind w:left="359" w:right="340"/>
              <w:rPr>
                <w:b/>
                <w:sz w:val="16"/>
              </w:rPr>
            </w:pPr>
            <w:r>
              <w:rPr>
                <w:b/>
                <w:sz w:val="16"/>
              </w:rPr>
              <w:t>91</w:t>
            </w:r>
          </w:p>
        </w:tc>
      </w:tr>
      <w:tr>
        <w:trPr>
          <w:trHeight w:val="195" w:hRule="atLeast"/>
        </w:trPr>
        <w:tc>
          <w:tcPr>
            <w:tcW w:w="2783" w:type="dxa"/>
            <w:shd w:val="clear" w:color="auto" w:fill="F9FCF9"/>
          </w:tcPr>
          <w:p>
            <w:pPr>
              <w:pStyle w:val="TableParagraph"/>
              <w:spacing w:line="167" w:lineRule="exact" w:before="8"/>
              <w:ind w:left="196"/>
              <w:jc w:val="left"/>
              <w:rPr>
                <w:b/>
                <w:i/>
                <w:sz w:val="16"/>
              </w:rPr>
            </w:pPr>
            <w:r>
              <w:rPr>
                <w:b/>
                <w:i/>
                <w:sz w:val="16"/>
              </w:rPr>
              <w:t>Cost Results</w:t>
            </w:r>
          </w:p>
        </w:tc>
        <w:tc>
          <w:tcPr>
            <w:tcW w:w="866" w:type="dxa"/>
            <w:shd w:val="clear" w:color="auto" w:fill="F9FCF9"/>
          </w:tcPr>
          <w:p>
            <w:pPr>
              <w:pStyle w:val="TableParagraph"/>
              <w:jc w:val="left"/>
              <w:rPr>
                <w:sz w:val="12"/>
              </w:rPr>
            </w:pPr>
          </w:p>
        </w:tc>
        <w:tc>
          <w:tcPr>
            <w:tcW w:w="758" w:type="dxa"/>
            <w:shd w:val="clear" w:color="auto" w:fill="F9FCF9"/>
          </w:tcPr>
          <w:p>
            <w:pPr>
              <w:pStyle w:val="TableParagraph"/>
              <w:jc w:val="left"/>
              <w:rPr>
                <w:sz w:val="12"/>
              </w:rPr>
            </w:pPr>
          </w:p>
        </w:tc>
        <w:tc>
          <w:tcPr>
            <w:tcW w:w="818" w:type="dxa"/>
            <w:shd w:val="clear" w:color="auto" w:fill="F9FCF9"/>
          </w:tcPr>
          <w:p>
            <w:pPr>
              <w:pStyle w:val="TableParagraph"/>
              <w:jc w:val="left"/>
              <w:rPr>
                <w:sz w:val="12"/>
              </w:rPr>
            </w:pPr>
          </w:p>
        </w:tc>
        <w:tc>
          <w:tcPr>
            <w:tcW w:w="866" w:type="dxa"/>
            <w:shd w:val="clear" w:color="auto" w:fill="F9FCF9"/>
          </w:tcPr>
          <w:p>
            <w:pPr>
              <w:pStyle w:val="TableParagraph"/>
              <w:jc w:val="left"/>
              <w:rPr>
                <w:sz w:val="12"/>
              </w:rPr>
            </w:pPr>
          </w:p>
        </w:tc>
        <w:tc>
          <w:tcPr>
            <w:tcW w:w="866" w:type="dxa"/>
            <w:shd w:val="clear" w:color="auto" w:fill="F9FCF9"/>
          </w:tcPr>
          <w:p>
            <w:pPr>
              <w:pStyle w:val="TableParagraph"/>
              <w:jc w:val="left"/>
              <w:rPr>
                <w:sz w:val="12"/>
              </w:rPr>
            </w:pPr>
          </w:p>
        </w:tc>
        <w:tc>
          <w:tcPr>
            <w:tcW w:w="978" w:type="dxa"/>
            <w:shd w:val="clear" w:color="auto" w:fill="F9FCF9"/>
          </w:tcPr>
          <w:p>
            <w:pPr>
              <w:pStyle w:val="TableParagraph"/>
              <w:jc w:val="left"/>
              <w:rPr>
                <w:sz w:val="12"/>
              </w:rPr>
            </w:pPr>
          </w:p>
        </w:tc>
        <w:tc>
          <w:tcPr>
            <w:tcW w:w="742" w:type="dxa"/>
            <w:shd w:val="clear" w:color="auto" w:fill="F9FCF9"/>
          </w:tcPr>
          <w:p>
            <w:pPr>
              <w:pStyle w:val="TableParagraph"/>
              <w:spacing w:line="167" w:lineRule="exact" w:before="8"/>
              <w:ind w:left="12"/>
              <w:rPr>
                <w:b/>
                <w:i/>
                <w:sz w:val="16"/>
              </w:rPr>
            </w:pPr>
            <w:r>
              <w:rPr>
                <w:b/>
                <w:i/>
                <w:sz w:val="16"/>
              </w:rPr>
              <w:t>**</w:t>
            </w:r>
          </w:p>
        </w:tc>
        <w:tc>
          <w:tcPr>
            <w:tcW w:w="866" w:type="dxa"/>
            <w:shd w:val="clear" w:color="auto" w:fill="F9FCF9"/>
          </w:tcPr>
          <w:p>
            <w:pPr>
              <w:pStyle w:val="TableParagraph"/>
              <w:spacing w:line="167" w:lineRule="exact" w:before="8"/>
              <w:ind w:left="39" w:right="26"/>
              <w:rPr>
                <w:b/>
                <w:i/>
                <w:sz w:val="16"/>
              </w:rPr>
            </w:pPr>
            <w:r>
              <w:rPr>
                <w:b/>
                <w:i/>
                <w:sz w:val="16"/>
              </w:rPr>
              <w:t>**</w:t>
            </w:r>
          </w:p>
        </w:tc>
        <w:tc>
          <w:tcPr>
            <w:tcW w:w="866" w:type="dxa"/>
            <w:shd w:val="clear" w:color="auto" w:fill="F9FCF9"/>
          </w:tcPr>
          <w:p>
            <w:pPr>
              <w:pStyle w:val="TableParagraph"/>
              <w:spacing w:line="167" w:lineRule="exact" w:before="8"/>
              <w:ind w:left="40" w:right="26"/>
              <w:rPr>
                <w:b/>
                <w:i/>
                <w:sz w:val="16"/>
              </w:rPr>
            </w:pPr>
            <w:r>
              <w:rPr>
                <w:b/>
                <w:i/>
                <w:sz w:val="16"/>
              </w:rPr>
              <w:t>**</w:t>
            </w:r>
          </w:p>
        </w:tc>
        <w:tc>
          <w:tcPr>
            <w:tcW w:w="794" w:type="dxa"/>
            <w:shd w:val="clear" w:color="auto" w:fill="F9FCF9"/>
          </w:tcPr>
          <w:p>
            <w:pPr>
              <w:pStyle w:val="TableParagraph"/>
              <w:jc w:val="left"/>
              <w:rPr>
                <w:sz w:val="12"/>
              </w:rPr>
            </w:pPr>
          </w:p>
        </w:tc>
        <w:tc>
          <w:tcPr>
            <w:tcW w:w="786" w:type="dxa"/>
            <w:shd w:val="clear" w:color="auto" w:fill="F9FCF9"/>
          </w:tcPr>
          <w:p>
            <w:pPr>
              <w:pStyle w:val="TableParagraph"/>
              <w:jc w:val="left"/>
              <w:rPr>
                <w:sz w:val="12"/>
              </w:rPr>
            </w:pPr>
          </w:p>
        </w:tc>
        <w:tc>
          <w:tcPr>
            <w:tcW w:w="503" w:type="dxa"/>
            <w:shd w:val="clear" w:color="auto" w:fill="F9FCF9"/>
          </w:tcPr>
          <w:p>
            <w:pPr>
              <w:pStyle w:val="TableParagraph"/>
              <w:jc w:val="left"/>
              <w:rPr>
                <w:sz w:val="12"/>
              </w:rPr>
            </w:pPr>
          </w:p>
        </w:tc>
        <w:tc>
          <w:tcPr>
            <w:tcW w:w="1070" w:type="dxa"/>
            <w:shd w:val="clear" w:color="auto" w:fill="F9FCF9"/>
          </w:tcPr>
          <w:p>
            <w:pPr>
              <w:pStyle w:val="TableParagraph"/>
              <w:jc w:val="left"/>
              <w:rPr>
                <w:sz w:val="12"/>
              </w:rPr>
            </w:pPr>
          </w:p>
        </w:tc>
      </w:tr>
      <w:tr>
        <w:trPr>
          <w:trHeight w:val="195" w:hRule="atLeast"/>
        </w:trPr>
        <w:tc>
          <w:tcPr>
            <w:tcW w:w="2783" w:type="dxa"/>
            <w:shd w:val="clear" w:color="auto" w:fill="F9FCF9"/>
          </w:tcPr>
          <w:p>
            <w:pPr>
              <w:pStyle w:val="TableParagraph"/>
              <w:spacing w:line="167" w:lineRule="exact" w:before="8"/>
              <w:ind w:left="20"/>
              <w:jc w:val="left"/>
              <w:rPr>
                <w:sz w:val="16"/>
              </w:rPr>
            </w:pPr>
            <w:r>
              <w:rPr>
                <w:sz w:val="16"/>
              </w:rPr>
              <w:t>Cost year basis (constant dollars)</w:t>
            </w:r>
          </w:p>
        </w:tc>
        <w:tc>
          <w:tcPr>
            <w:tcW w:w="866" w:type="dxa"/>
            <w:shd w:val="clear" w:color="auto" w:fill="F9FCF9"/>
          </w:tcPr>
          <w:p>
            <w:pPr>
              <w:pStyle w:val="TableParagraph"/>
              <w:spacing w:line="167" w:lineRule="exact" w:before="8"/>
              <w:ind w:left="33" w:right="26"/>
              <w:rPr>
                <w:sz w:val="16"/>
              </w:rPr>
            </w:pPr>
            <w:r>
              <w:rPr>
                <w:sz w:val="16"/>
              </w:rPr>
              <w:t>2002</w:t>
            </w:r>
          </w:p>
        </w:tc>
        <w:tc>
          <w:tcPr>
            <w:tcW w:w="758" w:type="dxa"/>
            <w:shd w:val="clear" w:color="auto" w:fill="F9FCF9"/>
          </w:tcPr>
          <w:p>
            <w:pPr>
              <w:pStyle w:val="TableParagraph"/>
              <w:spacing w:line="167" w:lineRule="exact" w:before="8"/>
              <w:ind w:left="31" w:right="23"/>
              <w:rPr>
                <w:sz w:val="16"/>
              </w:rPr>
            </w:pPr>
            <w:r>
              <w:rPr>
                <w:sz w:val="16"/>
              </w:rPr>
              <w:t>2002</w:t>
            </w:r>
          </w:p>
        </w:tc>
        <w:tc>
          <w:tcPr>
            <w:tcW w:w="818" w:type="dxa"/>
            <w:shd w:val="clear" w:color="auto" w:fill="F9FCF9"/>
          </w:tcPr>
          <w:p>
            <w:pPr>
              <w:pStyle w:val="TableParagraph"/>
              <w:spacing w:line="167" w:lineRule="exact" w:before="8"/>
              <w:ind w:left="61" w:right="52"/>
              <w:rPr>
                <w:sz w:val="16"/>
              </w:rPr>
            </w:pPr>
            <w:r>
              <w:rPr>
                <w:sz w:val="16"/>
              </w:rPr>
              <w:t>2002</w:t>
            </w:r>
          </w:p>
        </w:tc>
        <w:tc>
          <w:tcPr>
            <w:tcW w:w="866" w:type="dxa"/>
            <w:shd w:val="clear" w:color="auto" w:fill="F9FCF9"/>
          </w:tcPr>
          <w:p>
            <w:pPr>
              <w:pStyle w:val="TableParagraph"/>
              <w:spacing w:line="167" w:lineRule="exact" w:before="8"/>
              <w:ind w:left="36" w:right="26"/>
              <w:rPr>
                <w:sz w:val="16"/>
              </w:rPr>
            </w:pPr>
            <w:r>
              <w:rPr>
                <w:sz w:val="16"/>
              </w:rPr>
              <w:t>2000</w:t>
            </w:r>
          </w:p>
        </w:tc>
        <w:tc>
          <w:tcPr>
            <w:tcW w:w="866" w:type="dxa"/>
            <w:shd w:val="clear" w:color="auto" w:fill="F9FCF9"/>
          </w:tcPr>
          <w:p>
            <w:pPr>
              <w:pStyle w:val="TableParagraph"/>
              <w:spacing w:line="167" w:lineRule="exact" w:before="8"/>
              <w:ind w:left="37" w:right="26"/>
              <w:rPr>
                <w:sz w:val="16"/>
              </w:rPr>
            </w:pPr>
            <w:r>
              <w:rPr>
                <w:sz w:val="16"/>
              </w:rPr>
              <w:t>2000</w:t>
            </w:r>
          </w:p>
        </w:tc>
        <w:tc>
          <w:tcPr>
            <w:tcW w:w="978" w:type="dxa"/>
            <w:shd w:val="clear" w:color="auto" w:fill="F9FCF9"/>
          </w:tcPr>
          <w:p>
            <w:pPr>
              <w:pStyle w:val="TableParagraph"/>
              <w:jc w:val="left"/>
              <w:rPr>
                <w:sz w:val="12"/>
              </w:rPr>
            </w:pPr>
          </w:p>
        </w:tc>
        <w:tc>
          <w:tcPr>
            <w:tcW w:w="742" w:type="dxa"/>
            <w:shd w:val="clear" w:color="auto" w:fill="F9FCF9"/>
          </w:tcPr>
          <w:p>
            <w:pPr>
              <w:pStyle w:val="TableParagraph"/>
              <w:spacing w:line="167" w:lineRule="exact" w:before="8"/>
              <w:ind w:left="12"/>
              <w:rPr>
                <w:sz w:val="16"/>
              </w:rPr>
            </w:pPr>
            <w:r>
              <w:rPr>
                <w:sz w:val="16"/>
              </w:rPr>
              <w:t>2002</w:t>
            </w:r>
          </w:p>
        </w:tc>
        <w:tc>
          <w:tcPr>
            <w:tcW w:w="866" w:type="dxa"/>
            <w:shd w:val="clear" w:color="auto" w:fill="F9FCF9"/>
          </w:tcPr>
          <w:p>
            <w:pPr>
              <w:pStyle w:val="TableParagraph"/>
              <w:spacing w:line="167" w:lineRule="exact" w:before="8"/>
              <w:ind w:left="274"/>
              <w:jc w:val="left"/>
              <w:rPr>
                <w:sz w:val="16"/>
              </w:rPr>
            </w:pPr>
            <w:r>
              <w:rPr>
                <w:sz w:val="16"/>
              </w:rPr>
              <w:t>2002</w:t>
            </w:r>
          </w:p>
        </w:tc>
        <w:tc>
          <w:tcPr>
            <w:tcW w:w="866" w:type="dxa"/>
            <w:shd w:val="clear" w:color="auto" w:fill="F9FCF9"/>
          </w:tcPr>
          <w:p>
            <w:pPr>
              <w:pStyle w:val="TableParagraph"/>
              <w:spacing w:line="167" w:lineRule="exact" w:before="8"/>
              <w:ind w:left="40" w:right="26"/>
              <w:rPr>
                <w:sz w:val="16"/>
              </w:rPr>
            </w:pPr>
            <w:r>
              <w:rPr>
                <w:sz w:val="16"/>
              </w:rPr>
              <w:t>2002</w:t>
            </w:r>
          </w:p>
        </w:tc>
        <w:tc>
          <w:tcPr>
            <w:tcW w:w="794" w:type="dxa"/>
            <w:shd w:val="clear" w:color="auto" w:fill="F9FCF9"/>
          </w:tcPr>
          <w:p>
            <w:pPr>
              <w:pStyle w:val="TableParagraph"/>
              <w:spacing w:line="167" w:lineRule="exact" w:before="8"/>
              <w:ind w:left="21" w:right="6"/>
              <w:rPr>
                <w:sz w:val="16"/>
              </w:rPr>
            </w:pPr>
            <w:r>
              <w:rPr>
                <w:sz w:val="16"/>
              </w:rPr>
              <w:t>2001</w:t>
            </w:r>
          </w:p>
        </w:tc>
        <w:tc>
          <w:tcPr>
            <w:tcW w:w="786" w:type="dxa"/>
            <w:shd w:val="clear" w:color="auto" w:fill="F9FCF9"/>
          </w:tcPr>
          <w:p>
            <w:pPr>
              <w:pStyle w:val="TableParagraph"/>
              <w:spacing w:line="167" w:lineRule="exact" w:before="8"/>
              <w:ind w:left="18" w:right="2"/>
              <w:rPr>
                <w:sz w:val="16"/>
              </w:rPr>
            </w:pPr>
            <w:r>
              <w:rPr>
                <w:sz w:val="16"/>
              </w:rPr>
              <w:t>2001</w:t>
            </w:r>
          </w:p>
        </w:tc>
        <w:tc>
          <w:tcPr>
            <w:tcW w:w="503" w:type="dxa"/>
            <w:shd w:val="clear" w:color="auto" w:fill="F9FCF9"/>
          </w:tcPr>
          <w:p>
            <w:pPr>
              <w:pStyle w:val="TableParagraph"/>
              <w:jc w:val="left"/>
              <w:rPr>
                <w:sz w:val="12"/>
              </w:rPr>
            </w:pPr>
          </w:p>
        </w:tc>
        <w:tc>
          <w:tcPr>
            <w:tcW w:w="1070" w:type="dxa"/>
            <w:shd w:val="clear" w:color="auto" w:fill="F9FCF9"/>
          </w:tcPr>
          <w:p>
            <w:pPr>
              <w:pStyle w:val="TableParagraph"/>
              <w:jc w:val="left"/>
              <w:rPr>
                <w:sz w:val="12"/>
              </w:rPr>
            </w:pPr>
          </w:p>
        </w:tc>
      </w:tr>
      <w:tr>
        <w:trPr>
          <w:trHeight w:val="195" w:hRule="atLeast"/>
        </w:trPr>
        <w:tc>
          <w:tcPr>
            <w:tcW w:w="2783" w:type="dxa"/>
            <w:shd w:val="clear" w:color="auto" w:fill="F9FCF9"/>
          </w:tcPr>
          <w:p>
            <w:pPr>
              <w:pStyle w:val="TableParagraph"/>
              <w:spacing w:line="167" w:lineRule="exact" w:before="8"/>
              <w:ind w:left="20"/>
              <w:jc w:val="left"/>
              <w:rPr>
                <w:sz w:val="16"/>
              </w:rPr>
            </w:pPr>
            <w:r>
              <w:rPr>
                <w:sz w:val="16"/>
              </w:rPr>
              <w:t>Fixed charge factor (%)</w:t>
            </w:r>
          </w:p>
        </w:tc>
        <w:tc>
          <w:tcPr>
            <w:tcW w:w="866" w:type="dxa"/>
            <w:shd w:val="clear" w:color="auto" w:fill="F9FCF9"/>
          </w:tcPr>
          <w:p>
            <w:pPr>
              <w:pStyle w:val="TableParagraph"/>
              <w:spacing w:line="167" w:lineRule="exact" w:before="8"/>
              <w:ind w:left="33" w:right="26"/>
              <w:rPr>
                <w:sz w:val="16"/>
              </w:rPr>
            </w:pPr>
            <w:r>
              <w:rPr>
                <w:sz w:val="16"/>
              </w:rPr>
              <w:t>14.8</w:t>
            </w:r>
          </w:p>
        </w:tc>
        <w:tc>
          <w:tcPr>
            <w:tcW w:w="758" w:type="dxa"/>
            <w:shd w:val="clear" w:color="auto" w:fill="F9FCF9"/>
          </w:tcPr>
          <w:p>
            <w:pPr>
              <w:pStyle w:val="TableParagraph"/>
              <w:spacing w:line="167" w:lineRule="exact" w:before="8"/>
              <w:ind w:left="31" w:right="23"/>
              <w:rPr>
                <w:sz w:val="16"/>
              </w:rPr>
            </w:pPr>
            <w:r>
              <w:rPr>
                <w:sz w:val="16"/>
              </w:rPr>
              <w:t>14.8</w:t>
            </w:r>
          </w:p>
        </w:tc>
        <w:tc>
          <w:tcPr>
            <w:tcW w:w="818" w:type="dxa"/>
            <w:shd w:val="clear" w:color="auto" w:fill="F9FCF9"/>
          </w:tcPr>
          <w:p>
            <w:pPr>
              <w:pStyle w:val="TableParagraph"/>
              <w:spacing w:line="167" w:lineRule="exact" w:before="8"/>
              <w:ind w:left="61" w:right="52"/>
              <w:rPr>
                <w:sz w:val="16"/>
              </w:rPr>
            </w:pPr>
            <w:r>
              <w:rPr>
                <w:sz w:val="16"/>
              </w:rPr>
              <w:t>15.0</w:t>
            </w:r>
          </w:p>
        </w:tc>
        <w:tc>
          <w:tcPr>
            <w:tcW w:w="866" w:type="dxa"/>
            <w:shd w:val="clear" w:color="auto" w:fill="F9FCF9"/>
          </w:tcPr>
          <w:p>
            <w:pPr>
              <w:pStyle w:val="TableParagraph"/>
              <w:spacing w:line="167" w:lineRule="exact" w:before="8"/>
              <w:ind w:left="36" w:right="26"/>
              <w:rPr>
                <w:sz w:val="16"/>
              </w:rPr>
            </w:pPr>
            <w:r>
              <w:rPr>
                <w:sz w:val="16"/>
              </w:rPr>
              <w:t>13.8</w:t>
            </w:r>
          </w:p>
        </w:tc>
        <w:tc>
          <w:tcPr>
            <w:tcW w:w="866" w:type="dxa"/>
            <w:shd w:val="clear" w:color="auto" w:fill="F9FCF9"/>
          </w:tcPr>
          <w:p>
            <w:pPr>
              <w:pStyle w:val="TableParagraph"/>
              <w:spacing w:line="167" w:lineRule="exact" w:before="8"/>
              <w:ind w:left="37" w:right="26"/>
              <w:rPr>
                <w:sz w:val="16"/>
              </w:rPr>
            </w:pPr>
            <w:r>
              <w:rPr>
                <w:sz w:val="16"/>
              </w:rPr>
              <w:t>13.0</w:t>
            </w:r>
          </w:p>
        </w:tc>
        <w:tc>
          <w:tcPr>
            <w:tcW w:w="978" w:type="dxa"/>
            <w:shd w:val="clear" w:color="auto" w:fill="F9FCF9"/>
          </w:tcPr>
          <w:p>
            <w:pPr>
              <w:pStyle w:val="TableParagraph"/>
              <w:jc w:val="left"/>
              <w:rPr>
                <w:sz w:val="12"/>
              </w:rPr>
            </w:pPr>
          </w:p>
        </w:tc>
        <w:tc>
          <w:tcPr>
            <w:tcW w:w="742" w:type="dxa"/>
            <w:shd w:val="clear" w:color="auto" w:fill="F9FCF9"/>
          </w:tcPr>
          <w:p>
            <w:pPr>
              <w:pStyle w:val="TableParagraph"/>
              <w:spacing w:line="167" w:lineRule="exact" w:before="8"/>
              <w:ind w:left="12"/>
              <w:rPr>
                <w:sz w:val="16"/>
              </w:rPr>
            </w:pPr>
            <w:r>
              <w:rPr>
                <w:sz w:val="16"/>
              </w:rPr>
              <w:t>11.0</w:t>
            </w:r>
          </w:p>
        </w:tc>
        <w:tc>
          <w:tcPr>
            <w:tcW w:w="866" w:type="dxa"/>
            <w:shd w:val="clear" w:color="auto" w:fill="F9FCF9"/>
          </w:tcPr>
          <w:p>
            <w:pPr>
              <w:pStyle w:val="TableParagraph"/>
              <w:spacing w:line="167" w:lineRule="exact" w:before="8"/>
              <w:ind w:left="297"/>
              <w:jc w:val="left"/>
              <w:rPr>
                <w:sz w:val="16"/>
              </w:rPr>
            </w:pPr>
            <w:r>
              <w:rPr>
                <w:sz w:val="16"/>
              </w:rPr>
              <w:t>11.0</w:t>
            </w:r>
          </w:p>
        </w:tc>
        <w:tc>
          <w:tcPr>
            <w:tcW w:w="866" w:type="dxa"/>
            <w:shd w:val="clear" w:color="auto" w:fill="F9FCF9"/>
          </w:tcPr>
          <w:p>
            <w:pPr>
              <w:pStyle w:val="TableParagraph"/>
              <w:spacing w:line="167" w:lineRule="exact" w:before="8"/>
              <w:ind w:left="40" w:right="26"/>
              <w:rPr>
                <w:sz w:val="16"/>
              </w:rPr>
            </w:pPr>
            <w:r>
              <w:rPr>
                <w:sz w:val="16"/>
              </w:rPr>
              <w:t>11.0</w:t>
            </w:r>
          </w:p>
        </w:tc>
        <w:tc>
          <w:tcPr>
            <w:tcW w:w="794" w:type="dxa"/>
            <w:shd w:val="clear" w:color="auto" w:fill="F9FCF9"/>
          </w:tcPr>
          <w:p>
            <w:pPr>
              <w:pStyle w:val="TableParagraph"/>
              <w:spacing w:line="167" w:lineRule="exact" w:before="8"/>
              <w:ind w:left="21" w:right="6"/>
              <w:rPr>
                <w:sz w:val="16"/>
              </w:rPr>
            </w:pPr>
            <w:r>
              <w:rPr>
                <w:sz w:val="16"/>
              </w:rPr>
              <w:t>14.8</w:t>
            </w:r>
          </w:p>
        </w:tc>
        <w:tc>
          <w:tcPr>
            <w:tcW w:w="786" w:type="dxa"/>
            <w:shd w:val="clear" w:color="auto" w:fill="F9FCF9"/>
          </w:tcPr>
          <w:p>
            <w:pPr>
              <w:pStyle w:val="TableParagraph"/>
              <w:spacing w:line="167" w:lineRule="exact" w:before="8"/>
              <w:ind w:left="18" w:right="2"/>
              <w:rPr>
                <w:sz w:val="16"/>
              </w:rPr>
            </w:pPr>
            <w:r>
              <w:rPr>
                <w:sz w:val="16"/>
              </w:rPr>
              <w:t>17.3</w:t>
            </w:r>
          </w:p>
        </w:tc>
        <w:tc>
          <w:tcPr>
            <w:tcW w:w="503" w:type="dxa"/>
            <w:shd w:val="clear" w:color="auto" w:fill="F9FCF9"/>
          </w:tcPr>
          <w:p>
            <w:pPr>
              <w:pStyle w:val="TableParagraph"/>
              <w:spacing w:line="167" w:lineRule="exact" w:before="8"/>
              <w:ind w:left="75" w:right="58"/>
              <w:rPr>
                <w:b/>
                <w:sz w:val="16"/>
              </w:rPr>
            </w:pPr>
            <w:r>
              <w:rPr>
                <w:b/>
                <w:sz w:val="16"/>
              </w:rPr>
              <w:t>11</w:t>
            </w:r>
          </w:p>
        </w:tc>
        <w:tc>
          <w:tcPr>
            <w:tcW w:w="1070" w:type="dxa"/>
            <w:shd w:val="clear" w:color="auto" w:fill="F9FCF9"/>
          </w:tcPr>
          <w:p>
            <w:pPr>
              <w:pStyle w:val="TableParagraph"/>
              <w:spacing w:line="167" w:lineRule="exact" w:before="8"/>
              <w:ind w:left="359" w:right="340"/>
              <w:rPr>
                <w:b/>
                <w:sz w:val="16"/>
              </w:rPr>
            </w:pPr>
            <w:r>
              <w:rPr>
                <w:b/>
                <w:sz w:val="16"/>
              </w:rPr>
              <w:t>17</w:t>
            </w:r>
          </w:p>
        </w:tc>
      </w:tr>
      <w:tr>
        <w:trPr>
          <w:trHeight w:val="195" w:hRule="atLeast"/>
        </w:trPr>
        <w:tc>
          <w:tcPr>
            <w:tcW w:w="2783" w:type="dxa"/>
            <w:shd w:val="clear" w:color="auto" w:fill="F9FCF9"/>
          </w:tcPr>
          <w:p>
            <w:pPr>
              <w:pStyle w:val="TableParagraph"/>
              <w:spacing w:line="167" w:lineRule="exact" w:before="8"/>
              <w:ind w:left="20"/>
              <w:jc w:val="left"/>
              <w:rPr>
                <w:sz w:val="16"/>
              </w:rPr>
            </w:pPr>
            <w:r>
              <w:rPr>
                <w:sz w:val="16"/>
              </w:rPr>
              <w:t>Reference plant TCR (US$ kW</w:t>
            </w:r>
            <w:r>
              <w:rPr>
                <w:position w:val="5"/>
                <w:sz w:val="9"/>
              </w:rPr>
              <w:t>-1</w:t>
            </w:r>
            <w:r>
              <w:rPr>
                <w:sz w:val="16"/>
              </w:rPr>
              <w:t>)</w:t>
            </w:r>
          </w:p>
        </w:tc>
        <w:tc>
          <w:tcPr>
            <w:tcW w:w="866" w:type="dxa"/>
            <w:shd w:val="clear" w:color="auto" w:fill="F9FCF9"/>
          </w:tcPr>
          <w:p>
            <w:pPr>
              <w:pStyle w:val="TableParagraph"/>
              <w:spacing w:line="167" w:lineRule="exact" w:before="8"/>
              <w:ind w:left="33" w:right="26"/>
              <w:rPr>
                <w:sz w:val="16"/>
              </w:rPr>
            </w:pPr>
            <w:r>
              <w:rPr>
                <w:sz w:val="16"/>
              </w:rPr>
              <w:t>1370</w:t>
            </w:r>
          </w:p>
        </w:tc>
        <w:tc>
          <w:tcPr>
            <w:tcW w:w="758" w:type="dxa"/>
            <w:shd w:val="clear" w:color="auto" w:fill="F9FCF9"/>
          </w:tcPr>
          <w:p>
            <w:pPr>
              <w:pStyle w:val="TableParagraph"/>
              <w:spacing w:line="167" w:lineRule="exact" w:before="8"/>
              <w:ind w:left="31" w:right="23"/>
              <w:rPr>
                <w:sz w:val="16"/>
              </w:rPr>
            </w:pPr>
            <w:r>
              <w:rPr>
                <w:sz w:val="16"/>
              </w:rPr>
              <w:t>1374</w:t>
            </w:r>
          </w:p>
        </w:tc>
        <w:tc>
          <w:tcPr>
            <w:tcW w:w="818" w:type="dxa"/>
            <w:shd w:val="clear" w:color="auto" w:fill="F9FCF9"/>
          </w:tcPr>
          <w:p>
            <w:pPr>
              <w:pStyle w:val="TableParagraph"/>
              <w:spacing w:line="167" w:lineRule="exact" w:before="8"/>
              <w:ind w:left="61" w:right="52"/>
              <w:rPr>
                <w:sz w:val="16"/>
              </w:rPr>
            </w:pPr>
            <w:r>
              <w:rPr>
                <w:sz w:val="16"/>
              </w:rPr>
              <w:t>1169</w:t>
            </w:r>
          </w:p>
        </w:tc>
        <w:tc>
          <w:tcPr>
            <w:tcW w:w="866" w:type="dxa"/>
            <w:shd w:val="clear" w:color="auto" w:fill="F9FCF9"/>
          </w:tcPr>
          <w:p>
            <w:pPr>
              <w:pStyle w:val="TableParagraph"/>
              <w:spacing w:line="167" w:lineRule="exact" w:before="8"/>
              <w:ind w:left="36" w:right="26"/>
              <w:rPr>
                <w:sz w:val="16"/>
              </w:rPr>
            </w:pPr>
            <w:r>
              <w:rPr>
                <w:sz w:val="16"/>
              </w:rPr>
              <w:t>1251</w:t>
            </w:r>
          </w:p>
        </w:tc>
        <w:tc>
          <w:tcPr>
            <w:tcW w:w="866" w:type="dxa"/>
            <w:shd w:val="clear" w:color="auto" w:fill="F9FCF9"/>
          </w:tcPr>
          <w:p>
            <w:pPr>
              <w:pStyle w:val="TableParagraph"/>
              <w:spacing w:line="167" w:lineRule="exact" w:before="8"/>
              <w:ind w:left="37" w:right="26"/>
              <w:rPr>
                <w:sz w:val="16"/>
              </w:rPr>
            </w:pPr>
            <w:r>
              <w:rPr>
                <w:sz w:val="16"/>
              </w:rPr>
              <w:t>1486</w:t>
            </w:r>
          </w:p>
        </w:tc>
        <w:tc>
          <w:tcPr>
            <w:tcW w:w="978" w:type="dxa"/>
            <w:shd w:val="clear" w:color="auto" w:fill="F9FCF9"/>
          </w:tcPr>
          <w:p>
            <w:pPr>
              <w:pStyle w:val="TableParagraph"/>
              <w:spacing w:line="167" w:lineRule="exact" w:before="8"/>
              <w:ind w:left="173" w:right="162"/>
              <w:rPr>
                <w:sz w:val="16"/>
              </w:rPr>
            </w:pPr>
            <w:r>
              <w:rPr>
                <w:sz w:val="16"/>
              </w:rPr>
              <w:t>1565</w:t>
            </w:r>
          </w:p>
        </w:tc>
        <w:tc>
          <w:tcPr>
            <w:tcW w:w="742" w:type="dxa"/>
            <w:shd w:val="clear" w:color="auto" w:fill="F9FCF9"/>
          </w:tcPr>
          <w:p>
            <w:pPr>
              <w:pStyle w:val="TableParagraph"/>
              <w:spacing w:line="167" w:lineRule="exact" w:before="8"/>
              <w:ind w:left="12"/>
              <w:rPr>
                <w:sz w:val="16"/>
              </w:rPr>
            </w:pPr>
            <w:r>
              <w:rPr>
                <w:sz w:val="16"/>
              </w:rPr>
              <w:t>1187</w:t>
            </w:r>
          </w:p>
        </w:tc>
        <w:tc>
          <w:tcPr>
            <w:tcW w:w="866" w:type="dxa"/>
            <w:shd w:val="clear" w:color="auto" w:fill="F9FCF9"/>
          </w:tcPr>
          <w:p>
            <w:pPr>
              <w:pStyle w:val="TableParagraph"/>
              <w:spacing w:line="167" w:lineRule="exact" w:before="8"/>
              <w:ind w:left="277"/>
              <w:jc w:val="left"/>
              <w:rPr>
                <w:sz w:val="16"/>
              </w:rPr>
            </w:pPr>
            <w:r>
              <w:rPr>
                <w:sz w:val="16"/>
              </w:rPr>
              <w:t>1187</w:t>
            </w:r>
          </w:p>
        </w:tc>
        <w:tc>
          <w:tcPr>
            <w:tcW w:w="866" w:type="dxa"/>
            <w:shd w:val="clear" w:color="auto" w:fill="F9FCF9"/>
          </w:tcPr>
          <w:p>
            <w:pPr>
              <w:pStyle w:val="TableParagraph"/>
              <w:spacing w:line="167" w:lineRule="exact" w:before="8"/>
              <w:ind w:left="40" w:right="26"/>
              <w:rPr>
                <w:sz w:val="16"/>
              </w:rPr>
            </w:pPr>
            <w:r>
              <w:rPr>
                <w:sz w:val="16"/>
              </w:rPr>
              <w:t>1371</w:t>
            </w:r>
          </w:p>
        </w:tc>
        <w:tc>
          <w:tcPr>
            <w:tcW w:w="794" w:type="dxa"/>
            <w:shd w:val="clear" w:color="auto" w:fill="F9FCF9"/>
          </w:tcPr>
          <w:p>
            <w:pPr>
              <w:pStyle w:val="TableParagraph"/>
              <w:spacing w:line="167" w:lineRule="exact" w:before="8"/>
              <w:ind w:left="21" w:right="6"/>
              <w:rPr>
                <w:sz w:val="16"/>
              </w:rPr>
            </w:pPr>
            <w:r>
              <w:rPr>
                <w:sz w:val="16"/>
              </w:rPr>
              <w:t>1311</w:t>
            </w:r>
          </w:p>
        </w:tc>
        <w:tc>
          <w:tcPr>
            <w:tcW w:w="786" w:type="dxa"/>
            <w:shd w:val="clear" w:color="auto" w:fill="F9FCF9"/>
          </w:tcPr>
          <w:p>
            <w:pPr>
              <w:pStyle w:val="TableParagraph"/>
              <w:spacing w:line="167" w:lineRule="exact" w:before="8"/>
              <w:ind w:left="18" w:right="2"/>
              <w:rPr>
                <w:sz w:val="16"/>
              </w:rPr>
            </w:pPr>
            <w:r>
              <w:rPr>
                <w:sz w:val="16"/>
              </w:rPr>
              <w:t>1311</w:t>
            </w:r>
          </w:p>
        </w:tc>
        <w:tc>
          <w:tcPr>
            <w:tcW w:w="503" w:type="dxa"/>
            <w:shd w:val="clear" w:color="auto" w:fill="F9FCF9"/>
          </w:tcPr>
          <w:p>
            <w:pPr>
              <w:pStyle w:val="TableParagraph"/>
              <w:spacing w:line="167" w:lineRule="exact" w:before="8"/>
              <w:ind w:left="75" w:right="58"/>
              <w:rPr>
                <w:b/>
                <w:sz w:val="16"/>
              </w:rPr>
            </w:pPr>
            <w:r>
              <w:rPr>
                <w:b/>
                <w:sz w:val="16"/>
              </w:rPr>
              <w:t>1169</w:t>
            </w:r>
          </w:p>
        </w:tc>
        <w:tc>
          <w:tcPr>
            <w:tcW w:w="1070" w:type="dxa"/>
            <w:shd w:val="clear" w:color="auto" w:fill="F9FCF9"/>
          </w:tcPr>
          <w:p>
            <w:pPr>
              <w:pStyle w:val="TableParagraph"/>
              <w:spacing w:line="167" w:lineRule="exact" w:before="8"/>
              <w:ind w:left="359" w:right="340"/>
              <w:rPr>
                <w:b/>
                <w:sz w:val="16"/>
              </w:rPr>
            </w:pPr>
            <w:r>
              <w:rPr>
                <w:b/>
                <w:sz w:val="16"/>
              </w:rPr>
              <w:t>1565</w:t>
            </w:r>
          </w:p>
        </w:tc>
      </w:tr>
      <w:tr>
        <w:trPr>
          <w:trHeight w:val="195" w:hRule="atLeast"/>
        </w:trPr>
        <w:tc>
          <w:tcPr>
            <w:tcW w:w="2783" w:type="dxa"/>
            <w:shd w:val="clear" w:color="auto" w:fill="F9FCF9"/>
          </w:tcPr>
          <w:p>
            <w:pPr>
              <w:pStyle w:val="TableParagraph"/>
              <w:spacing w:line="167" w:lineRule="exact" w:before="8"/>
              <w:ind w:left="20"/>
              <w:jc w:val="left"/>
              <w:rPr>
                <w:sz w:val="16"/>
              </w:rPr>
            </w:pPr>
            <w:r>
              <w:rPr>
                <w:sz w:val="16"/>
              </w:rPr>
              <w:t>Capture plant TCR (US$ kW</w:t>
            </w:r>
            <w:r>
              <w:rPr>
                <w:position w:val="5"/>
                <w:sz w:val="9"/>
              </w:rPr>
              <w:t>-1</w:t>
            </w:r>
            <w:r>
              <w:rPr>
                <w:sz w:val="16"/>
              </w:rPr>
              <w:t>)</w:t>
            </w:r>
          </w:p>
        </w:tc>
        <w:tc>
          <w:tcPr>
            <w:tcW w:w="866" w:type="dxa"/>
            <w:shd w:val="clear" w:color="auto" w:fill="F9FCF9"/>
          </w:tcPr>
          <w:p>
            <w:pPr>
              <w:pStyle w:val="TableParagraph"/>
              <w:spacing w:line="167" w:lineRule="exact" w:before="8"/>
              <w:ind w:left="33" w:right="26"/>
              <w:rPr>
                <w:sz w:val="16"/>
              </w:rPr>
            </w:pPr>
            <w:r>
              <w:rPr>
                <w:sz w:val="16"/>
              </w:rPr>
              <w:t>2270</w:t>
            </w:r>
          </w:p>
        </w:tc>
        <w:tc>
          <w:tcPr>
            <w:tcW w:w="758" w:type="dxa"/>
            <w:shd w:val="clear" w:color="auto" w:fill="F9FCF9"/>
          </w:tcPr>
          <w:p>
            <w:pPr>
              <w:pStyle w:val="TableParagraph"/>
              <w:spacing w:line="167" w:lineRule="exact" w:before="8"/>
              <w:ind w:left="31" w:right="23"/>
              <w:rPr>
                <w:sz w:val="16"/>
              </w:rPr>
            </w:pPr>
            <w:r>
              <w:rPr>
                <w:sz w:val="16"/>
              </w:rPr>
              <w:t>1897</w:t>
            </w:r>
          </w:p>
        </w:tc>
        <w:tc>
          <w:tcPr>
            <w:tcW w:w="818" w:type="dxa"/>
            <w:shd w:val="clear" w:color="auto" w:fill="F9FCF9"/>
          </w:tcPr>
          <w:p>
            <w:pPr>
              <w:pStyle w:val="TableParagraph"/>
              <w:spacing w:line="167" w:lineRule="exact" w:before="8"/>
              <w:ind w:left="61" w:right="52"/>
              <w:rPr>
                <w:sz w:val="16"/>
              </w:rPr>
            </w:pPr>
            <w:r>
              <w:rPr>
                <w:sz w:val="16"/>
              </w:rPr>
              <w:t>1549</w:t>
            </w:r>
          </w:p>
        </w:tc>
        <w:tc>
          <w:tcPr>
            <w:tcW w:w="866" w:type="dxa"/>
            <w:shd w:val="clear" w:color="auto" w:fill="F9FCF9"/>
          </w:tcPr>
          <w:p>
            <w:pPr>
              <w:pStyle w:val="TableParagraph"/>
              <w:spacing w:line="167" w:lineRule="exact" w:before="8"/>
              <w:ind w:left="36" w:right="26"/>
              <w:rPr>
                <w:sz w:val="16"/>
              </w:rPr>
            </w:pPr>
            <w:r>
              <w:rPr>
                <w:sz w:val="16"/>
              </w:rPr>
              <w:t>1844</w:t>
            </w:r>
          </w:p>
        </w:tc>
        <w:tc>
          <w:tcPr>
            <w:tcW w:w="866" w:type="dxa"/>
            <w:shd w:val="clear" w:color="auto" w:fill="F9FCF9"/>
          </w:tcPr>
          <w:p>
            <w:pPr>
              <w:pStyle w:val="TableParagraph"/>
              <w:spacing w:line="167" w:lineRule="exact" w:before="8"/>
              <w:ind w:left="37" w:right="26"/>
              <w:rPr>
                <w:sz w:val="16"/>
              </w:rPr>
            </w:pPr>
            <w:r>
              <w:rPr>
                <w:sz w:val="16"/>
              </w:rPr>
              <w:t>2067</w:t>
            </w:r>
          </w:p>
        </w:tc>
        <w:tc>
          <w:tcPr>
            <w:tcW w:w="978" w:type="dxa"/>
            <w:shd w:val="clear" w:color="auto" w:fill="F9FCF9"/>
          </w:tcPr>
          <w:p>
            <w:pPr>
              <w:pStyle w:val="TableParagraph"/>
              <w:spacing w:line="167" w:lineRule="exact" w:before="8"/>
              <w:ind w:left="173" w:right="162"/>
              <w:rPr>
                <w:sz w:val="16"/>
              </w:rPr>
            </w:pPr>
            <w:r>
              <w:rPr>
                <w:sz w:val="16"/>
              </w:rPr>
              <w:t>2179</w:t>
            </w:r>
          </w:p>
        </w:tc>
        <w:tc>
          <w:tcPr>
            <w:tcW w:w="742" w:type="dxa"/>
            <w:shd w:val="clear" w:color="auto" w:fill="F9FCF9"/>
          </w:tcPr>
          <w:p>
            <w:pPr>
              <w:pStyle w:val="TableParagraph"/>
              <w:spacing w:line="167" w:lineRule="exact" w:before="8"/>
              <w:ind w:left="12"/>
              <w:rPr>
                <w:sz w:val="16"/>
              </w:rPr>
            </w:pPr>
            <w:r>
              <w:rPr>
                <w:sz w:val="16"/>
              </w:rPr>
              <w:t>1495</w:t>
            </w:r>
          </w:p>
        </w:tc>
        <w:tc>
          <w:tcPr>
            <w:tcW w:w="866" w:type="dxa"/>
            <w:shd w:val="clear" w:color="auto" w:fill="F9FCF9"/>
          </w:tcPr>
          <w:p>
            <w:pPr>
              <w:pStyle w:val="TableParagraph"/>
              <w:spacing w:line="167" w:lineRule="exact" w:before="8"/>
              <w:ind w:left="274"/>
              <w:jc w:val="left"/>
              <w:rPr>
                <w:sz w:val="16"/>
              </w:rPr>
            </w:pPr>
            <w:r>
              <w:rPr>
                <w:sz w:val="16"/>
              </w:rPr>
              <w:t>1414</w:t>
            </w:r>
          </w:p>
        </w:tc>
        <w:tc>
          <w:tcPr>
            <w:tcW w:w="866" w:type="dxa"/>
            <w:shd w:val="clear" w:color="auto" w:fill="F9FCF9"/>
          </w:tcPr>
          <w:p>
            <w:pPr>
              <w:pStyle w:val="TableParagraph"/>
              <w:spacing w:line="167" w:lineRule="exact" w:before="8"/>
              <w:ind w:left="40" w:right="26"/>
              <w:rPr>
                <w:sz w:val="16"/>
              </w:rPr>
            </w:pPr>
            <w:r>
              <w:rPr>
                <w:sz w:val="16"/>
              </w:rPr>
              <w:t>1860</w:t>
            </w:r>
          </w:p>
        </w:tc>
        <w:tc>
          <w:tcPr>
            <w:tcW w:w="794" w:type="dxa"/>
            <w:shd w:val="clear" w:color="auto" w:fill="F9FCF9"/>
          </w:tcPr>
          <w:p>
            <w:pPr>
              <w:pStyle w:val="TableParagraph"/>
              <w:spacing w:line="167" w:lineRule="exact" w:before="8"/>
              <w:ind w:left="21" w:right="6"/>
              <w:rPr>
                <w:sz w:val="16"/>
              </w:rPr>
            </w:pPr>
            <w:r>
              <w:rPr>
                <w:sz w:val="16"/>
              </w:rPr>
              <w:t>1748</w:t>
            </w:r>
          </w:p>
        </w:tc>
        <w:tc>
          <w:tcPr>
            <w:tcW w:w="786" w:type="dxa"/>
            <w:shd w:val="clear" w:color="auto" w:fill="F9FCF9"/>
          </w:tcPr>
          <w:p>
            <w:pPr>
              <w:pStyle w:val="TableParagraph"/>
              <w:spacing w:line="167" w:lineRule="exact" w:before="8"/>
              <w:ind w:left="18" w:right="2"/>
              <w:rPr>
                <w:sz w:val="16"/>
              </w:rPr>
            </w:pPr>
            <w:r>
              <w:rPr>
                <w:sz w:val="16"/>
              </w:rPr>
              <w:t>1748</w:t>
            </w:r>
          </w:p>
        </w:tc>
        <w:tc>
          <w:tcPr>
            <w:tcW w:w="503" w:type="dxa"/>
            <w:shd w:val="clear" w:color="auto" w:fill="F9FCF9"/>
          </w:tcPr>
          <w:p>
            <w:pPr>
              <w:pStyle w:val="TableParagraph"/>
              <w:spacing w:line="167" w:lineRule="exact" w:before="8"/>
              <w:ind w:left="75" w:right="58"/>
              <w:rPr>
                <w:b/>
                <w:sz w:val="16"/>
              </w:rPr>
            </w:pPr>
            <w:r>
              <w:rPr>
                <w:b/>
                <w:sz w:val="16"/>
              </w:rPr>
              <w:t>1414</w:t>
            </w:r>
          </w:p>
        </w:tc>
        <w:tc>
          <w:tcPr>
            <w:tcW w:w="1070" w:type="dxa"/>
            <w:shd w:val="clear" w:color="auto" w:fill="F9FCF9"/>
          </w:tcPr>
          <w:p>
            <w:pPr>
              <w:pStyle w:val="TableParagraph"/>
              <w:spacing w:line="167" w:lineRule="exact" w:before="8"/>
              <w:ind w:left="359" w:right="340"/>
              <w:rPr>
                <w:b/>
                <w:sz w:val="16"/>
              </w:rPr>
            </w:pPr>
            <w:r>
              <w:rPr>
                <w:b/>
                <w:sz w:val="16"/>
              </w:rPr>
              <w:t>2270</w:t>
            </w:r>
          </w:p>
        </w:tc>
      </w:tr>
      <w:tr>
        <w:trPr>
          <w:trHeight w:val="195" w:hRule="atLeast"/>
        </w:trPr>
        <w:tc>
          <w:tcPr>
            <w:tcW w:w="2783" w:type="dxa"/>
            <w:shd w:val="clear" w:color="auto" w:fill="F9FCF9"/>
          </w:tcPr>
          <w:p>
            <w:pPr>
              <w:pStyle w:val="TableParagraph"/>
              <w:spacing w:line="167" w:lineRule="exact" w:before="8"/>
              <w:ind w:left="20"/>
              <w:jc w:val="left"/>
              <w:rPr>
                <w:sz w:val="16"/>
              </w:rPr>
            </w:pPr>
            <w:r>
              <w:rPr>
                <w:sz w:val="16"/>
              </w:rPr>
              <w:t>Incremental TCR for capture (US$ kW</w:t>
            </w:r>
            <w:r>
              <w:rPr>
                <w:position w:val="5"/>
                <w:sz w:val="9"/>
              </w:rPr>
              <w:t>-1</w:t>
            </w:r>
            <w:r>
              <w:rPr>
                <w:sz w:val="16"/>
              </w:rPr>
              <w:t>)</w:t>
            </w:r>
          </w:p>
        </w:tc>
        <w:tc>
          <w:tcPr>
            <w:tcW w:w="866" w:type="dxa"/>
            <w:shd w:val="clear" w:color="auto" w:fill="F9FCF9"/>
          </w:tcPr>
          <w:p>
            <w:pPr>
              <w:pStyle w:val="TableParagraph"/>
              <w:spacing w:line="167" w:lineRule="exact" w:before="8"/>
              <w:ind w:left="33" w:right="26"/>
              <w:rPr>
                <w:sz w:val="16"/>
              </w:rPr>
            </w:pPr>
            <w:r>
              <w:rPr>
                <w:sz w:val="16"/>
              </w:rPr>
              <w:t>900</w:t>
            </w:r>
          </w:p>
        </w:tc>
        <w:tc>
          <w:tcPr>
            <w:tcW w:w="758" w:type="dxa"/>
            <w:shd w:val="clear" w:color="auto" w:fill="F9FCF9"/>
          </w:tcPr>
          <w:p>
            <w:pPr>
              <w:pStyle w:val="TableParagraph"/>
              <w:spacing w:line="167" w:lineRule="exact" w:before="8"/>
              <w:ind w:left="31" w:right="23"/>
              <w:rPr>
                <w:sz w:val="16"/>
              </w:rPr>
            </w:pPr>
            <w:r>
              <w:rPr>
                <w:sz w:val="16"/>
              </w:rPr>
              <w:t>523</w:t>
            </w:r>
          </w:p>
        </w:tc>
        <w:tc>
          <w:tcPr>
            <w:tcW w:w="818" w:type="dxa"/>
            <w:shd w:val="clear" w:color="auto" w:fill="F9FCF9"/>
          </w:tcPr>
          <w:p>
            <w:pPr>
              <w:pStyle w:val="TableParagraph"/>
              <w:spacing w:line="167" w:lineRule="exact" w:before="8"/>
              <w:ind w:left="61" w:right="52"/>
              <w:rPr>
                <w:sz w:val="16"/>
              </w:rPr>
            </w:pPr>
            <w:r>
              <w:rPr>
                <w:sz w:val="16"/>
              </w:rPr>
              <w:t>380</w:t>
            </w:r>
          </w:p>
        </w:tc>
        <w:tc>
          <w:tcPr>
            <w:tcW w:w="866" w:type="dxa"/>
            <w:shd w:val="clear" w:color="auto" w:fill="F9FCF9"/>
          </w:tcPr>
          <w:p>
            <w:pPr>
              <w:pStyle w:val="TableParagraph"/>
              <w:spacing w:line="167" w:lineRule="exact" w:before="8"/>
              <w:ind w:left="36" w:right="26"/>
              <w:rPr>
                <w:sz w:val="16"/>
              </w:rPr>
            </w:pPr>
            <w:r>
              <w:rPr>
                <w:sz w:val="16"/>
              </w:rPr>
              <w:t>593</w:t>
            </w:r>
          </w:p>
        </w:tc>
        <w:tc>
          <w:tcPr>
            <w:tcW w:w="866" w:type="dxa"/>
            <w:shd w:val="clear" w:color="auto" w:fill="F9FCF9"/>
          </w:tcPr>
          <w:p>
            <w:pPr>
              <w:pStyle w:val="TableParagraph"/>
              <w:spacing w:line="167" w:lineRule="exact" w:before="8"/>
              <w:ind w:left="37" w:right="26"/>
              <w:rPr>
                <w:sz w:val="16"/>
              </w:rPr>
            </w:pPr>
            <w:r>
              <w:rPr>
                <w:sz w:val="16"/>
              </w:rPr>
              <w:t>581</w:t>
            </w:r>
          </w:p>
        </w:tc>
        <w:tc>
          <w:tcPr>
            <w:tcW w:w="978" w:type="dxa"/>
            <w:shd w:val="clear" w:color="auto" w:fill="F9FCF9"/>
          </w:tcPr>
          <w:p>
            <w:pPr>
              <w:pStyle w:val="TableParagraph"/>
              <w:spacing w:line="167" w:lineRule="exact" w:before="8"/>
              <w:ind w:left="173" w:right="162"/>
              <w:rPr>
                <w:sz w:val="16"/>
              </w:rPr>
            </w:pPr>
            <w:r>
              <w:rPr>
                <w:sz w:val="16"/>
              </w:rPr>
              <w:t>614</w:t>
            </w:r>
          </w:p>
        </w:tc>
        <w:tc>
          <w:tcPr>
            <w:tcW w:w="742" w:type="dxa"/>
            <w:shd w:val="clear" w:color="auto" w:fill="F9FCF9"/>
          </w:tcPr>
          <w:p>
            <w:pPr>
              <w:pStyle w:val="TableParagraph"/>
              <w:spacing w:line="167" w:lineRule="exact" w:before="8"/>
              <w:ind w:left="12"/>
              <w:rPr>
                <w:sz w:val="16"/>
              </w:rPr>
            </w:pPr>
            <w:r>
              <w:rPr>
                <w:sz w:val="16"/>
              </w:rPr>
              <w:t>308</w:t>
            </w:r>
          </w:p>
        </w:tc>
        <w:tc>
          <w:tcPr>
            <w:tcW w:w="866" w:type="dxa"/>
            <w:shd w:val="clear" w:color="auto" w:fill="F9FCF9"/>
          </w:tcPr>
          <w:p>
            <w:pPr>
              <w:pStyle w:val="TableParagraph"/>
              <w:spacing w:line="167" w:lineRule="exact" w:before="8"/>
              <w:ind w:left="39" w:right="26"/>
              <w:rPr>
                <w:sz w:val="16"/>
              </w:rPr>
            </w:pPr>
            <w:r>
              <w:rPr>
                <w:sz w:val="16"/>
              </w:rPr>
              <w:t>227</w:t>
            </w:r>
          </w:p>
        </w:tc>
        <w:tc>
          <w:tcPr>
            <w:tcW w:w="866" w:type="dxa"/>
            <w:shd w:val="clear" w:color="auto" w:fill="F9FCF9"/>
          </w:tcPr>
          <w:p>
            <w:pPr>
              <w:pStyle w:val="TableParagraph"/>
              <w:spacing w:line="167" w:lineRule="exact" w:before="8"/>
              <w:ind w:left="40" w:right="26"/>
              <w:rPr>
                <w:sz w:val="16"/>
              </w:rPr>
            </w:pPr>
            <w:r>
              <w:rPr>
                <w:sz w:val="16"/>
              </w:rPr>
              <w:t>489</w:t>
            </w:r>
          </w:p>
        </w:tc>
        <w:tc>
          <w:tcPr>
            <w:tcW w:w="794" w:type="dxa"/>
            <w:shd w:val="clear" w:color="auto" w:fill="F9FCF9"/>
          </w:tcPr>
          <w:p>
            <w:pPr>
              <w:pStyle w:val="TableParagraph"/>
              <w:spacing w:line="167" w:lineRule="exact" w:before="8"/>
              <w:ind w:left="21" w:right="6"/>
              <w:rPr>
                <w:sz w:val="16"/>
              </w:rPr>
            </w:pPr>
            <w:r>
              <w:rPr>
                <w:sz w:val="16"/>
              </w:rPr>
              <w:t>437</w:t>
            </w:r>
          </w:p>
        </w:tc>
        <w:tc>
          <w:tcPr>
            <w:tcW w:w="786" w:type="dxa"/>
            <w:shd w:val="clear" w:color="auto" w:fill="F9FCF9"/>
          </w:tcPr>
          <w:p>
            <w:pPr>
              <w:pStyle w:val="TableParagraph"/>
              <w:spacing w:line="167" w:lineRule="exact" w:before="8"/>
              <w:ind w:left="18" w:right="2"/>
              <w:rPr>
                <w:sz w:val="16"/>
              </w:rPr>
            </w:pPr>
            <w:r>
              <w:rPr>
                <w:sz w:val="16"/>
              </w:rPr>
              <w:t>437</w:t>
            </w:r>
          </w:p>
        </w:tc>
        <w:tc>
          <w:tcPr>
            <w:tcW w:w="503" w:type="dxa"/>
            <w:shd w:val="clear" w:color="auto" w:fill="F9FCF9"/>
          </w:tcPr>
          <w:p>
            <w:pPr>
              <w:pStyle w:val="TableParagraph"/>
              <w:spacing w:line="167" w:lineRule="exact" w:before="8"/>
              <w:ind w:left="75" w:right="58"/>
              <w:rPr>
                <w:b/>
                <w:sz w:val="16"/>
              </w:rPr>
            </w:pPr>
            <w:r>
              <w:rPr>
                <w:b/>
                <w:sz w:val="16"/>
              </w:rPr>
              <w:t>227</w:t>
            </w:r>
          </w:p>
        </w:tc>
        <w:tc>
          <w:tcPr>
            <w:tcW w:w="1070" w:type="dxa"/>
            <w:shd w:val="clear" w:color="auto" w:fill="F9FCF9"/>
          </w:tcPr>
          <w:p>
            <w:pPr>
              <w:pStyle w:val="TableParagraph"/>
              <w:spacing w:line="167" w:lineRule="exact" w:before="8"/>
              <w:ind w:left="359" w:right="340"/>
              <w:rPr>
                <w:b/>
                <w:sz w:val="16"/>
              </w:rPr>
            </w:pPr>
            <w:r>
              <w:rPr>
                <w:b/>
                <w:sz w:val="16"/>
              </w:rPr>
              <w:t>900</w:t>
            </w:r>
          </w:p>
        </w:tc>
      </w:tr>
      <w:tr>
        <w:trPr>
          <w:trHeight w:val="195" w:hRule="atLeast"/>
        </w:trPr>
        <w:tc>
          <w:tcPr>
            <w:tcW w:w="2783" w:type="dxa"/>
            <w:shd w:val="clear" w:color="auto" w:fill="F9FCF9"/>
          </w:tcPr>
          <w:p>
            <w:pPr>
              <w:pStyle w:val="TableParagraph"/>
              <w:spacing w:line="167" w:lineRule="exact" w:before="8"/>
              <w:ind w:left="20"/>
              <w:jc w:val="left"/>
              <w:rPr>
                <w:b/>
                <w:sz w:val="16"/>
              </w:rPr>
            </w:pPr>
            <w:r>
              <w:rPr>
                <w:b/>
                <w:sz w:val="16"/>
              </w:rPr>
              <w:t>Reference plant COE (uS$ mWh</w:t>
            </w:r>
            <w:r>
              <w:rPr>
                <w:b/>
                <w:position w:val="5"/>
                <w:sz w:val="9"/>
              </w:rPr>
              <w:t>-1</w:t>
            </w:r>
            <w:r>
              <w:rPr>
                <w:b/>
                <w:sz w:val="16"/>
              </w:rPr>
              <w:t>)</w:t>
            </w:r>
          </w:p>
        </w:tc>
        <w:tc>
          <w:tcPr>
            <w:tcW w:w="866" w:type="dxa"/>
            <w:shd w:val="clear" w:color="auto" w:fill="F9FCF9"/>
          </w:tcPr>
          <w:p>
            <w:pPr>
              <w:pStyle w:val="TableParagraph"/>
              <w:spacing w:line="167" w:lineRule="exact" w:before="8"/>
              <w:ind w:left="33" w:right="26"/>
              <w:rPr>
                <w:b/>
                <w:sz w:val="16"/>
              </w:rPr>
            </w:pPr>
            <w:r>
              <w:rPr>
                <w:b/>
                <w:sz w:val="16"/>
              </w:rPr>
              <w:t>40.6</w:t>
            </w:r>
          </w:p>
        </w:tc>
        <w:tc>
          <w:tcPr>
            <w:tcW w:w="758" w:type="dxa"/>
            <w:shd w:val="clear" w:color="auto" w:fill="F9FCF9"/>
          </w:tcPr>
          <w:p>
            <w:pPr>
              <w:pStyle w:val="TableParagraph"/>
              <w:spacing w:line="167" w:lineRule="exact" w:before="8"/>
              <w:ind w:left="31" w:right="23"/>
              <w:rPr>
                <w:b/>
                <w:sz w:val="16"/>
              </w:rPr>
            </w:pPr>
            <w:r>
              <w:rPr>
                <w:b/>
                <w:sz w:val="16"/>
              </w:rPr>
              <w:t>40.9</w:t>
            </w:r>
          </w:p>
        </w:tc>
        <w:tc>
          <w:tcPr>
            <w:tcW w:w="818" w:type="dxa"/>
            <w:shd w:val="clear" w:color="auto" w:fill="F9FCF9"/>
          </w:tcPr>
          <w:p>
            <w:pPr>
              <w:pStyle w:val="TableParagraph"/>
              <w:spacing w:line="167" w:lineRule="exact" w:before="8"/>
              <w:ind w:left="61" w:right="52"/>
              <w:rPr>
                <w:b/>
                <w:sz w:val="16"/>
              </w:rPr>
            </w:pPr>
            <w:r>
              <w:rPr>
                <w:b/>
                <w:sz w:val="16"/>
              </w:rPr>
              <w:t>43.4</w:t>
            </w:r>
          </w:p>
        </w:tc>
        <w:tc>
          <w:tcPr>
            <w:tcW w:w="866" w:type="dxa"/>
            <w:shd w:val="clear" w:color="auto" w:fill="F9FCF9"/>
          </w:tcPr>
          <w:p>
            <w:pPr>
              <w:pStyle w:val="TableParagraph"/>
              <w:spacing w:line="167" w:lineRule="exact" w:before="8"/>
              <w:ind w:left="36" w:right="26"/>
              <w:rPr>
                <w:b/>
                <w:sz w:val="16"/>
              </w:rPr>
            </w:pPr>
            <w:r>
              <w:rPr>
                <w:b/>
                <w:sz w:val="16"/>
              </w:rPr>
              <w:t>47.7</w:t>
            </w:r>
          </w:p>
        </w:tc>
        <w:tc>
          <w:tcPr>
            <w:tcW w:w="866" w:type="dxa"/>
            <w:shd w:val="clear" w:color="auto" w:fill="F9FCF9"/>
          </w:tcPr>
          <w:p>
            <w:pPr>
              <w:pStyle w:val="TableParagraph"/>
              <w:spacing w:line="167" w:lineRule="exact" w:before="8"/>
              <w:ind w:left="37" w:right="26"/>
              <w:rPr>
                <w:b/>
                <w:sz w:val="16"/>
              </w:rPr>
            </w:pPr>
            <w:r>
              <w:rPr>
                <w:b/>
                <w:sz w:val="16"/>
              </w:rPr>
              <w:t>43.0</w:t>
            </w:r>
          </w:p>
        </w:tc>
        <w:tc>
          <w:tcPr>
            <w:tcW w:w="978" w:type="dxa"/>
            <w:shd w:val="clear" w:color="auto" w:fill="F9FCF9"/>
          </w:tcPr>
          <w:p>
            <w:pPr>
              <w:pStyle w:val="TableParagraph"/>
              <w:spacing w:line="167" w:lineRule="exact" w:before="8"/>
              <w:ind w:left="173" w:right="162"/>
              <w:rPr>
                <w:b/>
                <w:sz w:val="16"/>
              </w:rPr>
            </w:pPr>
            <w:r>
              <w:rPr>
                <w:b/>
                <w:sz w:val="16"/>
              </w:rPr>
              <w:t>53.0</w:t>
            </w:r>
          </w:p>
        </w:tc>
        <w:tc>
          <w:tcPr>
            <w:tcW w:w="742" w:type="dxa"/>
            <w:shd w:val="clear" w:color="auto" w:fill="F9FCF9"/>
          </w:tcPr>
          <w:p>
            <w:pPr>
              <w:pStyle w:val="TableParagraph"/>
              <w:spacing w:line="167" w:lineRule="exact" w:before="8"/>
              <w:ind w:left="12"/>
              <w:rPr>
                <w:b/>
                <w:sz w:val="16"/>
              </w:rPr>
            </w:pPr>
            <w:r>
              <w:rPr>
                <w:b/>
                <w:sz w:val="16"/>
              </w:rPr>
              <w:t>45.0</w:t>
            </w:r>
          </w:p>
        </w:tc>
        <w:tc>
          <w:tcPr>
            <w:tcW w:w="866" w:type="dxa"/>
            <w:shd w:val="clear" w:color="auto" w:fill="F9FCF9"/>
          </w:tcPr>
          <w:p>
            <w:pPr>
              <w:pStyle w:val="TableParagraph"/>
              <w:spacing w:line="167" w:lineRule="exact" w:before="8"/>
              <w:ind w:left="294"/>
              <w:jc w:val="left"/>
              <w:rPr>
                <w:b/>
                <w:sz w:val="16"/>
              </w:rPr>
            </w:pPr>
            <w:r>
              <w:rPr>
                <w:b/>
                <w:sz w:val="16"/>
              </w:rPr>
              <w:t>45.0</w:t>
            </w:r>
          </w:p>
        </w:tc>
        <w:tc>
          <w:tcPr>
            <w:tcW w:w="866" w:type="dxa"/>
            <w:shd w:val="clear" w:color="auto" w:fill="F9FCF9"/>
          </w:tcPr>
          <w:p>
            <w:pPr>
              <w:pStyle w:val="TableParagraph"/>
              <w:spacing w:line="167" w:lineRule="exact" w:before="8"/>
              <w:ind w:left="40" w:right="26"/>
              <w:rPr>
                <w:b/>
                <w:sz w:val="16"/>
              </w:rPr>
            </w:pPr>
            <w:r>
              <w:rPr>
                <w:b/>
                <w:sz w:val="16"/>
              </w:rPr>
              <w:t>48.0</w:t>
            </w:r>
          </w:p>
        </w:tc>
        <w:tc>
          <w:tcPr>
            <w:tcW w:w="794" w:type="dxa"/>
            <w:shd w:val="clear" w:color="auto" w:fill="F9FCF9"/>
          </w:tcPr>
          <w:p>
            <w:pPr>
              <w:pStyle w:val="TableParagraph"/>
              <w:spacing w:line="167" w:lineRule="exact" w:before="8"/>
              <w:ind w:left="21" w:right="6"/>
              <w:rPr>
                <w:b/>
                <w:sz w:val="16"/>
              </w:rPr>
            </w:pPr>
            <w:r>
              <w:rPr>
                <w:b/>
                <w:sz w:val="16"/>
              </w:rPr>
              <w:t>48.3</w:t>
            </w:r>
          </w:p>
        </w:tc>
        <w:tc>
          <w:tcPr>
            <w:tcW w:w="786" w:type="dxa"/>
            <w:shd w:val="clear" w:color="auto" w:fill="F9FCF9"/>
          </w:tcPr>
          <w:p>
            <w:pPr>
              <w:pStyle w:val="TableParagraph"/>
              <w:spacing w:line="167" w:lineRule="exact" w:before="8"/>
              <w:ind w:left="18" w:right="2"/>
              <w:rPr>
                <w:b/>
                <w:sz w:val="16"/>
              </w:rPr>
            </w:pPr>
            <w:r>
              <w:rPr>
                <w:b/>
                <w:sz w:val="16"/>
              </w:rPr>
              <w:t>61</w:t>
            </w:r>
          </w:p>
        </w:tc>
        <w:tc>
          <w:tcPr>
            <w:tcW w:w="503" w:type="dxa"/>
            <w:shd w:val="clear" w:color="auto" w:fill="F9FCF9"/>
          </w:tcPr>
          <w:p>
            <w:pPr>
              <w:pStyle w:val="TableParagraph"/>
              <w:spacing w:line="167" w:lineRule="exact" w:before="8"/>
              <w:ind w:left="75" w:right="58"/>
              <w:rPr>
                <w:b/>
                <w:sz w:val="16"/>
              </w:rPr>
            </w:pPr>
            <w:r>
              <w:rPr>
                <w:b/>
                <w:sz w:val="16"/>
              </w:rPr>
              <w:t>41</w:t>
            </w:r>
          </w:p>
        </w:tc>
        <w:tc>
          <w:tcPr>
            <w:tcW w:w="1070" w:type="dxa"/>
            <w:shd w:val="clear" w:color="auto" w:fill="F9FCF9"/>
          </w:tcPr>
          <w:p>
            <w:pPr>
              <w:pStyle w:val="TableParagraph"/>
              <w:spacing w:line="167" w:lineRule="exact" w:before="8"/>
              <w:ind w:left="359" w:right="340"/>
              <w:rPr>
                <w:b/>
                <w:sz w:val="16"/>
              </w:rPr>
            </w:pPr>
            <w:r>
              <w:rPr>
                <w:b/>
                <w:sz w:val="16"/>
              </w:rPr>
              <w:t>61</w:t>
            </w:r>
          </w:p>
        </w:tc>
      </w:tr>
      <w:tr>
        <w:trPr>
          <w:trHeight w:val="195" w:hRule="atLeast"/>
        </w:trPr>
        <w:tc>
          <w:tcPr>
            <w:tcW w:w="2783" w:type="dxa"/>
            <w:shd w:val="clear" w:color="auto" w:fill="F9FCF9"/>
          </w:tcPr>
          <w:p>
            <w:pPr>
              <w:pStyle w:val="TableParagraph"/>
              <w:spacing w:line="167" w:lineRule="exact" w:before="8"/>
              <w:ind w:left="20"/>
              <w:jc w:val="left"/>
              <w:rPr>
                <w:b/>
                <w:sz w:val="16"/>
              </w:rPr>
            </w:pPr>
            <w:r>
              <w:rPr>
                <w:b/>
                <w:sz w:val="16"/>
              </w:rPr>
              <w:t>Capture plant COE (uS$ mWh</w:t>
            </w:r>
            <w:r>
              <w:rPr>
                <w:b/>
                <w:position w:val="5"/>
                <w:sz w:val="9"/>
              </w:rPr>
              <w:t>-1</w:t>
            </w:r>
            <w:r>
              <w:rPr>
                <w:b/>
                <w:sz w:val="16"/>
              </w:rPr>
              <w:t>)</w:t>
            </w:r>
          </w:p>
        </w:tc>
        <w:tc>
          <w:tcPr>
            <w:tcW w:w="866" w:type="dxa"/>
            <w:shd w:val="clear" w:color="auto" w:fill="F9FCF9"/>
          </w:tcPr>
          <w:p>
            <w:pPr>
              <w:pStyle w:val="TableParagraph"/>
              <w:spacing w:line="167" w:lineRule="exact" w:before="8"/>
              <w:ind w:left="33" w:right="26"/>
              <w:rPr>
                <w:b/>
                <w:sz w:val="16"/>
              </w:rPr>
            </w:pPr>
            <w:r>
              <w:rPr>
                <w:b/>
                <w:sz w:val="16"/>
              </w:rPr>
              <w:t>62.9</w:t>
            </w:r>
          </w:p>
        </w:tc>
        <w:tc>
          <w:tcPr>
            <w:tcW w:w="758" w:type="dxa"/>
            <w:shd w:val="clear" w:color="auto" w:fill="F9FCF9"/>
          </w:tcPr>
          <w:p>
            <w:pPr>
              <w:pStyle w:val="TableParagraph"/>
              <w:spacing w:line="167" w:lineRule="exact" w:before="8"/>
              <w:ind w:left="31" w:right="23"/>
              <w:rPr>
                <w:b/>
                <w:sz w:val="16"/>
              </w:rPr>
            </w:pPr>
            <w:r>
              <w:rPr>
                <w:b/>
                <w:sz w:val="16"/>
              </w:rPr>
              <w:t>54.4</w:t>
            </w:r>
          </w:p>
        </w:tc>
        <w:tc>
          <w:tcPr>
            <w:tcW w:w="818" w:type="dxa"/>
            <w:shd w:val="clear" w:color="auto" w:fill="F9FCF9"/>
          </w:tcPr>
          <w:p>
            <w:pPr>
              <w:pStyle w:val="TableParagraph"/>
              <w:spacing w:line="167" w:lineRule="exact" w:before="8"/>
              <w:ind w:left="61" w:right="52"/>
              <w:rPr>
                <w:b/>
                <w:sz w:val="16"/>
              </w:rPr>
            </w:pPr>
            <w:r>
              <w:rPr>
                <w:b/>
                <w:sz w:val="16"/>
              </w:rPr>
              <w:t>59.9</w:t>
            </w:r>
          </w:p>
        </w:tc>
        <w:tc>
          <w:tcPr>
            <w:tcW w:w="866" w:type="dxa"/>
            <w:shd w:val="clear" w:color="auto" w:fill="F9FCF9"/>
          </w:tcPr>
          <w:p>
            <w:pPr>
              <w:pStyle w:val="TableParagraph"/>
              <w:spacing w:line="167" w:lineRule="exact" w:before="8"/>
              <w:ind w:left="36" w:right="26"/>
              <w:rPr>
                <w:b/>
                <w:sz w:val="16"/>
              </w:rPr>
            </w:pPr>
            <w:r>
              <w:rPr>
                <w:b/>
                <w:sz w:val="16"/>
              </w:rPr>
              <w:t>65.8</w:t>
            </w:r>
          </w:p>
        </w:tc>
        <w:tc>
          <w:tcPr>
            <w:tcW w:w="866" w:type="dxa"/>
            <w:shd w:val="clear" w:color="auto" w:fill="F9FCF9"/>
          </w:tcPr>
          <w:p>
            <w:pPr>
              <w:pStyle w:val="TableParagraph"/>
              <w:spacing w:line="167" w:lineRule="exact" w:before="8"/>
              <w:ind w:left="37" w:right="26"/>
              <w:rPr>
                <w:b/>
                <w:sz w:val="16"/>
              </w:rPr>
            </w:pPr>
            <w:r>
              <w:rPr>
                <w:b/>
                <w:sz w:val="16"/>
              </w:rPr>
              <w:t>57.7</w:t>
            </w:r>
          </w:p>
        </w:tc>
        <w:tc>
          <w:tcPr>
            <w:tcW w:w="978" w:type="dxa"/>
            <w:shd w:val="clear" w:color="auto" w:fill="F9FCF9"/>
          </w:tcPr>
          <w:p>
            <w:pPr>
              <w:pStyle w:val="TableParagraph"/>
              <w:spacing w:line="167" w:lineRule="exact" w:before="8"/>
              <w:ind w:left="173" w:right="162"/>
              <w:rPr>
                <w:b/>
                <w:sz w:val="16"/>
              </w:rPr>
            </w:pPr>
            <w:r>
              <w:rPr>
                <w:b/>
                <w:sz w:val="16"/>
              </w:rPr>
              <w:t>71.5</w:t>
            </w:r>
          </w:p>
        </w:tc>
        <w:tc>
          <w:tcPr>
            <w:tcW w:w="742" w:type="dxa"/>
            <w:shd w:val="clear" w:color="auto" w:fill="F9FCF9"/>
          </w:tcPr>
          <w:p>
            <w:pPr>
              <w:pStyle w:val="TableParagraph"/>
              <w:spacing w:line="167" w:lineRule="exact" w:before="8"/>
              <w:ind w:left="12"/>
              <w:rPr>
                <w:b/>
                <w:sz w:val="16"/>
              </w:rPr>
            </w:pPr>
            <w:r>
              <w:rPr>
                <w:b/>
                <w:sz w:val="16"/>
              </w:rPr>
              <w:t>56.0</w:t>
            </w:r>
          </w:p>
        </w:tc>
        <w:tc>
          <w:tcPr>
            <w:tcW w:w="866" w:type="dxa"/>
            <w:shd w:val="clear" w:color="auto" w:fill="F9FCF9"/>
          </w:tcPr>
          <w:p>
            <w:pPr>
              <w:pStyle w:val="TableParagraph"/>
              <w:spacing w:line="167" w:lineRule="exact" w:before="8"/>
              <w:ind w:left="294"/>
              <w:jc w:val="left"/>
              <w:rPr>
                <w:b/>
                <w:sz w:val="16"/>
              </w:rPr>
            </w:pPr>
            <w:r>
              <w:rPr>
                <w:b/>
                <w:sz w:val="16"/>
              </w:rPr>
              <w:t>54.0</w:t>
            </w:r>
          </w:p>
        </w:tc>
        <w:tc>
          <w:tcPr>
            <w:tcW w:w="866" w:type="dxa"/>
            <w:shd w:val="clear" w:color="auto" w:fill="F9FCF9"/>
          </w:tcPr>
          <w:p>
            <w:pPr>
              <w:pStyle w:val="TableParagraph"/>
              <w:spacing w:line="167" w:lineRule="exact" w:before="8"/>
              <w:ind w:left="40" w:right="26"/>
              <w:rPr>
                <w:b/>
                <w:sz w:val="16"/>
              </w:rPr>
            </w:pPr>
            <w:r>
              <w:rPr>
                <w:b/>
                <w:sz w:val="16"/>
              </w:rPr>
              <w:t>63.0</w:t>
            </w:r>
          </w:p>
        </w:tc>
        <w:tc>
          <w:tcPr>
            <w:tcW w:w="794" w:type="dxa"/>
            <w:shd w:val="clear" w:color="auto" w:fill="F9FCF9"/>
          </w:tcPr>
          <w:p>
            <w:pPr>
              <w:pStyle w:val="TableParagraph"/>
              <w:spacing w:line="167" w:lineRule="exact" w:before="8"/>
              <w:ind w:left="21" w:right="6"/>
              <w:rPr>
                <w:b/>
                <w:sz w:val="16"/>
              </w:rPr>
            </w:pPr>
            <w:r>
              <w:rPr>
                <w:b/>
                <w:sz w:val="16"/>
              </w:rPr>
              <w:t>62.6</w:t>
            </w:r>
          </w:p>
        </w:tc>
        <w:tc>
          <w:tcPr>
            <w:tcW w:w="786" w:type="dxa"/>
            <w:shd w:val="clear" w:color="auto" w:fill="F9FCF9"/>
          </w:tcPr>
          <w:p>
            <w:pPr>
              <w:pStyle w:val="TableParagraph"/>
              <w:spacing w:line="167" w:lineRule="exact" w:before="8"/>
              <w:ind w:left="18" w:right="2"/>
              <w:rPr>
                <w:b/>
                <w:sz w:val="16"/>
              </w:rPr>
            </w:pPr>
            <w:r>
              <w:rPr>
                <w:b/>
                <w:sz w:val="16"/>
              </w:rPr>
              <w:t>79</w:t>
            </w:r>
          </w:p>
        </w:tc>
        <w:tc>
          <w:tcPr>
            <w:tcW w:w="503" w:type="dxa"/>
            <w:shd w:val="clear" w:color="auto" w:fill="F9FCF9"/>
          </w:tcPr>
          <w:p>
            <w:pPr>
              <w:pStyle w:val="TableParagraph"/>
              <w:spacing w:line="167" w:lineRule="exact" w:before="8"/>
              <w:ind w:left="75" w:right="58"/>
              <w:rPr>
                <w:b/>
                <w:sz w:val="16"/>
              </w:rPr>
            </w:pPr>
            <w:r>
              <w:rPr>
                <w:b/>
                <w:sz w:val="16"/>
              </w:rPr>
              <w:t>54</w:t>
            </w:r>
          </w:p>
        </w:tc>
        <w:tc>
          <w:tcPr>
            <w:tcW w:w="1070" w:type="dxa"/>
            <w:shd w:val="clear" w:color="auto" w:fill="F9FCF9"/>
          </w:tcPr>
          <w:p>
            <w:pPr>
              <w:pStyle w:val="TableParagraph"/>
              <w:spacing w:line="167" w:lineRule="exact" w:before="8"/>
              <w:ind w:left="359" w:right="340"/>
              <w:rPr>
                <w:b/>
                <w:sz w:val="16"/>
              </w:rPr>
            </w:pPr>
            <w:r>
              <w:rPr>
                <w:b/>
                <w:sz w:val="16"/>
              </w:rPr>
              <w:t>79</w:t>
            </w:r>
          </w:p>
        </w:tc>
      </w:tr>
      <w:tr>
        <w:trPr>
          <w:trHeight w:val="387" w:hRule="atLeast"/>
        </w:trPr>
        <w:tc>
          <w:tcPr>
            <w:tcW w:w="2783" w:type="dxa"/>
            <w:shd w:val="clear" w:color="auto" w:fill="F9FCF9"/>
          </w:tcPr>
          <w:p>
            <w:pPr>
              <w:pStyle w:val="TableParagraph"/>
              <w:spacing w:line="190" w:lineRule="atLeast" w:before="2"/>
              <w:ind w:left="20" w:right="619"/>
              <w:jc w:val="left"/>
              <w:rPr>
                <w:b/>
                <w:sz w:val="16"/>
              </w:rPr>
            </w:pPr>
            <w:r>
              <w:rPr>
                <w:b/>
                <w:w w:val="105"/>
                <w:sz w:val="16"/>
              </w:rPr>
              <w:t>incremental COE for capture (uS$ mWh</w:t>
            </w:r>
            <w:r>
              <w:rPr>
                <w:b/>
                <w:w w:val="105"/>
                <w:position w:val="5"/>
                <w:sz w:val="9"/>
              </w:rPr>
              <w:t>-1</w:t>
            </w:r>
            <w:r>
              <w:rPr>
                <w:b/>
                <w:w w:val="105"/>
                <w:sz w:val="16"/>
              </w:rPr>
              <w:t>)</w:t>
            </w:r>
          </w:p>
        </w:tc>
        <w:tc>
          <w:tcPr>
            <w:tcW w:w="866" w:type="dxa"/>
            <w:shd w:val="clear" w:color="auto" w:fill="F9FCF9"/>
          </w:tcPr>
          <w:p>
            <w:pPr>
              <w:pStyle w:val="TableParagraph"/>
              <w:spacing w:before="8"/>
              <w:ind w:left="33" w:right="26"/>
              <w:rPr>
                <w:b/>
                <w:sz w:val="16"/>
              </w:rPr>
            </w:pPr>
            <w:r>
              <w:rPr>
                <w:b/>
                <w:sz w:val="16"/>
              </w:rPr>
              <w:t>22.3</w:t>
            </w:r>
          </w:p>
        </w:tc>
        <w:tc>
          <w:tcPr>
            <w:tcW w:w="758" w:type="dxa"/>
            <w:shd w:val="clear" w:color="auto" w:fill="F9FCF9"/>
          </w:tcPr>
          <w:p>
            <w:pPr>
              <w:pStyle w:val="TableParagraph"/>
              <w:spacing w:before="8"/>
              <w:ind w:left="31" w:right="23"/>
              <w:rPr>
                <w:b/>
                <w:sz w:val="16"/>
              </w:rPr>
            </w:pPr>
            <w:r>
              <w:rPr>
                <w:b/>
                <w:sz w:val="16"/>
              </w:rPr>
              <w:t>13.5</w:t>
            </w:r>
          </w:p>
        </w:tc>
        <w:tc>
          <w:tcPr>
            <w:tcW w:w="818" w:type="dxa"/>
            <w:shd w:val="clear" w:color="auto" w:fill="F9FCF9"/>
          </w:tcPr>
          <w:p>
            <w:pPr>
              <w:pStyle w:val="TableParagraph"/>
              <w:spacing w:before="8"/>
              <w:ind w:left="61" w:right="52"/>
              <w:rPr>
                <w:b/>
                <w:sz w:val="16"/>
              </w:rPr>
            </w:pPr>
            <w:r>
              <w:rPr>
                <w:b/>
                <w:sz w:val="16"/>
              </w:rPr>
              <w:t>16.5</w:t>
            </w:r>
          </w:p>
        </w:tc>
        <w:tc>
          <w:tcPr>
            <w:tcW w:w="866" w:type="dxa"/>
            <w:shd w:val="clear" w:color="auto" w:fill="F9FCF9"/>
          </w:tcPr>
          <w:p>
            <w:pPr>
              <w:pStyle w:val="TableParagraph"/>
              <w:spacing w:before="8"/>
              <w:ind w:left="36" w:right="26"/>
              <w:rPr>
                <w:b/>
                <w:sz w:val="16"/>
              </w:rPr>
            </w:pPr>
            <w:r>
              <w:rPr>
                <w:b/>
                <w:sz w:val="16"/>
              </w:rPr>
              <w:t>18.1</w:t>
            </w:r>
          </w:p>
        </w:tc>
        <w:tc>
          <w:tcPr>
            <w:tcW w:w="866" w:type="dxa"/>
            <w:shd w:val="clear" w:color="auto" w:fill="F9FCF9"/>
          </w:tcPr>
          <w:p>
            <w:pPr>
              <w:pStyle w:val="TableParagraph"/>
              <w:spacing w:before="8"/>
              <w:ind w:left="37" w:right="26"/>
              <w:rPr>
                <w:b/>
                <w:sz w:val="16"/>
              </w:rPr>
            </w:pPr>
            <w:r>
              <w:rPr>
                <w:b/>
                <w:sz w:val="16"/>
              </w:rPr>
              <w:t>14.7</w:t>
            </w:r>
          </w:p>
        </w:tc>
        <w:tc>
          <w:tcPr>
            <w:tcW w:w="978" w:type="dxa"/>
            <w:shd w:val="clear" w:color="auto" w:fill="F9FCF9"/>
          </w:tcPr>
          <w:p>
            <w:pPr>
              <w:pStyle w:val="TableParagraph"/>
              <w:spacing w:before="8"/>
              <w:ind w:left="173" w:right="162"/>
              <w:rPr>
                <w:b/>
                <w:sz w:val="16"/>
              </w:rPr>
            </w:pPr>
            <w:r>
              <w:rPr>
                <w:b/>
                <w:sz w:val="16"/>
              </w:rPr>
              <w:t>18.5</w:t>
            </w:r>
          </w:p>
        </w:tc>
        <w:tc>
          <w:tcPr>
            <w:tcW w:w="742" w:type="dxa"/>
            <w:shd w:val="clear" w:color="auto" w:fill="F9FCF9"/>
          </w:tcPr>
          <w:p>
            <w:pPr>
              <w:pStyle w:val="TableParagraph"/>
              <w:spacing w:before="8"/>
              <w:ind w:left="12"/>
              <w:rPr>
                <w:b/>
                <w:sz w:val="16"/>
              </w:rPr>
            </w:pPr>
            <w:r>
              <w:rPr>
                <w:b/>
                <w:sz w:val="16"/>
              </w:rPr>
              <w:t>11</w:t>
            </w:r>
          </w:p>
        </w:tc>
        <w:tc>
          <w:tcPr>
            <w:tcW w:w="866" w:type="dxa"/>
            <w:shd w:val="clear" w:color="auto" w:fill="F9FCF9"/>
          </w:tcPr>
          <w:p>
            <w:pPr>
              <w:pStyle w:val="TableParagraph"/>
              <w:spacing w:before="8"/>
              <w:ind w:left="13"/>
              <w:rPr>
                <w:b/>
                <w:sz w:val="16"/>
              </w:rPr>
            </w:pPr>
            <w:r>
              <w:rPr>
                <w:b/>
                <w:sz w:val="16"/>
              </w:rPr>
              <w:t>9</w:t>
            </w:r>
          </w:p>
        </w:tc>
        <w:tc>
          <w:tcPr>
            <w:tcW w:w="866" w:type="dxa"/>
            <w:shd w:val="clear" w:color="auto" w:fill="F9FCF9"/>
          </w:tcPr>
          <w:p>
            <w:pPr>
              <w:pStyle w:val="TableParagraph"/>
              <w:spacing w:before="8"/>
              <w:ind w:left="40" w:right="26"/>
              <w:rPr>
                <w:b/>
                <w:sz w:val="16"/>
              </w:rPr>
            </w:pPr>
            <w:r>
              <w:rPr>
                <w:b/>
                <w:sz w:val="16"/>
              </w:rPr>
              <w:t>15</w:t>
            </w:r>
          </w:p>
        </w:tc>
        <w:tc>
          <w:tcPr>
            <w:tcW w:w="794" w:type="dxa"/>
            <w:shd w:val="clear" w:color="auto" w:fill="F9FCF9"/>
          </w:tcPr>
          <w:p>
            <w:pPr>
              <w:pStyle w:val="TableParagraph"/>
              <w:spacing w:before="8"/>
              <w:ind w:left="21" w:right="6"/>
              <w:rPr>
                <w:b/>
                <w:sz w:val="16"/>
              </w:rPr>
            </w:pPr>
            <w:r>
              <w:rPr>
                <w:b/>
                <w:sz w:val="16"/>
              </w:rPr>
              <w:t>14.3</w:t>
            </w:r>
          </w:p>
        </w:tc>
        <w:tc>
          <w:tcPr>
            <w:tcW w:w="786" w:type="dxa"/>
            <w:shd w:val="clear" w:color="auto" w:fill="F9FCF9"/>
          </w:tcPr>
          <w:p>
            <w:pPr>
              <w:pStyle w:val="TableParagraph"/>
              <w:spacing w:before="8"/>
              <w:ind w:left="18" w:right="2"/>
              <w:rPr>
                <w:b/>
                <w:sz w:val="16"/>
              </w:rPr>
            </w:pPr>
            <w:r>
              <w:rPr>
                <w:b/>
                <w:sz w:val="16"/>
              </w:rPr>
              <w:t>18.2</w:t>
            </w:r>
          </w:p>
        </w:tc>
        <w:tc>
          <w:tcPr>
            <w:tcW w:w="503" w:type="dxa"/>
            <w:shd w:val="clear" w:color="auto" w:fill="F9FCF9"/>
          </w:tcPr>
          <w:p>
            <w:pPr>
              <w:pStyle w:val="TableParagraph"/>
              <w:spacing w:before="8"/>
              <w:ind w:left="17"/>
              <w:rPr>
                <w:b/>
                <w:sz w:val="16"/>
              </w:rPr>
            </w:pPr>
            <w:r>
              <w:rPr>
                <w:b/>
                <w:sz w:val="16"/>
              </w:rPr>
              <w:t>9</w:t>
            </w:r>
          </w:p>
        </w:tc>
        <w:tc>
          <w:tcPr>
            <w:tcW w:w="1070" w:type="dxa"/>
            <w:shd w:val="clear" w:color="auto" w:fill="F9FCF9"/>
          </w:tcPr>
          <w:p>
            <w:pPr>
              <w:pStyle w:val="TableParagraph"/>
              <w:spacing w:before="8"/>
              <w:ind w:left="359" w:right="340"/>
              <w:rPr>
                <w:b/>
                <w:sz w:val="16"/>
              </w:rPr>
            </w:pPr>
            <w:r>
              <w:rPr>
                <w:b/>
                <w:sz w:val="16"/>
              </w:rPr>
              <w:t>22</w:t>
            </w:r>
          </w:p>
        </w:tc>
      </w:tr>
      <w:tr>
        <w:trPr>
          <w:trHeight w:val="195" w:hRule="atLeast"/>
        </w:trPr>
        <w:tc>
          <w:tcPr>
            <w:tcW w:w="2783" w:type="dxa"/>
            <w:shd w:val="clear" w:color="auto" w:fill="F9FCF9"/>
          </w:tcPr>
          <w:p>
            <w:pPr>
              <w:pStyle w:val="TableParagraph"/>
              <w:spacing w:line="168" w:lineRule="exact" w:before="8"/>
              <w:ind w:left="20"/>
              <w:jc w:val="left"/>
              <w:rPr>
                <w:sz w:val="16"/>
              </w:rPr>
            </w:pPr>
            <w:r>
              <w:rPr>
                <w:sz w:val="16"/>
              </w:rPr>
              <w:t>% increase in capital cost (over ref. plant)</w:t>
            </w:r>
          </w:p>
        </w:tc>
        <w:tc>
          <w:tcPr>
            <w:tcW w:w="866" w:type="dxa"/>
            <w:shd w:val="clear" w:color="auto" w:fill="F9FCF9"/>
          </w:tcPr>
          <w:p>
            <w:pPr>
              <w:pStyle w:val="TableParagraph"/>
              <w:spacing w:line="168" w:lineRule="exact" w:before="8"/>
              <w:ind w:left="33" w:right="26"/>
              <w:rPr>
                <w:sz w:val="16"/>
              </w:rPr>
            </w:pPr>
            <w:r>
              <w:rPr>
                <w:sz w:val="16"/>
              </w:rPr>
              <w:t>66</w:t>
            </w:r>
          </w:p>
        </w:tc>
        <w:tc>
          <w:tcPr>
            <w:tcW w:w="758" w:type="dxa"/>
            <w:shd w:val="clear" w:color="auto" w:fill="F9FCF9"/>
          </w:tcPr>
          <w:p>
            <w:pPr>
              <w:pStyle w:val="TableParagraph"/>
              <w:spacing w:line="168" w:lineRule="exact" w:before="8"/>
              <w:ind w:left="31" w:right="23"/>
              <w:rPr>
                <w:sz w:val="16"/>
              </w:rPr>
            </w:pPr>
            <w:r>
              <w:rPr>
                <w:sz w:val="16"/>
              </w:rPr>
              <w:t>38</w:t>
            </w:r>
          </w:p>
        </w:tc>
        <w:tc>
          <w:tcPr>
            <w:tcW w:w="818" w:type="dxa"/>
            <w:shd w:val="clear" w:color="auto" w:fill="F9FCF9"/>
          </w:tcPr>
          <w:p>
            <w:pPr>
              <w:pStyle w:val="TableParagraph"/>
              <w:spacing w:line="168" w:lineRule="exact" w:before="8"/>
              <w:ind w:left="61" w:right="52"/>
              <w:rPr>
                <w:sz w:val="16"/>
              </w:rPr>
            </w:pPr>
            <w:r>
              <w:rPr>
                <w:sz w:val="16"/>
              </w:rPr>
              <w:t>33</w:t>
            </w:r>
          </w:p>
        </w:tc>
        <w:tc>
          <w:tcPr>
            <w:tcW w:w="866" w:type="dxa"/>
            <w:shd w:val="clear" w:color="auto" w:fill="F9FCF9"/>
          </w:tcPr>
          <w:p>
            <w:pPr>
              <w:pStyle w:val="TableParagraph"/>
              <w:spacing w:line="168" w:lineRule="exact" w:before="8"/>
              <w:ind w:left="36" w:right="26"/>
              <w:rPr>
                <w:sz w:val="16"/>
              </w:rPr>
            </w:pPr>
            <w:r>
              <w:rPr>
                <w:sz w:val="16"/>
              </w:rPr>
              <w:t>47</w:t>
            </w:r>
          </w:p>
        </w:tc>
        <w:tc>
          <w:tcPr>
            <w:tcW w:w="866" w:type="dxa"/>
            <w:shd w:val="clear" w:color="auto" w:fill="F9FCF9"/>
          </w:tcPr>
          <w:p>
            <w:pPr>
              <w:pStyle w:val="TableParagraph"/>
              <w:spacing w:line="168" w:lineRule="exact" w:before="8"/>
              <w:ind w:left="37" w:right="26"/>
              <w:rPr>
                <w:sz w:val="16"/>
              </w:rPr>
            </w:pPr>
            <w:r>
              <w:rPr>
                <w:sz w:val="16"/>
              </w:rPr>
              <w:t>39</w:t>
            </w:r>
          </w:p>
        </w:tc>
        <w:tc>
          <w:tcPr>
            <w:tcW w:w="978" w:type="dxa"/>
            <w:shd w:val="clear" w:color="auto" w:fill="F9FCF9"/>
          </w:tcPr>
          <w:p>
            <w:pPr>
              <w:pStyle w:val="TableParagraph"/>
              <w:spacing w:line="168" w:lineRule="exact" w:before="8"/>
              <w:ind w:left="173" w:right="162"/>
              <w:rPr>
                <w:sz w:val="16"/>
              </w:rPr>
            </w:pPr>
            <w:r>
              <w:rPr>
                <w:sz w:val="16"/>
              </w:rPr>
              <w:t>39</w:t>
            </w:r>
          </w:p>
        </w:tc>
        <w:tc>
          <w:tcPr>
            <w:tcW w:w="742" w:type="dxa"/>
            <w:shd w:val="clear" w:color="auto" w:fill="F9FCF9"/>
          </w:tcPr>
          <w:p>
            <w:pPr>
              <w:pStyle w:val="TableParagraph"/>
              <w:spacing w:line="168" w:lineRule="exact" w:before="8"/>
              <w:ind w:left="12"/>
              <w:rPr>
                <w:sz w:val="16"/>
              </w:rPr>
            </w:pPr>
            <w:r>
              <w:rPr>
                <w:sz w:val="16"/>
              </w:rPr>
              <w:t>26</w:t>
            </w:r>
          </w:p>
        </w:tc>
        <w:tc>
          <w:tcPr>
            <w:tcW w:w="866" w:type="dxa"/>
            <w:shd w:val="clear" w:color="auto" w:fill="F9FCF9"/>
          </w:tcPr>
          <w:p>
            <w:pPr>
              <w:pStyle w:val="TableParagraph"/>
              <w:spacing w:line="168" w:lineRule="exact" w:before="8"/>
              <w:ind w:left="39" w:right="26"/>
              <w:rPr>
                <w:sz w:val="16"/>
              </w:rPr>
            </w:pPr>
            <w:r>
              <w:rPr>
                <w:sz w:val="16"/>
              </w:rPr>
              <w:t>19</w:t>
            </w:r>
          </w:p>
        </w:tc>
        <w:tc>
          <w:tcPr>
            <w:tcW w:w="866" w:type="dxa"/>
            <w:shd w:val="clear" w:color="auto" w:fill="F9FCF9"/>
          </w:tcPr>
          <w:p>
            <w:pPr>
              <w:pStyle w:val="TableParagraph"/>
              <w:spacing w:line="168" w:lineRule="exact" w:before="8"/>
              <w:ind w:left="40" w:right="26"/>
              <w:rPr>
                <w:sz w:val="16"/>
              </w:rPr>
            </w:pPr>
            <w:r>
              <w:rPr>
                <w:sz w:val="16"/>
              </w:rPr>
              <w:t>36</w:t>
            </w:r>
          </w:p>
        </w:tc>
        <w:tc>
          <w:tcPr>
            <w:tcW w:w="794" w:type="dxa"/>
            <w:shd w:val="clear" w:color="auto" w:fill="F9FCF9"/>
          </w:tcPr>
          <w:p>
            <w:pPr>
              <w:pStyle w:val="TableParagraph"/>
              <w:spacing w:line="168" w:lineRule="exact" w:before="8"/>
              <w:ind w:left="21" w:right="6"/>
              <w:rPr>
                <w:sz w:val="16"/>
              </w:rPr>
            </w:pPr>
            <w:r>
              <w:rPr>
                <w:sz w:val="16"/>
              </w:rPr>
              <w:t>33</w:t>
            </w:r>
          </w:p>
        </w:tc>
        <w:tc>
          <w:tcPr>
            <w:tcW w:w="786" w:type="dxa"/>
            <w:shd w:val="clear" w:color="auto" w:fill="F9FCF9"/>
          </w:tcPr>
          <w:p>
            <w:pPr>
              <w:pStyle w:val="TableParagraph"/>
              <w:spacing w:line="168" w:lineRule="exact" w:before="8"/>
              <w:ind w:left="18" w:right="2"/>
              <w:rPr>
                <w:sz w:val="16"/>
              </w:rPr>
            </w:pPr>
            <w:r>
              <w:rPr>
                <w:sz w:val="16"/>
              </w:rPr>
              <w:t>33</w:t>
            </w:r>
          </w:p>
        </w:tc>
        <w:tc>
          <w:tcPr>
            <w:tcW w:w="503" w:type="dxa"/>
            <w:shd w:val="clear" w:color="auto" w:fill="F9FCF9"/>
          </w:tcPr>
          <w:p>
            <w:pPr>
              <w:pStyle w:val="TableParagraph"/>
              <w:spacing w:line="168" w:lineRule="exact" w:before="8"/>
              <w:ind w:left="75" w:right="58"/>
              <w:rPr>
                <w:b/>
                <w:sz w:val="16"/>
              </w:rPr>
            </w:pPr>
            <w:r>
              <w:rPr>
                <w:b/>
                <w:sz w:val="16"/>
              </w:rPr>
              <w:t>19</w:t>
            </w:r>
          </w:p>
        </w:tc>
        <w:tc>
          <w:tcPr>
            <w:tcW w:w="1070" w:type="dxa"/>
            <w:shd w:val="clear" w:color="auto" w:fill="F9FCF9"/>
          </w:tcPr>
          <w:p>
            <w:pPr>
              <w:pStyle w:val="TableParagraph"/>
              <w:spacing w:line="168" w:lineRule="exact" w:before="8"/>
              <w:ind w:left="359" w:right="340"/>
              <w:rPr>
                <w:b/>
                <w:sz w:val="16"/>
              </w:rPr>
            </w:pPr>
            <w:r>
              <w:rPr>
                <w:b/>
                <w:sz w:val="16"/>
              </w:rPr>
              <w:t>66</w:t>
            </w:r>
          </w:p>
        </w:tc>
      </w:tr>
      <w:tr>
        <w:trPr>
          <w:trHeight w:val="195" w:hRule="atLeast"/>
        </w:trPr>
        <w:tc>
          <w:tcPr>
            <w:tcW w:w="2783" w:type="dxa"/>
            <w:shd w:val="clear" w:color="auto" w:fill="F9FCF9"/>
          </w:tcPr>
          <w:p>
            <w:pPr>
              <w:pStyle w:val="TableParagraph"/>
              <w:spacing w:line="167" w:lineRule="exact" w:before="8"/>
              <w:ind w:left="20"/>
              <w:jc w:val="left"/>
              <w:rPr>
                <w:b/>
                <w:sz w:val="16"/>
              </w:rPr>
            </w:pPr>
            <w:r>
              <w:rPr>
                <w:b/>
                <w:sz w:val="16"/>
              </w:rPr>
              <w:t>% increase in COE (over ref. plant)</w:t>
            </w:r>
          </w:p>
        </w:tc>
        <w:tc>
          <w:tcPr>
            <w:tcW w:w="866" w:type="dxa"/>
            <w:shd w:val="clear" w:color="auto" w:fill="F9FCF9"/>
          </w:tcPr>
          <w:p>
            <w:pPr>
              <w:pStyle w:val="TableParagraph"/>
              <w:spacing w:line="167" w:lineRule="exact" w:before="8"/>
              <w:ind w:left="33" w:right="26"/>
              <w:rPr>
                <w:sz w:val="16"/>
              </w:rPr>
            </w:pPr>
            <w:r>
              <w:rPr>
                <w:sz w:val="16"/>
              </w:rPr>
              <w:t>55</w:t>
            </w:r>
          </w:p>
        </w:tc>
        <w:tc>
          <w:tcPr>
            <w:tcW w:w="758" w:type="dxa"/>
            <w:shd w:val="clear" w:color="auto" w:fill="F9FCF9"/>
          </w:tcPr>
          <w:p>
            <w:pPr>
              <w:pStyle w:val="TableParagraph"/>
              <w:spacing w:line="167" w:lineRule="exact" w:before="8"/>
              <w:ind w:left="31" w:right="23"/>
              <w:rPr>
                <w:sz w:val="16"/>
              </w:rPr>
            </w:pPr>
            <w:r>
              <w:rPr>
                <w:sz w:val="16"/>
              </w:rPr>
              <w:t>33</w:t>
            </w:r>
          </w:p>
        </w:tc>
        <w:tc>
          <w:tcPr>
            <w:tcW w:w="818" w:type="dxa"/>
            <w:shd w:val="clear" w:color="auto" w:fill="F9FCF9"/>
          </w:tcPr>
          <w:p>
            <w:pPr>
              <w:pStyle w:val="TableParagraph"/>
              <w:spacing w:line="167" w:lineRule="exact" w:before="8"/>
              <w:ind w:left="61" w:right="52"/>
              <w:rPr>
                <w:sz w:val="16"/>
              </w:rPr>
            </w:pPr>
            <w:r>
              <w:rPr>
                <w:sz w:val="16"/>
              </w:rPr>
              <w:t>38</w:t>
            </w:r>
          </w:p>
        </w:tc>
        <w:tc>
          <w:tcPr>
            <w:tcW w:w="866" w:type="dxa"/>
            <w:shd w:val="clear" w:color="auto" w:fill="F9FCF9"/>
          </w:tcPr>
          <w:p>
            <w:pPr>
              <w:pStyle w:val="TableParagraph"/>
              <w:spacing w:line="167" w:lineRule="exact" w:before="8"/>
              <w:ind w:left="36" w:right="26"/>
              <w:rPr>
                <w:sz w:val="16"/>
              </w:rPr>
            </w:pPr>
            <w:r>
              <w:rPr>
                <w:sz w:val="16"/>
              </w:rPr>
              <w:t>38</w:t>
            </w:r>
          </w:p>
        </w:tc>
        <w:tc>
          <w:tcPr>
            <w:tcW w:w="866" w:type="dxa"/>
            <w:shd w:val="clear" w:color="auto" w:fill="F9FCF9"/>
          </w:tcPr>
          <w:p>
            <w:pPr>
              <w:pStyle w:val="TableParagraph"/>
              <w:spacing w:line="167" w:lineRule="exact" w:before="8"/>
              <w:ind w:left="37" w:right="26"/>
              <w:rPr>
                <w:sz w:val="16"/>
              </w:rPr>
            </w:pPr>
            <w:r>
              <w:rPr>
                <w:sz w:val="16"/>
              </w:rPr>
              <w:t>34</w:t>
            </w:r>
          </w:p>
        </w:tc>
        <w:tc>
          <w:tcPr>
            <w:tcW w:w="978" w:type="dxa"/>
            <w:shd w:val="clear" w:color="auto" w:fill="F9FCF9"/>
          </w:tcPr>
          <w:p>
            <w:pPr>
              <w:pStyle w:val="TableParagraph"/>
              <w:spacing w:line="167" w:lineRule="exact" w:before="8"/>
              <w:ind w:left="173" w:right="162"/>
              <w:rPr>
                <w:b/>
                <w:sz w:val="16"/>
              </w:rPr>
            </w:pPr>
            <w:r>
              <w:rPr>
                <w:b/>
                <w:sz w:val="16"/>
              </w:rPr>
              <w:t>35</w:t>
            </w:r>
          </w:p>
        </w:tc>
        <w:tc>
          <w:tcPr>
            <w:tcW w:w="742" w:type="dxa"/>
            <w:shd w:val="clear" w:color="auto" w:fill="F9FCF9"/>
          </w:tcPr>
          <w:p>
            <w:pPr>
              <w:pStyle w:val="TableParagraph"/>
              <w:spacing w:line="167" w:lineRule="exact" w:before="8"/>
              <w:ind w:left="12"/>
              <w:rPr>
                <w:b/>
                <w:sz w:val="16"/>
              </w:rPr>
            </w:pPr>
            <w:r>
              <w:rPr>
                <w:b/>
                <w:sz w:val="16"/>
              </w:rPr>
              <w:t>24</w:t>
            </w:r>
          </w:p>
        </w:tc>
        <w:tc>
          <w:tcPr>
            <w:tcW w:w="866" w:type="dxa"/>
            <w:shd w:val="clear" w:color="auto" w:fill="F9FCF9"/>
          </w:tcPr>
          <w:p>
            <w:pPr>
              <w:pStyle w:val="TableParagraph"/>
              <w:spacing w:line="167" w:lineRule="exact" w:before="8"/>
              <w:ind w:left="39" w:right="26"/>
              <w:rPr>
                <w:b/>
                <w:sz w:val="16"/>
              </w:rPr>
            </w:pPr>
            <w:r>
              <w:rPr>
                <w:b/>
                <w:sz w:val="16"/>
              </w:rPr>
              <w:t>20</w:t>
            </w:r>
          </w:p>
        </w:tc>
        <w:tc>
          <w:tcPr>
            <w:tcW w:w="866" w:type="dxa"/>
            <w:shd w:val="clear" w:color="auto" w:fill="F9FCF9"/>
          </w:tcPr>
          <w:p>
            <w:pPr>
              <w:pStyle w:val="TableParagraph"/>
              <w:spacing w:line="167" w:lineRule="exact" w:before="8"/>
              <w:ind w:left="40" w:right="26"/>
              <w:rPr>
                <w:b/>
                <w:sz w:val="16"/>
              </w:rPr>
            </w:pPr>
            <w:r>
              <w:rPr>
                <w:b/>
                <w:sz w:val="16"/>
              </w:rPr>
              <w:t>31</w:t>
            </w:r>
          </w:p>
        </w:tc>
        <w:tc>
          <w:tcPr>
            <w:tcW w:w="794" w:type="dxa"/>
            <w:shd w:val="clear" w:color="auto" w:fill="F9FCF9"/>
          </w:tcPr>
          <w:p>
            <w:pPr>
              <w:pStyle w:val="TableParagraph"/>
              <w:spacing w:line="167" w:lineRule="exact" w:before="8"/>
              <w:ind w:left="21" w:right="6"/>
              <w:rPr>
                <w:sz w:val="16"/>
              </w:rPr>
            </w:pPr>
            <w:r>
              <w:rPr>
                <w:sz w:val="16"/>
              </w:rPr>
              <w:t>30</w:t>
            </w:r>
          </w:p>
        </w:tc>
        <w:tc>
          <w:tcPr>
            <w:tcW w:w="786" w:type="dxa"/>
            <w:shd w:val="clear" w:color="auto" w:fill="F9FCF9"/>
          </w:tcPr>
          <w:p>
            <w:pPr>
              <w:pStyle w:val="TableParagraph"/>
              <w:spacing w:line="167" w:lineRule="exact" w:before="8"/>
              <w:ind w:left="18" w:right="2"/>
              <w:rPr>
                <w:sz w:val="16"/>
              </w:rPr>
            </w:pPr>
            <w:r>
              <w:rPr>
                <w:sz w:val="16"/>
              </w:rPr>
              <w:t>30</w:t>
            </w:r>
          </w:p>
        </w:tc>
        <w:tc>
          <w:tcPr>
            <w:tcW w:w="503" w:type="dxa"/>
            <w:shd w:val="clear" w:color="auto" w:fill="F9FCF9"/>
          </w:tcPr>
          <w:p>
            <w:pPr>
              <w:pStyle w:val="TableParagraph"/>
              <w:spacing w:line="167" w:lineRule="exact" w:before="8"/>
              <w:ind w:left="75" w:right="58"/>
              <w:rPr>
                <w:b/>
                <w:sz w:val="16"/>
              </w:rPr>
            </w:pPr>
            <w:r>
              <w:rPr>
                <w:b/>
                <w:sz w:val="16"/>
              </w:rPr>
              <w:t>20</w:t>
            </w:r>
          </w:p>
        </w:tc>
        <w:tc>
          <w:tcPr>
            <w:tcW w:w="1070" w:type="dxa"/>
            <w:shd w:val="clear" w:color="auto" w:fill="F9FCF9"/>
          </w:tcPr>
          <w:p>
            <w:pPr>
              <w:pStyle w:val="TableParagraph"/>
              <w:spacing w:line="167" w:lineRule="exact" w:before="8"/>
              <w:ind w:left="359" w:right="340"/>
              <w:rPr>
                <w:b/>
                <w:sz w:val="16"/>
              </w:rPr>
            </w:pPr>
            <w:r>
              <w:rPr>
                <w:b/>
                <w:sz w:val="16"/>
              </w:rPr>
              <w:t>55</w:t>
            </w:r>
          </w:p>
        </w:tc>
      </w:tr>
      <w:tr>
        <w:trPr>
          <w:trHeight w:val="195" w:hRule="atLeast"/>
        </w:trPr>
        <w:tc>
          <w:tcPr>
            <w:tcW w:w="2783" w:type="dxa"/>
            <w:shd w:val="clear" w:color="auto" w:fill="F9FCF9"/>
          </w:tcPr>
          <w:p>
            <w:pPr>
              <w:pStyle w:val="TableParagraph"/>
              <w:spacing w:line="167" w:lineRule="exact" w:before="8"/>
              <w:ind w:left="20"/>
              <w:jc w:val="left"/>
              <w:rPr>
                <w:sz w:val="16"/>
              </w:rPr>
            </w:pPr>
            <w:r>
              <w:rPr>
                <w:sz w:val="16"/>
              </w:rPr>
              <w:t>Cost of CO</w:t>
            </w:r>
            <w:r>
              <w:rPr>
                <w:position w:val="-4"/>
                <w:sz w:val="9"/>
              </w:rPr>
              <w:t>2 </w:t>
            </w:r>
            <w:r>
              <w:rPr>
                <w:sz w:val="16"/>
              </w:rPr>
              <w:t>captured (US$/tCO</w:t>
            </w:r>
            <w:r>
              <w:rPr>
                <w:position w:val="-4"/>
                <w:sz w:val="9"/>
              </w:rPr>
              <w:t>2</w:t>
            </w:r>
            <w:r>
              <w:rPr>
                <w:sz w:val="16"/>
              </w:rPr>
              <w:t>)</w:t>
            </w:r>
          </w:p>
        </w:tc>
        <w:tc>
          <w:tcPr>
            <w:tcW w:w="866" w:type="dxa"/>
            <w:shd w:val="clear" w:color="auto" w:fill="F9FCF9"/>
          </w:tcPr>
          <w:p>
            <w:pPr>
              <w:pStyle w:val="TableParagraph"/>
              <w:spacing w:line="167" w:lineRule="exact" w:before="8"/>
              <w:ind w:left="33" w:right="26"/>
              <w:rPr>
                <w:sz w:val="16"/>
              </w:rPr>
            </w:pPr>
            <w:r>
              <w:rPr>
                <w:sz w:val="16"/>
              </w:rPr>
              <w:t>32</w:t>
            </w:r>
          </w:p>
        </w:tc>
        <w:tc>
          <w:tcPr>
            <w:tcW w:w="758" w:type="dxa"/>
            <w:shd w:val="clear" w:color="auto" w:fill="F9FCF9"/>
          </w:tcPr>
          <w:p>
            <w:pPr>
              <w:pStyle w:val="TableParagraph"/>
              <w:spacing w:line="167" w:lineRule="exact" w:before="8"/>
              <w:ind w:left="31" w:right="23"/>
              <w:rPr>
                <w:sz w:val="16"/>
              </w:rPr>
            </w:pPr>
            <w:r>
              <w:rPr>
                <w:sz w:val="16"/>
              </w:rPr>
              <w:t>19</w:t>
            </w:r>
          </w:p>
        </w:tc>
        <w:tc>
          <w:tcPr>
            <w:tcW w:w="818" w:type="dxa"/>
            <w:shd w:val="clear" w:color="auto" w:fill="F9FCF9"/>
          </w:tcPr>
          <w:p>
            <w:pPr>
              <w:pStyle w:val="TableParagraph"/>
              <w:spacing w:line="167" w:lineRule="exact" w:before="8"/>
              <w:ind w:left="61" w:right="52"/>
              <w:rPr>
                <w:sz w:val="16"/>
              </w:rPr>
            </w:pPr>
            <w:r>
              <w:rPr>
                <w:sz w:val="16"/>
              </w:rPr>
              <w:t>18</w:t>
            </w:r>
          </w:p>
        </w:tc>
        <w:tc>
          <w:tcPr>
            <w:tcW w:w="866" w:type="dxa"/>
            <w:shd w:val="clear" w:color="auto" w:fill="F9FCF9"/>
          </w:tcPr>
          <w:p>
            <w:pPr>
              <w:pStyle w:val="TableParagraph"/>
              <w:spacing w:line="167" w:lineRule="exact" w:before="8"/>
              <w:ind w:left="36" w:right="26"/>
              <w:rPr>
                <w:sz w:val="16"/>
              </w:rPr>
            </w:pPr>
            <w:r>
              <w:rPr>
                <w:sz w:val="16"/>
              </w:rPr>
              <w:t>30</w:t>
            </w:r>
          </w:p>
        </w:tc>
        <w:tc>
          <w:tcPr>
            <w:tcW w:w="866" w:type="dxa"/>
            <w:shd w:val="clear" w:color="auto" w:fill="F9FCF9"/>
          </w:tcPr>
          <w:p>
            <w:pPr>
              <w:pStyle w:val="TableParagraph"/>
              <w:spacing w:line="167" w:lineRule="exact" w:before="8"/>
              <w:ind w:left="37" w:right="26"/>
              <w:rPr>
                <w:sz w:val="16"/>
              </w:rPr>
            </w:pPr>
            <w:r>
              <w:rPr>
                <w:sz w:val="16"/>
              </w:rPr>
              <w:t>21</w:t>
            </w:r>
          </w:p>
        </w:tc>
        <w:tc>
          <w:tcPr>
            <w:tcW w:w="978" w:type="dxa"/>
            <w:shd w:val="clear" w:color="auto" w:fill="F9FCF9"/>
          </w:tcPr>
          <w:p>
            <w:pPr>
              <w:pStyle w:val="TableParagraph"/>
              <w:jc w:val="left"/>
              <w:rPr>
                <w:sz w:val="12"/>
              </w:rPr>
            </w:pPr>
          </w:p>
        </w:tc>
        <w:tc>
          <w:tcPr>
            <w:tcW w:w="742" w:type="dxa"/>
            <w:shd w:val="clear" w:color="auto" w:fill="F9FCF9"/>
          </w:tcPr>
          <w:p>
            <w:pPr>
              <w:pStyle w:val="TableParagraph"/>
              <w:spacing w:line="167" w:lineRule="exact" w:before="8"/>
              <w:ind w:left="12"/>
              <w:rPr>
                <w:sz w:val="16"/>
              </w:rPr>
            </w:pPr>
            <w:r>
              <w:rPr>
                <w:sz w:val="16"/>
              </w:rPr>
              <w:t>13</w:t>
            </w:r>
          </w:p>
        </w:tc>
        <w:tc>
          <w:tcPr>
            <w:tcW w:w="866" w:type="dxa"/>
            <w:shd w:val="clear" w:color="auto" w:fill="F9FCF9"/>
          </w:tcPr>
          <w:p>
            <w:pPr>
              <w:pStyle w:val="TableParagraph"/>
              <w:spacing w:line="167" w:lineRule="exact" w:before="8"/>
              <w:ind w:left="39" w:right="26"/>
              <w:rPr>
                <w:sz w:val="16"/>
              </w:rPr>
            </w:pPr>
            <w:r>
              <w:rPr>
                <w:sz w:val="16"/>
              </w:rPr>
              <w:t>11</w:t>
            </w:r>
          </w:p>
        </w:tc>
        <w:tc>
          <w:tcPr>
            <w:tcW w:w="866" w:type="dxa"/>
            <w:shd w:val="clear" w:color="auto" w:fill="F9FCF9"/>
          </w:tcPr>
          <w:p>
            <w:pPr>
              <w:pStyle w:val="TableParagraph"/>
              <w:spacing w:line="167" w:lineRule="exact" w:before="8"/>
              <w:ind w:left="40" w:right="26"/>
              <w:rPr>
                <w:sz w:val="16"/>
              </w:rPr>
            </w:pPr>
            <w:r>
              <w:rPr>
                <w:sz w:val="16"/>
              </w:rPr>
              <w:t>19</w:t>
            </w:r>
          </w:p>
        </w:tc>
        <w:tc>
          <w:tcPr>
            <w:tcW w:w="794" w:type="dxa"/>
            <w:shd w:val="clear" w:color="auto" w:fill="F9FCF9"/>
          </w:tcPr>
          <w:p>
            <w:pPr>
              <w:pStyle w:val="TableParagraph"/>
              <w:spacing w:line="167" w:lineRule="exact" w:before="8"/>
              <w:ind w:left="21" w:right="6"/>
              <w:rPr>
                <w:sz w:val="16"/>
              </w:rPr>
            </w:pPr>
            <w:r>
              <w:rPr>
                <w:sz w:val="16"/>
              </w:rPr>
              <w:t>17</w:t>
            </w:r>
          </w:p>
        </w:tc>
        <w:tc>
          <w:tcPr>
            <w:tcW w:w="786" w:type="dxa"/>
            <w:shd w:val="clear" w:color="auto" w:fill="F9FCF9"/>
          </w:tcPr>
          <w:p>
            <w:pPr>
              <w:pStyle w:val="TableParagraph"/>
              <w:spacing w:line="167" w:lineRule="exact" w:before="8"/>
              <w:ind w:left="18" w:right="2"/>
              <w:rPr>
                <w:sz w:val="16"/>
              </w:rPr>
            </w:pPr>
            <w:r>
              <w:rPr>
                <w:sz w:val="16"/>
              </w:rPr>
              <w:t>21</w:t>
            </w:r>
          </w:p>
        </w:tc>
        <w:tc>
          <w:tcPr>
            <w:tcW w:w="503" w:type="dxa"/>
            <w:shd w:val="clear" w:color="auto" w:fill="F9FCF9"/>
          </w:tcPr>
          <w:p>
            <w:pPr>
              <w:pStyle w:val="TableParagraph"/>
              <w:spacing w:line="167" w:lineRule="exact" w:before="8"/>
              <w:ind w:left="75" w:right="58"/>
              <w:rPr>
                <w:b/>
                <w:sz w:val="16"/>
              </w:rPr>
            </w:pPr>
            <w:r>
              <w:rPr>
                <w:b/>
                <w:sz w:val="16"/>
              </w:rPr>
              <w:t>11</w:t>
            </w:r>
          </w:p>
        </w:tc>
        <w:tc>
          <w:tcPr>
            <w:tcW w:w="1070" w:type="dxa"/>
            <w:shd w:val="clear" w:color="auto" w:fill="F9FCF9"/>
          </w:tcPr>
          <w:p>
            <w:pPr>
              <w:pStyle w:val="TableParagraph"/>
              <w:spacing w:line="167" w:lineRule="exact" w:before="8"/>
              <w:ind w:left="359" w:right="340"/>
              <w:rPr>
                <w:b/>
                <w:sz w:val="16"/>
              </w:rPr>
            </w:pPr>
            <w:r>
              <w:rPr>
                <w:b/>
                <w:sz w:val="16"/>
              </w:rPr>
              <w:t>32</w:t>
            </w:r>
          </w:p>
        </w:tc>
      </w:tr>
      <w:tr>
        <w:trPr>
          <w:trHeight w:val="195" w:hRule="atLeast"/>
        </w:trPr>
        <w:tc>
          <w:tcPr>
            <w:tcW w:w="2783" w:type="dxa"/>
            <w:shd w:val="clear" w:color="auto" w:fill="F9FCF9"/>
          </w:tcPr>
          <w:p>
            <w:pPr>
              <w:pStyle w:val="TableParagraph"/>
              <w:spacing w:line="167" w:lineRule="exact" w:before="8"/>
              <w:ind w:left="20"/>
              <w:jc w:val="left"/>
              <w:rPr>
                <w:sz w:val="16"/>
              </w:rPr>
            </w:pPr>
            <w:r>
              <w:rPr>
                <w:sz w:val="16"/>
              </w:rPr>
              <w:t>Cost of CO</w:t>
            </w:r>
            <w:r>
              <w:rPr>
                <w:position w:val="-4"/>
                <w:sz w:val="9"/>
              </w:rPr>
              <w:t>2 </w:t>
            </w:r>
            <w:r>
              <w:rPr>
                <w:sz w:val="16"/>
              </w:rPr>
              <w:t>avoided (US$/tCO</w:t>
            </w:r>
            <w:r>
              <w:rPr>
                <w:position w:val="-4"/>
                <w:sz w:val="9"/>
              </w:rPr>
              <w:t>2</w:t>
            </w:r>
            <w:r>
              <w:rPr>
                <w:sz w:val="16"/>
              </w:rPr>
              <w:t>)</w:t>
            </w:r>
          </w:p>
        </w:tc>
        <w:tc>
          <w:tcPr>
            <w:tcW w:w="866" w:type="dxa"/>
            <w:shd w:val="clear" w:color="auto" w:fill="F9FCF9"/>
          </w:tcPr>
          <w:p>
            <w:pPr>
              <w:pStyle w:val="TableParagraph"/>
              <w:spacing w:line="167" w:lineRule="exact" w:before="8"/>
              <w:ind w:left="33" w:right="26"/>
              <w:rPr>
                <w:sz w:val="16"/>
              </w:rPr>
            </w:pPr>
            <w:r>
              <w:rPr>
                <w:sz w:val="16"/>
              </w:rPr>
              <w:t>37</w:t>
            </w:r>
          </w:p>
        </w:tc>
        <w:tc>
          <w:tcPr>
            <w:tcW w:w="758" w:type="dxa"/>
            <w:shd w:val="clear" w:color="auto" w:fill="F9FCF9"/>
          </w:tcPr>
          <w:p>
            <w:pPr>
              <w:pStyle w:val="TableParagraph"/>
              <w:spacing w:line="167" w:lineRule="exact" w:before="8"/>
              <w:ind w:left="31" w:right="23"/>
              <w:rPr>
                <w:sz w:val="16"/>
              </w:rPr>
            </w:pPr>
            <w:r>
              <w:rPr>
                <w:sz w:val="16"/>
              </w:rPr>
              <w:t>23</w:t>
            </w:r>
          </w:p>
        </w:tc>
        <w:tc>
          <w:tcPr>
            <w:tcW w:w="818" w:type="dxa"/>
            <w:shd w:val="clear" w:color="auto" w:fill="F9FCF9"/>
          </w:tcPr>
          <w:p>
            <w:pPr>
              <w:pStyle w:val="TableParagraph"/>
              <w:spacing w:line="167" w:lineRule="exact" w:before="8"/>
              <w:ind w:left="61" w:right="52"/>
              <w:rPr>
                <w:sz w:val="16"/>
              </w:rPr>
            </w:pPr>
            <w:r>
              <w:rPr>
                <w:sz w:val="16"/>
              </w:rPr>
              <w:t>23</w:t>
            </w:r>
          </w:p>
        </w:tc>
        <w:tc>
          <w:tcPr>
            <w:tcW w:w="866" w:type="dxa"/>
            <w:shd w:val="clear" w:color="auto" w:fill="F9FCF9"/>
          </w:tcPr>
          <w:p>
            <w:pPr>
              <w:pStyle w:val="TableParagraph"/>
              <w:spacing w:line="167" w:lineRule="exact" w:before="8"/>
              <w:ind w:left="36" w:right="26"/>
              <w:rPr>
                <w:sz w:val="16"/>
              </w:rPr>
            </w:pPr>
            <w:r>
              <w:rPr>
                <w:sz w:val="16"/>
              </w:rPr>
              <w:t>28</w:t>
            </w:r>
          </w:p>
        </w:tc>
        <w:tc>
          <w:tcPr>
            <w:tcW w:w="866" w:type="dxa"/>
            <w:shd w:val="clear" w:color="auto" w:fill="F9FCF9"/>
          </w:tcPr>
          <w:p>
            <w:pPr>
              <w:pStyle w:val="TableParagraph"/>
              <w:spacing w:line="167" w:lineRule="exact" w:before="8"/>
              <w:ind w:left="37" w:right="26"/>
              <w:rPr>
                <w:sz w:val="16"/>
              </w:rPr>
            </w:pPr>
            <w:r>
              <w:rPr>
                <w:sz w:val="16"/>
              </w:rPr>
              <w:t>22</w:t>
            </w:r>
          </w:p>
        </w:tc>
        <w:tc>
          <w:tcPr>
            <w:tcW w:w="978" w:type="dxa"/>
            <w:shd w:val="clear" w:color="auto" w:fill="F9FCF9"/>
          </w:tcPr>
          <w:p>
            <w:pPr>
              <w:pStyle w:val="TableParagraph"/>
              <w:spacing w:line="167" w:lineRule="exact" w:before="8"/>
              <w:ind w:left="173" w:right="162"/>
              <w:rPr>
                <w:sz w:val="16"/>
              </w:rPr>
            </w:pPr>
            <w:r>
              <w:rPr>
                <w:sz w:val="16"/>
              </w:rPr>
              <w:t>23</w:t>
            </w:r>
          </w:p>
        </w:tc>
        <w:tc>
          <w:tcPr>
            <w:tcW w:w="742" w:type="dxa"/>
            <w:shd w:val="clear" w:color="auto" w:fill="F9FCF9"/>
          </w:tcPr>
          <w:p>
            <w:pPr>
              <w:pStyle w:val="TableParagraph"/>
              <w:spacing w:line="167" w:lineRule="exact" w:before="8"/>
              <w:ind w:left="12"/>
              <w:rPr>
                <w:sz w:val="16"/>
              </w:rPr>
            </w:pPr>
            <w:r>
              <w:rPr>
                <w:sz w:val="16"/>
              </w:rPr>
              <w:t>16</w:t>
            </w:r>
          </w:p>
        </w:tc>
        <w:tc>
          <w:tcPr>
            <w:tcW w:w="866" w:type="dxa"/>
            <w:shd w:val="clear" w:color="auto" w:fill="F9FCF9"/>
          </w:tcPr>
          <w:p>
            <w:pPr>
              <w:pStyle w:val="TableParagraph"/>
              <w:spacing w:line="167" w:lineRule="exact" w:before="8"/>
              <w:ind w:left="39" w:right="26"/>
              <w:rPr>
                <w:sz w:val="16"/>
              </w:rPr>
            </w:pPr>
            <w:r>
              <w:rPr>
                <w:sz w:val="16"/>
              </w:rPr>
              <w:t>13</w:t>
            </w:r>
          </w:p>
        </w:tc>
        <w:tc>
          <w:tcPr>
            <w:tcW w:w="866" w:type="dxa"/>
            <w:shd w:val="clear" w:color="auto" w:fill="F9FCF9"/>
          </w:tcPr>
          <w:p>
            <w:pPr>
              <w:pStyle w:val="TableParagraph"/>
              <w:spacing w:line="167" w:lineRule="exact" w:before="8"/>
              <w:ind w:left="40" w:right="26"/>
              <w:rPr>
                <w:sz w:val="16"/>
              </w:rPr>
            </w:pPr>
            <w:r>
              <w:rPr>
                <w:sz w:val="16"/>
              </w:rPr>
              <w:t>24</w:t>
            </w:r>
          </w:p>
        </w:tc>
        <w:tc>
          <w:tcPr>
            <w:tcW w:w="794" w:type="dxa"/>
            <w:shd w:val="clear" w:color="auto" w:fill="F9FCF9"/>
          </w:tcPr>
          <w:p>
            <w:pPr>
              <w:pStyle w:val="TableParagraph"/>
              <w:spacing w:line="167" w:lineRule="exact" w:before="8"/>
              <w:ind w:left="21" w:right="6"/>
              <w:rPr>
                <w:sz w:val="16"/>
              </w:rPr>
            </w:pPr>
            <w:r>
              <w:rPr>
                <w:sz w:val="16"/>
              </w:rPr>
              <w:t>20</w:t>
            </w:r>
          </w:p>
        </w:tc>
        <w:tc>
          <w:tcPr>
            <w:tcW w:w="786" w:type="dxa"/>
            <w:shd w:val="clear" w:color="auto" w:fill="F9FCF9"/>
          </w:tcPr>
          <w:p>
            <w:pPr>
              <w:pStyle w:val="TableParagraph"/>
              <w:spacing w:line="167" w:lineRule="exact" w:before="8"/>
              <w:ind w:left="18" w:right="2"/>
              <w:rPr>
                <w:sz w:val="16"/>
              </w:rPr>
            </w:pPr>
            <w:r>
              <w:rPr>
                <w:sz w:val="16"/>
              </w:rPr>
              <w:t>25</w:t>
            </w:r>
          </w:p>
        </w:tc>
        <w:tc>
          <w:tcPr>
            <w:tcW w:w="503" w:type="dxa"/>
            <w:shd w:val="clear" w:color="auto" w:fill="F9FCF9"/>
          </w:tcPr>
          <w:p>
            <w:pPr>
              <w:pStyle w:val="TableParagraph"/>
              <w:spacing w:line="167" w:lineRule="exact" w:before="8"/>
              <w:ind w:left="75" w:right="58"/>
              <w:rPr>
                <w:b/>
                <w:sz w:val="16"/>
              </w:rPr>
            </w:pPr>
            <w:r>
              <w:rPr>
                <w:b/>
                <w:sz w:val="16"/>
              </w:rPr>
              <w:t>13</w:t>
            </w:r>
          </w:p>
        </w:tc>
        <w:tc>
          <w:tcPr>
            <w:tcW w:w="1070" w:type="dxa"/>
            <w:shd w:val="clear" w:color="auto" w:fill="F9FCF9"/>
          </w:tcPr>
          <w:p>
            <w:pPr>
              <w:pStyle w:val="TableParagraph"/>
              <w:spacing w:line="167" w:lineRule="exact" w:before="8"/>
              <w:ind w:left="359" w:right="340"/>
              <w:rPr>
                <w:b/>
                <w:sz w:val="16"/>
              </w:rPr>
            </w:pPr>
            <w:r>
              <w:rPr>
                <w:b/>
                <w:sz w:val="16"/>
              </w:rPr>
              <w:t>37</w:t>
            </w:r>
          </w:p>
        </w:tc>
      </w:tr>
      <w:tr>
        <w:trPr>
          <w:trHeight w:val="387" w:hRule="atLeast"/>
        </w:trPr>
        <w:tc>
          <w:tcPr>
            <w:tcW w:w="2783" w:type="dxa"/>
            <w:shd w:val="clear" w:color="auto" w:fill="F9FCF9"/>
          </w:tcPr>
          <w:p>
            <w:pPr>
              <w:pStyle w:val="TableParagraph"/>
              <w:spacing w:line="190" w:lineRule="atLeast" w:before="2"/>
              <w:ind w:left="20" w:right="836"/>
              <w:jc w:val="left"/>
              <w:rPr>
                <w:sz w:val="16"/>
              </w:rPr>
            </w:pPr>
            <w:r>
              <w:rPr>
                <w:sz w:val="16"/>
              </w:rPr>
              <w:t>Capture cost confidence level (see Table 3.6)</w:t>
            </w:r>
          </w:p>
        </w:tc>
        <w:tc>
          <w:tcPr>
            <w:tcW w:w="9206" w:type="dxa"/>
            <w:gridSpan w:val="11"/>
            <w:shd w:val="clear" w:color="auto" w:fill="F9FCF9"/>
          </w:tcPr>
          <w:p>
            <w:pPr>
              <w:pStyle w:val="TableParagraph"/>
              <w:spacing w:before="8"/>
              <w:ind w:left="4285" w:right="4274"/>
              <w:rPr>
                <w:sz w:val="16"/>
              </w:rPr>
            </w:pPr>
            <w:r>
              <w:rPr>
                <w:sz w:val="16"/>
              </w:rPr>
              <w:t>moderate</w:t>
            </w:r>
          </w:p>
        </w:tc>
        <w:tc>
          <w:tcPr>
            <w:tcW w:w="503" w:type="dxa"/>
            <w:shd w:val="clear" w:color="auto" w:fill="F9FCF9"/>
          </w:tcPr>
          <w:p>
            <w:pPr>
              <w:pStyle w:val="TableParagraph"/>
              <w:jc w:val="left"/>
              <w:rPr>
                <w:sz w:val="16"/>
              </w:rPr>
            </w:pPr>
          </w:p>
        </w:tc>
        <w:tc>
          <w:tcPr>
            <w:tcW w:w="1070" w:type="dxa"/>
            <w:shd w:val="clear" w:color="auto" w:fill="F9FCF9"/>
          </w:tcPr>
          <w:p>
            <w:pPr>
              <w:pStyle w:val="TableParagraph"/>
              <w:jc w:val="left"/>
              <w:rPr>
                <w:sz w:val="16"/>
              </w:rPr>
            </w:pPr>
          </w:p>
        </w:tc>
      </w:tr>
    </w:tbl>
    <w:p>
      <w:pPr>
        <w:spacing w:line="228" w:lineRule="auto" w:before="48"/>
        <w:ind w:left="533" w:right="1120" w:firstLine="0"/>
        <w:jc w:val="left"/>
        <w:rPr>
          <w:sz w:val="16"/>
        </w:rPr>
      </w:pPr>
      <w:bookmarkStart w:name="_bookmark46" w:id="94"/>
      <w:bookmarkEnd w:id="94"/>
      <w:r>
        <w:rPr/>
      </w:r>
      <w:bookmarkStart w:name="_bookmark45" w:id="95"/>
      <w:bookmarkEnd w:id="95"/>
      <w:r>
        <w:rPr/>
      </w:r>
      <w:r>
        <w:rPr>
          <w:sz w:val="16"/>
        </w:rPr>
        <w:t>Notes: All costs in this table are for capture only and do not include the costs of CO</w:t>
      </w:r>
      <w:r>
        <w:rPr>
          <w:position w:val="-4"/>
          <w:sz w:val="9"/>
        </w:rPr>
        <w:t>2 </w:t>
      </w:r>
      <w:r>
        <w:rPr>
          <w:sz w:val="16"/>
        </w:rPr>
        <w:t>transport and storage; see Chapter 8 for total CCS costs. * Reported HHV values converted to LHV assuming LHV/HHV = 0.96 for coal. ** Reported capital costs increased by 8% to include interest during construction. **Reported capital costs increased by 15% to estimate interest during construction and other owners’ costs.</w:t>
      </w:r>
    </w:p>
    <w:p>
      <w:pPr>
        <w:spacing w:after="0" w:line="228" w:lineRule="auto"/>
        <w:jc w:val="left"/>
        <w:rPr>
          <w:sz w:val="16"/>
        </w:rPr>
        <w:sectPr>
          <w:pgSz w:w="15840" w:h="12240" w:orient="landscape"/>
          <w:pgMar w:header="537" w:footer="0" w:top="720" w:bottom="280" w:left="600" w:right="1020"/>
        </w:sectPr>
      </w:pPr>
    </w:p>
    <w:p>
      <w:pPr>
        <w:spacing w:before="57" w:after="41"/>
        <w:ind w:left="513" w:right="0" w:firstLine="0"/>
        <w:jc w:val="both"/>
        <w:rPr>
          <w:i/>
          <w:sz w:val="18"/>
        </w:rPr>
      </w:pPr>
      <w:r>
        <w:rPr>
          <w:b/>
          <w:spacing w:val="-17"/>
          <w:w w:val="200"/>
          <w:sz w:val="18"/>
        </w:rPr>
        <w:t>t</w:t>
      </w:r>
      <w:r>
        <w:rPr>
          <w:b/>
          <w:sz w:val="18"/>
        </w:rPr>
        <w:t>able</w:t>
      </w:r>
      <w:r>
        <w:rPr>
          <w:b/>
          <w:spacing w:val="4"/>
          <w:sz w:val="18"/>
        </w:rPr>
        <w:t> </w:t>
      </w:r>
      <w:r>
        <w:rPr>
          <w:b/>
          <w:sz w:val="18"/>
        </w:rPr>
        <w:t>3.10.</w:t>
      </w:r>
      <w:r>
        <w:rPr>
          <w:b/>
          <w:spacing w:val="4"/>
          <w:sz w:val="18"/>
        </w:rPr>
        <w:t> </w:t>
      </w:r>
      <w:r>
        <w:rPr>
          <w:i/>
          <w:sz w:val="18"/>
        </w:rPr>
        <w:t>Continued.</w:t>
      </w:r>
    </w:p>
    <w:tbl>
      <w:tblPr>
        <w:tblW w:w="0" w:type="auto"/>
        <w:jc w:val="left"/>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85"/>
        <w:gridCol w:w="1594"/>
        <w:gridCol w:w="1564"/>
        <w:gridCol w:w="1564"/>
        <w:gridCol w:w="1621"/>
      </w:tblGrid>
      <w:tr>
        <w:trPr>
          <w:trHeight w:val="195" w:hRule="atLeast"/>
        </w:trPr>
        <w:tc>
          <w:tcPr>
            <w:tcW w:w="3985" w:type="dxa"/>
            <w:vMerge w:val="restart"/>
            <w:tcBorders>
              <w:right w:val="double" w:sz="1" w:space="0" w:color="000000"/>
            </w:tcBorders>
            <w:shd w:val="clear" w:color="auto" w:fill="E0EEE0"/>
          </w:tcPr>
          <w:p>
            <w:pPr>
              <w:pStyle w:val="TableParagraph"/>
              <w:spacing w:before="6"/>
              <w:jc w:val="left"/>
              <w:rPr>
                <w:i/>
                <w:sz w:val="18"/>
              </w:rPr>
            </w:pPr>
          </w:p>
          <w:p>
            <w:pPr>
              <w:pStyle w:val="TableParagraph"/>
              <w:ind w:left="20"/>
              <w:jc w:val="left"/>
              <w:rPr>
                <w:b/>
                <w:sz w:val="16"/>
              </w:rPr>
            </w:pPr>
            <w:r>
              <w:rPr>
                <w:b/>
                <w:sz w:val="16"/>
              </w:rPr>
              <w:t>Study Assumptions and Results</w:t>
            </w:r>
          </w:p>
        </w:tc>
        <w:tc>
          <w:tcPr>
            <w:tcW w:w="1594" w:type="dxa"/>
            <w:tcBorders>
              <w:left w:val="double" w:sz="1" w:space="0" w:color="000000"/>
            </w:tcBorders>
            <w:shd w:val="clear" w:color="auto" w:fill="E0EEE0"/>
          </w:tcPr>
          <w:p>
            <w:pPr>
              <w:pStyle w:val="TableParagraph"/>
              <w:spacing w:line="167" w:lineRule="exact" w:before="8"/>
              <w:ind w:left="242" w:right="215"/>
              <w:rPr>
                <w:b/>
                <w:sz w:val="16"/>
              </w:rPr>
            </w:pPr>
            <w:r>
              <w:rPr>
                <w:b/>
                <w:sz w:val="16"/>
              </w:rPr>
              <w:t>Stobbs &amp; Clark</w:t>
            </w:r>
          </w:p>
        </w:tc>
        <w:tc>
          <w:tcPr>
            <w:tcW w:w="1564" w:type="dxa"/>
            <w:shd w:val="clear" w:color="auto" w:fill="E0EEE0"/>
          </w:tcPr>
          <w:p>
            <w:pPr>
              <w:pStyle w:val="TableParagraph"/>
              <w:spacing w:line="167" w:lineRule="exact" w:before="8"/>
              <w:ind w:left="222" w:right="216"/>
              <w:rPr>
                <w:b/>
                <w:sz w:val="16"/>
              </w:rPr>
            </w:pPr>
            <w:r>
              <w:rPr>
                <w:b/>
                <w:sz w:val="16"/>
              </w:rPr>
              <w:t>Stobbs &amp; Clark</w:t>
            </w:r>
          </w:p>
        </w:tc>
        <w:tc>
          <w:tcPr>
            <w:tcW w:w="1564" w:type="dxa"/>
            <w:shd w:val="clear" w:color="auto" w:fill="E0EEE0"/>
          </w:tcPr>
          <w:p>
            <w:pPr>
              <w:pStyle w:val="TableParagraph"/>
              <w:spacing w:line="167" w:lineRule="exact" w:before="8"/>
              <w:ind w:left="222" w:right="216"/>
              <w:rPr>
                <w:b/>
                <w:sz w:val="16"/>
              </w:rPr>
            </w:pPr>
            <w:r>
              <w:rPr>
                <w:b/>
                <w:sz w:val="16"/>
              </w:rPr>
              <w:t>Stobbs &amp; Clark</w:t>
            </w:r>
          </w:p>
        </w:tc>
        <w:tc>
          <w:tcPr>
            <w:tcW w:w="1621" w:type="dxa"/>
            <w:shd w:val="clear" w:color="auto" w:fill="E0EEE0"/>
          </w:tcPr>
          <w:p>
            <w:pPr>
              <w:pStyle w:val="TableParagraph"/>
              <w:spacing w:line="167" w:lineRule="exact" w:before="8"/>
              <w:ind w:left="462"/>
              <w:jc w:val="left"/>
              <w:rPr>
                <w:b/>
                <w:sz w:val="16"/>
              </w:rPr>
            </w:pPr>
            <w:r>
              <w:rPr>
                <w:b/>
                <w:w w:val="110"/>
                <w:sz w:val="16"/>
              </w:rPr>
              <w:t>iEA GHG</w:t>
            </w:r>
          </w:p>
        </w:tc>
      </w:tr>
      <w:tr>
        <w:trPr>
          <w:trHeight w:val="195" w:hRule="atLeast"/>
        </w:trPr>
        <w:tc>
          <w:tcPr>
            <w:tcW w:w="3985" w:type="dxa"/>
            <w:vMerge/>
            <w:tcBorders>
              <w:top w:val="nil"/>
              <w:right w:val="double" w:sz="1" w:space="0" w:color="000000"/>
            </w:tcBorders>
            <w:shd w:val="clear" w:color="auto" w:fill="E0EEE0"/>
          </w:tcPr>
          <w:p>
            <w:pPr>
              <w:rPr>
                <w:sz w:val="2"/>
                <w:szCs w:val="2"/>
              </w:rPr>
            </w:pPr>
          </w:p>
        </w:tc>
        <w:tc>
          <w:tcPr>
            <w:tcW w:w="1594" w:type="dxa"/>
            <w:tcBorders>
              <w:left w:val="double" w:sz="1" w:space="0" w:color="000000"/>
            </w:tcBorders>
            <w:shd w:val="clear" w:color="auto" w:fill="E0EEE0"/>
          </w:tcPr>
          <w:p>
            <w:pPr>
              <w:pStyle w:val="TableParagraph"/>
              <w:spacing w:line="167" w:lineRule="exact" w:before="8"/>
              <w:ind w:left="242" w:right="215"/>
              <w:rPr>
                <w:b/>
                <w:sz w:val="16"/>
              </w:rPr>
            </w:pPr>
            <w:r>
              <w:rPr>
                <w:b/>
                <w:sz w:val="16"/>
              </w:rPr>
              <w:t>2005</w:t>
            </w:r>
          </w:p>
        </w:tc>
        <w:tc>
          <w:tcPr>
            <w:tcW w:w="1564" w:type="dxa"/>
            <w:shd w:val="clear" w:color="auto" w:fill="E0EEE0"/>
          </w:tcPr>
          <w:p>
            <w:pPr>
              <w:pStyle w:val="TableParagraph"/>
              <w:spacing w:line="167" w:lineRule="exact" w:before="8"/>
              <w:ind w:left="222" w:right="215"/>
              <w:rPr>
                <w:b/>
                <w:sz w:val="16"/>
              </w:rPr>
            </w:pPr>
            <w:r>
              <w:rPr>
                <w:b/>
                <w:sz w:val="16"/>
              </w:rPr>
              <w:t>2005</w:t>
            </w:r>
          </w:p>
        </w:tc>
        <w:tc>
          <w:tcPr>
            <w:tcW w:w="1564" w:type="dxa"/>
            <w:shd w:val="clear" w:color="auto" w:fill="E0EEE0"/>
          </w:tcPr>
          <w:p>
            <w:pPr>
              <w:pStyle w:val="TableParagraph"/>
              <w:spacing w:line="167" w:lineRule="exact" w:before="8"/>
              <w:ind w:left="222" w:right="215"/>
              <w:rPr>
                <w:b/>
                <w:sz w:val="16"/>
              </w:rPr>
            </w:pPr>
            <w:r>
              <w:rPr>
                <w:b/>
                <w:sz w:val="16"/>
              </w:rPr>
              <w:t>2005</w:t>
            </w:r>
          </w:p>
        </w:tc>
        <w:tc>
          <w:tcPr>
            <w:tcW w:w="1621" w:type="dxa"/>
            <w:shd w:val="clear" w:color="auto" w:fill="E0EEE0"/>
          </w:tcPr>
          <w:p>
            <w:pPr>
              <w:pStyle w:val="TableParagraph"/>
              <w:spacing w:line="167" w:lineRule="exact" w:before="8"/>
              <w:ind w:left="549" w:right="542"/>
              <w:rPr>
                <w:b/>
                <w:sz w:val="16"/>
              </w:rPr>
            </w:pPr>
            <w:r>
              <w:rPr>
                <w:b/>
                <w:sz w:val="16"/>
              </w:rPr>
              <w:t>2000b</w:t>
            </w:r>
          </w:p>
        </w:tc>
      </w:tr>
      <w:tr>
        <w:trPr>
          <w:trHeight w:val="195" w:hRule="atLeast"/>
        </w:trPr>
        <w:tc>
          <w:tcPr>
            <w:tcW w:w="3985" w:type="dxa"/>
            <w:vMerge/>
            <w:tcBorders>
              <w:top w:val="nil"/>
              <w:right w:val="double" w:sz="1" w:space="0" w:color="000000"/>
            </w:tcBorders>
            <w:shd w:val="clear" w:color="auto" w:fill="E0EEE0"/>
          </w:tcPr>
          <w:p>
            <w:pPr>
              <w:rPr>
                <w:sz w:val="2"/>
                <w:szCs w:val="2"/>
              </w:rPr>
            </w:pPr>
          </w:p>
        </w:tc>
        <w:tc>
          <w:tcPr>
            <w:tcW w:w="6343" w:type="dxa"/>
            <w:gridSpan w:val="4"/>
            <w:tcBorders>
              <w:left w:val="double" w:sz="1" w:space="0" w:color="000000"/>
            </w:tcBorders>
            <w:shd w:val="clear" w:color="auto" w:fill="E0EEE0"/>
          </w:tcPr>
          <w:p>
            <w:pPr>
              <w:pStyle w:val="TableParagraph"/>
              <w:spacing w:line="167" w:lineRule="exact" w:before="8"/>
              <w:ind w:left="1742"/>
              <w:jc w:val="left"/>
              <w:rPr>
                <w:b/>
                <w:sz w:val="16"/>
              </w:rPr>
            </w:pPr>
            <w:r>
              <w:rPr>
                <w:b/>
                <w:sz w:val="16"/>
              </w:rPr>
              <w:t>PLAN</w:t>
            </w:r>
            <w:r>
              <w:rPr>
                <w:b/>
                <w:w w:val="200"/>
                <w:sz w:val="16"/>
              </w:rPr>
              <w:t>t</w:t>
            </w:r>
            <w:r>
              <w:rPr>
                <w:b/>
                <w:sz w:val="16"/>
              </w:rPr>
              <w:t>S</w:t>
            </w:r>
            <w:r>
              <w:rPr>
                <w:b/>
                <w:spacing w:val="1"/>
                <w:sz w:val="16"/>
              </w:rPr>
              <w:t> </w:t>
            </w:r>
            <w:r>
              <w:rPr>
                <w:b/>
                <w:sz w:val="16"/>
              </w:rPr>
              <w:t>W</w:t>
            </w:r>
            <w:r>
              <w:rPr>
                <w:b/>
                <w:spacing w:val="-1"/>
                <w:w w:val="172"/>
                <w:sz w:val="16"/>
              </w:rPr>
              <w:t>it</w:t>
            </w:r>
            <w:r>
              <w:rPr>
                <w:b/>
                <w:sz w:val="16"/>
              </w:rPr>
              <w:t>H</w:t>
            </w:r>
            <w:r>
              <w:rPr>
                <w:b/>
                <w:spacing w:val="4"/>
                <w:sz w:val="16"/>
              </w:rPr>
              <w:t> </w:t>
            </w:r>
            <w:r>
              <w:rPr>
                <w:b/>
                <w:sz w:val="16"/>
              </w:rPr>
              <w:t>O</w:t>
            </w:r>
            <w:r>
              <w:rPr>
                <w:b/>
                <w:w w:val="200"/>
                <w:sz w:val="16"/>
              </w:rPr>
              <w:t>t</w:t>
            </w:r>
            <w:r>
              <w:rPr>
                <w:b/>
                <w:sz w:val="16"/>
              </w:rPr>
              <w:t>HER</w:t>
            </w:r>
            <w:r>
              <w:rPr>
                <w:b/>
                <w:spacing w:val="4"/>
                <w:sz w:val="16"/>
              </w:rPr>
              <w:t> </w:t>
            </w:r>
            <w:r>
              <w:rPr>
                <w:b/>
                <w:sz w:val="16"/>
              </w:rPr>
              <w:t>FEEDS</w:t>
            </w:r>
            <w:r>
              <w:rPr>
                <w:b/>
                <w:spacing w:val="-4"/>
                <w:w w:val="200"/>
                <w:sz w:val="16"/>
              </w:rPr>
              <w:t>t</w:t>
            </w:r>
            <w:r>
              <w:rPr>
                <w:b/>
                <w:sz w:val="16"/>
              </w:rPr>
              <w:t>OCKS</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196"/>
              <w:jc w:val="left"/>
              <w:rPr>
                <w:b/>
                <w:i/>
                <w:sz w:val="16"/>
              </w:rPr>
            </w:pPr>
            <w:r>
              <w:rPr>
                <w:b/>
                <w:i/>
                <w:sz w:val="16"/>
              </w:rPr>
              <w:t>Reference Plant without capture)</w:t>
            </w:r>
          </w:p>
        </w:tc>
        <w:tc>
          <w:tcPr>
            <w:tcW w:w="1594" w:type="dxa"/>
            <w:tcBorders>
              <w:left w:val="double" w:sz="1" w:space="0" w:color="000000"/>
            </w:tcBorders>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621" w:type="dxa"/>
            <w:shd w:val="clear" w:color="auto" w:fill="F9FCF9"/>
          </w:tcPr>
          <w:p>
            <w:pPr>
              <w:pStyle w:val="TableParagraph"/>
              <w:jc w:val="left"/>
              <w:rPr>
                <w:sz w:val="12"/>
              </w:rPr>
            </w:pPr>
          </w:p>
        </w:tc>
      </w:tr>
      <w:tr>
        <w:trPr>
          <w:trHeight w:val="387" w:hRule="atLeast"/>
        </w:trPr>
        <w:tc>
          <w:tcPr>
            <w:tcW w:w="3985" w:type="dxa"/>
            <w:tcBorders>
              <w:right w:val="double" w:sz="1" w:space="0" w:color="000000"/>
            </w:tcBorders>
            <w:shd w:val="clear" w:color="auto" w:fill="F9FCF9"/>
          </w:tcPr>
          <w:p>
            <w:pPr>
              <w:pStyle w:val="TableParagraph"/>
              <w:spacing w:before="8"/>
              <w:ind w:left="20"/>
              <w:jc w:val="left"/>
              <w:rPr>
                <w:sz w:val="16"/>
              </w:rPr>
            </w:pPr>
            <w:r>
              <w:rPr>
                <w:sz w:val="16"/>
              </w:rPr>
              <w:t>Gasifier name or type</w:t>
            </w:r>
          </w:p>
        </w:tc>
        <w:tc>
          <w:tcPr>
            <w:tcW w:w="1594" w:type="dxa"/>
            <w:tcBorders>
              <w:left w:val="double" w:sz="1" w:space="0" w:color="000000"/>
            </w:tcBorders>
            <w:shd w:val="clear" w:color="auto" w:fill="F9FCF9"/>
          </w:tcPr>
          <w:p>
            <w:pPr>
              <w:pStyle w:val="TableParagraph"/>
              <w:jc w:val="left"/>
              <w:rPr>
                <w:sz w:val="18"/>
              </w:rPr>
            </w:pPr>
          </w:p>
        </w:tc>
        <w:tc>
          <w:tcPr>
            <w:tcW w:w="1564" w:type="dxa"/>
            <w:shd w:val="clear" w:color="auto" w:fill="F9FCF9"/>
          </w:tcPr>
          <w:p>
            <w:pPr>
              <w:pStyle w:val="TableParagraph"/>
              <w:spacing w:line="192" w:lineRule="exact" w:before="4"/>
              <w:ind w:left="477" w:right="123" w:hanging="200"/>
              <w:jc w:val="left"/>
              <w:rPr>
                <w:sz w:val="16"/>
              </w:rPr>
            </w:pPr>
            <w:r>
              <w:rPr>
                <w:sz w:val="16"/>
              </w:rPr>
              <w:t>Texaco quench, O</w:t>
            </w:r>
            <w:r>
              <w:rPr>
                <w:position w:val="-4"/>
                <w:sz w:val="9"/>
              </w:rPr>
              <w:t>2 </w:t>
            </w:r>
            <w:r>
              <w:rPr>
                <w:sz w:val="16"/>
              </w:rPr>
              <w:t>blown</w:t>
            </w:r>
          </w:p>
        </w:tc>
        <w:tc>
          <w:tcPr>
            <w:tcW w:w="1564" w:type="dxa"/>
            <w:shd w:val="clear" w:color="auto" w:fill="F9FCF9"/>
          </w:tcPr>
          <w:p>
            <w:pPr>
              <w:pStyle w:val="TableParagraph"/>
              <w:spacing w:line="192" w:lineRule="exact" w:before="4"/>
              <w:ind w:left="477" w:right="449" w:firstLine="118"/>
              <w:jc w:val="left"/>
              <w:rPr>
                <w:sz w:val="16"/>
              </w:rPr>
            </w:pPr>
            <w:r>
              <w:rPr>
                <w:sz w:val="16"/>
              </w:rPr>
              <w:t>Shell, O</w:t>
            </w:r>
            <w:r>
              <w:rPr>
                <w:position w:val="-4"/>
                <w:sz w:val="9"/>
              </w:rPr>
              <w:t>2 </w:t>
            </w:r>
            <w:r>
              <w:rPr>
                <w:sz w:val="16"/>
              </w:rPr>
              <w:t>blown</w:t>
            </w:r>
          </w:p>
        </w:tc>
        <w:tc>
          <w:tcPr>
            <w:tcW w:w="1621" w:type="dxa"/>
            <w:shd w:val="clear" w:color="auto" w:fill="F9FCF9"/>
          </w:tcPr>
          <w:p>
            <w:pPr>
              <w:pStyle w:val="TableParagraph"/>
              <w:spacing w:line="192" w:lineRule="exact" w:before="4"/>
              <w:ind w:left="280" w:right="257" w:firstLine="227"/>
              <w:jc w:val="left"/>
              <w:rPr>
                <w:sz w:val="16"/>
              </w:rPr>
            </w:pPr>
            <w:r>
              <w:rPr>
                <w:sz w:val="16"/>
              </w:rPr>
              <w:t>O</w:t>
            </w:r>
            <w:r>
              <w:rPr>
                <w:position w:val="-4"/>
                <w:sz w:val="9"/>
              </w:rPr>
              <w:t>2 </w:t>
            </w:r>
            <w:r>
              <w:rPr>
                <w:sz w:val="16"/>
              </w:rPr>
              <w:t>blown, partial oxidation</w:t>
            </w:r>
          </w:p>
        </w:tc>
      </w:tr>
      <w:tr>
        <w:trPr>
          <w:trHeight w:val="194" w:hRule="atLeast"/>
        </w:trPr>
        <w:tc>
          <w:tcPr>
            <w:tcW w:w="3985" w:type="dxa"/>
            <w:tcBorders>
              <w:right w:val="double" w:sz="1" w:space="0" w:color="000000"/>
            </w:tcBorders>
            <w:shd w:val="clear" w:color="auto" w:fill="F9FCF9"/>
          </w:tcPr>
          <w:p>
            <w:pPr>
              <w:pStyle w:val="TableParagraph"/>
              <w:spacing w:line="167" w:lineRule="exact" w:before="7"/>
              <w:ind w:left="20"/>
              <w:jc w:val="left"/>
              <w:rPr>
                <w:sz w:val="16"/>
              </w:rPr>
            </w:pPr>
            <w:r>
              <w:rPr>
                <w:sz w:val="16"/>
              </w:rPr>
              <w:t>Fuel type (bit, subbit, lig; other) and %S</w:t>
            </w:r>
          </w:p>
        </w:tc>
        <w:tc>
          <w:tcPr>
            <w:tcW w:w="1594" w:type="dxa"/>
            <w:tcBorders>
              <w:left w:val="double" w:sz="1" w:space="0" w:color="000000"/>
            </w:tcBorders>
            <w:shd w:val="clear" w:color="auto" w:fill="F9FCF9"/>
          </w:tcPr>
          <w:p>
            <w:pPr>
              <w:pStyle w:val="TableParagraph"/>
              <w:spacing w:line="167" w:lineRule="exact" w:before="7"/>
              <w:ind w:left="242" w:right="215"/>
              <w:rPr>
                <w:sz w:val="16"/>
              </w:rPr>
            </w:pPr>
            <w:r>
              <w:rPr>
                <w:sz w:val="16"/>
              </w:rPr>
              <w:t>bit</w:t>
            </w:r>
          </w:p>
        </w:tc>
        <w:tc>
          <w:tcPr>
            <w:tcW w:w="1564" w:type="dxa"/>
            <w:shd w:val="clear" w:color="auto" w:fill="F9FCF9"/>
          </w:tcPr>
          <w:p>
            <w:pPr>
              <w:pStyle w:val="TableParagraph"/>
              <w:spacing w:line="167" w:lineRule="exact" w:before="7"/>
              <w:ind w:left="222" w:right="215"/>
              <w:rPr>
                <w:sz w:val="16"/>
              </w:rPr>
            </w:pPr>
            <w:r>
              <w:rPr>
                <w:sz w:val="16"/>
              </w:rPr>
              <w:t>Sub-bit</w:t>
            </w:r>
          </w:p>
        </w:tc>
        <w:tc>
          <w:tcPr>
            <w:tcW w:w="1564" w:type="dxa"/>
            <w:shd w:val="clear" w:color="auto" w:fill="F9FCF9"/>
          </w:tcPr>
          <w:p>
            <w:pPr>
              <w:pStyle w:val="TableParagraph"/>
              <w:spacing w:line="167" w:lineRule="exact" w:before="7"/>
              <w:ind w:left="222" w:right="215"/>
              <w:rPr>
                <w:sz w:val="16"/>
              </w:rPr>
            </w:pPr>
            <w:r>
              <w:rPr>
                <w:sz w:val="16"/>
              </w:rPr>
              <w:t>Lignite</w:t>
            </w:r>
          </w:p>
        </w:tc>
        <w:tc>
          <w:tcPr>
            <w:tcW w:w="1621" w:type="dxa"/>
            <w:shd w:val="clear" w:color="auto" w:fill="F9FCF9"/>
          </w:tcPr>
          <w:p>
            <w:pPr>
              <w:pStyle w:val="TableParagraph"/>
              <w:spacing w:line="167" w:lineRule="exact" w:before="7"/>
              <w:ind w:left="440"/>
              <w:jc w:val="left"/>
              <w:rPr>
                <w:sz w:val="16"/>
              </w:rPr>
            </w:pPr>
            <w:r>
              <w:rPr>
                <w:sz w:val="16"/>
              </w:rPr>
              <w:t>Natural gas</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Reference plant size (MW)</w:t>
            </w:r>
          </w:p>
        </w:tc>
        <w:tc>
          <w:tcPr>
            <w:tcW w:w="4722" w:type="dxa"/>
            <w:gridSpan w:val="3"/>
            <w:tcBorders>
              <w:left w:val="double" w:sz="1" w:space="0" w:color="000000"/>
            </w:tcBorders>
            <w:shd w:val="clear" w:color="auto" w:fill="F9FCF9"/>
          </w:tcPr>
          <w:p>
            <w:pPr>
              <w:pStyle w:val="TableParagraph"/>
              <w:spacing w:line="167" w:lineRule="exact" w:before="8"/>
              <w:ind w:left="1436"/>
              <w:jc w:val="left"/>
              <w:rPr>
                <w:sz w:val="16"/>
              </w:rPr>
            </w:pPr>
            <w:r>
              <w:rPr>
                <w:sz w:val="16"/>
              </w:rPr>
              <w:t>[No IGCC Reference Plants]</w:t>
            </w:r>
          </w:p>
        </w:tc>
        <w:tc>
          <w:tcPr>
            <w:tcW w:w="1621" w:type="dxa"/>
            <w:shd w:val="clear" w:color="auto" w:fill="F9FCF9"/>
          </w:tcPr>
          <w:p>
            <w:pPr>
              <w:pStyle w:val="TableParagraph"/>
              <w:spacing w:line="167" w:lineRule="exact" w:before="8"/>
              <w:ind w:left="549" w:right="542"/>
              <w:rPr>
                <w:sz w:val="16"/>
              </w:rPr>
            </w:pPr>
            <w:r>
              <w:rPr>
                <w:sz w:val="16"/>
              </w:rPr>
              <w:t>790</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Plant capacity factor (%)</w:t>
            </w:r>
          </w:p>
        </w:tc>
        <w:tc>
          <w:tcPr>
            <w:tcW w:w="1594" w:type="dxa"/>
            <w:tcBorders>
              <w:left w:val="double" w:sz="1" w:space="0" w:color="000000"/>
            </w:tcBorders>
            <w:shd w:val="clear" w:color="auto" w:fill="F9FCF9"/>
          </w:tcPr>
          <w:p>
            <w:pPr>
              <w:pStyle w:val="TableParagraph"/>
              <w:spacing w:line="167" w:lineRule="exact" w:before="8"/>
              <w:ind w:left="242" w:right="215"/>
              <w:rPr>
                <w:sz w:val="16"/>
              </w:rPr>
            </w:pPr>
            <w:r>
              <w:rPr>
                <w:sz w:val="16"/>
              </w:rPr>
              <w:t>90</w:t>
            </w:r>
          </w:p>
        </w:tc>
        <w:tc>
          <w:tcPr>
            <w:tcW w:w="1564" w:type="dxa"/>
            <w:shd w:val="clear" w:color="auto" w:fill="F9FCF9"/>
          </w:tcPr>
          <w:p>
            <w:pPr>
              <w:pStyle w:val="TableParagraph"/>
              <w:spacing w:line="167" w:lineRule="exact" w:before="8"/>
              <w:ind w:left="222" w:right="215"/>
              <w:rPr>
                <w:sz w:val="16"/>
              </w:rPr>
            </w:pPr>
            <w:r>
              <w:rPr>
                <w:sz w:val="16"/>
              </w:rPr>
              <w:t>90</w:t>
            </w:r>
          </w:p>
        </w:tc>
        <w:tc>
          <w:tcPr>
            <w:tcW w:w="1564" w:type="dxa"/>
            <w:shd w:val="clear" w:color="auto" w:fill="F9FCF9"/>
          </w:tcPr>
          <w:p>
            <w:pPr>
              <w:pStyle w:val="TableParagraph"/>
              <w:spacing w:line="167" w:lineRule="exact" w:before="8"/>
              <w:ind w:left="222" w:right="215"/>
              <w:rPr>
                <w:sz w:val="16"/>
              </w:rPr>
            </w:pPr>
            <w:r>
              <w:rPr>
                <w:sz w:val="16"/>
              </w:rPr>
              <w:t>90</w:t>
            </w:r>
          </w:p>
        </w:tc>
        <w:tc>
          <w:tcPr>
            <w:tcW w:w="1621" w:type="dxa"/>
            <w:shd w:val="clear" w:color="auto" w:fill="F9FCF9"/>
          </w:tcPr>
          <w:p>
            <w:pPr>
              <w:pStyle w:val="TableParagraph"/>
              <w:spacing w:line="167" w:lineRule="exact" w:before="8"/>
              <w:ind w:left="549" w:right="542"/>
              <w:rPr>
                <w:sz w:val="16"/>
              </w:rPr>
            </w:pPr>
            <w:r>
              <w:rPr>
                <w:sz w:val="16"/>
              </w:rPr>
              <w:t>90</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Net plant efficiency, LHV (%)</w:t>
            </w:r>
          </w:p>
        </w:tc>
        <w:tc>
          <w:tcPr>
            <w:tcW w:w="1594" w:type="dxa"/>
            <w:tcBorders>
              <w:left w:val="double" w:sz="1" w:space="0" w:color="000000"/>
            </w:tcBorders>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621" w:type="dxa"/>
            <w:shd w:val="clear" w:color="auto" w:fill="F9FCF9"/>
          </w:tcPr>
          <w:p>
            <w:pPr>
              <w:pStyle w:val="TableParagraph"/>
              <w:spacing w:line="167" w:lineRule="exact" w:before="8"/>
              <w:ind w:left="549" w:right="542"/>
              <w:rPr>
                <w:sz w:val="16"/>
              </w:rPr>
            </w:pPr>
            <w:r>
              <w:rPr>
                <w:sz w:val="16"/>
              </w:rPr>
              <w:t>56.2</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Fuel cost, LHV (US$ GJ</w:t>
            </w:r>
            <w:r>
              <w:rPr>
                <w:position w:val="5"/>
                <w:sz w:val="9"/>
              </w:rPr>
              <w:t>-1</w:t>
            </w:r>
            <w:r>
              <w:rPr>
                <w:sz w:val="16"/>
              </w:rPr>
              <w:t>)</w:t>
            </w:r>
          </w:p>
        </w:tc>
        <w:tc>
          <w:tcPr>
            <w:tcW w:w="1594" w:type="dxa"/>
            <w:tcBorders>
              <w:left w:val="double" w:sz="1" w:space="0" w:color="000000"/>
            </w:tcBorders>
            <w:shd w:val="clear" w:color="auto" w:fill="F9FCF9"/>
          </w:tcPr>
          <w:p>
            <w:pPr>
              <w:pStyle w:val="TableParagraph"/>
              <w:spacing w:line="167" w:lineRule="exact" w:before="8"/>
              <w:ind w:left="242" w:right="215"/>
              <w:rPr>
                <w:sz w:val="16"/>
              </w:rPr>
            </w:pPr>
            <w:r>
              <w:rPr>
                <w:sz w:val="16"/>
              </w:rPr>
              <w:t>1.90</w:t>
            </w:r>
          </w:p>
        </w:tc>
        <w:tc>
          <w:tcPr>
            <w:tcW w:w="1564" w:type="dxa"/>
            <w:shd w:val="clear" w:color="auto" w:fill="F9FCF9"/>
          </w:tcPr>
          <w:p>
            <w:pPr>
              <w:pStyle w:val="TableParagraph"/>
              <w:spacing w:line="167" w:lineRule="exact" w:before="8"/>
              <w:ind w:left="222" w:right="215"/>
              <w:rPr>
                <w:sz w:val="16"/>
              </w:rPr>
            </w:pPr>
            <w:r>
              <w:rPr>
                <w:sz w:val="16"/>
              </w:rPr>
              <w:t>0.48</w:t>
            </w:r>
          </w:p>
        </w:tc>
        <w:tc>
          <w:tcPr>
            <w:tcW w:w="1564" w:type="dxa"/>
            <w:shd w:val="clear" w:color="auto" w:fill="F9FCF9"/>
          </w:tcPr>
          <w:p>
            <w:pPr>
              <w:pStyle w:val="TableParagraph"/>
              <w:spacing w:line="167" w:lineRule="exact" w:before="8"/>
              <w:ind w:left="222" w:right="215"/>
              <w:rPr>
                <w:sz w:val="16"/>
              </w:rPr>
            </w:pPr>
            <w:r>
              <w:rPr>
                <w:sz w:val="16"/>
              </w:rPr>
              <w:t>0.88</w:t>
            </w:r>
          </w:p>
        </w:tc>
        <w:tc>
          <w:tcPr>
            <w:tcW w:w="1621" w:type="dxa"/>
            <w:shd w:val="clear" w:color="auto" w:fill="F9FCF9"/>
          </w:tcPr>
          <w:p>
            <w:pPr>
              <w:pStyle w:val="TableParagraph"/>
              <w:spacing w:line="167" w:lineRule="exact" w:before="8"/>
              <w:ind w:left="549" w:right="542"/>
              <w:rPr>
                <w:sz w:val="16"/>
              </w:rPr>
            </w:pPr>
            <w:r>
              <w:rPr>
                <w:sz w:val="16"/>
              </w:rPr>
              <w:t>2.00</w:t>
            </w:r>
          </w:p>
        </w:tc>
      </w:tr>
      <w:tr>
        <w:trPr>
          <w:trHeight w:val="195" w:hRule="atLeast"/>
        </w:trPr>
        <w:tc>
          <w:tcPr>
            <w:tcW w:w="3985" w:type="dxa"/>
            <w:tcBorders>
              <w:right w:val="double" w:sz="1" w:space="0" w:color="000000"/>
            </w:tcBorders>
            <w:shd w:val="clear" w:color="auto" w:fill="F9FCF9"/>
          </w:tcPr>
          <w:p>
            <w:pPr>
              <w:pStyle w:val="TableParagraph"/>
              <w:spacing w:line="45" w:lineRule="exact" w:before="20"/>
              <w:ind w:right="1128"/>
              <w:jc w:val="right"/>
              <w:rPr>
                <w:sz w:val="9"/>
              </w:rPr>
            </w:pPr>
            <w:r>
              <w:rPr>
                <w:sz w:val="9"/>
              </w:rPr>
              <w:t>-1</w:t>
            </w:r>
          </w:p>
          <w:p>
            <w:pPr>
              <w:pStyle w:val="TableParagraph"/>
              <w:spacing w:line="109" w:lineRule="exact"/>
              <w:ind w:left="20"/>
              <w:jc w:val="left"/>
              <w:rPr>
                <w:sz w:val="16"/>
              </w:rPr>
            </w:pPr>
            <w:r>
              <w:rPr>
                <w:sz w:val="16"/>
              </w:rPr>
              <w:t>Reference plant emission rate (tCO</w:t>
            </w:r>
            <w:r>
              <w:rPr>
                <w:position w:val="-4"/>
                <w:sz w:val="9"/>
              </w:rPr>
              <w:t>2  </w:t>
            </w:r>
            <w:r>
              <w:rPr>
                <w:sz w:val="16"/>
              </w:rPr>
              <w:t>MWh </w:t>
            </w:r>
            <w:r>
              <w:rPr>
                <w:spacing w:val="8"/>
                <w:sz w:val="16"/>
              </w:rPr>
              <w:t> </w:t>
            </w:r>
            <w:r>
              <w:rPr>
                <w:sz w:val="16"/>
              </w:rPr>
              <w:t>)</w:t>
            </w:r>
          </w:p>
        </w:tc>
        <w:tc>
          <w:tcPr>
            <w:tcW w:w="1594" w:type="dxa"/>
            <w:tcBorders>
              <w:left w:val="double" w:sz="1" w:space="0" w:color="000000"/>
            </w:tcBorders>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621" w:type="dxa"/>
            <w:shd w:val="clear" w:color="auto" w:fill="F9FCF9"/>
          </w:tcPr>
          <w:p>
            <w:pPr>
              <w:pStyle w:val="TableParagraph"/>
              <w:spacing w:line="167" w:lineRule="exact" w:before="8"/>
              <w:ind w:left="549" w:right="542"/>
              <w:rPr>
                <w:sz w:val="16"/>
              </w:rPr>
            </w:pPr>
            <w:r>
              <w:rPr>
                <w:sz w:val="16"/>
              </w:rPr>
              <w:t>0.370</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196"/>
              <w:jc w:val="left"/>
              <w:rPr>
                <w:b/>
                <w:i/>
                <w:sz w:val="16"/>
              </w:rPr>
            </w:pPr>
            <w:r>
              <w:rPr>
                <w:b/>
                <w:i/>
                <w:sz w:val="16"/>
              </w:rPr>
              <w:t>Capture Plant Design</w:t>
            </w:r>
          </w:p>
        </w:tc>
        <w:tc>
          <w:tcPr>
            <w:tcW w:w="1594" w:type="dxa"/>
            <w:tcBorders>
              <w:left w:val="double" w:sz="1" w:space="0" w:color="000000"/>
            </w:tcBorders>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621" w:type="dxa"/>
            <w:shd w:val="clear" w:color="auto" w:fill="F9FCF9"/>
          </w:tcPr>
          <w:p>
            <w:pPr>
              <w:pStyle w:val="TableParagraph"/>
              <w:jc w:val="left"/>
              <w:rPr>
                <w:sz w:val="12"/>
              </w:rPr>
            </w:pP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CO</w:t>
            </w:r>
            <w:r>
              <w:rPr>
                <w:position w:val="-4"/>
                <w:sz w:val="9"/>
              </w:rPr>
              <w:t>2 </w:t>
            </w:r>
            <w:r>
              <w:rPr>
                <w:sz w:val="16"/>
              </w:rPr>
              <w:t>capture technology</w:t>
            </w:r>
          </w:p>
        </w:tc>
        <w:tc>
          <w:tcPr>
            <w:tcW w:w="1594" w:type="dxa"/>
            <w:tcBorders>
              <w:left w:val="double" w:sz="1" w:space="0" w:color="000000"/>
            </w:tcBorders>
            <w:shd w:val="clear" w:color="auto" w:fill="F9FCF9"/>
          </w:tcPr>
          <w:p>
            <w:pPr>
              <w:pStyle w:val="TableParagraph"/>
              <w:spacing w:line="167" w:lineRule="exact" w:before="8"/>
              <w:ind w:left="242" w:right="215"/>
              <w:rPr>
                <w:sz w:val="16"/>
              </w:rPr>
            </w:pPr>
            <w:r>
              <w:rPr>
                <w:sz w:val="16"/>
              </w:rPr>
              <w:t>Selexol</w:t>
            </w:r>
          </w:p>
        </w:tc>
        <w:tc>
          <w:tcPr>
            <w:tcW w:w="1564" w:type="dxa"/>
            <w:shd w:val="clear" w:color="auto" w:fill="F9FCF9"/>
          </w:tcPr>
          <w:p>
            <w:pPr>
              <w:pStyle w:val="TableParagraph"/>
              <w:spacing w:line="167" w:lineRule="exact" w:before="8"/>
              <w:ind w:left="222" w:right="215"/>
              <w:rPr>
                <w:sz w:val="16"/>
              </w:rPr>
            </w:pPr>
            <w:r>
              <w:rPr>
                <w:sz w:val="16"/>
              </w:rPr>
              <w:t>Selexol</w:t>
            </w:r>
          </w:p>
        </w:tc>
        <w:tc>
          <w:tcPr>
            <w:tcW w:w="1564" w:type="dxa"/>
            <w:shd w:val="clear" w:color="auto" w:fill="F9FCF9"/>
          </w:tcPr>
          <w:p>
            <w:pPr>
              <w:pStyle w:val="TableParagraph"/>
              <w:spacing w:line="167" w:lineRule="exact" w:before="8"/>
              <w:ind w:left="222" w:right="216"/>
              <w:rPr>
                <w:sz w:val="16"/>
              </w:rPr>
            </w:pPr>
            <w:r>
              <w:rPr>
                <w:sz w:val="16"/>
              </w:rPr>
              <w:t>Selexol</w:t>
            </w:r>
          </w:p>
        </w:tc>
        <w:tc>
          <w:tcPr>
            <w:tcW w:w="1621" w:type="dxa"/>
            <w:shd w:val="clear" w:color="auto" w:fill="F9FCF9"/>
          </w:tcPr>
          <w:p>
            <w:pPr>
              <w:pStyle w:val="TableParagraph"/>
              <w:spacing w:line="167" w:lineRule="exact" w:before="8"/>
              <w:ind w:left="549" w:right="542"/>
              <w:rPr>
                <w:sz w:val="16"/>
              </w:rPr>
            </w:pPr>
            <w:r>
              <w:rPr>
                <w:sz w:val="16"/>
              </w:rPr>
              <w:t>Selexol</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Net plant size, with capture (MW)</w:t>
            </w:r>
          </w:p>
        </w:tc>
        <w:tc>
          <w:tcPr>
            <w:tcW w:w="1594" w:type="dxa"/>
            <w:tcBorders>
              <w:left w:val="double" w:sz="1" w:space="0" w:color="000000"/>
            </w:tcBorders>
            <w:shd w:val="clear" w:color="auto" w:fill="F9FCF9"/>
          </w:tcPr>
          <w:p>
            <w:pPr>
              <w:pStyle w:val="TableParagraph"/>
              <w:spacing w:line="167" w:lineRule="exact" w:before="8"/>
              <w:ind w:left="242" w:right="215"/>
              <w:rPr>
                <w:sz w:val="16"/>
              </w:rPr>
            </w:pPr>
            <w:r>
              <w:rPr>
                <w:sz w:val="16"/>
              </w:rPr>
              <w:t>445</w:t>
            </w:r>
          </w:p>
        </w:tc>
        <w:tc>
          <w:tcPr>
            <w:tcW w:w="1564" w:type="dxa"/>
            <w:shd w:val="clear" w:color="auto" w:fill="F9FCF9"/>
          </w:tcPr>
          <w:p>
            <w:pPr>
              <w:pStyle w:val="TableParagraph"/>
              <w:spacing w:line="167" w:lineRule="exact" w:before="8"/>
              <w:ind w:left="222" w:right="215"/>
              <w:rPr>
                <w:sz w:val="16"/>
              </w:rPr>
            </w:pPr>
            <w:r>
              <w:rPr>
                <w:sz w:val="16"/>
              </w:rPr>
              <w:t>437</w:t>
            </w:r>
          </w:p>
        </w:tc>
        <w:tc>
          <w:tcPr>
            <w:tcW w:w="1564" w:type="dxa"/>
            <w:shd w:val="clear" w:color="auto" w:fill="F9FCF9"/>
          </w:tcPr>
          <w:p>
            <w:pPr>
              <w:pStyle w:val="TableParagraph"/>
              <w:spacing w:line="167" w:lineRule="exact" w:before="8"/>
              <w:ind w:left="222" w:right="215"/>
              <w:rPr>
                <w:sz w:val="16"/>
              </w:rPr>
            </w:pPr>
            <w:r>
              <w:rPr>
                <w:sz w:val="16"/>
              </w:rPr>
              <w:t>361</w:t>
            </w:r>
          </w:p>
        </w:tc>
        <w:tc>
          <w:tcPr>
            <w:tcW w:w="1621" w:type="dxa"/>
            <w:shd w:val="clear" w:color="auto" w:fill="F9FCF9"/>
          </w:tcPr>
          <w:p>
            <w:pPr>
              <w:pStyle w:val="TableParagraph"/>
              <w:spacing w:line="167" w:lineRule="exact" w:before="8"/>
              <w:ind w:left="549" w:right="542"/>
              <w:rPr>
                <w:sz w:val="16"/>
              </w:rPr>
            </w:pPr>
            <w:r>
              <w:rPr>
                <w:sz w:val="16"/>
              </w:rPr>
              <w:t>820</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Net plant efficiency, LHV (%)</w:t>
            </w:r>
          </w:p>
        </w:tc>
        <w:tc>
          <w:tcPr>
            <w:tcW w:w="1594" w:type="dxa"/>
            <w:tcBorders>
              <w:left w:val="double" w:sz="1" w:space="0" w:color="000000"/>
            </w:tcBorders>
            <w:shd w:val="clear" w:color="auto" w:fill="F9FCF9"/>
          </w:tcPr>
          <w:p>
            <w:pPr>
              <w:pStyle w:val="TableParagraph"/>
              <w:spacing w:line="167" w:lineRule="exact" w:before="8"/>
              <w:ind w:left="242" w:right="215"/>
              <w:rPr>
                <w:sz w:val="16"/>
              </w:rPr>
            </w:pPr>
            <w:r>
              <w:rPr>
                <w:sz w:val="16"/>
              </w:rPr>
              <w:t>32.8</w:t>
            </w:r>
          </w:p>
        </w:tc>
        <w:tc>
          <w:tcPr>
            <w:tcW w:w="1564" w:type="dxa"/>
            <w:shd w:val="clear" w:color="auto" w:fill="F9FCF9"/>
          </w:tcPr>
          <w:p>
            <w:pPr>
              <w:pStyle w:val="TableParagraph"/>
              <w:spacing w:line="167" w:lineRule="exact" w:before="8"/>
              <w:ind w:left="222" w:right="215"/>
              <w:rPr>
                <w:sz w:val="16"/>
              </w:rPr>
            </w:pPr>
            <w:r>
              <w:rPr>
                <w:sz w:val="16"/>
              </w:rPr>
              <w:t>27.0</w:t>
            </w:r>
          </w:p>
        </w:tc>
        <w:tc>
          <w:tcPr>
            <w:tcW w:w="1564" w:type="dxa"/>
            <w:shd w:val="clear" w:color="auto" w:fill="F9FCF9"/>
          </w:tcPr>
          <w:p>
            <w:pPr>
              <w:pStyle w:val="TableParagraph"/>
              <w:spacing w:line="167" w:lineRule="exact" w:before="8"/>
              <w:ind w:left="222" w:right="215"/>
              <w:rPr>
                <w:sz w:val="16"/>
              </w:rPr>
            </w:pPr>
            <w:r>
              <w:rPr>
                <w:sz w:val="16"/>
              </w:rPr>
              <w:t>28.3</w:t>
            </w:r>
          </w:p>
        </w:tc>
        <w:tc>
          <w:tcPr>
            <w:tcW w:w="1621" w:type="dxa"/>
            <w:shd w:val="clear" w:color="auto" w:fill="F9FCF9"/>
          </w:tcPr>
          <w:p>
            <w:pPr>
              <w:pStyle w:val="TableParagraph"/>
              <w:spacing w:line="167" w:lineRule="exact" w:before="8"/>
              <w:ind w:left="549" w:right="542"/>
              <w:rPr>
                <w:sz w:val="16"/>
              </w:rPr>
            </w:pPr>
            <w:r>
              <w:rPr>
                <w:sz w:val="16"/>
              </w:rPr>
              <w:t>48.3</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CO</w:t>
            </w:r>
            <w:r>
              <w:rPr>
                <w:position w:val="-4"/>
                <w:sz w:val="9"/>
              </w:rPr>
              <w:t>2 </w:t>
            </w:r>
            <w:r>
              <w:rPr>
                <w:sz w:val="16"/>
              </w:rPr>
              <w:t>capture system efficiency (%)</w:t>
            </w:r>
          </w:p>
        </w:tc>
        <w:tc>
          <w:tcPr>
            <w:tcW w:w="1594" w:type="dxa"/>
            <w:tcBorders>
              <w:left w:val="double" w:sz="1" w:space="0" w:color="000000"/>
            </w:tcBorders>
            <w:shd w:val="clear" w:color="auto" w:fill="F9FCF9"/>
          </w:tcPr>
          <w:p>
            <w:pPr>
              <w:pStyle w:val="TableParagraph"/>
              <w:spacing w:line="167" w:lineRule="exact" w:before="8"/>
              <w:ind w:left="242" w:right="215"/>
              <w:rPr>
                <w:sz w:val="16"/>
              </w:rPr>
            </w:pPr>
            <w:r>
              <w:rPr>
                <w:sz w:val="16"/>
              </w:rPr>
              <w:t>87</w:t>
            </w:r>
          </w:p>
        </w:tc>
        <w:tc>
          <w:tcPr>
            <w:tcW w:w="1564" w:type="dxa"/>
            <w:shd w:val="clear" w:color="auto" w:fill="F9FCF9"/>
          </w:tcPr>
          <w:p>
            <w:pPr>
              <w:pStyle w:val="TableParagraph"/>
              <w:spacing w:line="167" w:lineRule="exact" w:before="8"/>
              <w:ind w:left="222" w:right="215"/>
              <w:rPr>
                <w:sz w:val="16"/>
              </w:rPr>
            </w:pPr>
            <w:r>
              <w:rPr>
                <w:sz w:val="16"/>
              </w:rPr>
              <w:t>92</w:t>
            </w:r>
          </w:p>
        </w:tc>
        <w:tc>
          <w:tcPr>
            <w:tcW w:w="1564" w:type="dxa"/>
            <w:shd w:val="clear" w:color="auto" w:fill="F9FCF9"/>
          </w:tcPr>
          <w:p>
            <w:pPr>
              <w:pStyle w:val="TableParagraph"/>
              <w:spacing w:line="167" w:lineRule="exact" w:before="8"/>
              <w:ind w:left="222" w:right="215"/>
              <w:rPr>
                <w:sz w:val="16"/>
              </w:rPr>
            </w:pPr>
            <w:r>
              <w:rPr>
                <w:sz w:val="16"/>
              </w:rPr>
              <w:t>86</w:t>
            </w:r>
          </w:p>
        </w:tc>
        <w:tc>
          <w:tcPr>
            <w:tcW w:w="1621" w:type="dxa"/>
            <w:shd w:val="clear" w:color="auto" w:fill="F9FCF9"/>
          </w:tcPr>
          <w:p>
            <w:pPr>
              <w:pStyle w:val="TableParagraph"/>
              <w:spacing w:line="167" w:lineRule="exact" w:before="8"/>
              <w:ind w:left="549" w:right="542"/>
              <w:rPr>
                <w:sz w:val="16"/>
              </w:rPr>
            </w:pPr>
            <w:r>
              <w:rPr>
                <w:sz w:val="16"/>
              </w:rPr>
              <w:t>85</w:t>
            </w:r>
          </w:p>
        </w:tc>
      </w:tr>
      <w:tr>
        <w:trPr>
          <w:trHeight w:val="195" w:hRule="atLeast"/>
        </w:trPr>
        <w:tc>
          <w:tcPr>
            <w:tcW w:w="3985" w:type="dxa"/>
            <w:tcBorders>
              <w:right w:val="double" w:sz="1" w:space="0" w:color="000000"/>
            </w:tcBorders>
            <w:shd w:val="clear" w:color="auto" w:fill="F9FCF9"/>
          </w:tcPr>
          <w:p>
            <w:pPr>
              <w:pStyle w:val="TableParagraph"/>
              <w:spacing w:line="45" w:lineRule="exact" w:before="20"/>
              <w:ind w:left="2596"/>
              <w:jc w:val="left"/>
              <w:rPr>
                <w:sz w:val="9"/>
              </w:rPr>
            </w:pPr>
            <w:r>
              <w:rPr>
                <w:w w:val="105"/>
                <w:sz w:val="9"/>
              </w:rPr>
              <w:t>-1</w:t>
            </w:r>
          </w:p>
          <w:p>
            <w:pPr>
              <w:pStyle w:val="TableParagraph"/>
              <w:spacing w:line="109" w:lineRule="exact"/>
              <w:ind w:left="20"/>
              <w:jc w:val="left"/>
              <w:rPr>
                <w:sz w:val="16"/>
              </w:rPr>
            </w:pPr>
            <w:r>
              <w:rPr>
                <w:sz w:val="16"/>
              </w:rPr>
              <w:t>CO</w:t>
            </w:r>
            <w:r>
              <w:rPr>
                <w:position w:val="-4"/>
                <w:sz w:val="9"/>
              </w:rPr>
              <w:t>2 </w:t>
            </w:r>
            <w:r>
              <w:rPr>
                <w:sz w:val="16"/>
              </w:rPr>
              <w:t>emission rate after capture (t MWh )</w:t>
            </w:r>
          </w:p>
        </w:tc>
        <w:tc>
          <w:tcPr>
            <w:tcW w:w="1594" w:type="dxa"/>
            <w:tcBorders>
              <w:left w:val="double" w:sz="1" w:space="0" w:color="000000"/>
            </w:tcBorders>
            <w:shd w:val="clear" w:color="auto" w:fill="F9FCF9"/>
          </w:tcPr>
          <w:p>
            <w:pPr>
              <w:pStyle w:val="TableParagraph"/>
              <w:spacing w:line="167" w:lineRule="exact" w:before="8"/>
              <w:ind w:left="242" w:right="215"/>
              <w:rPr>
                <w:sz w:val="16"/>
              </w:rPr>
            </w:pPr>
            <w:r>
              <w:rPr>
                <w:sz w:val="16"/>
              </w:rPr>
              <w:t>0.130</w:t>
            </w:r>
          </w:p>
        </w:tc>
        <w:tc>
          <w:tcPr>
            <w:tcW w:w="1564" w:type="dxa"/>
            <w:shd w:val="clear" w:color="auto" w:fill="F9FCF9"/>
          </w:tcPr>
          <w:p>
            <w:pPr>
              <w:pStyle w:val="TableParagraph"/>
              <w:spacing w:line="167" w:lineRule="exact" w:before="8"/>
              <w:ind w:left="222" w:right="215"/>
              <w:rPr>
                <w:sz w:val="16"/>
              </w:rPr>
            </w:pPr>
            <w:r>
              <w:rPr>
                <w:sz w:val="16"/>
              </w:rPr>
              <w:t>0.102</w:t>
            </w:r>
          </w:p>
        </w:tc>
        <w:tc>
          <w:tcPr>
            <w:tcW w:w="1564" w:type="dxa"/>
            <w:shd w:val="clear" w:color="auto" w:fill="F9FCF9"/>
          </w:tcPr>
          <w:p>
            <w:pPr>
              <w:pStyle w:val="TableParagraph"/>
              <w:spacing w:line="167" w:lineRule="exact" w:before="8"/>
              <w:ind w:left="222" w:right="215"/>
              <w:rPr>
                <w:sz w:val="16"/>
              </w:rPr>
            </w:pPr>
            <w:r>
              <w:rPr>
                <w:sz w:val="16"/>
              </w:rPr>
              <w:t>0.182</w:t>
            </w:r>
          </w:p>
        </w:tc>
        <w:tc>
          <w:tcPr>
            <w:tcW w:w="1621" w:type="dxa"/>
            <w:shd w:val="clear" w:color="auto" w:fill="F9FCF9"/>
          </w:tcPr>
          <w:p>
            <w:pPr>
              <w:pStyle w:val="TableParagraph"/>
              <w:spacing w:line="167" w:lineRule="exact" w:before="8"/>
              <w:ind w:left="549" w:right="542"/>
              <w:rPr>
                <w:sz w:val="16"/>
              </w:rPr>
            </w:pPr>
            <w:r>
              <w:rPr>
                <w:sz w:val="16"/>
              </w:rPr>
              <w:t>0.065</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CO</w:t>
            </w:r>
            <w:r>
              <w:rPr>
                <w:position w:val="-4"/>
                <w:sz w:val="9"/>
              </w:rPr>
              <w:t>2 </w:t>
            </w:r>
            <w:r>
              <w:rPr>
                <w:sz w:val="16"/>
              </w:rPr>
              <w:t>captured (Mt/yr)</w:t>
            </w:r>
          </w:p>
        </w:tc>
        <w:tc>
          <w:tcPr>
            <w:tcW w:w="1594" w:type="dxa"/>
            <w:tcBorders>
              <w:left w:val="double" w:sz="1" w:space="0" w:color="000000"/>
            </w:tcBorders>
            <w:shd w:val="clear" w:color="auto" w:fill="F9FCF9"/>
          </w:tcPr>
          <w:p>
            <w:pPr>
              <w:pStyle w:val="TableParagraph"/>
              <w:spacing w:line="167" w:lineRule="exact" w:before="8"/>
              <w:ind w:left="242" w:right="215"/>
              <w:rPr>
                <w:sz w:val="16"/>
              </w:rPr>
            </w:pPr>
            <w:r>
              <w:rPr>
                <w:sz w:val="16"/>
              </w:rPr>
              <w:t>3.049</w:t>
            </w:r>
          </w:p>
        </w:tc>
        <w:tc>
          <w:tcPr>
            <w:tcW w:w="1564" w:type="dxa"/>
            <w:shd w:val="clear" w:color="auto" w:fill="F9FCF9"/>
          </w:tcPr>
          <w:p>
            <w:pPr>
              <w:pStyle w:val="TableParagraph"/>
              <w:spacing w:line="167" w:lineRule="exact" w:before="8"/>
              <w:ind w:left="222" w:right="215"/>
              <w:rPr>
                <w:sz w:val="16"/>
              </w:rPr>
            </w:pPr>
            <w:r>
              <w:rPr>
                <w:sz w:val="16"/>
              </w:rPr>
              <w:t>4.040</w:t>
            </w:r>
          </w:p>
        </w:tc>
        <w:tc>
          <w:tcPr>
            <w:tcW w:w="1564" w:type="dxa"/>
            <w:shd w:val="clear" w:color="auto" w:fill="F9FCF9"/>
          </w:tcPr>
          <w:p>
            <w:pPr>
              <w:pStyle w:val="TableParagraph"/>
              <w:spacing w:line="167" w:lineRule="exact" w:before="8"/>
              <w:ind w:left="222" w:right="215"/>
              <w:rPr>
                <w:sz w:val="16"/>
              </w:rPr>
            </w:pPr>
            <w:r>
              <w:rPr>
                <w:sz w:val="16"/>
              </w:rPr>
              <w:t>3.183</w:t>
            </w:r>
          </w:p>
        </w:tc>
        <w:tc>
          <w:tcPr>
            <w:tcW w:w="1621" w:type="dxa"/>
            <w:shd w:val="clear" w:color="auto" w:fill="F9FCF9"/>
          </w:tcPr>
          <w:p>
            <w:pPr>
              <w:pStyle w:val="TableParagraph"/>
              <w:spacing w:line="167" w:lineRule="exact" w:before="8"/>
              <w:ind w:left="549" w:right="542"/>
              <w:rPr>
                <w:sz w:val="16"/>
              </w:rPr>
            </w:pPr>
            <w:r>
              <w:rPr>
                <w:sz w:val="16"/>
              </w:rPr>
              <w:t>2.356</w:t>
            </w:r>
          </w:p>
        </w:tc>
      </w:tr>
      <w:tr>
        <w:trPr>
          <w:trHeight w:val="209" w:hRule="atLeast"/>
        </w:trPr>
        <w:tc>
          <w:tcPr>
            <w:tcW w:w="3985" w:type="dxa"/>
            <w:tcBorders>
              <w:right w:val="double" w:sz="1" w:space="0" w:color="000000"/>
            </w:tcBorders>
            <w:shd w:val="clear" w:color="auto" w:fill="F9FCF9"/>
          </w:tcPr>
          <w:p>
            <w:pPr>
              <w:pStyle w:val="TableParagraph"/>
              <w:spacing w:line="181" w:lineRule="exact" w:before="8"/>
              <w:ind w:left="20"/>
              <w:jc w:val="left"/>
              <w:rPr>
                <w:sz w:val="16"/>
              </w:rPr>
            </w:pPr>
            <w:r>
              <w:rPr>
                <w:sz w:val="16"/>
              </w:rPr>
              <w:t>CO</w:t>
            </w:r>
            <w:r>
              <w:rPr>
                <w:position w:val="-4"/>
                <w:sz w:val="9"/>
              </w:rPr>
              <w:t>2 </w:t>
            </w:r>
            <w:r>
              <w:rPr>
                <w:sz w:val="16"/>
              </w:rPr>
              <w:t>product pressure (MPa)</w:t>
            </w:r>
          </w:p>
        </w:tc>
        <w:tc>
          <w:tcPr>
            <w:tcW w:w="1594" w:type="dxa"/>
            <w:tcBorders>
              <w:left w:val="double" w:sz="1" w:space="0" w:color="000000"/>
            </w:tcBorders>
            <w:shd w:val="clear" w:color="auto" w:fill="F9FCF9"/>
          </w:tcPr>
          <w:p>
            <w:pPr>
              <w:pStyle w:val="TableParagraph"/>
              <w:spacing w:line="181" w:lineRule="exact" w:before="8"/>
              <w:ind w:left="242" w:right="215"/>
              <w:rPr>
                <w:sz w:val="16"/>
              </w:rPr>
            </w:pPr>
            <w:r>
              <w:rPr>
                <w:sz w:val="16"/>
              </w:rPr>
              <w:t>13.9</w:t>
            </w:r>
          </w:p>
        </w:tc>
        <w:tc>
          <w:tcPr>
            <w:tcW w:w="1564" w:type="dxa"/>
            <w:shd w:val="clear" w:color="auto" w:fill="F9FCF9"/>
          </w:tcPr>
          <w:p>
            <w:pPr>
              <w:pStyle w:val="TableParagraph"/>
              <w:spacing w:line="181" w:lineRule="exact" w:before="8"/>
              <w:ind w:left="222" w:right="215"/>
              <w:rPr>
                <w:sz w:val="16"/>
              </w:rPr>
            </w:pPr>
            <w:r>
              <w:rPr>
                <w:sz w:val="16"/>
              </w:rPr>
              <w:t>13.9</w:t>
            </w:r>
          </w:p>
        </w:tc>
        <w:tc>
          <w:tcPr>
            <w:tcW w:w="1564" w:type="dxa"/>
            <w:shd w:val="clear" w:color="auto" w:fill="F9FCF9"/>
          </w:tcPr>
          <w:p>
            <w:pPr>
              <w:pStyle w:val="TableParagraph"/>
              <w:spacing w:line="181" w:lineRule="exact" w:before="8"/>
              <w:ind w:left="222" w:right="215"/>
              <w:rPr>
                <w:sz w:val="16"/>
              </w:rPr>
            </w:pPr>
            <w:r>
              <w:rPr>
                <w:sz w:val="16"/>
              </w:rPr>
              <w:t>13.9</w:t>
            </w:r>
          </w:p>
        </w:tc>
        <w:tc>
          <w:tcPr>
            <w:tcW w:w="1621" w:type="dxa"/>
            <w:shd w:val="clear" w:color="auto" w:fill="F9FCF9"/>
          </w:tcPr>
          <w:p>
            <w:pPr>
              <w:pStyle w:val="TableParagraph"/>
              <w:spacing w:line="181" w:lineRule="exact" w:before="8"/>
              <w:ind w:left="549" w:right="542"/>
              <w:rPr>
                <w:sz w:val="16"/>
              </w:rPr>
            </w:pPr>
            <w:r>
              <w:rPr>
                <w:sz w:val="16"/>
              </w:rPr>
              <w:t>11.0</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CCS energy requirement (% more input MWh</w:t>
            </w:r>
            <w:r>
              <w:rPr>
                <w:position w:val="5"/>
                <w:sz w:val="9"/>
              </w:rPr>
              <w:t>-1</w:t>
            </w:r>
            <w:r>
              <w:rPr>
                <w:sz w:val="16"/>
              </w:rPr>
              <w:t>)</w:t>
            </w:r>
          </w:p>
        </w:tc>
        <w:tc>
          <w:tcPr>
            <w:tcW w:w="1594" w:type="dxa"/>
            <w:tcBorders>
              <w:left w:val="double" w:sz="1" w:space="0" w:color="000000"/>
            </w:tcBorders>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621" w:type="dxa"/>
            <w:shd w:val="clear" w:color="auto" w:fill="F9FCF9"/>
          </w:tcPr>
          <w:p>
            <w:pPr>
              <w:pStyle w:val="TableParagraph"/>
              <w:spacing w:line="167" w:lineRule="exact" w:before="8"/>
              <w:ind w:left="549" w:right="542"/>
              <w:rPr>
                <w:sz w:val="16"/>
              </w:rPr>
            </w:pPr>
            <w:r>
              <w:rPr>
                <w:sz w:val="16"/>
              </w:rPr>
              <w:t>14</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b/>
                <w:sz w:val="16"/>
              </w:rPr>
            </w:pPr>
            <w:r>
              <w:rPr>
                <w:b/>
                <w:sz w:val="16"/>
              </w:rPr>
              <w:t>CO</w:t>
            </w:r>
            <w:r>
              <w:rPr>
                <w:b/>
                <w:position w:val="-4"/>
                <w:sz w:val="9"/>
              </w:rPr>
              <w:t>2 </w:t>
            </w:r>
            <w:r>
              <w:rPr>
                <w:b/>
                <w:sz w:val="16"/>
              </w:rPr>
              <w:t>reduction per kWh (%)</w:t>
            </w:r>
          </w:p>
        </w:tc>
        <w:tc>
          <w:tcPr>
            <w:tcW w:w="1594" w:type="dxa"/>
            <w:tcBorders>
              <w:left w:val="double" w:sz="1" w:space="0" w:color="000000"/>
            </w:tcBorders>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621" w:type="dxa"/>
            <w:shd w:val="clear" w:color="auto" w:fill="F9FCF9"/>
          </w:tcPr>
          <w:p>
            <w:pPr>
              <w:pStyle w:val="TableParagraph"/>
              <w:spacing w:line="167" w:lineRule="exact" w:before="8"/>
              <w:ind w:left="549" w:right="542"/>
              <w:rPr>
                <w:b/>
                <w:sz w:val="16"/>
              </w:rPr>
            </w:pPr>
            <w:r>
              <w:rPr>
                <w:b/>
                <w:sz w:val="16"/>
              </w:rPr>
              <w:t>82</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196"/>
              <w:jc w:val="left"/>
              <w:rPr>
                <w:b/>
                <w:i/>
                <w:sz w:val="16"/>
              </w:rPr>
            </w:pPr>
            <w:r>
              <w:rPr>
                <w:b/>
                <w:i/>
                <w:sz w:val="16"/>
              </w:rPr>
              <w:t>Cost Results</w:t>
            </w:r>
          </w:p>
        </w:tc>
        <w:tc>
          <w:tcPr>
            <w:tcW w:w="1594" w:type="dxa"/>
            <w:tcBorders>
              <w:left w:val="double" w:sz="1" w:space="0" w:color="000000"/>
            </w:tcBorders>
            <w:shd w:val="clear" w:color="auto" w:fill="F9FCF9"/>
          </w:tcPr>
          <w:p>
            <w:pPr>
              <w:pStyle w:val="TableParagraph"/>
              <w:spacing w:line="167" w:lineRule="exact" w:before="8"/>
              <w:ind w:left="242" w:right="215"/>
              <w:rPr>
                <w:b/>
                <w:i/>
                <w:sz w:val="16"/>
              </w:rPr>
            </w:pPr>
            <w:r>
              <w:rPr>
                <w:b/>
                <w:i/>
                <w:sz w:val="16"/>
              </w:rPr>
              <w:t>***</w:t>
            </w:r>
          </w:p>
        </w:tc>
        <w:tc>
          <w:tcPr>
            <w:tcW w:w="1564" w:type="dxa"/>
            <w:shd w:val="clear" w:color="auto" w:fill="F9FCF9"/>
          </w:tcPr>
          <w:p>
            <w:pPr>
              <w:pStyle w:val="TableParagraph"/>
              <w:spacing w:line="167" w:lineRule="exact" w:before="8"/>
              <w:ind w:left="222" w:right="215"/>
              <w:rPr>
                <w:b/>
                <w:i/>
                <w:sz w:val="16"/>
              </w:rPr>
            </w:pPr>
            <w:r>
              <w:rPr>
                <w:b/>
                <w:i/>
                <w:sz w:val="16"/>
              </w:rPr>
              <w:t>***</w:t>
            </w:r>
          </w:p>
        </w:tc>
        <w:tc>
          <w:tcPr>
            <w:tcW w:w="1564" w:type="dxa"/>
            <w:shd w:val="clear" w:color="auto" w:fill="F9FCF9"/>
          </w:tcPr>
          <w:p>
            <w:pPr>
              <w:pStyle w:val="TableParagraph"/>
              <w:spacing w:line="167" w:lineRule="exact" w:before="8"/>
              <w:ind w:left="222" w:right="215"/>
              <w:rPr>
                <w:b/>
                <w:i/>
                <w:sz w:val="16"/>
              </w:rPr>
            </w:pPr>
            <w:r>
              <w:rPr>
                <w:b/>
                <w:i/>
                <w:sz w:val="16"/>
              </w:rPr>
              <w:t>***</w:t>
            </w:r>
          </w:p>
        </w:tc>
        <w:tc>
          <w:tcPr>
            <w:tcW w:w="1621" w:type="dxa"/>
            <w:shd w:val="clear" w:color="auto" w:fill="F9FCF9"/>
          </w:tcPr>
          <w:p>
            <w:pPr>
              <w:pStyle w:val="TableParagraph"/>
              <w:spacing w:line="167" w:lineRule="exact" w:before="8"/>
              <w:ind w:left="549" w:right="542"/>
              <w:rPr>
                <w:b/>
                <w:i/>
                <w:sz w:val="16"/>
              </w:rPr>
            </w:pPr>
            <w:r>
              <w:rPr>
                <w:b/>
                <w:i/>
                <w:sz w:val="16"/>
              </w:rPr>
              <w:t>**</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Cost year basis (constant dollars)</w:t>
            </w:r>
          </w:p>
        </w:tc>
        <w:tc>
          <w:tcPr>
            <w:tcW w:w="1594" w:type="dxa"/>
            <w:tcBorders>
              <w:left w:val="double" w:sz="1" w:space="0" w:color="000000"/>
            </w:tcBorders>
            <w:shd w:val="clear" w:color="auto" w:fill="F9FCF9"/>
          </w:tcPr>
          <w:p>
            <w:pPr>
              <w:pStyle w:val="TableParagraph"/>
              <w:spacing w:line="167" w:lineRule="exact" w:before="8"/>
              <w:ind w:left="242" w:right="215"/>
              <w:rPr>
                <w:sz w:val="16"/>
              </w:rPr>
            </w:pPr>
            <w:r>
              <w:rPr>
                <w:sz w:val="16"/>
              </w:rPr>
              <w:t>2003</w:t>
            </w:r>
          </w:p>
        </w:tc>
        <w:tc>
          <w:tcPr>
            <w:tcW w:w="1564" w:type="dxa"/>
            <w:shd w:val="clear" w:color="auto" w:fill="F9FCF9"/>
          </w:tcPr>
          <w:p>
            <w:pPr>
              <w:pStyle w:val="TableParagraph"/>
              <w:spacing w:line="167" w:lineRule="exact" w:before="8"/>
              <w:ind w:left="222" w:right="215"/>
              <w:rPr>
                <w:sz w:val="16"/>
              </w:rPr>
            </w:pPr>
            <w:r>
              <w:rPr>
                <w:sz w:val="16"/>
              </w:rPr>
              <w:t>2003</w:t>
            </w:r>
          </w:p>
        </w:tc>
        <w:tc>
          <w:tcPr>
            <w:tcW w:w="1564" w:type="dxa"/>
            <w:shd w:val="clear" w:color="auto" w:fill="F9FCF9"/>
          </w:tcPr>
          <w:p>
            <w:pPr>
              <w:pStyle w:val="TableParagraph"/>
              <w:spacing w:line="167" w:lineRule="exact" w:before="8"/>
              <w:ind w:left="222" w:right="215"/>
              <w:rPr>
                <w:sz w:val="16"/>
              </w:rPr>
            </w:pPr>
            <w:r>
              <w:rPr>
                <w:sz w:val="16"/>
              </w:rPr>
              <w:t>2003</w:t>
            </w:r>
          </w:p>
        </w:tc>
        <w:tc>
          <w:tcPr>
            <w:tcW w:w="1621" w:type="dxa"/>
            <w:shd w:val="clear" w:color="auto" w:fill="F9FCF9"/>
          </w:tcPr>
          <w:p>
            <w:pPr>
              <w:pStyle w:val="TableParagraph"/>
              <w:spacing w:line="167" w:lineRule="exact" w:before="8"/>
              <w:ind w:left="549" w:right="542"/>
              <w:rPr>
                <w:sz w:val="16"/>
              </w:rPr>
            </w:pPr>
            <w:r>
              <w:rPr>
                <w:sz w:val="16"/>
              </w:rPr>
              <w:t>2000</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Fixed charge factor (%)</w:t>
            </w:r>
          </w:p>
        </w:tc>
        <w:tc>
          <w:tcPr>
            <w:tcW w:w="1594" w:type="dxa"/>
            <w:tcBorders>
              <w:left w:val="double" w:sz="1" w:space="0" w:color="000000"/>
            </w:tcBorders>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621" w:type="dxa"/>
            <w:shd w:val="clear" w:color="auto" w:fill="F9FCF9"/>
          </w:tcPr>
          <w:p>
            <w:pPr>
              <w:pStyle w:val="TableParagraph"/>
              <w:spacing w:line="167" w:lineRule="exact" w:before="8"/>
              <w:ind w:left="549" w:right="542"/>
              <w:rPr>
                <w:sz w:val="16"/>
              </w:rPr>
            </w:pPr>
            <w:r>
              <w:rPr>
                <w:sz w:val="16"/>
              </w:rPr>
              <w:t>11.0</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Reference plant TCR (US$ kW</w:t>
            </w:r>
            <w:r>
              <w:rPr>
                <w:position w:val="5"/>
                <w:sz w:val="9"/>
              </w:rPr>
              <w:t>-1</w:t>
            </w:r>
            <w:r>
              <w:rPr>
                <w:sz w:val="16"/>
              </w:rPr>
              <w:t>)</w:t>
            </w:r>
          </w:p>
        </w:tc>
        <w:tc>
          <w:tcPr>
            <w:tcW w:w="1594" w:type="dxa"/>
            <w:tcBorders>
              <w:left w:val="double" w:sz="1" w:space="0" w:color="000000"/>
            </w:tcBorders>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621" w:type="dxa"/>
            <w:shd w:val="clear" w:color="auto" w:fill="F9FCF9"/>
          </w:tcPr>
          <w:p>
            <w:pPr>
              <w:pStyle w:val="TableParagraph"/>
              <w:spacing w:line="167" w:lineRule="exact" w:before="8"/>
              <w:ind w:left="549" w:right="542"/>
              <w:rPr>
                <w:sz w:val="16"/>
              </w:rPr>
            </w:pPr>
            <w:r>
              <w:rPr>
                <w:sz w:val="16"/>
              </w:rPr>
              <w:t>447</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Capture plant TCR (US$ kW</w:t>
            </w:r>
            <w:r>
              <w:rPr>
                <w:position w:val="5"/>
                <w:sz w:val="9"/>
              </w:rPr>
              <w:t>-1</w:t>
            </w:r>
            <w:r>
              <w:rPr>
                <w:sz w:val="16"/>
              </w:rPr>
              <w:t>)</w:t>
            </w:r>
          </w:p>
        </w:tc>
        <w:tc>
          <w:tcPr>
            <w:tcW w:w="1594" w:type="dxa"/>
            <w:tcBorders>
              <w:left w:val="double" w:sz="1" w:space="0" w:color="000000"/>
            </w:tcBorders>
            <w:shd w:val="clear" w:color="auto" w:fill="F9FCF9"/>
          </w:tcPr>
          <w:p>
            <w:pPr>
              <w:pStyle w:val="TableParagraph"/>
              <w:spacing w:line="167" w:lineRule="exact" w:before="8"/>
              <w:ind w:left="242" w:right="215"/>
              <w:rPr>
                <w:sz w:val="16"/>
              </w:rPr>
            </w:pPr>
            <w:r>
              <w:rPr>
                <w:sz w:val="16"/>
              </w:rPr>
              <w:t>2205</w:t>
            </w:r>
          </w:p>
        </w:tc>
        <w:tc>
          <w:tcPr>
            <w:tcW w:w="1564" w:type="dxa"/>
            <w:shd w:val="clear" w:color="auto" w:fill="F9FCF9"/>
          </w:tcPr>
          <w:p>
            <w:pPr>
              <w:pStyle w:val="TableParagraph"/>
              <w:spacing w:line="167" w:lineRule="exact" w:before="8"/>
              <w:ind w:left="222" w:right="215"/>
              <w:rPr>
                <w:sz w:val="16"/>
              </w:rPr>
            </w:pPr>
            <w:r>
              <w:rPr>
                <w:sz w:val="16"/>
              </w:rPr>
              <w:t>2518</w:t>
            </w:r>
          </w:p>
        </w:tc>
        <w:tc>
          <w:tcPr>
            <w:tcW w:w="1564" w:type="dxa"/>
            <w:shd w:val="clear" w:color="auto" w:fill="F9FCF9"/>
          </w:tcPr>
          <w:p>
            <w:pPr>
              <w:pStyle w:val="TableParagraph"/>
              <w:spacing w:line="167" w:lineRule="exact" w:before="8"/>
              <w:ind w:left="222" w:right="215"/>
              <w:rPr>
                <w:sz w:val="16"/>
              </w:rPr>
            </w:pPr>
            <w:r>
              <w:rPr>
                <w:sz w:val="16"/>
              </w:rPr>
              <w:t>3247</w:t>
            </w:r>
          </w:p>
        </w:tc>
        <w:tc>
          <w:tcPr>
            <w:tcW w:w="1621" w:type="dxa"/>
            <w:shd w:val="clear" w:color="auto" w:fill="F9FCF9"/>
          </w:tcPr>
          <w:p>
            <w:pPr>
              <w:pStyle w:val="TableParagraph"/>
              <w:spacing w:line="167" w:lineRule="exact" w:before="8"/>
              <w:ind w:left="549" w:right="542"/>
              <w:rPr>
                <w:sz w:val="16"/>
              </w:rPr>
            </w:pPr>
            <w:r>
              <w:rPr>
                <w:sz w:val="16"/>
              </w:rPr>
              <w:t>978</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Incremental TCR for capture (US$ kW</w:t>
            </w:r>
            <w:r>
              <w:rPr>
                <w:position w:val="5"/>
                <w:sz w:val="9"/>
              </w:rPr>
              <w:t>-1</w:t>
            </w:r>
            <w:r>
              <w:rPr>
                <w:sz w:val="16"/>
              </w:rPr>
              <w:t>)</w:t>
            </w:r>
          </w:p>
        </w:tc>
        <w:tc>
          <w:tcPr>
            <w:tcW w:w="1594" w:type="dxa"/>
            <w:tcBorders>
              <w:left w:val="double" w:sz="1" w:space="0" w:color="000000"/>
            </w:tcBorders>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621" w:type="dxa"/>
            <w:shd w:val="clear" w:color="auto" w:fill="F9FCF9"/>
          </w:tcPr>
          <w:p>
            <w:pPr>
              <w:pStyle w:val="TableParagraph"/>
              <w:spacing w:line="167" w:lineRule="exact" w:before="8"/>
              <w:ind w:left="549" w:right="542"/>
              <w:rPr>
                <w:sz w:val="16"/>
              </w:rPr>
            </w:pPr>
            <w:r>
              <w:rPr>
                <w:sz w:val="16"/>
              </w:rPr>
              <w:t>531</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b/>
                <w:sz w:val="16"/>
              </w:rPr>
            </w:pPr>
            <w:r>
              <w:rPr>
                <w:b/>
                <w:sz w:val="16"/>
              </w:rPr>
              <w:t>Reference plant COE (uS$ mWh</w:t>
            </w:r>
            <w:r>
              <w:rPr>
                <w:b/>
                <w:position w:val="5"/>
                <w:sz w:val="9"/>
              </w:rPr>
              <w:t>-1</w:t>
            </w:r>
            <w:r>
              <w:rPr>
                <w:b/>
                <w:sz w:val="16"/>
              </w:rPr>
              <w:t>)</w:t>
            </w:r>
          </w:p>
        </w:tc>
        <w:tc>
          <w:tcPr>
            <w:tcW w:w="1594" w:type="dxa"/>
            <w:tcBorders>
              <w:left w:val="double" w:sz="1" w:space="0" w:color="000000"/>
            </w:tcBorders>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621" w:type="dxa"/>
            <w:shd w:val="clear" w:color="auto" w:fill="F9FCF9"/>
          </w:tcPr>
          <w:p>
            <w:pPr>
              <w:pStyle w:val="TableParagraph"/>
              <w:spacing w:line="167" w:lineRule="exact" w:before="8"/>
              <w:ind w:left="549" w:right="542"/>
              <w:rPr>
                <w:sz w:val="16"/>
              </w:rPr>
            </w:pPr>
            <w:r>
              <w:rPr>
                <w:sz w:val="16"/>
              </w:rPr>
              <w:t>21.6</w:t>
            </w:r>
          </w:p>
        </w:tc>
      </w:tr>
      <w:tr>
        <w:trPr>
          <w:trHeight w:val="229" w:hRule="atLeast"/>
        </w:trPr>
        <w:tc>
          <w:tcPr>
            <w:tcW w:w="3985" w:type="dxa"/>
            <w:tcBorders>
              <w:right w:val="double" w:sz="1" w:space="0" w:color="000000"/>
            </w:tcBorders>
            <w:shd w:val="clear" w:color="auto" w:fill="F9FCF9"/>
          </w:tcPr>
          <w:p>
            <w:pPr>
              <w:pStyle w:val="TableParagraph"/>
              <w:spacing w:before="8"/>
              <w:ind w:left="20"/>
              <w:jc w:val="left"/>
              <w:rPr>
                <w:b/>
                <w:sz w:val="16"/>
              </w:rPr>
            </w:pPr>
            <w:r>
              <w:rPr>
                <w:b/>
                <w:sz w:val="16"/>
              </w:rPr>
              <w:t>Capture plant COE (uS$ mWh</w:t>
            </w:r>
            <w:r>
              <w:rPr>
                <w:b/>
                <w:position w:val="5"/>
                <w:sz w:val="9"/>
              </w:rPr>
              <w:t>-1</w:t>
            </w:r>
            <w:r>
              <w:rPr>
                <w:b/>
                <w:sz w:val="16"/>
              </w:rPr>
              <w:t>)</w:t>
            </w:r>
          </w:p>
        </w:tc>
        <w:tc>
          <w:tcPr>
            <w:tcW w:w="1594" w:type="dxa"/>
            <w:tcBorders>
              <w:left w:val="double" w:sz="1" w:space="0" w:color="000000"/>
            </w:tcBorders>
            <w:shd w:val="clear" w:color="auto" w:fill="F9FCF9"/>
          </w:tcPr>
          <w:p>
            <w:pPr>
              <w:pStyle w:val="TableParagraph"/>
              <w:spacing w:before="8"/>
              <w:ind w:left="242" w:right="215"/>
              <w:rPr>
                <w:sz w:val="16"/>
              </w:rPr>
            </w:pPr>
            <w:r>
              <w:rPr>
                <w:sz w:val="16"/>
              </w:rPr>
              <w:t>68.4</w:t>
            </w:r>
          </w:p>
        </w:tc>
        <w:tc>
          <w:tcPr>
            <w:tcW w:w="1564" w:type="dxa"/>
            <w:shd w:val="clear" w:color="auto" w:fill="F9FCF9"/>
          </w:tcPr>
          <w:p>
            <w:pPr>
              <w:pStyle w:val="TableParagraph"/>
              <w:spacing w:before="8"/>
              <w:ind w:left="222" w:right="215"/>
              <w:rPr>
                <w:sz w:val="16"/>
              </w:rPr>
            </w:pPr>
            <w:r>
              <w:rPr>
                <w:sz w:val="16"/>
              </w:rPr>
              <w:t>62.1</w:t>
            </w:r>
          </w:p>
        </w:tc>
        <w:tc>
          <w:tcPr>
            <w:tcW w:w="1564" w:type="dxa"/>
            <w:shd w:val="clear" w:color="auto" w:fill="F9FCF9"/>
          </w:tcPr>
          <w:p>
            <w:pPr>
              <w:pStyle w:val="TableParagraph"/>
              <w:spacing w:before="8"/>
              <w:ind w:left="222" w:right="215"/>
              <w:rPr>
                <w:sz w:val="16"/>
              </w:rPr>
            </w:pPr>
            <w:r>
              <w:rPr>
                <w:sz w:val="16"/>
              </w:rPr>
              <w:t>83.9</w:t>
            </w:r>
          </w:p>
        </w:tc>
        <w:tc>
          <w:tcPr>
            <w:tcW w:w="1621" w:type="dxa"/>
            <w:shd w:val="clear" w:color="auto" w:fill="F9FCF9"/>
          </w:tcPr>
          <w:p>
            <w:pPr>
              <w:pStyle w:val="TableParagraph"/>
              <w:spacing w:before="8"/>
              <w:ind w:left="549" w:right="542"/>
              <w:rPr>
                <w:sz w:val="16"/>
              </w:rPr>
            </w:pPr>
            <w:r>
              <w:rPr>
                <w:sz w:val="16"/>
              </w:rPr>
              <w:t>34.4</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b/>
                <w:sz w:val="16"/>
              </w:rPr>
            </w:pPr>
            <w:r>
              <w:rPr>
                <w:b/>
                <w:w w:val="105"/>
                <w:sz w:val="16"/>
              </w:rPr>
              <w:t>incremental COE for capture (uS$ mWh</w:t>
            </w:r>
            <w:r>
              <w:rPr>
                <w:b/>
                <w:w w:val="105"/>
                <w:position w:val="5"/>
                <w:sz w:val="9"/>
              </w:rPr>
              <w:t>-1</w:t>
            </w:r>
            <w:r>
              <w:rPr>
                <w:b/>
                <w:w w:val="105"/>
                <w:sz w:val="16"/>
              </w:rPr>
              <w:t>)</w:t>
            </w:r>
          </w:p>
        </w:tc>
        <w:tc>
          <w:tcPr>
            <w:tcW w:w="1594" w:type="dxa"/>
            <w:tcBorders>
              <w:left w:val="double" w:sz="1" w:space="0" w:color="000000"/>
            </w:tcBorders>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621" w:type="dxa"/>
            <w:shd w:val="clear" w:color="auto" w:fill="F9FCF9"/>
          </w:tcPr>
          <w:p>
            <w:pPr>
              <w:pStyle w:val="TableParagraph"/>
              <w:spacing w:line="167" w:lineRule="exact" w:before="8"/>
              <w:ind w:left="549" w:right="542"/>
              <w:rPr>
                <w:sz w:val="16"/>
              </w:rPr>
            </w:pPr>
            <w:r>
              <w:rPr>
                <w:sz w:val="16"/>
              </w:rPr>
              <w:t>12.8</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 increase in capital cost (over ref. plant)</w:t>
            </w:r>
          </w:p>
        </w:tc>
        <w:tc>
          <w:tcPr>
            <w:tcW w:w="1594" w:type="dxa"/>
            <w:tcBorders>
              <w:left w:val="double" w:sz="1" w:space="0" w:color="000000"/>
            </w:tcBorders>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621" w:type="dxa"/>
            <w:shd w:val="clear" w:color="auto" w:fill="F9FCF9"/>
          </w:tcPr>
          <w:p>
            <w:pPr>
              <w:pStyle w:val="TableParagraph"/>
              <w:spacing w:line="167" w:lineRule="exact" w:before="8"/>
              <w:ind w:left="549" w:right="542"/>
              <w:rPr>
                <w:sz w:val="16"/>
              </w:rPr>
            </w:pPr>
            <w:r>
              <w:rPr>
                <w:sz w:val="16"/>
              </w:rPr>
              <w:t>119</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b/>
                <w:sz w:val="16"/>
              </w:rPr>
            </w:pPr>
            <w:r>
              <w:rPr>
                <w:b/>
                <w:sz w:val="16"/>
              </w:rPr>
              <w:t>% increase in COE (over ref. plant)</w:t>
            </w:r>
          </w:p>
        </w:tc>
        <w:tc>
          <w:tcPr>
            <w:tcW w:w="1594" w:type="dxa"/>
            <w:tcBorders>
              <w:left w:val="double" w:sz="1" w:space="0" w:color="000000"/>
            </w:tcBorders>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621" w:type="dxa"/>
            <w:shd w:val="clear" w:color="auto" w:fill="F9FCF9"/>
          </w:tcPr>
          <w:p>
            <w:pPr>
              <w:pStyle w:val="TableParagraph"/>
              <w:spacing w:line="167" w:lineRule="exact" w:before="8"/>
              <w:ind w:left="549" w:right="542"/>
              <w:rPr>
                <w:b/>
                <w:sz w:val="16"/>
              </w:rPr>
            </w:pPr>
            <w:r>
              <w:rPr>
                <w:b/>
                <w:sz w:val="16"/>
              </w:rPr>
              <w:t>59</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Cost of CO</w:t>
            </w:r>
            <w:r>
              <w:rPr>
                <w:position w:val="-4"/>
                <w:sz w:val="9"/>
              </w:rPr>
              <w:t>2 </w:t>
            </w:r>
            <w:r>
              <w:rPr>
                <w:sz w:val="16"/>
              </w:rPr>
              <w:t>captured (US$/tCO</w:t>
            </w:r>
            <w:r>
              <w:rPr>
                <w:position w:val="-4"/>
                <w:sz w:val="9"/>
              </w:rPr>
              <w:t>2</w:t>
            </w:r>
            <w:r>
              <w:rPr>
                <w:sz w:val="16"/>
              </w:rPr>
              <w:t>)</w:t>
            </w:r>
          </w:p>
        </w:tc>
        <w:tc>
          <w:tcPr>
            <w:tcW w:w="1594" w:type="dxa"/>
            <w:tcBorders>
              <w:left w:val="double" w:sz="1" w:space="0" w:color="000000"/>
            </w:tcBorders>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564" w:type="dxa"/>
            <w:shd w:val="clear" w:color="auto" w:fill="F9FCF9"/>
          </w:tcPr>
          <w:p>
            <w:pPr>
              <w:pStyle w:val="TableParagraph"/>
              <w:jc w:val="left"/>
              <w:rPr>
                <w:sz w:val="12"/>
              </w:rPr>
            </w:pPr>
          </w:p>
        </w:tc>
        <w:tc>
          <w:tcPr>
            <w:tcW w:w="1621" w:type="dxa"/>
            <w:shd w:val="clear" w:color="auto" w:fill="F9FCF9"/>
          </w:tcPr>
          <w:p>
            <w:pPr>
              <w:pStyle w:val="TableParagraph"/>
              <w:spacing w:line="167" w:lineRule="exact" w:before="8"/>
              <w:ind w:left="549" w:right="542"/>
              <w:rPr>
                <w:sz w:val="16"/>
              </w:rPr>
            </w:pPr>
            <w:r>
              <w:rPr>
                <w:sz w:val="16"/>
              </w:rPr>
              <w:t>35</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Cost of CO</w:t>
            </w:r>
            <w:r>
              <w:rPr>
                <w:position w:val="-4"/>
                <w:sz w:val="9"/>
              </w:rPr>
              <w:t>2 </w:t>
            </w:r>
            <w:r>
              <w:rPr>
                <w:sz w:val="16"/>
              </w:rPr>
              <w:t>avoided (US$/tCO</w:t>
            </w:r>
            <w:r>
              <w:rPr>
                <w:position w:val="-4"/>
                <w:sz w:val="9"/>
              </w:rPr>
              <w:t>2</w:t>
            </w:r>
            <w:r>
              <w:rPr>
                <w:sz w:val="16"/>
              </w:rPr>
              <w:t>)</w:t>
            </w:r>
          </w:p>
        </w:tc>
        <w:tc>
          <w:tcPr>
            <w:tcW w:w="1594" w:type="dxa"/>
            <w:tcBorders>
              <w:left w:val="double" w:sz="1" w:space="0" w:color="000000"/>
            </w:tcBorders>
            <w:shd w:val="clear" w:color="auto" w:fill="F9FCF9"/>
          </w:tcPr>
          <w:p>
            <w:pPr>
              <w:pStyle w:val="TableParagraph"/>
              <w:spacing w:line="167" w:lineRule="exact" w:before="8"/>
              <w:ind w:left="242" w:right="215"/>
              <w:rPr>
                <w:sz w:val="16"/>
              </w:rPr>
            </w:pPr>
            <w:r>
              <w:rPr>
                <w:sz w:val="16"/>
              </w:rPr>
              <w:t>31</w:t>
            </w:r>
          </w:p>
        </w:tc>
        <w:tc>
          <w:tcPr>
            <w:tcW w:w="1564" w:type="dxa"/>
            <w:shd w:val="clear" w:color="auto" w:fill="F9FCF9"/>
          </w:tcPr>
          <w:p>
            <w:pPr>
              <w:pStyle w:val="TableParagraph"/>
              <w:spacing w:line="167" w:lineRule="exact" w:before="8"/>
              <w:ind w:left="222" w:right="215"/>
              <w:rPr>
                <w:sz w:val="16"/>
              </w:rPr>
            </w:pPr>
            <w:r>
              <w:rPr>
                <w:sz w:val="16"/>
              </w:rPr>
              <w:t>33</w:t>
            </w:r>
          </w:p>
        </w:tc>
        <w:tc>
          <w:tcPr>
            <w:tcW w:w="1564" w:type="dxa"/>
            <w:shd w:val="clear" w:color="auto" w:fill="F9FCF9"/>
          </w:tcPr>
          <w:p>
            <w:pPr>
              <w:pStyle w:val="TableParagraph"/>
              <w:spacing w:line="167" w:lineRule="exact" w:before="8"/>
              <w:ind w:left="222" w:right="215"/>
              <w:rPr>
                <w:sz w:val="16"/>
              </w:rPr>
            </w:pPr>
            <w:r>
              <w:rPr>
                <w:sz w:val="16"/>
              </w:rPr>
              <w:t>56</w:t>
            </w:r>
          </w:p>
        </w:tc>
        <w:tc>
          <w:tcPr>
            <w:tcW w:w="1621" w:type="dxa"/>
            <w:shd w:val="clear" w:color="auto" w:fill="F9FCF9"/>
          </w:tcPr>
          <w:p>
            <w:pPr>
              <w:pStyle w:val="TableParagraph"/>
              <w:spacing w:line="167" w:lineRule="exact" w:before="8"/>
              <w:ind w:left="549" w:right="542"/>
              <w:rPr>
                <w:sz w:val="16"/>
              </w:rPr>
            </w:pPr>
            <w:r>
              <w:rPr>
                <w:sz w:val="16"/>
              </w:rPr>
              <w:t>42</w:t>
            </w:r>
          </w:p>
        </w:tc>
      </w:tr>
      <w:tr>
        <w:trPr>
          <w:trHeight w:val="195" w:hRule="atLeast"/>
        </w:trPr>
        <w:tc>
          <w:tcPr>
            <w:tcW w:w="3985" w:type="dxa"/>
            <w:tcBorders>
              <w:right w:val="double" w:sz="1" w:space="0" w:color="000000"/>
            </w:tcBorders>
            <w:shd w:val="clear" w:color="auto" w:fill="F9FCF9"/>
          </w:tcPr>
          <w:p>
            <w:pPr>
              <w:pStyle w:val="TableParagraph"/>
              <w:spacing w:line="167" w:lineRule="exact" w:before="8"/>
              <w:ind w:left="20"/>
              <w:jc w:val="left"/>
              <w:rPr>
                <w:sz w:val="16"/>
              </w:rPr>
            </w:pPr>
            <w:r>
              <w:rPr>
                <w:sz w:val="16"/>
              </w:rPr>
              <w:t>Capture cost confidence level (see </w:t>
            </w:r>
            <w:hyperlink w:history="true" w:anchor="_bookmark26">
              <w:r>
                <w:rPr>
                  <w:sz w:val="16"/>
                </w:rPr>
                <w:t>Table 3.6)</w:t>
              </w:r>
            </w:hyperlink>
          </w:p>
        </w:tc>
        <w:tc>
          <w:tcPr>
            <w:tcW w:w="4722" w:type="dxa"/>
            <w:gridSpan w:val="3"/>
            <w:tcBorders>
              <w:left w:val="double" w:sz="1" w:space="0" w:color="000000"/>
            </w:tcBorders>
            <w:shd w:val="clear" w:color="auto" w:fill="F9FCF9"/>
          </w:tcPr>
          <w:p>
            <w:pPr>
              <w:pStyle w:val="TableParagraph"/>
              <w:spacing w:line="167" w:lineRule="exact" w:before="8"/>
              <w:ind w:left="2046" w:right="2019"/>
              <w:rPr>
                <w:sz w:val="16"/>
              </w:rPr>
            </w:pPr>
            <w:r>
              <w:rPr>
                <w:sz w:val="16"/>
              </w:rPr>
              <w:t>moderate</w:t>
            </w:r>
          </w:p>
        </w:tc>
        <w:tc>
          <w:tcPr>
            <w:tcW w:w="1621" w:type="dxa"/>
            <w:shd w:val="clear" w:color="auto" w:fill="F9FCF9"/>
          </w:tcPr>
          <w:p>
            <w:pPr>
              <w:pStyle w:val="TableParagraph"/>
              <w:spacing w:line="167" w:lineRule="exact" w:before="8"/>
              <w:ind w:left="511"/>
              <w:jc w:val="left"/>
              <w:rPr>
                <w:sz w:val="16"/>
              </w:rPr>
            </w:pPr>
            <w:r>
              <w:rPr>
                <w:sz w:val="16"/>
              </w:rPr>
              <w:t>moderate</w:t>
            </w:r>
          </w:p>
        </w:tc>
      </w:tr>
    </w:tbl>
    <w:p>
      <w:pPr>
        <w:spacing w:line="228" w:lineRule="auto" w:before="48"/>
        <w:ind w:left="513" w:right="199" w:firstLine="0"/>
        <w:jc w:val="both"/>
        <w:rPr>
          <w:sz w:val="16"/>
        </w:rPr>
      </w:pPr>
      <w:r>
        <w:rPr>
          <w:sz w:val="16"/>
        </w:rPr>
        <w:t>Notes: All costs in this table are for capture only and do not include the costs of CO</w:t>
      </w:r>
      <w:r>
        <w:rPr>
          <w:position w:val="-4"/>
          <w:sz w:val="9"/>
        </w:rPr>
        <w:t>2 </w:t>
      </w:r>
      <w:r>
        <w:rPr>
          <w:sz w:val="16"/>
        </w:rPr>
        <w:t>transport and storage; see Chapter 8 for total CCS costs. * Reported HHV values converted to LHV assuming LHV/HHV = 0.96 for coal. ** Reported capital costs increased by 8% to include interest during construction. ***Reported capital costs increased by 15% to estimate interest during construction and other owners’ costs.</w:t>
      </w:r>
    </w:p>
    <w:p>
      <w:pPr>
        <w:pStyle w:val="BodyText"/>
      </w:pPr>
    </w:p>
    <w:p>
      <w:pPr>
        <w:pStyle w:val="BodyText"/>
        <w:spacing w:before="2"/>
        <w:rPr>
          <w:sz w:val="19"/>
        </w:rPr>
      </w:pPr>
    </w:p>
    <w:p>
      <w:pPr>
        <w:spacing w:after="0"/>
        <w:rPr>
          <w:sz w:val="19"/>
        </w:rPr>
        <w:sectPr>
          <w:pgSz w:w="12240" w:h="15840"/>
          <w:pgMar w:header="567" w:footer="0" w:top="1040" w:bottom="280" w:left="620" w:right="620"/>
        </w:sectPr>
      </w:pPr>
    </w:p>
    <w:p>
      <w:pPr>
        <w:pStyle w:val="BodyText"/>
        <w:spacing w:line="240" w:lineRule="exact" w:before="58"/>
        <w:ind w:left="513"/>
        <w:jc w:val="both"/>
      </w:pPr>
      <w:r>
        <w:rPr/>
        <w:pict>
          <v:shape style="position:absolute;margin-left:305.934692pt;margin-top:35.450001pt;width:2.9pt;height:5.8pt;mso-position-horizontal-relative:page;mso-position-vertical-relative:paragraph;z-index:-272388096"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t>net power output. While several gasifiers and coal types are represented, most studies focus on the oxygen-blown </w:t>
      </w:r>
      <w:r>
        <w:rPr>
          <w:spacing w:val="-3"/>
        </w:rPr>
        <w:t>Texaco </w:t>
      </w:r>
      <w:r>
        <w:rPr/>
        <w:t>quench system,</w:t>
      </w:r>
      <w:r>
        <w:rPr>
          <w:position w:val="7"/>
          <w:sz w:val="11"/>
        </w:rPr>
        <w:t>10 </w:t>
      </w:r>
      <w:r>
        <w:rPr/>
        <w:t>and all but one assume bituminous coals. CO capture efficiencies across these studies range from 85-92% using commercially available physical absorption systems. The energy requirements for capture increase the overall </w:t>
      </w:r>
      <w:r>
        <w:rPr>
          <w:spacing w:val="-3"/>
        </w:rPr>
        <w:t>plant </w:t>
      </w:r>
      <w:r>
        <w:rPr/>
        <w:t>heat rate (energy input per kWh) by 16-25%, yielding net </w:t>
      </w:r>
      <w:r>
        <w:rPr>
          <w:spacing w:val="-6"/>
        </w:rPr>
        <w:t>CO</w:t>
      </w:r>
      <w:r>
        <w:rPr>
          <w:spacing w:val="-6"/>
          <w:position w:val="-6"/>
          <w:sz w:val="11"/>
        </w:rPr>
        <w:t>2 </w:t>
      </w:r>
      <w:r>
        <w:rPr/>
        <w:t>reductions per kWh of 81-88%. Other study variables that influence total plant cost and the cost of CO</w:t>
      </w:r>
      <w:r>
        <w:rPr>
          <w:position w:val="-6"/>
          <w:sz w:val="11"/>
        </w:rPr>
        <w:t>2 </w:t>
      </w:r>
      <w:r>
        <w:rPr/>
        <w:t>capture include the fuel cost, CO</w:t>
      </w:r>
      <w:r>
        <w:rPr>
          <w:position w:val="-6"/>
          <w:sz w:val="11"/>
        </w:rPr>
        <w:t>2 </w:t>
      </w:r>
      <w:r>
        <w:rPr/>
        <w:t>product pressure, plant capacity factor </w:t>
      </w:r>
      <w:r>
        <w:rPr>
          <w:spacing w:val="-6"/>
        </w:rPr>
        <w:t>and </w:t>
      </w:r>
      <w:r>
        <w:rPr/>
        <w:t>fixed charge factor. Many of the recent studies also include the cost of a spare gasifier to ensure high system</w:t>
      </w:r>
      <w:r>
        <w:rPr>
          <w:spacing w:val="-17"/>
        </w:rPr>
        <w:t> </w:t>
      </w:r>
      <w:r>
        <w:rPr/>
        <w:t>reliability.</w:t>
      </w:r>
    </w:p>
    <w:p>
      <w:pPr>
        <w:pStyle w:val="BodyText"/>
        <w:spacing w:line="240" w:lineRule="exact"/>
        <w:ind w:left="513" w:firstLine="284"/>
        <w:jc w:val="both"/>
      </w:pPr>
      <w:hyperlink w:history="true" w:anchor="_bookmark44">
        <w:r>
          <w:rPr>
            <w:spacing w:val="-3"/>
          </w:rPr>
          <w:t>Table </w:t>
        </w:r>
        <w:r>
          <w:rPr/>
          <w:t>3.10</w:t>
        </w:r>
      </w:hyperlink>
      <w:r>
        <w:rPr/>
        <w:t> indicates that for studies based on the </w:t>
      </w:r>
      <w:r>
        <w:rPr>
          <w:spacing w:val="-3"/>
        </w:rPr>
        <w:t>Texaco  </w:t>
      </w:r>
      <w:r>
        <w:rPr/>
        <w:t>or E-Gas gasifiers, CO</w:t>
      </w:r>
      <w:r>
        <w:rPr>
          <w:position w:val="-6"/>
          <w:sz w:val="11"/>
        </w:rPr>
        <w:t>2  </w:t>
      </w:r>
      <w:r>
        <w:rPr/>
        <w:t>capture adds approximately </w:t>
      </w:r>
      <w:r>
        <w:rPr>
          <w:spacing w:val="-3"/>
        </w:rPr>
        <w:t>20-40%  </w:t>
      </w:r>
      <w:r>
        <w:rPr/>
        <w:t>to both the capital cost (US$ </w:t>
      </w:r>
      <w:r>
        <w:rPr>
          <w:spacing w:val="-3"/>
        </w:rPr>
        <w:t>kW</w:t>
      </w:r>
      <w:r>
        <w:rPr>
          <w:spacing w:val="-3"/>
          <w:position w:val="7"/>
          <w:sz w:val="11"/>
        </w:rPr>
        <w:t>-1</w:t>
      </w:r>
      <w:r>
        <w:rPr>
          <w:spacing w:val="-3"/>
        </w:rPr>
        <w:t>) </w:t>
      </w:r>
      <w:r>
        <w:rPr/>
        <w:t>and the cost of electricity (US$ MWh</w:t>
      </w:r>
      <w:r>
        <w:rPr>
          <w:position w:val="7"/>
          <w:sz w:val="11"/>
        </w:rPr>
        <w:t>-1</w:t>
      </w:r>
      <w:r>
        <w:rPr/>
        <w:t>) of the reference IGCC plants, while</w:t>
      </w:r>
      <w:r>
        <w:rPr>
          <w:spacing w:val="16"/>
        </w:rPr>
        <w:t> </w:t>
      </w:r>
      <w:r>
        <w:rPr/>
        <w:t>studies</w:t>
      </w:r>
    </w:p>
    <w:p>
      <w:pPr>
        <w:pStyle w:val="BodyText"/>
        <w:spacing w:before="7"/>
        <w:rPr>
          <w:sz w:val="28"/>
        </w:rPr>
      </w:pPr>
      <w:r>
        <w:rPr/>
        <w:pict>
          <v:shape style="position:absolute;margin-left:56.693001pt;margin-top:18.920212pt;width:72pt;height:.1pt;mso-position-horizontal-relative:page;mso-position-vertical-relative:paragraph;z-index:-251575296;mso-wrap-distance-left:0;mso-wrap-distance-right:0" coordorigin="1134,378" coordsize="1440,0" path="m1134,378l2574,378e" filled="false" stroked="true" strokeweight="1pt" strokecolor="#000000">
            <v:path arrowok="t"/>
            <v:stroke dashstyle="solid"/>
            <w10:wrap type="topAndBottom"/>
          </v:shape>
        </w:pict>
      </w:r>
    </w:p>
    <w:p>
      <w:pPr>
        <w:spacing w:line="261" w:lineRule="auto" w:before="11"/>
        <w:ind w:left="513" w:right="1" w:firstLine="0"/>
        <w:jc w:val="both"/>
        <w:rPr>
          <w:sz w:val="16"/>
        </w:rPr>
      </w:pPr>
      <w:r>
        <w:rPr>
          <w:position w:val="5"/>
          <w:sz w:val="9"/>
        </w:rPr>
        <w:t>10 </w:t>
      </w:r>
      <w:r>
        <w:rPr>
          <w:sz w:val="16"/>
        </w:rPr>
        <w:t>In 2004, the Texaco gasifier was re-named as the GE gasifier following acquisition by GE Energy (General Electric). However, this report uses the name Texaco, as it is referred to in the original references cited.</w:t>
      </w:r>
    </w:p>
    <w:p>
      <w:pPr>
        <w:pStyle w:val="BodyText"/>
        <w:spacing w:line="240" w:lineRule="exact" w:before="58"/>
        <w:ind w:left="242" w:right="113"/>
        <w:jc w:val="both"/>
      </w:pPr>
      <w:r>
        <w:rPr/>
        <w:br w:type="column"/>
      </w:r>
      <w:r>
        <w:rPr/>
        <w:t>using the Shell gasifier report increases of roughly 30-65%. The total COE reported for IGCC systems ranges from 41-   61 US$ MWh</w:t>
      </w:r>
      <w:r>
        <w:rPr>
          <w:position w:val="7"/>
          <w:sz w:val="11"/>
        </w:rPr>
        <w:t>-1 </w:t>
      </w:r>
      <w:r>
        <w:rPr/>
        <w:t>without capture and 54-79 US$ MWh</w:t>
      </w:r>
      <w:r>
        <w:rPr>
          <w:position w:val="7"/>
          <w:sz w:val="11"/>
        </w:rPr>
        <w:t>-1 </w:t>
      </w:r>
      <w:r>
        <w:rPr/>
        <w:t>with capture. With capture, the lowest COE is found for gasifier systems with quench cooling designs that have lower thermal efficiencies than the more capital-intensive designs with heat recovery systems. Without capture, however, the latter system type has the lowest COE in </w:t>
      </w:r>
      <w:hyperlink w:history="true" w:anchor="_bookmark44">
        <w:r>
          <w:rPr>
            <w:spacing w:val="-3"/>
          </w:rPr>
          <w:t>Table </w:t>
        </w:r>
        <w:r>
          <w:rPr/>
          <w:t>3.10. </w:t>
        </w:r>
      </w:hyperlink>
      <w:r>
        <w:rPr/>
        <w:t>Across all studies, the cost of CO</w:t>
      </w:r>
      <w:r>
        <w:rPr>
          <w:position w:val="-6"/>
          <w:sz w:val="11"/>
        </w:rPr>
        <w:t>2 </w:t>
      </w:r>
      <w:r>
        <w:rPr/>
        <w:t>avoided ranges from 13-37 US$/tCO</w:t>
      </w:r>
      <w:r>
        <w:rPr>
          <w:position w:val="-6"/>
          <w:sz w:val="11"/>
        </w:rPr>
        <w:t>2 </w:t>
      </w:r>
      <w:r>
        <w:rPr/>
        <w:t>relative to  an IGCC without capture, excluding transport and storage costs. Part of the reason for this lower incremental cost of CO</w:t>
      </w:r>
      <w:r>
        <w:rPr>
          <w:position w:val="-6"/>
          <w:sz w:val="11"/>
        </w:rPr>
        <w:t>2 </w:t>
      </w:r>
      <w:r>
        <w:rPr/>
        <w:t>capture relative to coal combustion plants is the lower average energy</w:t>
      </w:r>
      <w:r>
        <w:rPr>
          <w:spacing w:val="-12"/>
        </w:rPr>
        <w:t> </w:t>
      </w:r>
      <w:r>
        <w:rPr/>
        <w:t>requirement</w:t>
      </w:r>
      <w:r>
        <w:rPr>
          <w:spacing w:val="-12"/>
        </w:rPr>
        <w:t> </w:t>
      </w:r>
      <w:r>
        <w:rPr/>
        <w:t>for</w:t>
      </w:r>
      <w:r>
        <w:rPr>
          <w:spacing w:val="-12"/>
        </w:rPr>
        <w:t> </w:t>
      </w:r>
      <w:r>
        <w:rPr/>
        <w:t>IGCC</w:t>
      </w:r>
      <w:r>
        <w:rPr>
          <w:spacing w:val="-12"/>
        </w:rPr>
        <w:t> </w:t>
      </w:r>
      <w:r>
        <w:rPr/>
        <w:t>systems.</w:t>
      </w:r>
      <w:r>
        <w:rPr>
          <w:spacing w:val="-22"/>
        </w:rPr>
        <w:t> </w:t>
      </w:r>
      <w:r>
        <w:rPr/>
        <w:t>Another</w:t>
      </w:r>
      <w:r>
        <w:rPr>
          <w:spacing w:val="-12"/>
        </w:rPr>
        <w:t> </w:t>
      </w:r>
      <w:r>
        <w:rPr/>
        <w:t>key</w:t>
      </w:r>
      <w:r>
        <w:rPr>
          <w:spacing w:val="-12"/>
        </w:rPr>
        <w:t> </w:t>
      </w:r>
      <w:r>
        <w:rPr/>
        <w:t>factor</w:t>
      </w:r>
      <w:r>
        <w:rPr>
          <w:spacing w:val="-12"/>
        </w:rPr>
        <w:t> </w:t>
      </w:r>
      <w:r>
        <w:rPr/>
        <w:t>is</w:t>
      </w:r>
      <w:r>
        <w:rPr>
          <w:spacing w:val="-12"/>
        </w:rPr>
        <w:t> </w:t>
      </w:r>
      <w:r>
        <w:rPr/>
        <w:t>the smaller gas volume treated in oxygen-blown gasifier systems, which substantially reduces equipment size and</w:t>
      </w:r>
      <w:r>
        <w:rPr>
          <w:spacing w:val="-8"/>
        </w:rPr>
        <w:t> </w:t>
      </w:r>
      <w:r>
        <w:rPr/>
        <w:t>cost.</w:t>
      </w:r>
    </w:p>
    <w:p>
      <w:pPr>
        <w:pStyle w:val="BodyText"/>
        <w:spacing w:line="240" w:lineRule="exact"/>
        <w:ind w:left="242" w:right="113" w:firstLine="284"/>
        <w:jc w:val="both"/>
      </w:pPr>
      <w:r>
        <w:rPr/>
        <w:t>As with PC plants, </w:t>
      </w:r>
      <w:hyperlink w:history="true" w:anchor="_bookmark44">
        <w:r>
          <w:rPr>
            <w:spacing w:val="-3"/>
          </w:rPr>
          <w:t>Table </w:t>
        </w:r>
        <w:r>
          <w:rPr/>
          <w:t>3.10</w:t>
        </w:r>
      </w:hyperlink>
      <w:r>
        <w:rPr/>
        <w:t> again emphasizes the importance of plant financing and utilization assumptions on the calculated cost of electricity, which in turn affects CO</w:t>
      </w:r>
      <w:r>
        <w:rPr>
          <w:position w:val="-6"/>
          <w:sz w:val="11"/>
        </w:rPr>
        <w:t>2</w:t>
      </w:r>
      <w:r>
        <w:rPr/>
        <w:t>- capture</w:t>
      </w:r>
      <w:r>
        <w:rPr>
          <w:spacing w:val="-7"/>
        </w:rPr>
        <w:t> </w:t>
      </w:r>
      <w:r>
        <w:rPr/>
        <w:t>costs.</w:t>
      </w:r>
      <w:r>
        <w:rPr>
          <w:spacing w:val="-11"/>
        </w:rPr>
        <w:t> </w:t>
      </w:r>
      <w:r>
        <w:rPr/>
        <w:t>The</w:t>
      </w:r>
      <w:r>
        <w:rPr>
          <w:spacing w:val="-6"/>
        </w:rPr>
        <w:t> </w:t>
      </w:r>
      <w:r>
        <w:rPr/>
        <w:t>lowest</w:t>
      </w:r>
      <w:r>
        <w:rPr>
          <w:spacing w:val="-7"/>
        </w:rPr>
        <w:t> </w:t>
      </w:r>
      <w:r>
        <w:rPr/>
        <w:t>COE</w:t>
      </w:r>
      <w:r>
        <w:rPr>
          <w:spacing w:val="-6"/>
        </w:rPr>
        <w:t> </w:t>
      </w:r>
      <w:r>
        <w:rPr/>
        <w:t>values</w:t>
      </w:r>
      <w:r>
        <w:rPr>
          <w:spacing w:val="-7"/>
        </w:rPr>
        <w:t> </w:t>
      </w:r>
      <w:r>
        <w:rPr/>
        <w:t>in</w:t>
      </w:r>
      <w:r>
        <w:rPr>
          <w:spacing w:val="-6"/>
        </w:rPr>
        <w:t> </w:t>
      </w:r>
      <w:r>
        <w:rPr/>
        <w:t>this</w:t>
      </w:r>
      <w:r>
        <w:rPr>
          <w:spacing w:val="-7"/>
        </w:rPr>
        <w:t> </w:t>
      </w:r>
      <w:r>
        <w:rPr/>
        <w:t>table</w:t>
      </w:r>
      <w:r>
        <w:rPr>
          <w:spacing w:val="-6"/>
        </w:rPr>
        <w:t> </w:t>
      </w:r>
      <w:r>
        <w:rPr/>
        <w:t>are</w:t>
      </w:r>
      <w:r>
        <w:rPr>
          <w:spacing w:val="-7"/>
        </w:rPr>
        <w:t> </w:t>
      </w:r>
      <w:r>
        <w:rPr/>
        <w:t>for</w:t>
      </w:r>
      <w:r>
        <w:rPr>
          <w:spacing w:val="-7"/>
        </w:rPr>
        <w:t> </w:t>
      </w:r>
      <w:r>
        <w:rPr>
          <w:spacing w:val="-3"/>
        </w:rPr>
        <w:t>plants </w:t>
      </w:r>
      <w:r>
        <w:rPr/>
        <w:t>with</w:t>
      </w:r>
      <w:r>
        <w:rPr>
          <w:spacing w:val="26"/>
        </w:rPr>
        <w:t> </w:t>
      </w:r>
      <w:r>
        <w:rPr/>
        <w:t>a</w:t>
      </w:r>
      <w:r>
        <w:rPr>
          <w:spacing w:val="27"/>
        </w:rPr>
        <w:t> </w:t>
      </w:r>
      <w:r>
        <w:rPr/>
        <w:t>low</w:t>
      </w:r>
      <w:r>
        <w:rPr>
          <w:spacing w:val="26"/>
        </w:rPr>
        <w:t> </w:t>
      </w:r>
      <w:r>
        <w:rPr/>
        <w:t>fixed</w:t>
      </w:r>
      <w:r>
        <w:rPr>
          <w:spacing w:val="27"/>
        </w:rPr>
        <w:t> </w:t>
      </w:r>
      <w:r>
        <w:rPr/>
        <w:t>charge</w:t>
      </w:r>
      <w:r>
        <w:rPr>
          <w:spacing w:val="27"/>
        </w:rPr>
        <w:t> </w:t>
      </w:r>
      <w:r>
        <w:rPr/>
        <w:t>rate</w:t>
      </w:r>
      <w:r>
        <w:rPr>
          <w:spacing w:val="26"/>
        </w:rPr>
        <w:t> </w:t>
      </w:r>
      <w:r>
        <w:rPr/>
        <w:t>and</w:t>
      </w:r>
      <w:r>
        <w:rPr>
          <w:spacing w:val="27"/>
        </w:rPr>
        <w:t> </w:t>
      </w:r>
      <w:r>
        <w:rPr/>
        <w:t>high</w:t>
      </w:r>
      <w:r>
        <w:rPr>
          <w:spacing w:val="26"/>
        </w:rPr>
        <w:t> </w:t>
      </w:r>
      <w:r>
        <w:rPr/>
        <w:t>capacity</w:t>
      </w:r>
      <w:r>
        <w:rPr>
          <w:spacing w:val="27"/>
        </w:rPr>
        <w:t> </w:t>
      </w:r>
      <w:r>
        <w:rPr/>
        <w:t>factor,</w:t>
      </w:r>
      <w:r>
        <w:rPr>
          <w:spacing w:val="27"/>
        </w:rPr>
        <w:t> </w:t>
      </w:r>
      <w:r>
        <w:rPr/>
        <w:t>while</w:t>
      </w:r>
    </w:p>
    <w:p>
      <w:pPr>
        <w:spacing w:after="0" w:line="240" w:lineRule="exact"/>
        <w:jc w:val="both"/>
        <w:sectPr>
          <w:type w:val="continuous"/>
          <w:pgSz w:w="12240" w:h="15840"/>
          <w:pgMar w:top="480" w:bottom="280" w:left="620" w:right="620"/>
          <w:cols w:num="2" w:equalWidth="0">
            <w:col w:w="5559" w:space="40"/>
            <w:col w:w="5401"/>
          </w:cols>
        </w:sectPr>
      </w:pPr>
    </w:p>
    <w:p>
      <w:pPr>
        <w:pStyle w:val="BodyText"/>
        <w:spacing w:before="8"/>
        <w:rPr>
          <w:sz w:val="12"/>
        </w:rPr>
      </w:pPr>
    </w:p>
    <w:p>
      <w:pPr>
        <w:spacing w:after="0"/>
        <w:rPr>
          <w:sz w:val="12"/>
        </w:rPr>
        <w:sectPr>
          <w:headerReference w:type="even" r:id="rId187"/>
          <w:headerReference w:type="default" r:id="rId188"/>
          <w:pgSz w:w="12240" w:h="15840"/>
          <w:pgMar w:header="567" w:footer="0" w:top="1040" w:bottom="280" w:left="620" w:right="620"/>
          <w:pgNumType w:start="158"/>
        </w:sectPr>
      </w:pPr>
    </w:p>
    <w:p>
      <w:pPr>
        <w:pStyle w:val="BodyText"/>
        <w:spacing w:line="240" w:lineRule="exact" w:before="58"/>
        <w:ind w:left="117" w:right="38"/>
        <w:jc w:val="both"/>
      </w:pPr>
      <w:bookmarkStart w:name="3.7.7 CO2 capture cost for hydrogen prod" w:id="96"/>
      <w:bookmarkEnd w:id="96"/>
      <w:r>
        <w:rPr/>
      </w:r>
      <w:r>
        <w:rPr/>
        <w:t>substantially</w:t>
      </w:r>
      <w:r>
        <w:rPr>
          <w:spacing w:val="-20"/>
        </w:rPr>
        <w:t> </w:t>
      </w:r>
      <w:r>
        <w:rPr/>
        <w:t>higher</w:t>
      </w:r>
      <w:r>
        <w:rPr>
          <w:spacing w:val="-19"/>
        </w:rPr>
        <w:t> </w:t>
      </w:r>
      <w:r>
        <w:rPr/>
        <w:t>COE</w:t>
      </w:r>
      <w:r>
        <w:rPr>
          <w:spacing w:val="-20"/>
        </w:rPr>
        <w:t> </w:t>
      </w:r>
      <w:r>
        <w:rPr/>
        <w:t>values</w:t>
      </w:r>
      <w:r>
        <w:rPr>
          <w:spacing w:val="-19"/>
        </w:rPr>
        <w:t> </w:t>
      </w:r>
      <w:r>
        <w:rPr/>
        <w:t>result</w:t>
      </w:r>
      <w:r>
        <w:rPr>
          <w:spacing w:val="-20"/>
        </w:rPr>
        <w:t> </w:t>
      </w:r>
      <w:r>
        <w:rPr/>
        <w:t>from</w:t>
      </w:r>
      <w:r>
        <w:rPr>
          <w:spacing w:val="-19"/>
        </w:rPr>
        <w:t> </w:t>
      </w:r>
      <w:r>
        <w:rPr/>
        <w:t>high</w:t>
      </w:r>
      <w:r>
        <w:rPr>
          <w:spacing w:val="-20"/>
        </w:rPr>
        <w:t> </w:t>
      </w:r>
      <w:r>
        <w:rPr/>
        <w:t>financing</w:t>
      </w:r>
      <w:r>
        <w:rPr>
          <w:spacing w:val="-19"/>
        </w:rPr>
        <w:t> </w:t>
      </w:r>
      <w:r>
        <w:rPr/>
        <w:t>costs and lower plant utilization. </w:t>
      </w:r>
      <w:r>
        <w:rPr>
          <w:spacing w:val="-3"/>
        </w:rPr>
        <w:t>Similarly, </w:t>
      </w:r>
      <w:r>
        <w:rPr/>
        <w:t>the type and properties of coal assumed has a major impact on the COE, as seen in     a recent Canadian Clean Power Coalition </w:t>
      </w:r>
      <w:r>
        <w:rPr>
          <w:spacing w:val="-3"/>
        </w:rPr>
        <w:t>study, </w:t>
      </w:r>
      <w:r>
        <w:rPr/>
        <w:t>which found substantially higher costs for low-rank coals using a Texaco- based IGCC system (Stobbs and Clark, 2005, </w:t>
      </w:r>
      <w:hyperlink w:history="true" w:anchor="_bookmark44">
        <w:r>
          <w:rPr>
            <w:spacing w:val="-3"/>
          </w:rPr>
          <w:t>Table</w:t>
        </w:r>
      </w:hyperlink>
      <w:r>
        <w:rPr>
          <w:spacing w:val="-3"/>
        </w:rPr>
        <w:t> </w:t>
      </w:r>
      <w:r>
        <w:rPr/>
        <w:t>3.10). EPRI also reports higher IGCC costs for low-rank coals </w:t>
      </w:r>
      <w:r>
        <w:rPr>
          <w:spacing w:val="-3"/>
        </w:rPr>
        <w:t>(Holt </w:t>
      </w:r>
      <w:r>
        <w:rPr>
          <w:i/>
        </w:rPr>
        <w:t>et al.</w:t>
      </w:r>
      <w:r>
        <w:rPr/>
        <w:t>, 2003). On the other hand, where plant-level assumptions and designs are similar across studies, there is relatively little difference</w:t>
      </w:r>
      <w:r>
        <w:rPr>
          <w:spacing w:val="-16"/>
        </w:rPr>
        <w:t> </w:t>
      </w:r>
      <w:r>
        <w:rPr/>
        <w:t>in</w:t>
      </w:r>
      <w:r>
        <w:rPr>
          <w:spacing w:val="-15"/>
        </w:rPr>
        <w:t> </w:t>
      </w:r>
      <w:r>
        <w:rPr/>
        <w:t>the</w:t>
      </w:r>
      <w:r>
        <w:rPr>
          <w:spacing w:val="-15"/>
        </w:rPr>
        <w:t> </w:t>
      </w:r>
      <w:r>
        <w:rPr/>
        <w:t>estimated</w:t>
      </w:r>
      <w:r>
        <w:rPr>
          <w:spacing w:val="-15"/>
        </w:rPr>
        <w:t> </w:t>
      </w:r>
      <w:r>
        <w:rPr/>
        <w:t>costs</w:t>
      </w:r>
      <w:r>
        <w:rPr>
          <w:spacing w:val="-15"/>
        </w:rPr>
        <w:t> </w:t>
      </w:r>
      <w:r>
        <w:rPr/>
        <w:t>of</w:t>
      </w:r>
      <w:r>
        <w:rPr>
          <w:spacing w:val="-16"/>
        </w:rPr>
        <w:t> </w:t>
      </w:r>
      <w:r>
        <w:rPr/>
        <w:t>CO</w:t>
      </w:r>
      <w:r>
        <w:rPr>
          <w:position w:val="-6"/>
          <w:sz w:val="11"/>
        </w:rPr>
        <w:t>2</w:t>
      </w:r>
      <w:r>
        <w:rPr>
          <w:spacing w:val="8"/>
          <w:position w:val="-6"/>
          <w:sz w:val="11"/>
        </w:rPr>
        <w:t> </w:t>
      </w:r>
      <w:r>
        <w:rPr/>
        <w:t>capture</w:t>
      </w:r>
      <w:r>
        <w:rPr>
          <w:spacing w:val="-15"/>
        </w:rPr>
        <w:t> </w:t>
      </w:r>
      <w:r>
        <w:rPr/>
        <w:t>based</w:t>
      </w:r>
      <w:r>
        <w:rPr>
          <w:spacing w:val="-15"/>
        </w:rPr>
        <w:t> </w:t>
      </w:r>
      <w:r>
        <w:rPr/>
        <w:t>on</w:t>
      </w:r>
      <w:r>
        <w:rPr>
          <w:spacing w:val="-15"/>
        </w:rPr>
        <w:t> </w:t>
      </w:r>
      <w:r>
        <w:rPr/>
        <w:t>current commercial technology. </w:t>
      </w:r>
      <w:r>
        <w:rPr>
          <w:spacing w:val="-3"/>
        </w:rPr>
        <w:t>Similarly, </w:t>
      </w:r>
      <w:r>
        <w:rPr/>
        <w:t>the several studies in</w:t>
      </w:r>
      <w:r>
        <w:rPr>
          <w:spacing w:val="-13"/>
        </w:rPr>
        <w:t> </w:t>
      </w:r>
      <w:r>
        <w:rPr>
          <w:spacing w:val="-3"/>
        </w:rPr>
        <w:t>Tables</w:t>
      </w:r>
    </w:p>
    <w:p>
      <w:pPr>
        <w:pStyle w:val="BodyText"/>
        <w:spacing w:line="249" w:lineRule="auto" w:before="5"/>
        <w:ind w:left="117" w:right="38"/>
        <w:jc w:val="both"/>
      </w:pPr>
      <w:hyperlink w:history="true" w:anchor="_bookmark30">
        <w:r>
          <w:rPr/>
          <w:t>3.7 </w:t>
        </w:r>
      </w:hyperlink>
      <w:r>
        <w:rPr/>
        <w:t>and </w:t>
      </w:r>
      <w:hyperlink w:history="true" w:anchor="_bookmark44">
        <w:r>
          <w:rPr/>
          <w:t>3.10 </w:t>
        </w:r>
      </w:hyperlink>
      <w:r>
        <w:rPr/>
        <w:t>that estimate costs for both IGCC and PC plants on an internally consistent basis, all find that IGCC plants with capture have a lower COE than PC plants with capture. There is not yet a high degree of confidence in these cost estimates, however (see </w:t>
      </w:r>
      <w:hyperlink w:history="true" w:anchor="_bookmark27">
        <w:r>
          <w:rPr/>
          <w:t>Table </w:t>
        </w:r>
      </w:hyperlink>
      <w:r>
        <w:rPr/>
        <w:t>3.6).</w:t>
      </w:r>
    </w:p>
    <w:p>
      <w:pPr>
        <w:pStyle w:val="BodyText"/>
        <w:spacing w:line="225" w:lineRule="auto" w:before="15"/>
        <w:ind w:left="117" w:right="39" w:firstLine="284"/>
        <w:jc w:val="both"/>
      </w:pPr>
      <w:r>
        <w:rPr/>
        <w:t>The costs in </w:t>
      </w:r>
      <w:hyperlink w:history="true" w:anchor="_bookmark44">
        <w:r>
          <w:rPr>
            <w:spacing w:val="-3"/>
          </w:rPr>
          <w:t>Table </w:t>
        </w:r>
        <w:r>
          <w:rPr/>
          <w:t>3.10 </w:t>
        </w:r>
      </w:hyperlink>
      <w:r>
        <w:rPr/>
        <w:t>also reflect efforts in some studies to identify least-cost CO</w:t>
      </w:r>
      <w:r>
        <w:rPr>
          <w:position w:val="-6"/>
          <w:sz w:val="11"/>
        </w:rPr>
        <w:t>2 </w:t>
      </w:r>
      <w:r>
        <w:rPr/>
        <w:t>capture options. For example, one recent study (IEA GHG, 2003) found that capture and</w:t>
      </w:r>
      <w:r>
        <w:rPr>
          <w:spacing w:val="9"/>
        </w:rPr>
        <w:t> </w:t>
      </w:r>
      <w:r>
        <w:rPr/>
        <w:t>disposal</w:t>
      </w:r>
    </w:p>
    <w:p>
      <w:pPr>
        <w:pStyle w:val="BodyText"/>
        <w:spacing w:line="240" w:lineRule="exact" w:before="5"/>
        <w:ind w:left="117" w:right="38"/>
        <w:jc w:val="both"/>
      </w:pPr>
      <w:r>
        <w:rPr/>
        <w:t>of hydrogen sulphide (H</w:t>
      </w:r>
      <w:r>
        <w:rPr>
          <w:position w:val="-6"/>
          <w:sz w:val="11"/>
        </w:rPr>
        <w:t>2</w:t>
      </w:r>
      <w:r>
        <w:rPr/>
        <w:t>S) along with CO</w:t>
      </w:r>
      <w:r>
        <w:rPr>
          <w:position w:val="-6"/>
          <w:sz w:val="11"/>
        </w:rPr>
        <w:t>2 </w:t>
      </w:r>
      <w:r>
        <w:rPr/>
        <w:t>can reduce overall capture costs by about 20% (although this may increase transport and storage costs, as discussed in Chapters 4 and    5). The feasibility of this approach depends in a large part on applicable</w:t>
      </w:r>
      <w:r>
        <w:rPr>
          <w:spacing w:val="24"/>
        </w:rPr>
        <w:t> </w:t>
      </w:r>
      <w:r>
        <w:rPr/>
        <w:t>regulatory</w:t>
      </w:r>
      <w:r>
        <w:rPr>
          <w:spacing w:val="24"/>
        </w:rPr>
        <w:t> </w:t>
      </w:r>
      <w:r>
        <w:rPr/>
        <w:t>and</w:t>
      </w:r>
      <w:r>
        <w:rPr>
          <w:spacing w:val="25"/>
        </w:rPr>
        <w:t> </w:t>
      </w:r>
      <w:r>
        <w:rPr/>
        <w:t>permitting</w:t>
      </w:r>
      <w:r>
        <w:rPr>
          <w:spacing w:val="24"/>
        </w:rPr>
        <w:t> </w:t>
      </w:r>
      <w:r>
        <w:rPr/>
        <w:t>requirements.</w:t>
      </w:r>
      <w:r>
        <w:rPr>
          <w:spacing w:val="14"/>
        </w:rPr>
        <w:t> </w:t>
      </w:r>
      <w:r>
        <w:rPr/>
        <w:t>Advanced</w:t>
      </w:r>
    </w:p>
    <w:p>
      <w:pPr>
        <w:pStyle w:val="BodyText"/>
        <w:spacing w:line="240" w:lineRule="exact" w:before="58"/>
        <w:ind w:left="117" w:right="511"/>
        <w:jc w:val="both"/>
      </w:pPr>
      <w:r>
        <w:rPr/>
        <w:br w:type="column"/>
      </w:r>
      <w:r>
        <w:rPr/>
        <w:t>plants involve combining CO</w:t>
      </w:r>
      <w:r>
        <w:rPr>
          <w:position w:val="-6"/>
          <w:sz w:val="11"/>
        </w:rPr>
        <w:t>2 </w:t>
      </w:r>
      <w:r>
        <w:rPr/>
        <w:t>capture with plant upgrades that increase overall efficiency and net output. Additional studies would be needed to systematically compare the feasibility and cost of IGCC repowering to supercritical boiler upgrades at existing coal-fired plants.</w:t>
      </w:r>
    </w:p>
    <w:p>
      <w:pPr>
        <w:pStyle w:val="BodyText"/>
        <w:rPr>
          <w:sz w:val="23"/>
        </w:rPr>
      </w:pPr>
    </w:p>
    <w:p>
      <w:pPr>
        <w:pStyle w:val="Heading2"/>
        <w:numPr>
          <w:ilvl w:val="2"/>
          <w:numId w:val="29"/>
        </w:numPr>
        <w:tabs>
          <w:tab w:pos="936" w:val="left" w:leader="none"/>
          <w:tab w:pos="938" w:val="left" w:leader="none"/>
        </w:tabs>
        <w:spacing w:line="206" w:lineRule="auto" w:before="0" w:after="0"/>
        <w:ind w:left="937" w:right="920" w:hanging="821"/>
        <w:jc w:val="left"/>
      </w:pPr>
      <w:r>
        <w:rPr>
          <w:i/>
        </w:rPr>
        <w:t>CO</w:t>
      </w:r>
      <w:r>
        <w:rPr>
          <w:i/>
          <w:position w:val="-6"/>
          <w:sz w:val="11"/>
        </w:rPr>
        <w:t>2 </w:t>
      </w:r>
      <w:r>
        <w:rPr>
          <w:i/>
        </w:rPr>
        <w:t>capture cost for hydrogen production and </w:t>
      </w:r>
      <w:r>
        <w:rPr/>
        <w:t>multi-product plants (current technology)</w:t>
      </w:r>
    </w:p>
    <w:p>
      <w:pPr>
        <w:pStyle w:val="BodyText"/>
        <w:spacing w:before="8"/>
        <w:rPr>
          <w:b/>
          <w:i/>
          <w:sz w:val="21"/>
        </w:rPr>
      </w:pPr>
    </w:p>
    <w:p>
      <w:pPr>
        <w:pStyle w:val="BodyText"/>
        <w:spacing w:line="240" w:lineRule="exact"/>
        <w:ind w:left="117" w:right="510"/>
        <w:jc w:val="both"/>
      </w:pPr>
      <w:r>
        <w:rPr/>
        <w:t>While electric power systems have been the dominant technologies</w:t>
      </w:r>
      <w:r>
        <w:rPr>
          <w:spacing w:val="-8"/>
        </w:rPr>
        <w:t> </w:t>
      </w:r>
      <w:r>
        <w:rPr/>
        <w:t>of</w:t>
      </w:r>
      <w:r>
        <w:rPr>
          <w:spacing w:val="-8"/>
        </w:rPr>
        <w:t> </w:t>
      </w:r>
      <w:r>
        <w:rPr/>
        <w:t>interest</w:t>
      </w:r>
      <w:r>
        <w:rPr>
          <w:spacing w:val="-7"/>
        </w:rPr>
        <w:t> </w:t>
      </w:r>
      <w:r>
        <w:rPr/>
        <w:t>for</w:t>
      </w:r>
      <w:r>
        <w:rPr>
          <w:spacing w:val="-8"/>
        </w:rPr>
        <w:t> </w:t>
      </w:r>
      <w:r>
        <w:rPr/>
        <w:t>CO</w:t>
      </w:r>
      <w:r>
        <w:rPr>
          <w:position w:val="-6"/>
          <w:sz w:val="11"/>
        </w:rPr>
        <w:t>2</w:t>
      </w:r>
      <w:r>
        <w:rPr>
          <w:spacing w:val="15"/>
          <w:position w:val="-6"/>
          <w:sz w:val="11"/>
        </w:rPr>
        <w:t> </w:t>
      </w:r>
      <w:r>
        <w:rPr/>
        <w:t>capture</w:t>
      </w:r>
      <w:r>
        <w:rPr>
          <w:spacing w:val="-8"/>
        </w:rPr>
        <w:t> </w:t>
      </w:r>
      <w:r>
        <w:rPr/>
        <w:t>studies,</w:t>
      </w:r>
      <w:r>
        <w:rPr>
          <w:spacing w:val="-7"/>
        </w:rPr>
        <w:t> </w:t>
      </w:r>
      <w:r>
        <w:rPr/>
        <w:t>other</w:t>
      </w:r>
      <w:r>
        <w:rPr>
          <w:spacing w:val="-8"/>
        </w:rPr>
        <w:t> </w:t>
      </w:r>
      <w:r>
        <w:rPr/>
        <w:t>industrial processes, including hydrogen production and </w:t>
      </w:r>
      <w:r>
        <w:rPr>
          <w:spacing w:val="-2"/>
        </w:rPr>
        <w:t>multi-product </w:t>
      </w:r>
      <w:r>
        <w:rPr/>
        <w:t>plants producing a mix of fuels, chemicals and electricity also are of interest. Because CO</w:t>
      </w:r>
      <w:r>
        <w:rPr>
          <w:position w:val="-6"/>
          <w:sz w:val="11"/>
        </w:rPr>
        <w:t>2   </w:t>
      </w:r>
      <w:r>
        <w:rPr/>
        <w:t>capture cost depends strongly   on the production process in question, several categories of industrial processes are discussed </w:t>
      </w:r>
      <w:r>
        <w:rPr>
          <w:spacing w:val="-3"/>
        </w:rPr>
        <w:t>below.</w:t>
      </w:r>
    </w:p>
    <w:p>
      <w:pPr>
        <w:pStyle w:val="BodyText"/>
        <w:spacing w:before="3"/>
        <w:rPr>
          <w:sz w:val="21"/>
        </w:rPr>
      </w:pPr>
    </w:p>
    <w:p>
      <w:pPr>
        <w:pStyle w:val="ListParagraph"/>
        <w:numPr>
          <w:ilvl w:val="3"/>
          <w:numId w:val="29"/>
        </w:numPr>
        <w:tabs>
          <w:tab w:pos="938" w:val="left" w:leader="none"/>
        </w:tabs>
        <w:spacing w:line="240" w:lineRule="auto" w:before="1" w:after="0"/>
        <w:ind w:left="937" w:right="0" w:hanging="821"/>
        <w:jc w:val="both"/>
        <w:rPr>
          <w:i/>
          <w:sz w:val="20"/>
        </w:rPr>
      </w:pPr>
      <w:r>
        <w:rPr>
          <w:i/>
          <w:sz w:val="20"/>
        </w:rPr>
        <w:t>Hydrogen production</w:t>
      </w:r>
      <w:r>
        <w:rPr>
          <w:i/>
          <w:spacing w:val="-1"/>
          <w:sz w:val="20"/>
        </w:rPr>
        <w:t> </w:t>
      </w:r>
      <w:r>
        <w:rPr>
          <w:i/>
          <w:sz w:val="20"/>
        </w:rPr>
        <w:t>plants</w:t>
      </w:r>
    </w:p>
    <w:p>
      <w:pPr>
        <w:pStyle w:val="BodyText"/>
        <w:spacing w:line="240" w:lineRule="exact" w:before="4"/>
        <w:ind w:left="117" w:right="510"/>
        <w:jc w:val="both"/>
      </w:pPr>
      <w:r>
        <w:rPr/>
        <w:pict>
          <v:shape style="position:absolute;margin-left:474.624695pt;margin-top:80.75pt;width:1.65pt;height:5.8pt;mso-position-horizontal-relative:page;mso-position-vertical-relative:paragraph;z-index:-272387072" type="#_x0000_t202" filled="false" stroked="false">
            <v:textbox inset="0,0,0,0">
              <w:txbxContent>
                <w:p>
                  <w:pPr>
                    <w:spacing w:line="111" w:lineRule="exact" w:before="0"/>
                    <w:ind w:left="0" w:right="0" w:firstLine="0"/>
                    <w:jc w:val="left"/>
                    <w:rPr>
                      <w:sz w:val="11"/>
                    </w:rPr>
                  </w:pPr>
                  <w:r>
                    <w:rPr>
                      <w:w w:val="105"/>
                      <w:sz w:val="11"/>
                    </w:rPr>
                    <w:t>t</w:t>
                  </w:r>
                </w:p>
              </w:txbxContent>
            </v:textbox>
            <w10:wrap type="none"/>
          </v:shape>
        </w:pict>
      </w:r>
      <w:r>
        <w:rPr/>
        <w:t>Section 3.5 discussed the potential role of hydrogen as an energy carrier and the technological options for its production. Here we examine the cost of capturing CO</w:t>
      </w:r>
      <w:r>
        <w:rPr>
          <w:position w:val="-6"/>
          <w:sz w:val="11"/>
        </w:rPr>
        <w:t>2 </w:t>
      </w:r>
      <w:r>
        <w:rPr/>
        <w:t>normally released during the production of hydrogen from fossil fuels. </w:t>
      </w:r>
      <w:hyperlink w:history="true" w:anchor="_bookmark47">
        <w:r>
          <w:rPr>
            <w:spacing w:val="-3"/>
          </w:rPr>
          <w:t>Table </w:t>
        </w:r>
        <w:r>
          <w:rPr>
            <w:spacing w:val="-5"/>
          </w:rPr>
          <w:t>3.11</w:t>
        </w:r>
      </w:hyperlink>
      <w:r>
        <w:rPr>
          <w:spacing w:val="-5"/>
        </w:rPr>
        <w:t> </w:t>
      </w:r>
      <w:r>
        <w:rPr/>
        <w:t>shows the key assumptions and cost results of recent studies of CO</w:t>
      </w:r>
      <w:r>
        <w:rPr>
          <w:position w:val="-6"/>
          <w:sz w:val="11"/>
        </w:rPr>
        <w:t>2 </w:t>
      </w:r>
      <w:r>
        <w:rPr/>
        <w:t>capture costs for plants with hydrogen production rates </w:t>
      </w:r>
      <w:r>
        <w:rPr>
          <w:spacing w:val="-6"/>
        </w:rPr>
        <w:t>of</w:t>
      </w:r>
    </w:p>
    <w:p>
      <w:pPr>
        <w:spacing w:after="0" w:line="240" w:lineRule="exact"/>
        <w:jc w:val="both"/>
        <w:sectPr>
          <w:type w:val="continuous"/>
          <w:pgSz w:w="12240" w:h="15840"/>
          <w:pgMar w:top="480" w:bottom="280" w:left="620" w:right="620"/>
          <w:cols w:num="2" w:equalWidth="0">
            <w:col w:w="5202" w:space="124"/>
            <w:col w:w="5674"/>
          </w:cols>
        </w:sectPr>
      </w:pPr>
    </w:p>
    <w:p>
      <w:pPr>
        <w:pStyle w:val="BodyText"/>
        <w:spacing w:line="206" w:lineRule="auto" w:before="24"/>
        <w:ind w:left="117" w:right="-2"/>
      </w:pPr>
      <w:r>
        <w:rPr/>
        <w:t>IGCC designs that may further reduce future </w:t>
      </w:r>
      <w:r>
        <w:rPr>
          <w:spacing w:val="-7"/>
        </w:rPr>
        <w:t>CO</w:t>
      </w:r>
      <w:r>
        <w:rPr>
          <w:spacing w:val="-7"/>
          <w:position w:val="-6"/>
          <w:sz w:val="11"/>
        </w:rPr>
        <w:t>2 </w:t>
      </w:r>
      <w:r>
        <w:rPr/>
        <w:t>are discussed in Section 3.7.7.</w:t>
      </w:r>
    </w:p>
    <w:p>
      <w:pPr>
        <w:pStyle w:val="BodyText"/>
        <w:spacing w:before="5"/>
        <w:ind w:left="8"/>
      </w:pPr>
      <w:r>
        <w:rPr/>
        <w:br w:type="column"/>
      </w:r>
      <w:r>
        <w:rPr/>
        <w:t>capture costs</w:t>
      </w:r>
    </w:p>
    <w:p>
      <w:pPr>
        <w:pStyle w:val="BodyText"/>
        <w:spacing w:line="225" w:lineRule="auto" w:before="16"/>
        <w:ind w:left="117" w:right="511"/>
        <w:jc w:val="both"/>
      </w:pPr>
      <w:r>
        <w:rPr/>
        <w:br w:type="column"/>
      </w:r>
      <w:r>
        <w:rPr/>
        <w:t>155,000-510,000 Nm</w:t>
      </w:r>
      <w:r>
        <w:rPr>
          <w:position w:val="7"/>
          <w:sz w:val="11"/>
        </w:rPr>
        <w:t>3 </w:t>
      </w:r>
      <w:r>
        <w:rPr/>
        <w:t>h</w:t>
      </w:r>
      <w:r>
        <w:rPr>
          <w:position w:val="7"/>
          <w:sz w:val="11"/>
        </w:rPr>
        <w:t>-1 </w:t>
      </w:r>
      <w:r>
        <w:rPr/>
        <w:t>(466-1531 MW ), employing </w:t>
      </w:r>
      <w:r>
        <w:rPr>
          <w:spacing w:val="-3"/>
        </w:rPr>
        <w:t>either </w:t>
      </w:r>
      <w:r>
        <w:rPr/>
        <w:t>natural gas or coal as a feedstock. The CO</w:t>
      </w:r>
      <w:r>
        <w:rPr>
          <w:position w:val="-6"/>
          <w:sz w:val="11"/>
        </w:rPr>
        <w:t>2 </w:t>
      </w:r>
      <w:r>
        <w:rPr/>
        <w:t>capture efficiency for</w:t>
      </w:r>
      <w:r>
        <w:rPr>
          <w:spacing w:val="-11"/>
        </w:rPr>
        <w:t> </w:t>
      </w:r>
      <w:r>
        <w:rPr/>
        <w:t>the</w:t>
      </w:r>
      <w:r>
        <w:rPr>
          <w:spacing w:val="-10"/>
        </w:rPr>
        <w:t> </w:t>
      </w:r>
      <w:r>
        <w:rPr/>
        <w:t>hydrogen</w:t>
      </w:r>
      <w:r>
        <w:rPr>
          <w:spacing w:val="-11"/>
        </w:rPr>
        <w:t> </w:t>
      </w:r>
      <w:r>
        <w:rPr/>
        <w:t>plant</w:t>
      </w:r>
      <w:r>
        <w:rPr>
          <w:spacing w:val="-10"/>
        </w:rPr>
        <w:t> </w:t>
      </w:r>
      <w:r>
        <w:rPr/>
        <w:t>ranges</w:t>
      </w:r>
      <w:r>
        <w:rPr>
          <w:spacing w:val="-11"/>
        </w:rPr>
        <w:t> </w:t>
      </w:r>
      <w:r>
        <w:rPr/>
        <w:t>from</w:t>
      </w:r>
      <w:r>
        <w:rPr>
          <w:spacing w:val="-10"/>
        </w:rPr>
        <w:t> </w:t>
      </w:r>
      <w:r>
        <w:rPr/>
        <w:t>87-95%</w:t>
      </w:r>
      <w:r>
        <w:rPr>
          <w:spacing w:val="-10"/>
        </w:rPr>
        <w:t> </w:t>
      </w:r>
      <w:r>
        <w:rPr/>
        <w:t>using</w:t>
      </w:r>
      <w:r>
        <w:rPr>
          <w:spacing w:val="-11"/>
        </w:rPr>
        <w:t> </w:t>
      </w:r>
      <w:r>
        <w:rPr/>
        <w:t>commercially</w:t>
      </w:r>
    </w:p>
    <w:p>
      <w:pPr>
        <w:spacing w:after="0" w:line="225" w:lineRule="auto"/>
        <w:jc w:val="both"/>
        <w:sectPr>
          <w:type w:val="continuous"/>
          <w:pgSz w:w="12240" w:h="15840"/>
          <w:pgMar w:top="480" w:bottom="280" w:left="620" w:right="620"/>
          <w:cols w:num="3" w:equalWidth="0">
            <w:col w:w="4074" w:space="40"/>
            <w:col w:w="1088" w:space="125"/>
            <w:col w:w="5673"/>
          </w:cols>
        </w:sectPr>
      </w:pPr>
    </w:p>
    <w:p>
      <w:pPr>
        <w:pStyle w:val="BodyText"/>
        <w:tabs>
          <w:tab w:pos="936" w:val="left" w:leader="none"/>
        </w:tabs>
        <w:spacing w:line="249" w:lineRule="auto" w:before="10"/>
        <w:ind w:left="117" w:right="38"/>
      </w:pPr>
      <w:r>
        <w:rPr>
          <w:i/>
        </w:rPr>
        <w:t>3.7.6.2</w:t>
        <w:tab/>
        <w:t>Repowering of existing coal-fired plants with IGCC </w:t>
      </w:r>
      <w:r>
        <w:rPr/>
        <w:t>For some existing coal-fired power plants, an alternative to the post-combustion</w:t>
      </w:r>
      <w:r>
        <w:rPr>
          <w:spacing w:val="-24"/>
        </w:rPr>
        <w:t> </w:t>
      </w:r>
      <w:r>
        <w:rPr/>
        <w:t>capture</w:t>
      </w:r>
      <w:r>
        <w:rPr>
          <w:spacing w:val="-24"/>
        </w:rPr>
        <w:t> </w:t>
      </w:r>
      <w:r>
        <w:rPr/>
        <w:t>systems</w:t>
      </w:r>
      <w:r>
        <w:rPr>
          <w:spacing w:val="-24"/>
        </w:rPr>
        <w:t> </w:t>
      </w:r>
      <w:r>
        <w:rPr/>
        <w:t>discussed</w:t>
      </w:r>
      <w:r>
        <w:rPr>
          <w:spacing w:val="-24"/>
        </w:rPr>
        <w:t> </w:t>
      </w:r>
      <w:r>
        <w:rPr/>
        <w:t>earlier</w:t>
      </w:r>
      <w:r>
        <w:rPr>
          <w:spacing w:val="-24"/>
        </w:rPr>
        <w:t> </w:t>
      </w:r>
      <w:r>
        <w:rPr/>
        <w:t>is</w:t>
      </w:r>
      <w:r>
        <w:rPr>
          <w:spacing w:val="-24"/>
        </w:rPr>
        <w:t> </w:t>
      </w:r>
      <w:r>
        <w:rPr/>
        <w:t>repowering with an IGCC system. In this case - depending on site-specific circumstances - some existing plant components, such as the steam turbine, might be refurbished and utilized as part of </w:t>
      </w:r>
      <w:r>
        <w:rPr>
          <w:spacing w:val="-6"/>
        </w:rPr>
        <w:t>an </w:t>
      </w:r>
      <w:r>
        <w:rPr/>
        <w:t>IGCC</w:t>
      </w:r>
      <w:r>
        <w:rPr>
          <w:spacing w:val="-11"/>
        </w:rPr>
        <w:t> </w:t>
      </w:r>
      <w:r>
        <w:rPr/>
        <w:t>plant.</w:t>
      </w:r>
      <w:r>
        <w:rPr>
          <w:spacing w:val="-20"/>
        </w:rPr>
        <w:t> </w:t>
      </w:r>
      <w:r>
        <w:rPr/>
        <w:t>Alternatively,</w:t>
      </w:r>
      <w:r>
        <w:rPr>
          <w:spacing w:val="-10"/>
        </w:rPr>
        <w:t> </w:t>
      </w:r>
      <w:r>
        <w:rPr/>
        <w:t>the</w:t>
      </w:r>
      <w:r>
        <w:rPr>
          <w:spacing w:val="-10"/>
        </w:rPr>
        <w:t> </w:t>
      </w:r>
      <w:r>
        <w:rPr/>
        <w:t>entire</w:t>
      </w:r>
      <w:r>
        <w:rPr>
          <w:spacing w:val="-11"/>
        </w:rPr>
        <w:t> </w:t>
      </w:r>
      <w:r>
        <w:rPr/>
        <w:t>combustion</w:t>
      </w:r>
      <w:r>
        <w:rPr>
          <w:spacing w:val="-10"/>
        </w:rPr>
        <w:t> </w:t>
      </w:r>
      <w:r>
        <w:rPr/>
        <w:t>plant</w:t>
      </w:r>
      <w:r>
        <w:rPr>
          <w:spacing w:val="-10"/>
        </w:rPr>
        <w:t> </w:t>
      </w:r>
      <w:r>
        <w:rPr/>
        <w:t>might</w:t>
      </w:r>
      <w:r>
        <w:rPr>
          <w:spacing w:val="-10"/>
        </w:rPr>
        <w:t> </w:t>
      </w:r>
      <w:r>
        <w:rPr/>
        <w:t>be replaced with a new IGCC system while preserving other site facilities and infrastructure.</w:t>
      </w:r>
    </w:p>
    <w:p>
      <w:pPr>
        <w:pStyle w:val="BodyText"/>
        <w:spacing w:line="240" w:lineRule="exact" w:before="2"/>
        <w:ind w:left="116" w:right="38" w:firstLine="284"/>
        <w:jc w:val="both"/>
      </w:pPr>
      <w:r>
        <w:rPr/>
        <w:t>Although</w:t>
      </w:r>
      <w:r>
        <w:rPr>
          <w:spacing w:val="-19"/>
        </w:rPr>
        <w:t> </w:t>
      </w:r>
      <w:r>
        <w:rPr/>
        <w:t>repowering</w:t>
      </w:r>
      <w:r>
        <w:rPr>
          <w:spacing w:val="-19"/>
        </w:rPr>
        <w:t> </w:t>
      </w:r>
      <w:r>
        <w:rPr/>
        <w:t>has</w:t>
      </w:r>
      <w:r>
        <w:rPr>
          <w:spacing w:val="-19"/>
        </w:rPr>
        <w:t> </w:t>
      </w:r>
      <w:r>
        <w:rPr/>
        <w:t>been</w:t>
      </w:r>
      <w:r>
        <w:rPr>
          <w:spacing w:val="-19"/>
        </w:rPr>
        <w:t> </w:t>
      </w:r>
      <w:r>
        <w:rPr/>
        <w:t>widely</w:t>
      </w:r>
      <w:r>
        <w:rPr>
          <w:spacing w:val="-19"/>
        </w:rPr>
        <w:t> </w:t>
      </w:r>
      <w:r>
        <w:rPr/>
        <w:t>studied</w:t>
      </w:r>
      <w:r>
        <w:rPr>
          <w:spacing w:val="-18"/>
        </w:rPr>
        <w:t> </w:t>
      </w:r>
      <w:r>
        <w:rPr/>
        <w:t>as</w:t>
      </w:r>
      <w:r>
        <w:rPr>
          <w:spacing w:val="-19"/>
        </w:rPr>
        <w:t> </w:t>
      </w:r>
      <w:r>
        <w:rPr/>
        <w:t>an</w:t>
      </w:r>
      <w:r>
        <w:rPr>
          <w:spacing w:val="-19"/>
        </w:rPr>
        <w:t> </w:t>
      </w:r>
      <w:r>
        <w:rPr/>
        <w:t>option</w:t>
      </w:r>
      <w:r>
        <w:rPr>
          <w:spacing w:val="-19"/>
        </w:rPr>
        <w:t> </w:t>
      </w:r>
      <w:r>
        <w:rPr/>
        <w:t>to improve plant performance and increase plant output, there </w:t>
      </w:r>
      <w:r>
        <w:rPr>
          <w:spacing w:val="-5"/>
        </w:rPr>
        <w:t>are </w:t>
      </w:r>
      <w:r>
        <w:rPr/>
        <w:t>relatively few studies of repowering motivated by CO</w:t>
      </w:r>
      <w:r>
        <w:rPr>
          <w:position w:val="-6"/>
          <w:sz w:val="11"/>
        </w:rPr>
        <w:t>2 </w:t>
      </w:r>
      <w:r>
        <w:rPr/>
        <w:t>capture.</w:t>
      </w:r>
      <w:hyperlink w:history="true" w:anchor="_bookmark36">
        <w:r>
          <w:rPr/>
          <w:t> </w:t>
        </w:r>
        <w:r>
          <w:rPr>
            <w:spacing w:val="-3"/>
          </w:rPr>
          <w:t>Table </w:t>
        </w:r>
        <w:r>
          <w:rPr/>
          <w:t>3.8</w:t>
        </w:r>
      </w:hyperlink>
      <w:r>
        <w:rPr/>
        <w:t> shows results from one recent study (Chen et </w:t>
      </w:r>
      <w:r>
        <w:rPr>
          <w:i/>
        </w:rPr>
        <w:t>al.</w:t>
      </w:r>
      <w:r>
        <w:rPr/>
        <w:t>, 2003) which reports CO</w:t>
      </w:r>
      <w:r>
        <w:rPr>
          <w:position w:val="-6"/>
          <w:sz w:val="11"/>
        </w:rPr>
        <w:t>2 </w:t>
      </w:r>
      <w:r>
        <w:rPr/>
        <w:t>capture costs for IGCC repowering</w:t>
      </w:r>
      <w:r>
        <w:rPr>
          <w:spacing w:val="-15"/>
        </w:rPr>
        <w:t> </w:t>
      </w:r>
      <w:r>
        <w:rPr/>
        <w:t>of a</w:t>
      </w:r>
      <w:r>
        <w:rPr>
          <w:spacing w:val="-12"/>
        </w:rPr>
        <w:t> </w:t>
      </w:r>
      <w:r>
        <w:rPr/>
        <w:t>250</w:t>
      </w:r>
      <w:r>
        <w:rPr>
          <w:spacing w:val="-12"/>
        </w:rPr>
        <w:t> </w:t>
      </w:r>
      <w:r>
        <w:rPr/>
        <w:t>MW</w:t>
      </w:r>
      <w:r>
        <w:rPr>
          <w:spacing w:val="-16"/>
        </w:rPr>
        <w:t> </w:t>
      </w:r>
      <w:r>
        <w:rPr/>
        <w:t>coal-fired</w:t>
      </w:r>
      <w:r>
        <w:rPr>
          <w:spacing w:val="-12"/>
        </w:rPr>
        <w:t> </w:t>
      </w:r>
      <w:r>
        <w:rPr/>
        <w:t>unit</w:t>
      </w:r>
      <w:r>
        <w:rPr>
          <w:spacing w:val="-12"/>
        </w:rPr>
        <w:t> </w:t>
      </w:r>
      <w:r>
        <w:rPr/>
        <w:t>that</w:t>
      </w:r>
      <w:r>
        <w:rPr>
          <w:spacing w:val="-12"/>
        </w:rPr>
        <w:t> </w:t>
      </w:r>
      <w:r>
        <w:rPr/>
        <w:t>is</w:t>
      </w:r>
      <w:r>
        <w:rPr>
          <w:spacing w:val="-13"/>
        </w:rPr>
        <w:t> </w:t>
      </w:r>
      <w:r>
        <w:rPr/>
        <w:t>assumed</w:t>
      </w:r>
      <w:r>
        <w:rPr>
          <w:spacing w:val="-13"/>
        </w:rPr>
        <w:t> </w:t>
      </w:r>
      <w:r>
        <w:rPr/>
        <w:t>to</w:t>
      </w:r>
      <w:r>
        <w:rPr>
          <w:spacing w:val="-11"/>
        </w:rPr>
        <w:t> </w:t>
      </w:r>
      <w:r>
        <w:rPr/>
        <w:t>be</w:t>
      </w:r>
      <w:r>
        <w:rPr>
          <w:spacing w:val="-12"/>
        </w:rPr>
        <w:t> </w:t>
      </w:r>
      <w:r>
        <w:rPr/>
        <w:t>a</w:t>
      </w:r>
      <w:r>
        <w:rPr>
          <w:spacing w:val="-12"/>
        </w:rPr>
        <w:t> </w:t>
      </w:r>
      <w:r>
        <w:rPr/>
        <w:t>fully</w:t>
      </w:r>
      <w:r>
        <w:rPr>
          <w:spacing w:val="-12"/>
        </w:rPr>
        <w:t> </w:t>
      </w:r>
      <w:r>
        <w:rPr/>
        <w:t>amortized (hence, a low COE of 21 US$ MWh</w:t>
      </w:r>
      <w:r>
        <w:rPr>
          <w:position w:val="7"/>
          <w:sz w:val="11"/>
        </w:rPr>
        <w:t>-1</w:t>
      </w:r>
      <w:r>
        <w:rPr/>
        <w:t>). IGCC</w:t>
      </w:r>
      <w:r>
        <w:rPr>
          <w:spacing w:val="23"/>
        </w:rPr>
        <w:t> </w:t>
      </w:r>
      <w:r>
        <w:rPr/>
        <w:t>repowering yielded</w:t>
      </w:r>
      <w:r>
        <w:rPr>
          <w:spacing w:val="8"/>
        </w:rPr>
        <w:t> </w:t>
      </w:r>
      <w:r>
        <w:rPr/>
        <w:t>a</w:t>
      </w:r>
      <w:r>
        <w:rPr>
          <w:spacing w:val="9"/>
        </w:rPr>
        <w:t> </w:t>
      </w:r>
      <w:r>
        <w:rPr/>
        <w:t>net</w:t>
      </w:r>
      <w:r>
        <w:rPr>
          <w:spacing w:val="9"/>
        </w:rPr>
        <w:t> </w:t>
      </w:r>
      <w:r>
        <w:rPr/>
        <w:t>plant</w:t>
      </w:r>
      <w:r>
        <w:rPr>
          <w:spacing w:val="9"/>
        </w:rPr>
        <w:t> </w:t>
      </w:r>
      <w:r>
        <w:rPr/>
        <w:t>capacity</w:t>
      </w:r>
      <w:r>
        <w:rPr>
          <w:spacing w:val="9"/>
        </w:rPr>
        <w:t> </w:t>
      </w:r>
      <w:r>
        <w:rPr/>
        <w:t>of</w:t>
      </w:r>
      <w:r>
        <w:rPr>
          <w:spacing w:val="9"/>
        </w:rPr>
        <w:t> </w:t>
      </w:r>
      <w:r>
        <w:rPr/>
        <w:t>600</w:t>
      </w:r>
      <w:r>
        <w:rPr>
          <w:spacing w:val="9"/>
        </w:rPr>
        <w:t> </w:t>
      </w:r>
      <w:r>
        <w:rPr/>
        <w:t>MW</w:t>
      </w:r>
      <w:r>
        <w:rPr>
          <w:spacing w:val="5"/>
        </w:rPr>
        <w:t> </w:t>
      </w:r>
      <w:r>
        <w:rPr/>
        <w:t>with</w:t>
      </w:r>
      <w:r>
        <w:rPr>
          <w:spacing w:val="9"/>
        </w:rPr>
        <w:t> </w:t>
      </w:r>
      <w:r>
        <w:rPr/>
        <w:t>CO</w:t>
      </w:r>
      <w:r>
        <w:rPr>
          <w:position w:val="-6"/>
          <w:sz w:val="11"/>
        </w:rPr>
        <w:t>2</w:t>
      </w:r>
      <w:r>
        <w:rPr>
          <w:spacing w:val="4"/>
          <w:position w:val="-6"/>
          <w:sz w:val="11"/>
        </w:rPr>
        <w:t> </w:t>
      </w:r>
      <w:r>
        <w:rPr/>
        <w:t>capture</w:t>
      </w:r>
      <w:r>
        <w:rPr>
          <w:spacing w:val="9"/>
        </w:rPr>
        <w:t> </w:t>
      </w:r>
      <w:r>
        <w:rPr/>
        <w:t>and</w:t>
      </w:r>
    </w:p>
    <w:p>
      <w:pPr>
        <w:pStyle w:val="BodyText"/>
        <w:spacing w:line="240" w:lineRule="exact" w:before="5"/>
        <w:ind w:left="116" w:right="509"/>
        <w:jc w:val="both"/>
      </w:pPr>
      <w:r>
        <w:rPr/>
        <w:br w:type="column"/>
      </w:r>
      <w:r>
        <w:rPr/>
        <w:t>available chemical and physical absorption systems. The CO</w:t>
      </w:r>
      <w:r>
        <w:rPr>
          <w:position w:val="-6"/>
          <w:sz w:val="11"/>
        </w:rPr>
        <w:t>2 </w:t>
      </w:r>
      <w:r>
        <w:rPr/>
        <w:t>reduction per unit of product is lower, however, because of the process energy requirements and because of additional CO</w:t>
      </w:r>
      <w:r>
        <w:rPr>
          <w:position w:val="-6"/>
          <w:sz w:val="11"/>
        </w:rPr>
        <w:t>2 </w:t>
      </w:r>
      <w:r>
        <w:rPr/>
        <w:t>emitted by an offsite power plant assumed in some of these studies. As hydrogen production requires the separation of H</w:t>
      </w:r>
      <w:r>
        <w:rPr>
          <w:position w:val="-6"/>
          <w:sz w:val="11"/>
        </w:rPr>
        <w:t>2 </w:t>
      </w:r>
      <w:r>
        <w:rPr/>
        <w:t>from CO</w:t>
      </w:r>
      <w:r>
        <w:rPr>
          <w:position w:val="-6"/>
          <w:sz w:val="11"/>
        </w:rPr>
        <w:t>2</w:t>
      </w:r>
      <w:r>
        <w:rPr/>
        <w:t>, the incremental cost of capture is mainly the cost of CO</w:t>
      </w:r>
      <w:r>
        <w:rPr>
          <w:position w:val="-6"/>
          <w:sz w:val="11"/>
        </w:rPr>
        <w:t>2 </w:t>
      </w:r>
      <w:r>
        <w:rPr/>
        <w:t>compression.</w:t>
      </w:r>
    </w:p>
    <w:p>
      <w:pPr>
        <w:pStyle w:val="BodyText"/>
        <w:spacing w:line="240" w:lineRule="exact"/>
        <w:ind w:left="116" w:right="510" w:firstLine="283"/>
        <w:jc w:val="both"/>
      </w:pPr>
      <w:r>
        <w:rPr/>
        <w:t>At present, hydrogen is produced mainly from natural </w:t>
      </w:r>
      <w:r>
        <w:rPr>
          <w:spacing w:val="-3"/>
        </w:rPr>
        <w:t>gas. </w:t>
      </w:r>
      <w:r>
        <w:rPr>
          <w:spacing w:val="-5"/>
        </w:rPr>
        <w:t>Two </w:t>
      </w:r>
      <w:r>
        <w:rPr/>
        <w:t>recent studies (see </w:t>
      </w:r>
      <w:hyperlink w:history="true" w:anchor="_bookmark47">
        <w:r>
          <w:rPr>
            <w:spacing w:val="-3"/>
          </w:rPr>
          <w:t>Table </w:t>
        </w:r>
        <w:r>
          <w:rPr/>
          <w:t>3.11) </w:t>
        </w:r>
      </w:hyperlink>
      <w:r>
        <w:rPr/>
        <w:t>indicate that CO</w:t>
      </w:r>
      <w:r>
        <w:rPr>
          <w:position w:val="-6"/>
          <w:sz w:val="11"/>
        </w:rPr>
        <w:t>2 </w:t>
      </w:r>
      <w:r>
        <w:rPr/>
        <w:t>capture would add approximately 18-33% to the unit cost of hydrogen while reducing net CO</w:t>
      </w:r>
      <w:r>
        <w:rPr>
          <w:position w:val="-6"/>
          <w:sz w:val="11"/>
        </w:rPr>
        <w:t>2 </w:t>
      </w:r>
      <w:r>
        <w:rPr/>
        <w:t>emissions per unit of H</w:t>
      </w:r>
      <w:r>
        <w:rPr>
          <w:position w:val="-6"/>
          <w:sz w:val="11"/>
        </w:rPr>
        <w:t>2 </w:t>
      </w:r>
      <w:r>
        <w:rPr/>
        <w:t>product by 72-83% (after accounting for the CO</w:t>
      </w:r>
      <w:r>
        <w:rPr>
          <w:position w:val="-6"/>
          <w:sz w:val="11"/>
        </w:rPr>
        <w:t>2 </w:t>
      </w:r>
      <w:r>
        <w:rPr/>
        <w:t>emissions from imported electricity).</w:t>
      </w:r>
      <w:r>
        <w:rPr>
          <w:spacing w:val="-10"/>
        </w:rPr>
        <w:t> </w:t>
      </w:r>
      <w:r>
        <w:rPr/>
        <w:t>The</w:t>
      </w:r>
      <w:r>
        <w:rPr>
          <w:spacing w:val="-6"/>
        </w:rPr>
        <w:t> </w:t>
      </w:r>
      <w:r>
        <w:rPr/>
        <w:t>total</w:t>
      </w:r>
      <w:r>
        <w:rPr>
          <w:spacing w:val="-6"/>
        </w:rPr>
        <w:t> </w:t>
      </w:r>
      <w:r>
        <w:rPr/>
        <w:t>cost</w:t>
      </w:r>
      <w:r>
        <w:rPr>
          <w:spacing w:val="-5"/>
        </w:rPr>
        <w:t> </w:t>
      </w:r>
      <w:r>
        <w:rPr/>
        <w:t>of</w:t>
      </w:r>
      <w:r>
        <w:rPr>
          <w:spacing w:val="-6"/>
        </w:rPr>
        <w:t> </w:t>
      </w:r>
      <w:r>
        <w:rPr/>
        <w:t>hydrogen</w:t>
      </w:r>
      <w:r>
        <w:rPr>
          <w:spacing w:val="-6"/>
        </w:rPr>
        <w:t> </w:t>
      </w:r>
      <w:r>
        <w:rPr/>
        <w:t>is</w:t>
      </w:r>
      <w:r>
        <w:rPr>
          <w:spacing w:val="-5"/>
        </w:rPr>
        <w:t> </w:t>
      </w:r>
      <w:r>
        <w:rPr/>
        <w:t>sensitive</w:t>
      </w:r>
      <w:r>
        <w:rPr>
          <w:spacing w:val="-6"/>
        </w:rPr>
        <w:t> </w:t>
      </w:r>
      <w:r>
        <w:rPr/>
        <w:t>to</w:t>
      </w:r>
      <w:r>
        <w:rPr>
          <w:spacing w:val="-6"/>
        </w:rPr>
        <w:t> </w:t>
      </w:r>
      <w:r>
        <w:rPr/>
        <w:t>the</w:t>
      </w:r>
      <w:r>
        <w:rPr>
          <w:spacing w:val="-6"/>
        </w:rPr>
        <w:t> </w:t>
      </w:r>
      <w:r>
        <w:rPr/>
        <w:t>cost</w:t>
      </w:r>
      <w:r>
        <w:rPr>
          <w:spacing w:val="-5"/>
        </w:rPr>
        <w:t> </w:t>
      </w:r>
      <w:r>
        <w:rPr/>
        <w:t>of feedstock, so different gas prices would alter both the absolute and relative costs of CO</w:t>
      </w:r>
      <w:r>
        <w:rPr>
          <w:position w:val="-6"/>
          <w:sz w:val="11"/>
        </w:rPr>
        <w:t>2</w:t>
      </w:r>
      <w:r>
        <w:rPr>
          <w:spacing w:val="22"/>
          <w:position w:val="-6"/>
          <w:sz w:val="11"/>
        </w:rPr>
        <w:t> </w:t>
      </w:r>
      <w:r>
        <w:rPr/>
        <w:t>capture.</w:t>
      </w:r>
    </w:p>
    <w:p>
      <w:pPr>
        <w:pStyle w:val="BodyText"/>
        <w:spacing w:line="249" w:lineRule="auto" w:before="5"/>
        <w:ind w:left="116" w:right="511" w:firstLine="284"/>
        <w:jc w:val="both"/>
      </w:pPr>
      <w:r>
        <w:rPr/>
        <w:t>For coal-based hydrogen production, a recent study (NRC,2004)</w:t>
      </w:r>
      <w:r>
        <w:rPr>
          <w:spacing w:val="-17"/>
        </w:rPr>
        <w:t> </w:t>
      </w:r>
      <w:r>
        <w:rPr/>
        <w:t>projects</w:t>
      </w:r>
      <w:r>
        <w:rPr>
          <w:spacing w:val="-17"/>
        </w:rPr>
        <w:t> </w:t>
      </w:r>
      <w:r>
        <w:rPr/>
        <w:t>an</w:t>
      </w:r>
      <w:r>
        <w:rPr>
          <w:spacing w:val="-16"/>
        </w:rPr>
        <w:t> </w:t>
      </w:r>
      <w:r>
        <w:rPr/>
        <w:t>8%</w:t>
      </w:r>
      <w:r>
        <w:rPr>
          <w:spacing w:val="-16"/>
        </w:rPr>
        <w:t> </w:t>
      </w:r>
      <w:r>
        <w:rPr/>
        <w:t>increase</w:t>
      </w:r>
      <w:r>
        <w:rPr>
          <w:spacing w:val="-17"/>
        </w:rPr>
        <w:t> </w:t>
      </w:r>
      <w:r>
        <w:rPr/>
        <w:t>in</w:t>
      </w:r>
      <w:r>
        <w:rPr>
          <w:spacing w:val="-17"/>
        </w:rPr>
        <w:t> </w:t>
      </w:r>
      <w:r>
        <w:rPr/>
        <w:t>the</w:t>
      </w:r>
      <w:r>
        <w:rPr>
          <w:spacing w:val="-17"/>
        </w:rPr>
        <w:t> </w:t>
      </w:r>
      <w:r>
        <w:rPr/>
        <w:t>unit</w:t>
      </w:r>
      <w:r>
        <w:rPr>
          <w:spacing w:val="-17"/>
        </w:rPr>
        <w:t> </w:t>
      </w:r>
      <w:r>
        <w:rPr/>
        <w:t>cost</w:t>
      </w:r>
      <w:r>
        <w:rPr>
          <w:spacing w:val="-16"/>
        </w:rPr>
        <w:t> </w:t>
      </w:r>
      <w:r>
        <w:rPr/>
        <w:t>of</w:t>
      </w:r>
      <w:r>
        <w:rPr>
          <w:spacing w:val="-16"/>
        </w:rPr>
        <w:t> </w:t>
      </w:r>
      <w:r>
        <w:rPr/>
        <w:t>hydrogen</w:t>
      </w:r>
    </w:p>
    <w:p>
      <w:pPr>
        <w:spacing w:after="0" w:line="249" w:lineRule="auto"/>
        <w:jc w:val="both"/>
        <w:sectPr>
          <w:type w:val="continuous"/>
          <w:pgSz w:w="12240" w:h="15840"/>
          <w:pgMar w:top="480" w:bottom="280" w:left="620" w:right="620"/>
          <w:cols w:num="2" w:equalWidth="0">
            <w:col w:w="5201" w:space="125"/>
            <w:col w:w="5674"/>
          </w:cols>
        </w:sectPr>
      </w:pPr>
    </w:p>
    <w:p>
      <w:pPr>
        <w:pStyle w:val="BodyText"/>
        <w:spacing w:before="2"/>
        <w:ind w:left="117"/>
      </w:pPr>
      <w:r>
        <w:rPr/>
        <w:t>a COE of 62-67 US$ MWh </w:t>
      </w:r>
      <w:r>
        <w:rPr>
          <w:position w:val="7"/>
          <w:sz w:val="11"/>
        </w:rPr>
        <w:t>-1 </w:t>
      </w:r>
      <w:r>
        <w:rPr/>
        <w:t>depending on whether or not the</w:t>
      </w:r>
    </w:p>
    <w:p>
      <w:pPr>
        <w:pStyle w:val="BodyText"/>
        <w:spacing w:line="277" w:lineRule="exact" w:before="2"/>
        <w:ind w:left="117"/>
        <w:rPr>
          <w:sz w:val="11"/>
        </w:rPr>
      </w:pPr>
      <w:r>
        <w:rPr/>
        <w:br w:type="column"/>
      </w:r>
      <w:r>
        <w:rPr/>
        <w:t>for an 83% reduction in CO</w:t>
      </w:r>
      <w:r>
        <w:rPr>
          <w:position w:val="-6"/>
          <w:sz w:val="11"/>
        </w:rPr>
        <w:t>2</w:t>
      </w:r>
    </w:p>
    <w:p>
      <w:pPr>
        <w:pStyle w:val="BodyText"/>
        <w:spacing w:before="2"/>
        <w:ind w:left="42"/>
      </w:pPr>
      <w:r>
        <w:rPr/>
        <w:br w:type="column"/>
      </w:r>
      <w:r>
        <w:rPr/>
        <w:t>emissions per unit of product.</w:t>
      </w:r>
    </w:p>
    <w:p>
      <w:pPr>
        <w:spacing w:after="0"/>
        <w:sectPr>
          <w:type w:val="continuous"/>
          <w:pgSz w:w="12240" w:h="15840"/>
          <w:pgMar w:top="480" w:bottom="280" w:left="620" w:right="620"/>
          <w:cols w:num="3" w:equalWidth="0">
            <w:col w:w="5200" w:space="126"/>
            <w:col w:w="2565" w:space="40"/>
            <w:col w:w="3069"/>
          </w:cols>
        </w:sectPr>
      </w:pPr>
    </w:p>
    <w:p>
      <w:pPr>
        <w:pStyle w:val="BodyText"/>
        <w:spacing w:line="187" w:lineRule="auto"/>
        <w:ind w:left="117"/>
        <w:jc w:val="both"/>
      </w:pPr>
      <w:r>
        <w:rPr/>
        <w:t>existing steam turbine can be reused. The cost of </w:t>
      </w:r>
      <w:r>
        <w:rPr>
          <w:spacing w:val="9"/>
        </w:rPr>
        <w:t> </w:t>
      </w:r>
      <w:r>
        <w:rPr/>
        <w:t>CO</w:t>
      </w:r>
      <w:r>
        <w:rPr>
          <w:position w:val="-6"/>
          <w:sz w:val="11"/>
        </w:rPr>
        <w:t>2  </w:t>
      </w:r>
      <w:r>
        <w:rPr/>
        <w:t>avoided</w:t>
      </w:r>
    </w:p>
    <w:p>
      <w:pPr>
        <w:pStyle w:val="BodyText"/>
        <w:spacing w:line="225" w:lineRule="auto"/>
        <w:ind w:left="117" w:right="38"/>
        <w:jc w:val="both"/>
      </w:pPr>
      <w:r>
        <w:rPr/>
        <w:t>was 46-51 US$/tCO</w:t>
      </w:r>
      <w:r>
        <w:rPr>
          <w:position w:val="-6"/>
          <w:sz w:val="11"/>
        </w:rPr>
        <w:t>2</w:t>
      </w:r>
      <w:r>
        <w:rPr/>
        <w:t>. Compared to the option of retrofitting the existing PC unit with an amine-based capture system and retaining</w:t>
      </w:r>
      <w:r>
        <w:rPr>
          <w:spacing w:val="34"/>
        </w:rPr>
        <w:t> </w:t>
      </w:r>
      <w:r>
        <w:rPr/>
        <w:t>the</w:t>
      </w:r>
      <w:r>
        <w:rPr>
          <w:spacing w:val="35"/>
        </w:rPr>
        <w:t> </w:t>
      </w:r>
      <w:r>
        <w:rPr/>
        <w:t>existing</w:t>
      </w:r>
      <w:r>
        <w:rPr>
          <w:spacing w:val="34"/>
        </w:rPr>
        <w:t> </w:t>
      </w:r>
      <w:r>
        <w:rPr/>
        <w:t>boiler</w:t>
      </w:r>
      <w:r>
        <w:rPr>
          <w:spacing w:val="35"/>
        </w:rPr>
        <w:t> </w:t>
      </w:r>
      <w:r>
        <w:rPr>
          <w:spacing w:val="-3"/>
        </w:rPr>
        <w:t>(T</w:t>
      </w:r>
      <w:hyperlink w:history="true" w:anchor="_bookmark36">
        <w:r>
          <w:rPr>
            <w:spacing w:val="-3"/>
          </w:rPr>
          <w:t>able</w:t>
        </w:r>
        <w:r>
          <w:rPr>
            <w:spacing w:val="35"/>
          </w:rPr>
          <w:t> </w:t>
        </w:r>
        <w:r>
          <w:rPr/>
          <w:t>3.8),</w:t>
        </w:r>
      </w:hyperlink>
      <w:r>
        <w:rPr>
          <w:spacing w:val="34"/>
        </w:rPr>
        <w:t> </w:t>
      </w:r>
      <w:r>
        <w:rPr/>
        <w:t>the</w:t>
      </w:r>
      <w:r>
        <w:rPr>
          <w:spacing w:val="35"/>
        </w:rPr>
        <w:t> </w:t>
      </w:r>
      <w:r>
        <w:rPr/>
        <w:t>COE</w:t>
      </w:r>
      <w:r>
        <w:rPr>
          <w:spacing w:val="34"/>
        </w:rPr>
        <w:t> </w:t>
      </w:r>
      <w:r>
        <w:rPr/>
        <w:t>for</w:t>
      </w:r>
      <w:r>
        <w:rPr>
          <w:spacing w:val="35"/>
        </w:rPr>
        <w:t> </w:t>
      </w:r>
      <w:r>
        <w:rPr>
          <w:spacing w:val="-4"/>
        </w:rPr>
        <w:t>IGCC</w:t>
      </w:r>
    </w:p>
    <w:p>
      <w:pPr>
        <w:pStyle w:val="BodyText"/>
        <w:spacing w:line="249" w:lineRule="auto"/>
        <w:ind w:left="117" w:right="38"/>
        <w:jc w:val="both"/>
      </w:pPr>
      <w:r>
        <w:rPr/>
        <w:t>repowering was estimated to be 10-30% lower. These findings are</w:t>
      </w:r>
      <w:r>
        <w:rPr>
          <w:spacing w:val="-17"/>
        </w:rPr>
        <w:t> </w:t>
      </w:r>
      <w:r>
        <w:rPr/>
        <w:t>in</w:t>
      </w:r>
      <w:r>
        <w:rPr>
          <w:spacing w:val="-17"/>
        </w:rPr>
        <w:t> </w:t>
      </w:r>
      <w:r>
        <w:rPr/>
        <w:t>general</w:t>
      </w:r>
      <w:r>
        <w:rPr>
          <w:spacing w:val="-16"/>
        </w:rPr>
        <w:t> </w:t>
      </w:r>
      <w:r>
        <w:rPr/>
        <w:t>agreement</w:t>
      </w:r>
      <w:r>
        <w:rPr>
          <w:spacing w:val="-17"/>
        </w:rPr>
        <w:t> </w:t>
      </w:r>
      <w:r>
        <w:rPr/>
        <w:t>with</w:t>
      </w:r>
      <w:r>
        <w:rPr>
          <w:spacing w:val="-16"/>
        </w:rPr>
        <w:t> </w:t>
      </w:r>
      <w:r>
        <w:rPr/>
        <w:t>earlier</w:t>
      </w:r>
      <w:r>
        <w:rPr>
          <w:spacing w:val="-17"/>
        </w:rPr>
        <w:t> </w:t>
      </w:r>
      <w:r>
        <w:rPr/>
        <w:t>studies</w:t>
      </w:r>
      <w:r>
        <w:rPr>
          <w:spacing w:val="-16"/>
        </w:rPr>
        <w:t> </w:t>
      </w:r>
      <w:r>
        <w:rPr/>
        <w:t>by</w:t>
      </w:r>
      <w:r>
        <w:rPr>
          <w:spacing w:val="-17"/>
        </w:rPr>
        <w:t> </w:t>
      </w:r>
      <w:r>
        <w:rPr/>
        <w:t>Simbeck</w:t>
      </w:r>
      <w:r>
        <w:rPr>
          <w:spacing w:val="-17"/>
        </w:rPr>
        <w:t> </w:t>
      </w:r>
      <w:r>
        <w:rPr/>
        <w:t>(1999). Because the addition of gas turbines roughly triples the gross plant capacity of a steam-electric plant, candidates for IGCC repowering are generally limited to smaller existing units (e.g., 100-300</w:t>
      </w:r>
      <w:r>
        <w:rPr>
          <w:spacing w:val="-14"/>
        </w:rPr>
        <w:t> </w:t>
      </w:r>
      <w:r>
        <w:rPr/>
        <w:t>MW).</w:t>
      </w:r>
      <w:r>
        <w:rPr>
          <w:spacing w:val="-16"/>
        </w:rPr>
        <w:t> </w:t>
      </w:r>
      <w:r>
        <w:rPr>
          <w:spacing w:val="-3"/>
        </w:rPr>
        <w:t>Taken</w:t>
      </w:r>
      <w:r>
        <w:rPr>
          <w:spacing w:val="-13"/>
        </w:rPr>
        <w:t> </w:t>
      </w:r>
      <w:r>
        <w:rPr/>
        <w:t>together</w:t>
      </w:r>
      <w:r>
        <w:rPr>
          <w:spacing w:val="-13"/>
        </w:rPr>
        <w:t> </w:t>
      </w:r>
      <w:r>
        <w:rPr/>
        <w:t>with</w:t>
      </w:r>
      <w:r>
        <w:rPr>
          <w:spacing w:val="-13"/>
        </w:rPr>
        <w:t> </w:t>
      </w:r>
      <w:r>
        <w:rPr/>
        <w:t>the</w:t>
      </w:r>
      <w:r>
        <w:rPr>
          <w:spacing w:val="-13"/>
        </w:rPr>
        <w:t> </w:t>
      </w:r>
      <w:r>
        <w:rPr/>
        <w:t>post-combustion</w:t>
      </w:r>
      <w:r>
        <w:rPr>
          <w:spacing w:val="-14"/>
        </w:rPr>
        <w:t> </w:t>
      </w:r>
      <w:r>
        <w:rPr/>
        <w:t>retrofit studies</w:t>
      </w:r>
      <w:r>
        <w:rPr>
          <w:spacing w:val="-5"/>
        </w:rPr>
        <w:t> </w:t>
      </w:r>
      <w:r>
        <w:rPr/>
        <w:t>in</w:t>
      </w:r>
      <w:r>
        <w:rPr>
          <w:spacing w:val="-8"/>
        </w:rPr>
        <w:t> </w:t>
      </w:r>
      <w:hyperlink w:history="true" w:anchor="_bookmark36">
        <w:r>
          <w:rPr>
            <w:spacing w:val="-3"/>
          </w:rPr>
          <w:t>Table</w:t>
        </w:r>
        <w:r>
          <w:rPr>
            <w:spacing w:val="-5"/>
          </w:rPr>
          <w:t> </w:t>
        </w:r>
        <w:r>
          <w:rPr/>
          <w:t>3.8,</w:t>
        </w:r>
        <w:r>
          <w:rPr>
            <w:spacing w:val="-5"/>
          </w:rPr>
          <w:t> </w:t>
        </w:r>
      </w:hyperlink>
      <w:r>
        <w:rPr/>
        <w:t>the</w:t>
      </w:r>
      <w:r>
        <w:rPr>
          <w:spacing w:val="-5"/>
        </w:rPr>
        <w:t> </w:t>
      </w:r>
      <w:r>
        <w:rPr/>
        <w:t>most</w:t>
      </w:r>
      <w:r>
        <w:rPr>
          <w:spacing w:val="-5"/>
        </w:rPr>
        <w:t> </w:t>
      </w:r>
      <w:r>
        <w:rPr/>
        <w:t>cost-effective</w:t>
      </w:r>
      <w:r>
        <w:rPr>
          <w:spacing w:val="-5"/>
        </w:rPr>
        <w:t> </w:t>
      </w:r>
      <w:r>
        <w:rPr/>
        <w:t>options</w:t>
      </w:r>
      <w:r>
        <w:rPr>
          <w:spacing w:val="-5"/>
        </w:rPr>
        <w:t> </w:t>
      </w:r>
      <w:r>
        <w:rPr/>
        <w:t>for</w:t>
      </w:r>
      <w:r>
        <w:rPr>
          <w:spacing w:val="-5"/>
        </w:rPr>
        <w:t> </w:t>
      </w:r>
      <w:r>
        <w:rPr/>
        <w:t>existing</w:t>
      </w:r>
    </w:p>
    <w:p>
      <w:pPr>
        <w:pStyle w:val="BodyText"/>
        <w:spacing w:line="187" w:lineRule="auto"/>
        <w:ind w:left="117"/>
      </w:pPr>
      <w:r>
        <w:rPr/>
        <w:br w:type="column"/>
      </w:r>
      <w:r>
        <w:rPr/>
        <w:t>Again, this figure includes the CO</w:t>
      </w:r>
      <w:r>
        <w:rPr>
          <w:position w:val="-6"/>
          <w:sz w:val="11"/>
        </w:rPr>
        <w:t>2 </w:t>
      </w:r>
      <w:r>
        <w:rPr/>
        <w:t>emissions from imported</w:t>
      </w:r>
    </w:p>
    <w:p>
      <w:pPr>
        <w:pStyle w:val="BodyText"/>
        <w:spacing w:line="210" w:lineRule="exact"/>
        <w:ind w:left="117"/>
      </w:pPr>
      <w:r>
        <w:rPr/>
        <w:t>electricity.</w:t>
      </w:r>
    </w:p>
    <w:p>
      <w:pPr>
        <w:pStyle w:val="BodyText"/>
        <w:spacing w:before="1"/>
        <w:rPr>
          <w:sz w:val="21"/>
        </w:rPr>
      </w:pPr>
    </w:p>
    <w:p>
      <w:pPr>
        <w:spacing w:before="1"/>
        <w:ind w:left="117" w:right="0" w:firstLine="0"/>
        <w:jc w:val="both"/>
        <w:rPr>
          <w:i/>
          <w:sz w:val="20"/>
        </w:rPr>
      </w:pPr>
      <w:r>
        <w:rPr>
          <w:i/>
          <w:sz w:val="20"/>
        </w:rPr>
        <w:t>3.7.7.2 Multi-product plants</w:t>
      </w:r>
    </w:p>
    <w:p>
      <w:pPr>
        <w:pStyle w:val="BodyText"/>
        <w:spacing w:line="249" w:lineRule="auto" w:before="10"/>
        <w:ind w:left="117" w:right="510"/>
        <w:jc w:val="both"/>
      </w:pPr>
      <w:r>
        <w:rPr/>
        <w:t>Multi-product plants (also known as polygeneration plants) employ fossil fuel feedstocks to produce a variety of products such as electricity, hydrogen, chemicals and liquid fuels. </w:t>
      </w:r>
      <w:r>
        <w:rPr>
          <w:spacing w:val="-7"/>
        </w:rPr>
        <w:t>To </w:t>
      </w:r>
      <w:r>
        <w:rPr/>
        <w:t>calculate the cost of any particular product (for a given </w:t>
      </w:r>
      <w:r>
        <w:rPr>
          <w:spacing w:val="-4"/>
        </w:rPr>
        <w:t>rate  </w:t>
      </w:r>
      <w:r>
        <w:rPr>
          <w:spacing w:val="42"/>
        </w:rPr>
        <w:t> </w:t>
      </w:r>
      <w:r>
        <w:rPr/>
        <w:t>of return), economic analyses of multi-product plants require that the selling price of all other products be specified over the operating</w:t>
      </w:r>
      <w:r>
        <w:rPr>
          <w:spacing w:val="32"/>
        </w:rPr>
        <w:t> </w:t>
      </w:r>
      <w:r>
        <w:rPr/>
        <w:t>life</w:t>
      </w:r>
      <w:r>
        <w:rPr>
          <w:spacing w:val="33"/>
        </w:rPr>
        <w:t> </w:t>
      </w:r>
      <w:r>
        <w:rPr/>
        <w:t>of</w:t>
      </w:r>
      <w:r>
        <w:rPr>
          <w:spacing w:val="33"/>
        </w:rPr>
        <w:t> </w:t>
      </w:r>
      <w:r>
        <w:rPr/>
        <w:t>the</w:t>
      </w:r>
      <w:r>
        <w:rPr>
          <w:spacing w:val="32"/>
        </w:rPr>
        <w:t> </w:t>
      </w:r>
      <w:r>
        <w:rPr/>
        <w:t>plant.</w:t>
      </w:r>
      <w:r>
        <w:rPr>
          <w:spacing w:val="33"/>
        </w:rPr>
        <w:t> </w:t>
      </w:r>
      <w:r>
        <w:rPr/>
        <w:t>Such</w:t>
      </w:r>
      <w:r>
        <w:rPr>
          <w:spacing w:val="33"/>
        </w:rPr>
        <w:t> </w:t>
      </w:r>
      <w:r>
        <w:rPr/>
        <w:t>assumptions,</w:t>
      </w:r>
      <w:r>
        <w:rPr>
          <w:spacing w:val="32"/>
        </w:rPr>
        <w:t> </w:t>
      </w:r>
      <w:r>
        <w:rPr/>
        <w:t>in</w:t>
      </w:r>
      <w:r>
        <w:rPr>
          <w:spacing w:val="33"/>
        </w:rPr>
        <w:t> </w:t>
      </w:r>
      <w:r>
        <w:rPr/>
        <w:t>addition</w:t>
      </w:r>
      <w:r>
        <w:rPr>
          <w:spacing w:val="33"/>
        </w:rPr>
        <w:t> </w:t>
      </w:r>
      <w:r>
        <w:rPr/>
        <w:t>to</w:t>
      </w:r>
    </w:p>
    <w:p>
      <w:pPr>
        <w:spacing w:after="0" w:line="249" w:lineRule="auto"/>
        <w:jc w:val="both"/>
        <w:sectPr>
          <w:type w:val="continuous"/>
          <w:pgSz w:w="12240" w:h="15840"/>
          <w:pgMar w:top="480" w:bottom="280" w:left="620" w:right="620"/>
          <w:cols w:num="2" w:equalWidth="0">
            <w:col w:w="5202" w:space="125"/>
            <w:col w:w="5673"/>
          </w:cols>
        </w:sectPr>
      </w:pPr>
    </w:p>
    <w:p>
      <w:pPr>
        <w:spacing w:before="60"/>
        <w:ind w:left="513" w:right="0" w:firstLine="0"/>
        <w:jc w:val="left"/>
        <w:rPr>
          <w:sz w:val="16"/>
        </w:rPr>
      </w:pPr>
      <w:r>
        <w:rPr/>
        <w:pict>
          <v:group style="position:absolute;margin-left:56.693001pt;margin-top:14.468879pt;width:518.5pt;height:32.85pt;mso-position-horizontal-relative:page;mso-position-vertical-relative:paragraph;z-index:-272375808" coordorigin="1134,289" coordsize="10370,657">
            <v:shape style="position:absolute;left:1136;top:291;width:10364;height:654" coordorigin="1137,292" coordsize="10364,654" path="m11500,292l3839,292,3839,292,1137,292,1137,945,3839,945,4830,946,5647,945,5647,454,4830,454,4830,454,11500,454,11500,292e" filled="true" fillcolor="#e0eee0" stroked="false">
              <v:path arrowok="t"/>
              <v:fill type="solid"/>
            </v:shape>
            <v:line style="position:absolute" from="5647,454" to="5647,945" stroked="true" strokeweight=".001pt" strokecolor="#e0eee0">
              <v:stroke dashstyle="solid"/>
            </v:line>
            <v:line style="position:absolute" from="5677,454" to="5677,945" stroked="true" strokeweight="2.999pt" strokecolor="#e0eee0">
              <v:stroke dashstyle="solid"/>
            </v:line>
            <v:shape style="position:absolute;left:5707;top:454;width:4690;height:492" coordorigin="5707,454" coordsize="4690,492" path="m7408,454l6327,454,5707,454,5707,945,6327,945,7408,945,7408,454m9542,454l8741,454,7408,454,7408,945,8741,945,9542,945,9542,454m10397,454l9542,454,9542,945,10397,945,10397,454e" filled="true" fillcolor="#e0eee0" stroked="false">
              <v:path arrowok="t"/>
              <v:fill type="solid"/>
            </v:shape>
            <v:line style="position:absolute" from="10397,454" to="10397,945" stroked="true" strokeweight=".001pt" strokecolor="#e0eee0">
              <v:stroke dashstyle="solid"/>
            </v:line>
            <v:rect style="position:absolute;left:10396;top:453;width:1104;height:330" filled="true" fillcolor="#e0eee0" stroked="false">
              <v:fill type="solid"/>
            </v:rect>
            <v:shape style="position:absolute;left:1133;top:292;width:10370;height:492" coordorigin="1134,292" coordsize="10370,492" path="m1134,292l3839,292m1137,454l1137,295m1137,784l1137,454m3839,292l4830,292m3839,451l3839,295m4830,292l5647,292m5647,292l5707,292m5707,292l6327,292m6327,292l7408,292m7408,292l8741,292m8741,292l9542,292m9542,292l10397,292m10397,292l10887,292m10887,292l11503,292m11500,451l11500,295m3836,454l4830,454m3839,781l3839,457m4830,454l5647,454m4830,781l4830,457m5647,454l5707,454m5647,781l5647,457m5707,454l6327,454m5707,781l5707,457m6327,454l7408,454m6327,781l6327,457m7408,454l8741,454m7408,781l7408,457m8741,454l9542,454m8741,781l8741,457m9542,454l10397,454m9542,781l9542,457m10397,454l10887,454m10397,781l10397,457m10887,454l11503,454m11500,781l11500,457e" filled="false" stroked="true" strokeweight=".3pt" strokecolor="#000000">
              <v:path arrowok="t"/>
              <v:stroke dashstyle="solid"/>
            </v:shape>
            <v:shape style="position:absolute;left:6187;top:320;width:2991;height:140" type="#_x0000_t202" filled="false" stroked="false">
              <v:textbox inset="0,0,0,0">
                <w:txbxContent>
                  <w:p>
                    <w:pPr>
                      <w:spacing w:line="135" w:lineRule="exact" w:before="0"/>
                      <w:ind w:left="0" w:right="0" w:firstLine="0"/>
                      <w:jc w:val="left"/>
                      <w:rPr>
                        <w:b/>
                        <w:sz w:val="14"/>
                      </w:rPr>
                    </w:pPr>
                    <w:r>
                      <w:rPr>
                        <w:b/>
                        <w:sz w:val="14"/>
                      </w:rPr>
                      <w:t>H</w:t>
                    </w:r>
                    <w:r>
                      <w:rPr>
                        <w:b/>
                        <w:spacing w:val="-1"/>
                        <w:w w:val="144"/>
                        <w:sz w:val="14"/>
                      </w:rPr>
                      <w:t>y</w:t>
                    </w:r>
                    <w:r>
                      <w:rPr>
                        <w:b/>
                        <w:spacing w:val="-1"/>
                        <w:sz w:val="14"/>
                      </w:rPr>
                      <w:t>DROGE</w:t>
                    </w:r>
                    <w:r>
                      <w:rPr>
                        <w:b/>
                        <w:sz w:val="14"/>
                      </w:rPr>
                      <w:t>N</w:t>
                    </w:r>
                    <w:r>
                      <w:rPr>
                        <w:b/>
                        <w:spacing w:val="-8"/>
                        <w:sz w:val="14"/>
                      </w:rPr>
                      <w:t> </w:t>
                    </w:r>
                    <w:r>
                      <w:rPr>
                        <w:b/>
                        <w:spacing w:val="-1"/>
                        <w:sz w:val="14"/>
                      </w:rPr>
                      <w:t>AN</w:t>
                    </w:r>
                    <w:r>
                      <w:rPr>
                        <w:b/>
                        <w:sz w:val="14"/>
                      </w:rPr>
                      <w:t>D</w:t>
                    </w:r>
                    <w:r>
                      <w:rPr>
                        <w:b/>
                        <w:spacing w:val="-1"/>
                        <w:sz w:val="14"/>
                      </w:rPr>
                      <w:t> </w:t>
                    </w:r>
                    <w:r>
                      <w:rPr>
                        <w:b/>
                        <w:sz w:val="14"/>
                      </w:rPr>
                      <w:t>ELEC</w:t>
                    </w:r>
                    <w:r>
                      <w:rPr>
                        <w:b/>
                        <w:w w:val="200"/>
                        <w:sz w:val="14"/>
                      </w:rPr>
                      <w:t>t</w:t>
                    </w:r>
                    <w:r>
                      <w:rPr>
                        <w:b/>
                        <w:spacing w:val="-1"/>
                        <w:sz w:val="14"/>
                      </w:rPr>
                      <w:t>R</w:t>
                    </w:r>
                    <w:r>
                      <w:rPr>
                        <w:b/>
                        <w:spacing w:val="-1"/>
                        <w:w w:val="140"/>
                        <w:sz w:val="14"/>
                      </w:rPr>
                      <w:t>i</w:t>
                    </w:r>
                    <w:r>
                      <w:rPr>
                        <w:b/>
                        <w:spacing w:val="-1"/>
                        <w:sz w:val="14"/>
                      </w:rPr>
                      <w:t>C</w:t>
                    </w:r>
                    <w:r>
                      <w:rPr>
                        <w:b/>
                        <w:spacing w:val="-1"/>
                        <w:w w:val="160"/>
                        <w:sz w:val="14"/>
                      </w:rPr>
                      <w:t>it</w:t>
                    </w:r>
                    <w:r>
                      <w:rPr>
                        <w:b/>
                        <w:w w:val="160"/>
                        <w:sz w:val="14"/>
                      </w:rPr>
                      <w:t>y</w:t>
                    </w:r>
                    <w:r>
                      <w:rPr>
                        <w:b/>
                        <w:spacing w:val="-5"/>
                        <w:sz w:val="14"/>
                      </w:rPr>
                      <w:t> </w:t>
                    </w:r>
                    <w:r>
                      <w:rPr>
                        <w:b/>
                        <w:sz w:val="14"/>
                      </w:rPr>
                      <w:t>PROD</w:t>
                    </w:r>
                    <w:r>
                      <w:rPr>
                        <w:b/>
                        <w:spacing w:val="-1"/>
                        <w:w w:val="129"/>
                        <w:sz w:val="14"/>
                      </w:rPr>
                      <w:t>u</w:t>
                    </w:r>
                    <w:r>
                      <w:rPr>
                        <w:b/>
                        <w:spacing w:val="-1"/>
                        <w:sz w:val="14"/>
                      </w:rPr>
                      <w:t>C</w:t>
                    </w:r>
                    <w:r>
                      <w:rPr>
                        <w:b/>
                        <w:w w:val="200"/>
                        <w:sz w:val="14"/>
                      </w:rPr>
                      <w:t>t</w:t>
                    </w:r>
                    <w:r>
                      <w:rPr>
                        <w:b/>
                        <w:sz w:val="14"/>
                      </w:rPr>
                      <w:t>S</w:t>
                    </w:r>
                  </w:p>
                </w:txbxContent>
              </v:textbox>
              <w10:wrap type="none"/>
            </v:shape>
            <v:shape style="position:absolute;left:1165;top:566;width:1899;height:140" type="#_x0000_t202" filled="false" stroked="false">
              <v:textbox inset="0,0,0,0">
                <w:txbxContent>
                  <w:p>
                    <w:pPr>
                      <w:spacing w:line="135" w:lineRule="exact" w:before="0"/>
                      <w:ind w:left="0" w:right="0" w:firstLine="0"/>
                      <w:jc w:val="left"/>
                      <w:rPr>
                        <w:b/>
                        <w:sz w:val="14"/>
                      </w:rPr>
                    </w:pPr>
                    <w:r>
                      <w:rPr>
                        <w:b/>
                        <w:sz w:val="14"/>
                      </w:rPr>
                      <w:t>Study Assumptions and Results</w:t>
                    </w:r>
                  </w:p>
                </w:txbxContent>
              </v:textbox>
              <w10:wrap type="none"/>
            </v:shape>
            <v:shape style="position:absolute;left:4080;top:482;width:534;height:140" type="#_x0000_t202" filled="false" stroked="false">
              <v:textbox inset="0,0,0,0">
                <w:txbxContent>
                  <w:p>
                    <w:pPr>
                      <w:spacing w:line="135" w:lineRule="exact" w:before="0"/>
                      <w:ind w:left="0" w:right="0" w:firstLine="0"/>
                      <w:jc w:val="left"/>
                      <w:rPr>
                        <w:b/>
                        <w:sz w:val="14"/>
                      </w:rPr>
                    </w:pPr>
                    <w:r>
                      <w:rPr>
                        <w:b/>
                        <w:sz w:val="14"/>
                      </w:rPr>
                      <w:t>Simbeck</w:t>
                    </w:r>
                  </w:p>
                </w:txbxContent>
              </v:textbox>
              <w10:wrap type="none"/>
            </v:shape>
            <v:shape style="position:absolute;left:5089;top:482;width:324;height:140" type="#_x0000_t202" filled="false" stroked="false">
              <v:textbox inset="0,0,0,0">
                <w:txbxContent>
                  <w:p>
                    <w:pPr>
                      <w:spacing w:line="135" w:lineRule="exact" w:before="0"/>
                      <w:ind w:left="0" w:right="0" w:firstLine="0"/>
                      <w:jc w:val="left"/>
                      <w:rPr>
                        <w:b/>
                        <w:sz w:val="14"/>
                      </w:rPr>
                    </w:pPr>
                    <w:r>
                      <w:rPr>
                        <w:b/>
                        <w:sz w:val="14"/>
                      </w:rPr>
                      <w:t>NRC</w:t>
                    </w:r>
                  </w:p>
                </w:txbxContent>
              </v:textbox>
              <w10:wrap type="none"/>
            </v:shape>
            <v:shape style="position:absolute;left:5868;top:482;width:324;height:140" type="#_x0000_t202" filled="false" stroked="false">
              <v:textbox inset="0,0,0,0">
                <w:txbxContent>
                  <w:p>
                    <w:pPr>
                      <w:spacing w:line="135" w:lineRule="exact" w:before="0"/>
                      <w:ind w:left="0" w:right="0" w:firstLine="0"/>
                      <w:jc w:val="left"/>
                      <w:rPr>
                        <w:b/>
                        <w:sz w:val="14"/>
                      </w:rPr>
                    </w:pPr>
                    <w:r>
                      <w:rPr>
                        <w:b/>
                        <w:sz w:val="14"/>
                      </w:rPr>
                      <w:t>NRC</w:t>
                    </w:r>
                  </w:p>
                </w:txbxContent>
              </v:textbox>
              <w10:wrap type="none"/>
            </v:shape>
            <v:shape style="position:absolute;left:6633;top:482;width:495;height:140" type="#_x0000_t202" filled="false" stroked="false">
              <v:textbox inset="0,0,0,0">
                <w:txbxContent>
                  <w:p>
                    <w:pPr>
                      <w:spacing w:line="135" w:lineRule="exact" w:before="0"/>
                      <w:ind w:left="0" w:right="0" w:firstLine="0"/>
                      <w:jc w:val="left"/>
                      <w:rPr>
                        <w:b/>
                        <w:sz w:val="14"/>
                      </w:rPr>
                    </w:pPr>
                    <w:r>
                      <w:rPr>
                        <w:b/>
                        <w:sz w:val="14"/>
                      </w:rPr>
                      <w:t>Parsons</w:t>
                    </w:r>
                  </w:p>
                </w:txbxContent>
              </v:textbox>
              <w10:wrap type="none"/>
            </v:shape>
            <v:shape style="position:absolute;left:7814;top:482;width:547;height:140" type="#_x0000_t202" filled="false" stroked="false">
              <v:textbox inset="0,0,0,0">
                <w:txbxContent>
                  <w:p>
                    <w:pPr>
                      <w:spacing w:line="135" w:lineRule="exact" w:before="0"/>
                      <w:ind w:left="0" w:right="0" w:firstLine="0"/>
                      <w:jc w:val="left"/>
                      <w:rPr>
                        <w:b/>
                        <w:sz w:val="14"/>
                      </w:rPr>
                    </w:pPr>
                    <w:r>
                      <w:rPr>
                        <w:b/>
                        <w:sz w:val="14"/>
                      </w:rPr>
                      <w:t>mitretek</w:t>
                    </w:r>
                  </w:p>
                </w:txbxContent>
              </v:textbox>
              <w10:wrap type="none"/>
            </v:shape>
            <v:shape style="position:absolute;left:8936;top:482;width:438;height:140" type="#_x0000_t202" filled="false" stroked="false">
              <v:textbox inset="0,0,0,0">
                <w:txbxContent>
                  <w:p>
                    <w:pPr>
                      <w:spacing w:line="135" w:lineRule="exact" w:before="0"/>
                      <w:ind w:left="0" w:right="0" w:firstLine="0"/>
                      <w:jc w:val="left"/>
                      <w:rPr>
                        <w:b/>
                        <w:sz w:val="14"/>
                      </w:rPr>
                    </w:pPr>
                    <w:r>
                      <w:rPr>
                        <w:b/>
                        <w:sz w:val="14"/>
                      </w:rPr>
                      <w:t>Kreutz</w:t>
                    </w:r>
                  </w:p>
                </w:txbxContent>
              </v:textbox>
              <w10:wrap type="none"/>
            </v:shape>
            <v:shape style="position:absolute;left:9763;top:482;width:438;height:140" type="#_x0000_t202" filled="false" stroked="false">
              <v:textbox inset="0,0,0,0">
                <w:txbxContent>
                  <w:p>
                    <w:pPr>
                      <w:spacing w:line="135" w:lineRule="exact" w:before="0"/>
                      <w:ind w:left="0" w:right="0" w:firstLine="0"/>
                      <w:jc w:val="left"/>
                      <w:rPr>
                        <w:b/>
                        <w:sz w:val="14"/>
                      </w:rPr>
                    </w:pPr>
                    <w:r>
                      <w:rPr>
                        <w:b/>
                        <w:sz w:val="14"/>
                      </w:rPr>
                      <w:t>Kreutz</w:t>
                    </w:r>
                  </w:p>
                </w:txbxContent>
              </v:textbox>
              <w10:wrap type="none"/>
            </v:shape>
            <v:shape style="position:absolute;left:10760;top:482;width:401;height:140" type="#_x0000_t202" filled="false" stroked="false">
              <v:textbox inset="0,0,0,0">
                <w:txbxContent>
                  <w:p>
                    <w:pPr>
                      <w:spacing w:line="135" w:lineRule="exact" w:before="0"/>
                      <w:ind w:left="0" w:right="0" w:firstLine="0"/>
                      <w:jc w:val="left"/>
                      <w:rPr>
                        <w:b/>
                        <w:sz w:val="14"/>
                      </w:rPr>
                    </w:pPr>
                    <w:r>
                      <w:rPr>
                        <w:b/>
                        <w:sz w:val="14"/>
                      </w:rPr>
                      <w:t>Range</w:t>
                    </w:r>
                  </w:p>
                </w:txbxContent>
              </v:textbox>
              <w10:wrap type="none"/>
            </v:shape>
            <w10:wrap type="none"/>
          </v:group>
        </w:pict>
      </w:r>
      <w:r>
        <w:rPr/>
        <w:pict>
          <v:group style="position:absolute;margin-left:56.693001pt;margin-top:39.187878pt;width:518.5pt;height:338.35pt;mso-position-horizontal-relative:page;mso-position-vertical-relative:paragraph;z-index:-272361472" coordorigin="1134,784" coordsize="10370,6767">
            <v:shape style="position:absolute;left:1136;top:5450;width:4511;height:2100" coordorigin="1137,5451" coordsize="4511,2100" path="m5647,5451l4830,5451,3839,5451,1137,5451,1137,7551,3839,7551,4830,7551,5647,7551,5647,5451e" filled="true" fillcolor="#f9fcf9" stroked="false">
              <v:path arrowok="t"/>
              <v:fill type="solid"/>
            </v:shape>
            <v:line style="position:absolute" from="5647,5451" to="5647,7551" stroked="true" strokeweight=".001pt" strokecolor="#f9fcf9">
              <v:stroke dashstyle="solid"/>
            </v:line>
            <v:line style="position:absolute" from="5677,5451" to="5677,7551" stroked="true" strokeweight="2.999pt" strokecolor="#f9fcf9">
              <v:stroke dashstyle="solid"/>
            </v:line>
            <v:shape style="position:absolute;left:5707;top:5435;width:4690;height:2115" coordorigin="5707,5436" coordsize="4690,2115" path="m7408,5451l6327,5451,5707,5451,5707,7551,6327,7551,7408,7551,7408,5451m9542,5436l8741,5436,7408,5436,7408,7551,8741,7551,9542,7551,9542,5436m10397,5436l9542,5436,9542,7551,10397,7551,10397,5436e" filled="true" fillcolor="#f9fcf9" stroked="false">
              <v:path arrowok="t"/>
              <v:fill type="solid"/>
            </v:shape>
            <v:line style="position:absolute" from="10397,5436" to="10397,7551" stroked="true" strokeweight=".001pt" strokecolor="#f9fcf9">
              <v:stroke dashstyle="solid"/>
            </v:line>
            <v:shape style="position:absolute;left:10396;top:5435;width:1104;height:2115" coordorigin="10397,5436" coordsize="1104,2115" path="m10887,5436l10397,5436,10397,7551,10887,7551,10887,5436m11500,5436l10887,5436,10887,7551,11500,7551,11500,5436e" filled="true" fillcolor="#f9fcf9" stroked="false">
              <v:path arrowok="t"/>
              <v:fill type="solid"/>
            </v:shape>
            <v:shape style="position:absolute;left:1133;top:783;width:10370;height:5626" coordorigin="1134,784" coordsize="10370,5626" path="m1137,942l1137,784m1137,1104l1137,948m1137,1508l1137,1110m1137,2006l1137,1514m1137,2168l1137,2012m1137,2329l1137,2174m1137,2491l1137,2335m1137,2821l1137,2497m1137,2982l1137,2827m1137,3144l1137,2988m1137,3306l1137,3150m1137,3467l1137,3312m1137,3629l1137,3473m1137,3791l1137,3635m1137,3952l1137,3797m1137,4450l1137,3958m1137,4780l1137,4456m1137,5110l1137,4786m1137,5271l1137,5116m1137,5433l1137,5277m1137,5595l1137,5439m3839,942l3839,787m3839,1104l3839,948m3839,1508l3839,1110m3839,2006l3839,1514m3839,2168l3839,2012m3839,2329l3839,2174m3839,2491l3839,2335m3839,2821l3839,2497m3839,2982l3839,2827m3839,3144l3839,2988m3839,3306l3839,3150m3839,3467l3839,3312m3839,3629l3839,3473m3839,3791l3839,3635m3839,3952l3839,3797m3839,4450l3839,3958m3839,4780l3839,4456m3839,5110l3839,4786m3839,5271l3839,5116m3839,5433l3839,5277m3839,5595l3839,5439m1134,5598l3839,5598m1137,5756l1137,5601m4830,942l4830,787m4830,1104l4830,948m4830,1508l4830,1110m4830,2006l4830,1514m4830,2168l4830,2012m4830,2329l4830,2174m4830,2491l4830,2335m4830,2821l4830,2497m4830,2982l4830,2827m4830,3144l4830,2988m4830,3306l4830,3150m4830,3467l4830,3312m4830,3629l4830,3473m4830,3791l4830,3635m4830,3952l4830,3797m4830,4450l4830,3958m4830,4780l4830,4456m4830,5110l4830,4786m4830,5271l4830,5116m4830,5433l4830,5277m4830,5595l4830,5439m3839,5598l4830,5598m3839,5756l3839,5601m5647,942l5647,787m5707,942l5707,787m5647,1104l5647,948m5707,1104l5707,948m5647,1508l5647,1110m5707,1508l5707,1110m5647,2006l5647,1514m5707,2006l5707,1514m5647,2168l5647,2012m5707,2168l5707,2012m5647,2329l5647,2174m5707,2329l5707,2174m5647,2491l5647,2335m5707,2491l5707,2335m5647,2821l5647,2497m5707,2821l5707,2497m5647,2982l5647,2827m5707,2982l5707,2827m5647,3144l5647,2988m5707,3144l5707,2988m5647,3306l5647,3150m5707,3306l5707,3150m5647,3467l5647,3312m5707,3467l5707,3312m5647,3629l5647,3473m5707,3629l5707,3473m5647,3791l5647,3635m5707,3791l5707,3635m5647,3952l5647,3797m5707,3952l5707,3797m5647,4450l5647,3958m5707,4450l5707,3958m5647,4780l5647,4456m5707,4780l5707,4456m5647,5110l5647,4786m5707,5110l5707,4786m5647,5271l5647,5116m5707,5271l5707,5116m5647,5433l5647,5277m5707,5433l5707,5277m5647,5595l5647,5439m5707,5595l5707,5439m4830,5598l5647,5598m4830,5756l4830,5601m5647,5598l5707,5598m5647,5756l5647,5601m6327,942l6327,787m6327,1104l6327,948m6327,1508l6327,1110m6327,2006l6327,1514m6327,2168l6327,2012m6327,2329l6327,2174m6327,2491l6327,2335m6327,2821l6327,2497m6327,2982l6327,2827m6327,3144l6327,2988m6327,3306l6327,3150m6327,3467l6327,3312m6327,3629l6327,3473m6327,3791l6327,3635m6327,3952l6327,3797m6327,4450l6327,3958m6327,4780l6327,4456m6327,5110l6327,4786m6327,5271l6327,5116m6327,5433l6327,5277m6327,5595l6327,5439m5707,5598l6327,5598m5707,5756l5707,5601m7408,942l7408,787m7408,1104l7408,948m7408,1508l7408,1110m7408,2006l7408,1514m7408,2168l7408,2012m7408,2329l7408,2174m7408,2491l7408,2335m7408,2821l7408,2497m7408,2982l7408,2827m7408,3144l7408,2988m7408,3306l7408,3150m7408,3467l7408,3312m7408,3629l7408,3473m7408,3791l7408,3635m7408,3952l7408,3797m7408,4450l7408,3958m7408,4780l7408,4456m7408,5110l7408,4786m7408,5271l7408,5116m7408,5433l7408,5277m7408,5595l7408,5439m6327,5598l7408,5598m6327,5756l6327,5601m8741,942l8741,787m8741,1104l8741,948m8741,1508l8741,1110m8741,2006l8741,1514m8741,2168l8741,2012m8741,2329l8741,2174m8741,2491l8741,2335m8741,2821l8741,2497m8741,2982l8741,2827m8741,3144l8741,2988m8741,3306l8741,3150m8741,3467l8741,3312m8741,3629l8741,3473m8741,3791l8741,3635m8741,3952l8741,3797m8741,4450l8741,3958m8741,4780l8741,4456m8741,5110l8741,4786m8741,5271l8741,5116m8741,5433l8741,5277m8741,5595l8741,5439m7408,5598l8741,5598m7408,5756l7408,5601m9542,942l9542,787m9542,1104l9542,948m9542,1508l9542,1110m9542,2006l9542,1514m9542,2168l9542,2012m9542,2329l9542,2174m9542,2491l9542,2335m9542,2821l9542,2497m9542,2982l9542,2827m9542,3144l9542,2988m9542,3306l9542,3150m9542,3467l9542,3312m9542,3629l9542,3473m9542,3791l9542,3635m9542,3952l9542,3797m9542,4450l9542,3958m9542,4780l9542,4456m9542,5110l9542,4786m9542,5271l9542,5116m9542,5433l9542,5277m9542,5595l9542,5439m8741,5598l9542,5598m8741,5756l8741,5601m10397,942l10397,787m10397,1104l10397,948m10397,1508l10397,1110m10397,2006l10397,1514m10397,2168l10397,2012m10397,2329l10397,2174m10397,2491l10397,2335m10397,2821l10397,2497m10397,2982l10397,2827m10397,3144l10397,2988m10397,3306l10397,3150m10397,3467l10397,3312m10397,3629l10397,3473m10397,3791l10397,3635m10397,3952l10397,3797m10397,4450l10397,3958m10397,4780l10397,4456m10397,5110l10397,4786m10397,5271l10397,5116m10397,5433l10397,5277m10397,5595l10397,5439m9542,5598l10397,5598m9542,5756l9542,5601m10887,942l10887,787m10887,1104l10887,948m10887,1508l10887,1110m10887,2006l10887,1514m10887,2168l10887,2012m10887,2329l10887,2174m10887,2491l10887,2335m10887,2821l10887,2497m10887,2982l10887,2827m10887,3144l10887,2988m10887,3306l10887,3150m10887,3467l10887,3312m10887,3629l10887,3473m10887,3791l10887,3635m10887,3952l10887,3797m10887,4450l10887,3958m10887,4780l10887,4456m10887,5110l10887,4786m10887,5271l10887,5116m10887,5433l10887,5277m10887,5595l10887,5439m10397,5598l10887,5598m10397,5756l10397,5601m11500,942l11500,787m11500,1104l11500,948m11500,1508l11500,1110m11500,2006l11500,1514m11500,2168l11500,2012m11500,2329l11500,2174m11500,2491l11500,2335m11500,2821l11500,2497m11500,2982l11500,2827m11500,3144l11500,2988m11500,3306l11500,3150m11500,3467l11500,3312m11500,3629l11500,3473m11500,3791l11500,3635m11500,3952l11500,3797m11500,4450l11500,3958m11500,4780l11500,4456m11500,5110l11500,4786m11500,5271l11500,5116m11500,5433l11500,5277m11500,5595l11500,5439m10887,5598l11503,5598m10887,5756l10887,5601m11500,5756l11500,5601m1134,5759l3839,5759m1137,5918l1137,5762m3839,5759l4830,5759m3839,5918l3839,5762m4830,5759l5647,5759m4830,5918l4830,5762m5647,5759l5707,5759m5647,5918l5647,5762m5707,5759l6327,5759m5707,5918l5707,5762m6327,5759l7408,5759m6327,5918l6327,5762m7408,5759l8741,5759m7408,5918l7408,5762m8741,5759l9542,5759m8741,5918l8741,5762m9542,5759l10397,5759m9542,5918l9542,5762m10397,5759l10887,5759m10397,5918l10397,5762m10887,5759l11503,5759m10887,5918l10887,5762m11500,5918l11500,5762m1134,5921l3839,5921m1137,6248l1137,5924m3839,5921l4830,5921m3839,6248l3839,5924m4830,5921l5647,5921m4830,6248l4830,5924m5647,5921l5707,5921m5647,6248l5647,5924m5707,5921l6327,5921m5707,6248l5707,5924m6327,5921l7408,5921m6327,6248l6327,5924m7408,5921l8741,5921m7408,6248l7408,5924m8741,5921l9542,5921m8741,6248l8741,5924m9542,5921l10397,5921m9542,6248l9542,5924m10397,5921l10887,5921m10397,6248l10397,5924m10887,5921l11503,5921m10887,6248l10887,5924m11500,6248l11500,5924m1134,6251l3839,6251m1137,6409l1137,6254m3839,6251l4830,6251m3839,6409l3839,6254m4830,6251l5647,6251m4830,6409l4830,6254m5647,6251l5707,6251m5647,6409l5647,6254m5707,6251l6327,6251m5707,6409l5707,6254m6327,6251l7408,6251m6327,6409l6327,6254m7408,6251l8741,6251m7408,6409l7408,6254m8741,6251l9542,6251m8741,6409l8741,6254m9542,6251l10397,6251m9542,6409l9542,6254m10397,6251l10887,6251m10397,6409l10397,6254m10887,6251l11503,6251m10887,6409l10887,6254m11500,6409l11500,6254e" filled="false" stroked="true" strokeweight=".3pt" strokecolor="#000000">
              <v:path arrowok="t"/>
              <v:stroke dashstyle="solid"/>
            </v:shape>
            <v:shape style="position:absolute;left:1165;top:3337;width:2548;height:495" type="#_x0000_t202" filled="false" stroked="false">
              <v:textbox inset="0,0,0,0">
                <w:txbxContent>
                  <w:p>
                    <w:pPr>
                      <w:spacing w:line="192" w:lineRule="auto" w:before="0"/>
                      <w:ind w:left="0" w:right="0" w:firstLine="0"/>
                      <w:jc w:val="left"/>
                      <w:rPr>
                        <w:sz w:val="14"/>
                      </w:rPr>
                    </w:pPr>
                    <w:r>
                      <w:rPr>
                        <w:sz w:val="14"/>
                      </w:rPr>
                      <w:t>CO</w:t>
                    </w:r>
                    <w:r>
                      <w:rPr>
                        <w:position w:val="-4"/>
                        <w:sz w:val="8"/>
                      </w:rPr>
                      <w:t>2</w:t>
                    </w:r>
                    <w:r>
                      <w:rPr>
                        <w:sz w:val="14"/>
                      </w:rPr>
                      <w:t>emitted (MtCO</w:t>
                    </w:r>
                    <w:r>
                      <w:rPr>
                        <w:position w:val="-4"/>
                        <w:sz w:val="8"/>
                      </w:rPr>
                      <w:t>2 </w:t>
                    </w:r>
                    <w:r>
                      <w:rPr>
                        <w:sz w:val="14"/>
                      </w:rPr>
                      <w:t>yr )</w:t>
                    </w:r>
                  </w:p>
                  <w:p>
                    <w:pPr>
                      <w:spacing w:line="235" w:lineRule="auto" w:before="133"/>
                      <w:ind w:left="0" w:right="0" w:firstLine="0"/>
                      <w:jc w:val="left"/>
                      <w:rPr>
                        <w:sz w:val="14"/>
                      </w:rPr>
                    </w:pPr>
                    <w:r>
                      <w:rPr>
                        <w:sz w:val="14"/>
                      </w:rPr>
                      <w:t>Total carbon released (kg CO</w:t>
                    </w:r>
                    <w:r>
                      <w:rPr>
                        <w:position w:val="-4"/>
                        <w:sz w:val="8"/>
                      </w:rPr>
                      <w:t>2 </w:t>
                    </w:r>
                    <w:r>
                      <w:rPr>
                        <w:sz w:val="14"/>
                      </w:rPr>
                      <w:t>GJ products)</w:t>
                    </w:r>
                  </w:p>
                </w:txbxContent>
              </v:textbox>
              <w10:wrap type="none"/>
            </v:shape>
            <v:shape style="position:absolute;left:1165;top:5625;width:1685;height:663" type="#_x0000_t202" filled="false" stroked="false">
              <v:textbox inset="0,0,0,0">
                <w:txbxContent>
                  <w:p>
                    <w:pPr>
                      <w:spacing w:line="192" w:lineRule="auto" w:before="0"/>
                      <w:ind w:left="0" w:right="0" w:firstLine="0"/>
                      <w:jc w:val="left"/>
                      <w:rPr>
                        <w:sz w:val="14"/>
                      </w:rPr>
                    </w:pPr>
                    <w:r>
                      <w:rPr>
                        <w:sz w:val="14"/>
                      </w:rPr>
                      <w:t>CO</w:t>
                    </w:r>
                    <w:r>
                      <w:rPr>
                        <w:position w:val="-4"/>
                        <w:sz w:val="8"/>
                      </w:rPr>
                      <w:t>2 </w:t>
                    </w:r>
                    <w:r>
                      <w:rPr>
                        <w:sz w:val="14"/>
                      </w:rPr>
                      <w:t>emitted (MtCO</w:t>
                    </w:r>
                    <w:r>
                      <w:rPr>
                        <w:position w:val="-4"/>
                        <w:sz w:val="8"/>
                      </w:rPr>
                      <w:t>2 </w:t>
                    </w:r>
                    <w:r>
                      <w:rPr>
                        <w:sz w:val="14"/>
                      </w:rPr>
                      <w:t>yr )***</w:t>
                    </w:r>
                  </w:p>
                  <w:p>
                    <w:pPr>
                      <w:spacing w:line="240" w:lineRule="auto" w:before="0"/>
                      <w:rPr>
                        <w:sz w:val="16"/>
                      </w:rPr>
                    </w:pPr>
                  </w:p>
                  <w:p>
                    <w:pPr>
                      <w:spacing w:line="235" w:lineRule="auto" w:before="117"/>
                      <w:ind w:left="0" w:right="0" w:firstLine="0"/>
                      <w:jc w:val="left"/>
                      <w:rPr>
                        <w:sz w:val="14"/>
                      </w:rPr>
                    </w:pPr>
                    <w:r>
                      <w:rPr>
                        <w:sz w:val="14"/>
                      </w:rPr>
                      <w:t>(kgCO</w:t>
                    </w:r>
                    <w:r>
                      <w:rPr>
                        <w:position w:val="-4"/>
                        <w:sz w:val="8"/>
                      </w:rPr>
                      <w:t>2 </w:t>
                    </w:r>
                    <w:r>
                      <w:rPr>
                        <w:sz w:val="14"/>
                      </w:rPr>
                      <w:t>GJ products)</w:t>
                    </w:r>
                  </w:p>
                </w:txbxContent>
              </v:textbox>
              <w10:wrap type="none"/>
            </v:shape>
            <v:shape style="position:absolute;left:1165;top:6276;width:1537;height:143" type="#_x0000_t202" filled="false" stroked="false">
              <v:textbox inset="0,0,0,0">
                <w:txbxContent>
                  <w:p>
                    <w:pPr>
                      <w:spacing w:line="137" w:lineRule="exact" w:before="0"/>
                      <w:ind w:left="0" w:right="0" w:firstLine="0"/>
                      <w:jc w:val="left"/>
                      <w:rPr>
                        <w:sz w:val="14"/>
                      </w:rPr>
                    </w:pPr>
                    <w:r>
                      <w:rPr>
                        <w:sz w:val="14"/>
                      </w:rPr>
                      <w:t>CO captured (MtCO yr</w:t>
                    </w:r>
                    <w:r>
                      <w:rPr>
                        <w:position w:val="5"/>
                        <w:sz w:val="8"/>
                      </w:rPr>
                      <w:t>−1</w:t>
                    </w:r>
                    <w:r>
                      <w:rPr>
                        <w:sz w:val="14"/>
                      </w:rPr>
                      <w:t>)</w:t>
                    </w:r>
                  </w:p>
                </w:txbxContent>
              </v:textbox>
              <w10:wrap type="none"/>
            </v:shape>
            <v:shape style="position:absolute;left:1359;top:6369;width:61;height:82" type="#_x0000_t202" filled="false" stroked="false">
              <v:textbox inset="0,0,0,0">
                <w:txbxContent>
                  <w:p>
                    <w:pPr>
                      <w:spacing w:line="78" w:lineRule="exact" w:before="0"/>
                      <w:ind w:left="0" w:right="0" w:firstLine="0"/>
                      <w:jc w:val="left"/>
                      <w:rPr>
                        <w:sz w:val="8"/>
                      </w:rPr>
                    </w:pPr>
                    <w:r>
                      <w:rPr>
                        <w:w w:val="101"/>
                        <w:sz w:val="8"/>
                      </w:rPr>
                      <w:t>2</w:t>
                    </w:r>
                  </w:p>
                </w:txbxContent>
              </v:textbox>
              <w10:wrap type="none"/>
            </v:shape>
            <v:shape style="position:absolute;left:2356;top:6369;width:61;height:82" type="#_x0000_t202" filled="false" stroked="false">
              <v:textbox inset="0,0,0,0">
                <w:txbxContent>
                  <w:p>
                    <w:pPr>
                      <w:spacing w:line="78" w:lineRule="exact" w:before="0"/>
                      <w:ind w:left="0" w:right="0" w:firstLine="0"/>
                      <w:jc w:val="left"/>
                      <w:rPr>
                        <w:sz w:val="8"/>
                      </w:rPr>
                    </w:pPr>
                    <w:r>
                      <w:rPr>
                        <w:w w:val="101"/>
                        <w:sz w:val="8"/>
                      </w:rPr>
                      <w:t>2</w:t>
                    </w:r>
                  </w:p>
                </w:txbxContent>
              </v:textbox>
              <w10:wrap type="none"/>
            </v:shape>
            <v:shape style="position:absolute;left:4179;top:6279;width:335;height:140" type="#_x0000_t202" filled="false" stroked="false">
              <v:textbox inset="0,0,0,0">
                <w:txbxContent>
                  <w:p>
                    <w:pPr>
                      <w:spacing w:line="135" w:lineRule="exact" w:before="0"/>
                      <w:ind w:left="0" w:right="0" w:firstLine="0"/>
                      <w:jc w:val="left"/>
                      <w:rPr>
                        <w:sz w:val="14"/>
                      </w:rPr>
                    </w:pPr>
                    <w:r>
                      <w:rPr>
                        <w:sz w:val="14"/>
                      </w:rPr>
                      <w:t>4.658</w:t>
                    </w:r>
                  </w:p>
                </w:txbxContent>
              </v:textbox>
              <w10:wrap type="none"/>
            </v:shape>
            <v:shape style="position:absolute;left:5083;top:6279;width:335;height:140" type="#_x0000_t202" filled="false" stroked="false">
              <v:textbox inset="0,0,0,0">
                <w:txbxContent>
                  <w:p>
                    <w:pPr>
                      <w:spacing w:line="135" w:lineRule="exact" w:before="0"/>
                      <w:ind w:left="0" w:right="0" w:firstLine="0"/>
                      <w:jc w:val="left"/>
                      <w:rPr>
                        <w:sz w:val="14"/>
                      </w:rPr>
                    </w:pPr>
                    <w:r>
                      <w:rPr>
                        <w:sz w:val="14"/>
                      </w:rPr>
                      <w:t>3.378</w:t>
                    </w:r>
                  </w:p>
                </w:txbxContent>
              </v:textbox>
              <w10:wrap type="none"/>
            </v:shape>
            <v:shape style="position:absolute;left:5862;top:6279;width:335;height:140" type="#_x0000_t202" filled="false" stroked="false">
              <v:textbox inset="0,0,0,0">
                <w:txbxContent>
                  <w:p>
                    <w:pPr>
                      <w:spacing w:line="135" w:lineRule="exact" w:before="0"/>
                      <w:ind w:left="0" w:right="0" w:firstLine="0"/>
                      <w:jc w:val="left"/>
                      <w:rPr>
                        <w:sz w:val="14"/>
                      </w:rPr>
                    </w:pPr>
                    <w:r>
                      <w:rPr>
                        <w:sz w:val="14"/>
                      </w:rPr>
                      <w:t>6.385</w:t>
                    </w:r>
                  </w:p>
                </w:txbxContent>
              </v:textbox>
              <w10:wrap type="none"/>
            </v:shape>
            <v:shape style="position:absolute;left:6712;top:6279;width:335;height:140" type="#_x0000_t202" filled="false" stroked="false">
              <v:textbox inset="0,0,0,0">
                <w:txbxContent>
                  <w:p>
                    <w:pPr>
                      <w:spacing w:line="135" w:lineRule="exact" w:before="0"/>
                      <w:ind w:left="0" w:right="0" w:firstLine="0"/>
                      <w:jc w:val="left"/>
                      <w:rPr>
                        <w:sz w:val="14"/>
                      </w:rPr>
                    </w:pPr>
                    <w:r>
                      <w:rPr>
                        <w:sz w:val="14"/>
                      </w:rPr>
                      <w:t>1.654</w:t>
                    </w:r>
                  </w:p>
                </w:txbxContent>
              </v:textbox>
              <w10:wrap type="none"/>
            </v:shape>
            <v:shape style="position:absolute;left:7919;top:6279;width:335;height:140" type="#_x0000_t202" filled="false" stroked="false">
              <v:textbox inset="0,0,0,0">
                <w:txbxContent>
                  <w:p>
                    <w:pPr>
                      <w:spacing w:line="135" w:lineRule="exact" w:before="0"/>
                      <w:ind w:left="0" w:right="0" w:firstLine="0"/>
                      <w:jc w:val="left"/>
                      <w:rPr>
                        <w:sz w:val="14"/>
                      </w:rPr>
                    </w:pPr>
                    <w:r>
                      <w:rPr>
                        <w:sz w:val="14"/>
                      </w:rPr>
                      <w:t>1.869</w:t>
                    </w:r>
                  </w:p>
                </w:txbxContent>
              </v:textbox>
              <w10:wrap type="none"/>
            </v:shape>
            <v:shape style="position:absolute;left:8987;top:6279;width:335;height:140" type="#_x0000_t202" filled="false" stroked="false">
              <v:textbox inset="0,0,0,0">
                <w:txbxContent>
                  <w:p>
                    <w:pPr>
                      <w:spacing w:line="135" w:lineRule="exact" w:before="0"/>
                      <w:ind w:left="0" w:right="0" w:firstLine="0"/>
                      <w:jc w:val="left"/>
                      <w:rPr>
                        <w:sz w:val="14"/>
                      </w:rPr>
                    </w:pPr>
                    <w:r>
                      <w:rPr>
                        <w:sz w:val="14"/>
                      </w:rPr>
                      <w:t>3.882</w:t>
                    </w:r>
                  </w:p>
                </w:txbxContent>
              </v:textbox>
              <w10:wrap type="none"/>
            </v:shape>
            <v:shape style="position:absolute;left:9814;top:6279;width:335;height:140" type="#_x0000_t202" filled="false" stroked="false">
              <v:textbox inset="0,0,0,0">
                <w:txbxContent>
                  <w:p>
                    <w:pPr>
                      <w:spacing w:line="135" w:lineRule="exact" w:before="0"/>
                      <w:ind w:left="0" w:right="0" w:firstLine="0"/>
                      <w:jc w:val="left"/>
                      <w:rPr>
                        <w:sz w:val="14"/>
                      </w:rPr>
                    </w:pPr>
                    <w:r>
                      <w:rPr>
                        <w:sz w:val="14"/>
                      </w:rPr>
                      <w:t>4.037</w:t>
                    </w:r>
                  </w:p>
                </w:txbxContent>
              </v:textbox>
              <w10:wrap type="none"/>
            </v:shape>
            <v:shape style="position:absolute;left:10557;top:6279;width:747;height:140" type="#_x0000_t202" filled="false" stroked="false">
              <v:textbox inset="0,0,0,0">
                <w:txbxContent>
                  <w:p>
                    <w:pPr>
                      <w:tabs>
                        <w:tab w:pos="551" w:val="left" w:leader="none"/>
                      </w:tabs>
                      <w:spacing w:line="135" w:lineRule="exact" w:before="0"/>
                      <w:ind w:left="0" w:right="0" w:firstLine="0"/>
                      <w:jc w:val="left"/>
                      <w:rPr>
                        <w:b/>
                        <w:sz w:val="14"/>
                      </w:rPr>
                    </w:pPr>
                    <w:r>
                      <w:rPr>
                        <w:b/>
                        <w:sz w:val="14"/>
                      </w:rPr>
                      <w:t>1.7</w:t>
                      <w:tab/>
                      <w:t>6.4</w:t>
                    </w:r>
                  </w:p>
                </w:txbxContent>
              </v:textbox>
              <w10:wrap type="none"/>
            </v:shape>
            <w10:wrap type="none"/>
          </v:group>
        </w:pict>
      </w:r>
      <w:bookmarkStart w:name="_bookmark47" w:id="97"/>
      <w:bookmarkEnd w:id="97"/>
      <w:r>
        <w:rPr/>
      </w:r>
      <w:bookmarkStart w:name="_bookmark48" w:id="98"/>
      <w:bookmarkEnd w:id="98"/>
      <w:r>
        <w:rPr/>
      </w:r>
      <w:bookmarkStart w:name="_bookmark49" w:id="99"/>
      <w:bookmarkEnd w:id="99"/>
      <w:r>
        <w:rPr/>
      </w:r>
      <w:r>
        <w:rPr>
          <w:b/>
          <w:spacing w:val="-15"/>
          <w:w w:val="200"/>
          <w:sz w:val="16"/>
        </w:rPr>
        <w:t>t</w:t>
      </w:r>
      <w:r>
        <w:rPr>
          <w:b/>
          <w:sz w:val="16"/>
        </w:rPr>
        <w:t>able 3.</w:t>
      </w:r>
      <w:r>
        <w:rPr>
          <w:b/>
          <w:spacing w:val="-9"/>
          <w:sz w:val="16"/>
        </w:rPr>
        <w:t>1</w:t>
      </w:r>
      <w:r>
        <w:rPr>
          <w:b/>
          <w:sz w:val="16"/>
        </w:rPr>
        <w:t>1. </w:t>
      </w:r>
      <w:r>
        <w:rPr>
          <w:sz w:val="16"/>
        </w:rPr>
        <w:t>CO</w:t>
      </w:r>
      <w:r>
        <w:rPr>
          <w:w w:val="103"/>
          <w:position w:val="-4"/>
          <w:sz w:val="9"/>
        </w:rPr>
        <w:t>2</w:t>
      </w:r>
      <w:r>
        <w:rPr>
          <w:position w:val="-4"/>
          <w:sz w:val="9"/>
        </w:rPr>
        <w:t> </w:t>
      </w:r>
      <w:r>
        <w:rPr>
          <w:spacing w:val="-5"/>
          <w:position w:val="-4"/>
          <w:sz w:val="9"/>
        </w:rPr>
        <w:t> </w:t>
      </w:r>
      <w:r>
        <w:rPr>
          <w:sz w:val="16"/>
        </w:rPr>
        <w:t>capture costs: </w:t>
      </w:r>
      <w:r>
        <w:rPr>
          <w:spacing w:val="-1"/>
          <w:sz w:val="16"/>
        </w:rPr>
        <w:t>Hydroge</w:t>
      </w:r>
      <w:r>
        <w:rPr>
          <w:sz w:val="16"/>
        </w:rPr>
        <w:t>n</w:t>
      </w:r>
      <w:r>
        <w:rPr>
          <w:spacing w:val="-1"/>
          <w:sz w:val="16"/>
        </w:rPr>
        <w:t> </w:t>
      </w:r>
      <w:r>
        <w:rPr>
          <w:sz w:val="16"/>
        </w:rPr>
        <w:t>and multi-product plants using current or nea</w:t>
      </w:r>
      <w:r>
        <w:rPr>
          <w:spacing w:val="-4"/>
          <w:sz w:val="16"/>
        </w:rPr>
        <w:t>r</w:t>
      </w:r>
      <w:r>
        <w:rPr>
          <w:sz w:val="16"/>
        </w:rPr>
        <w:t>-commercial technolog</w:t>
      </w:r>
      <w:r>
        <w:rPr>
          <w:spacing w:val="-11"/>
          <w:sz w:val="16"/>
        </w:rPr>
        <w:t>y</w:t>
      </w:r>
      <w:r>
        <w:rPr>
          <w:sz w:val="16"/>
        </w:rPr>
        <w:t>. (Continued on next page)</w:t>
      </w:r>
    </w:p>
    <w:p>
      <w:pPr>
        <w:pStyle w:val="BodyText"/>
      </w:pPr>
    </w:p>
    <w:p>
      <w:pPr>
        <w:pStyle w:val="BodyText"/>
        <w:spacing w:before="4"/>
        <w:rPr>
          <w:sz w:val="12"/>
        </w:rPr>
      </w:pPr>
    </w:p>
    <w:tbl>
      <w:tblPr>
        <w:tblW w:w="0" w:type="auto"/>
        <w:jc w:val="left"/>
        <w:tblInd w:w="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0"/>
        <w:gridCol w:w="993"/>
        <w:gridCol w:w="847"/>
        <w:gridCol w:w="650"/>
        <w:gridCol w:w="1080"/>
        <w:gridCol w:w="1334"/>
        <w:gridCol w:w="801"/>
        <w:gridCol w:w="855"/>
        <w:gridCol w:w="490"/>
        <w:gridCol w:w="613"/>
      </w:tblGrid>
      <w:tr>
        <w:trPr>
          <w:trHeight w:val="135" w:hRule="atLeast"/>
        </w:trPr>
        <w:tc>
          <w:tcPr>
            <w:tcW w:w="7604" w:type="dxa"/>
            <w:gridSpan w:val="6"/>
            <w:shd w:val="clear" w:color="auto" w:fill="E0EEE0"/>
          </w:tcPr>
          <w:p>
            <w:pPr>
              <w:pStyle w:val="TableParagraph"/>
              <w:jc w:val="left"/>
              <w:rPr>
                <w:sz w:val="6"/>
              </w:rPr>
            </w:pPr>
          </w:p>
        </w:tc>
        <w:tc>
          <w:tcPr>
            <w:tcW w:w="801" w:type="dxa"/>
            <w:tcBorders>
              <w:bottom w:val="single" w:sz="4" w:space="0" w:color="000000"/>
            </w:tcBorders>
            <w:shd w:val="clear" w:color="auto" w:fill="E0EEE0"/>
          </w:tcPr>
          <w:p>
            <w:pPr>
              <w:pStyle w:val="TableParagraph"/>
              <w:spacing w:line="108" w:lineRule="exact"/>
              <w:ind w:left="6"/>
              <w:rPr>
                <w:b/>
                <w:i/>
                <w:sz w:val="14"/>
              </w:rPr>
            </w:pPr>
            <w:r>
              <w:rPr>
                <w:b/>
                <w:i/>
                <w:sz w:val="14"/>
              </w:rPr>
              <w:t>et al.</w:t>
            </w:r>
          </w:p>
        </w:tc>
        <w:tc>
          <w:tcPr>
            <w:tcW w:w="855" w:type="dxa"/>
            <w:tcBorders>
              <w:bottom w:val="single" w:sz="4" w:space="0" w:color="000000"/>
            </w:tcBorders>
            <w:shd w:val="clear" w:color="auto" w:fill="E0EEE0"/>
          </w:tcPr>
          <w:p>
            <w:pPr>
              <w:pStyle w:val="TableParagraph"/>
              <w:spacing w:line="108" w:lineRule="exact"/>
              <w:ind w:left="6"/>
              <w:rPr>
                <w:b/>
                <w:i/>
                <w:sz w:val="14"/>
              </w:rPr>
            </w:pPr>
            <w:r>
              <w:rPr>
                <w:b/>
                <w:i/>
                <w:sz w:val="14"/>
              </w:rPr>
              <w:t>et al.</w:t>
            </w:r>
          </w:p>
        </w:tc>
        <w:tc>
          <w:tcPr>
            <w:tcW w:w="1103" w:type="dxa"/>
            <w:gridSpan w:val="2"/>
            <w:tcBorders>
              <w:bottom w:val="single" w:sz="4" w:space="0" w:color="000000"/>
            </w:tcBorders>
            <w:shd w:val="clear" w:color="auto" w:fill="E0EEE0"/>
          </w:tcPr>
          <w:p>
            <w:pPr>
              <w:pStyle w:val="TableParagraph"/>
              <w:jc w:val="left"/>
              <w:rPr>
                <w:sz w:val="6"/>
              </w:rPr>
            </w:pPr>
          </w:p>
        </w:tc>
      </w:tr>
      <w:tr>
        <w:trPr>
          <w:trHeight w:val="151" w:hRule="atLeast"/>
        </w:trPr>
        <w:tc>
          <w:tcPr>
            <w:tcW w:w="2700" w:type="dxa"/>
            <w:tcBorders>
              <w:bottom w:val="single" w:sz="4" w:space="0" w:color="000000"/>
            </w:tcBorders>
            <w:shd w:val="clear" w:color="auto" w:fill="E0EEE0"/>
          </w:tcPr>
          <w:p>
            <w:pPr>
              <w:pStyle w:val="TableParagraph"/>
              <w:jc w:val="left"/>
              <w:rPr>
                <w:sz w:val="8"/>
              </w:rPr>
            </w:pPr>
          </w:p>
        </w:tc>
        <w:tc>
          <w:tcPr>
            <w:tcW w:w="993" w:type="dxa"/>
            <w:tcBorders>
              <w:top w:val="single" w:sz="4" w:space="0" w:color="000000"/>
              <w:bottom w:val="single" w:sz="4" w:space="0" w:color="000000"/>
            </w:tcBorders>
            <w:shd w:val="clear" w:color="auto" w:fill="E0EEE0"/>
          </w:tcPr>
          <w:p>
            <w:pPr>
              <w:pStyle w:val="TableParagraph"/>
              <w:spacing w:line="132" w:lineRule="exact"/>
              <w:ind w:left="7"/>
              <w:rPr>
                <w:b/>
                <w:sz w:val="14"/>
              </w:rPr>
            </w:pPr>
            <w:r>
              <w:rPr>
                <w:b/>
                <w:sz w:val="14"/>
              </w:rPr>
              <w:t>2005</w:t>
            </w:r>
          </w:p>
        </w:tc>
        <w:tc>
          <w:tcPr>
            <w:tcW w:w="847" w:type="dxa"/>
            <w:tcBorders>
              <w:top w:val="single" w:sz="4" w:space="0" w:color="000000"/>
              <w:bottom w:val="single" w:sz="4" w:space="0" w:color="000000"/>
            </w:tcBorders>
            <w:shd w:val="clear" w:color="auto" w:fill="E0EEE0"/>
          </w:tcPr>
          <w:p>
            <w:pPr>
              <w:pStyle w:val="TableParagraph"/>
              <w:spacing w:line="132" w:lineRule="exact"/>
              <w:ind w:left="71" w:right="92"/>
              <w:rPr>
                <w:b/>
                <w:sz w:val="14"/>
              </w:rPr>
            </w:pPr>
            <w:r>
              <w:rPr>
                <w:b/>
                <w:sz w:val="14"/>
              </w:rPr>
              <w:t>2004</w:t>
            </w:r>
          </w:p>
        </w:tc>
        <w:tc>
          <w:tcPr>
            <w:tcW w:w="650" w:type="dxa"/>
            <w:tcBorders>
              <w:top w:val="single" w:sz="4" w:space="0" w:color="000000"/>
              <w:bottom w:val="single" w:sz="4" w:space="0" w:color="000000"/>
            </w:tcBorders>
            <w:shd w:val="clear" w:color="auto" w:fill="E0EEE0"/>
          </w:tcPr>
          <w:p>
            <w:pPr>
              <w:pStyle w:val="TableParagraph"/>
              <w:spacing w:line="132" w:lineRule="exact"/>
              <w:ind w:left="89" w:right="53"/>
              <w:rPr>
                <w:b/>
                <w:sz w:val="14"/>
              </w:rPr>
            </w:pPr>
            <w:r>
              <w:rPr>
                <w:b/>
                <w:sz w:val="14"/>
              </w:rPr>
              <w:t>2004</w:t>
            </w:r>
          </w:p>
        </w:tc>
        <w:tc>
          <w:tcPr>
            <w:tcW w:w="1080" w:type="dxa"/>
            <w:tcBorders>
              <w:top w:val="single" w:sz="4" w:space="0" w:color="000000"/>
              <w:bottom w:val="single" w:sz="4" w:space="0" w:color="000000"/>
            </w:tcBorders>
            <w:shd w:val="clear" w:color="auto" w:fill="E0EEE0"/>
          </w:tcPr>
          <w:p>
            <w:pPr>
              <w:pStyle w:val="TableParagraph"/>
              <w:spacing w:line="132" w:lineRule="exact"/>
              <w:ind w:left="113" w:right="107"/>
              <w:rPr>
                <w:b/>
                <w:sz w:val="14"/>
              </w:rPr>
            </w:pPr>
            <w:r>
              <w:rPr>
                <w:b/>
                <w:sz w:val="14"/>
              </w:rPr>
              <w:t>2002a</w:t>
            </w:r>
          </w:p>
        </w:tc>
        <w:tc>
          <w:tcPr>
            <w:tcW w:w="1334" w:type="dxa"/>
            <w:tcBorders>
              <w:top w:val="single" w:sz="4" w:space="0" w:color="000000"/>
              <w:bottom w:val="single" w:sz="4" w:space="0" w:color="000000"/>
            </w:tcBorders>
            <w:shd w:val="clear" w:color="auto" w:fill="E0EEE0"/>
          </w:tcPr>
          <w:p>
            <w:pPr>
              <w:pStyle w:val="TableParagraph"/>
              <w:spacing w:line="132" w:lineRule="exact"/>
              <w:ind w:left="206" w:right="200"/>
              <w:rPr>
                <w:b/>
                <w:sz w:val="14"/>
              </w:rPr>
            </w:pPr>
            <w:r>
              <w:rPr>
                <w:b/>
                <w:sz w:val="14"/>
              </w:rPr>
              <w:t>2003</w:t>
            </w:r>
          </w:p>
        </w:tc>
        <w:tc>
          <w:tcPr>
            <w:tcW w:w="801" w:type="dxa"/>
            <w:tcBorders>
              <w:top w:val="single" w:sz="4" w:space="0" w:color="000000"/>
              <w:bottom w:val="single" w:sz="4" w:space="0" w:color="000000"/>
            </w:tcBorders>
            <w:shd w:val="clear" w:color="auto" w:fill="E0EEE0"/>
          </w:tcPr>
          <w:p>
            <w:pPr>
              <w:pStyle w:val="TableParagraph"/>
              <w:spacing w:line="132" w:lineRule="exact"/>
              <w:ind w:left="6"/>
              <w:rPr>
                <w:b/>
                <w:sz w:val="14"/>
              </w:rPr>
            </w:pPr>
            <w:r>
              <w:rPr>
                <w:b/>
                <w:sz w:val="14"/>
              </w:rPr>
              <w:t>2005</w:t>
            </w:r>
          </w:p>
        </w:tc>
        <w:tc>
          <w:tcPr>
            <w:tcW w:w="855" w:type="dxa"/>
            <w:tcBorders>
              <w:top w:val="single" w:sz="4" w:space="0" w:color="000000"/>
              <w:bottom w:val="single" w:sz="4" w:space="0" w:color="000000"/>
            </w:tcBorders>
            <w:shd w:val="clear" w:color="auto" w:fill="E0EEE0"/>
          </w:tcPr>
          <w:p>
            <w:pPr>
              <w:pStyle w:val="TableParagraph"/>
              <w:spacing w:line="132" w:lineRule="exact"/>
              <w:ind w:left="6"/>
              <w:rPr>
                <w:b/>
                <w:sz w:val="14"/>
              </w:rPr>
            </w:pPr>
            <w:r>
              <w:rPr>
                <w:b/>
                <w:sz w:val="14"/>
              </w:rPr>
              <w:t>2005</w:t>
            </w:r>
          </w:p>
        </w:tc>
        <w:tc>
          <w:tcPr>
            <w:tcW w:w="490" w:type="dxa"/>
            <w:tcBorders>
              <w:top w:val="single" w:sz="4" w:space="0" w:color="000000"/>
              <w:bottom w:val="single" w:sz="4" w:space="0" w:color="000000"/>
            </w:tcBorders>
            <w:shd w:val="clear" w:color="auto" w:fill="E0EEE0"/>
          </w:tcPr>
          <w:p>
            <w:pPr>
              <w:pStyle w:val="TableParagraph"/>
              <w:spacing w:line="132" w:lineRule="exact"/>
              <w:ind w:left="87" w:right="82"/>
              <w:rPr>
                <w:b/>
                <w:sz w:val="14"/>
              </w:rPr>
            </w:pPr>
            <w:r>
              <w:rPr>
                <w:b/>
                <w:sz w:val="14"/>
              </w:rPr>
              <w:t>min</w:t>
            </w:r>
          </w:p>
        </w:tc>
        <w:tc>
          <w:tcPr>
            <w:tcW w:w="613" w:type="dxa"/>
            <w:tcBorders>
              <w:top w:val="single" w:sz="4" w:space="0" w:color="000000"/>
              <w:bottom w:val="single" w:sz="4" w:space="0" w:color="000000"/>
            </w:tcBorders>
            <w:shd w:val="clear" w:color="auto" w:fill="E0EEE0"/>
          </w:tcPr>
          <w:p>
            <w:pPr>
              <w:pStyle w:val="TableParagraph"/>
              <w:spacing w:line="132" w:lineRule="exact"/>
              <w:ind w:left="114" w:right="109"/>
              <w:rPr>
                <w:b/>
                <w:sz w:val="14"/>
              </w:rPr>
            </w:pPr>
            <w:r>
              <w:rPr>
                <w:b/>
                <w:sz w:val="14"/>
              </w:rPr>
              <w:t>max</w:t>
            </w:r>
          </w:p>
        </w:tc>
      </w:tr>
      <w:tr>
        <w:trPr>
          <w:trHeight w:val="151" w:hRule="atLeast"/>
        </w:trPr>
        <w:tc>
          <w:tcPr>
            <w:tcW w:w="2700" w:type="dxa"/>
            <w:tcBorders>
              <w:top w:val="single" w:sz="4" w:space="0" w:color="000000"/>
              <w:bottom w:val="single" w:sz="4" w:space="0" w:color="000000"/>
            </w:tcBorders>
            <w:shd w:val="clear" w:color="auto" w:fill="F9FCF9"/>
          </w:tcPr>
          <w:p>
            <w:pPr>
              <w:pStyle w:val="TableParagraph"/>
              <w:spacing w:line="132" w:lineRule="exact"/>
              <w:ind w:left="28"/>
              <w:jc w:val="left"/>
              <w:rPr>
                <w:b/>
                <w:i/>
                <w:sz w:val="14"/>
              </w:rPr>
            </w:pPr>
            <w:r>
              <w:rPr>
                <w:b/>
                <w:i/>
                <w:sz w:val="14"/>
              </w:rPr>
              <w:t>Reference Plant (without capture)</w:t>
            </w:r>
          </w:p>
        </w:tc>
        <w:tc>
          <w:tcPr>
            <w:tcW w:w="993" w:type="dxa"/>
            <w:tcBorders>
              <w:top w:val="single" w:sz="4" w:space="0" w:color="000000"/>
              <w:bottom w:val="single" w:sz="4" w:space="0" w:color="000000"/>
            </w:tcBorders>
            <w:shd w:val="clear" w:color="auto" w:fill="F9FCF9"/>
          </w:tcPr>
          <w:p>
            <w:pPr>
              <w:pStyle w:val="TableParagraph"/>
              <w:spacing w:line="132" w:lineRule="exact"/>
              <w:ind w:left="7"/>
              <w:rPr>
                <w:sz w:val="14"/>
              </w:rPr>
            </w:pPr>
            <w:r>
              <w:rPr>
                <w:sz w:val="14"/>
              </w:rPr>
              <w:t>*</w:t>
            </w:r>
          </w:p>
        </w:tc>
        <w:tc>
          <w:tcPr>
            <w:tcW w:w="847" w:type="dxa"/>
            <w:tcBorders>
              <w:top w:val="single" w:sz="4" w:space="0" w:color="000000"/>
              <w:bottom w:val="single" w:sz="4" w:space="0" w:color="000000"/>
            </w:tcBorders>
            <w:shd w:val="clear" w:color="auto" w:fill="F9FCF9"/>
          </w:tcPr>
          <w:p>
            <w:pPr>
              <w:pStyle w:val="TableParagraph"/>
              <w:jc w:val="left"/>
              <w:rPr>
                <w:sz w:val="8"/>
              </w:rPr>
            </w:pPr>
          </w:p>
        </w:tc>
        <w:tc>
          <w:tcPr>
            <w:tcW w:w="650" w:type="dxa"/>
            <w:tcBorders>
              <w:top w:val="single" w:sz="4" w:space="0" w:color="000000"/>
              <w:bottom w:val="single" w:sz="4" w:space="0" w:color="000000"/>
            </w:tcBorders>
            <w:shd w:val="clear" w:color="auto" w:fill="F9FCF9"/>
          </w:tcPr>
          <w:p>
            <w:pPr>
              <w:pStyle w:val="TableParagraph"/>
              <w:jc w:val="left"/>
              <w:rPr>
                <w:sz w:val="8"/>
              </w:rPr>
            </w:pPr>
          </w:p>
        </w:tc>
        <w:tc>
          <w:tcPr>
            <w:tcW w:w="1080"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w:t>
            </w:r>
          </w:p>
        </w:tc>
        <w:tc>
          <w:tcPr>
            <w:tcW w:w="1334"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w:t>
            </w:r>
          </w:p>
        </w:tc>
        <w:tc>
          <w:tcPr>
            <w:tcW w:w="801" w:type="dxa"/>
            <w:tcBorders>
              <w:top w:val="single" w:sz="4" w:space="0" w:color="000000"/>
              <w:bottom w:val="single" w:sz="4" w:space="0" w:color="000000"/>
            </w:tcBorders>
            <w:shd w:val="clear" w:color="auto" w:fill="F9FCF9"/>
          </w:tcPr>
          <w:p>
            <w:pPr>
              <w:pStyle w:val="TableParagraph"/>
              <w:jc w:val="left"/>
              <w:rPr>
                <w:sz w:val="8"/>
              </w:rPr>
            </w:pPr>
          </w:p>
        </w:tc>
        <w:tc>
          <w:tcPr>
            <w:tcW w:w="855" w:type="dxa"/>
            <w:tcBorders>
              <w:top w:val="single" w:sz="4" w:space="0" w:color="000000"/>
              <w:bottom w:val="single" w:sz="4" w:space="0" w:color="000000"/>
            </w:tcBorders>
            <w:shd w:val="clear" w:color="auto" w:fill="F9FCF9"/>
          </w:tcPr>
          <w:p>
            <w:pPr>
              <w:pStyle w:val="TableParagraph"/>
              <w:jc w:val="left"/>
              <w:rPr>
                <w:sz w:val="8"/>
              </w:rPr>
            </w:pPr>
          </w:p>
        </w:tc>
        <w:tc>
          <w:tcPr>
            <w:tcW w:w="490" w:type="dxa"/>
            <w:tcBorders>
              <w:top w:val="single" w:sz="4" w:space="0" w:color="000000"/>
              <w:bottom w:val="single" w:sz="4" w:space="0" w:color="000000"/>
            </w:tcBorders>
            <w:shd w:val="clear" w:color="auto" w:fill="F9FCF9"/>
          </w:tcPr>
          <w:p>
            <w:pPr>
              <w:pStyle w:val="TableParagraph"/>
              <w:jc w:val="left"/>
              <w:rPr>
                <w:sz w:val="8"/>
              </w:rPr>
            </w:pPr>
          </w:p>
        </w:tc>
        <w:tc>
          <w:tcPr>
            <w:tcW w:w="613" w:type="dxa"/>
            <w:tcBorders>
              <w:top w:val="single" w:sz="4" w:space="0" w:color="000000"/>
              <w:bottom w:val="single" w:sz="4" w:space="0" w:color="000000"/>
            </w:tcBorders>
            <w:shd w:val="clear" w:color="auto" w:fill="F9FCF9"/>
          </w:tcPr>
          <w:p>
            <w:pPr>
              <w:pStyle w:val="TableParagraph"/>
              <w:jc w:val="left"/>
              <w:rPr>
                <w:sz w:val="8"/>
              </w:rPr>
            </w:pPr>
          </w:p>
        </w:tc>
      </w:tr>
      <w:tr>
        <w:trPr>
          <w:trHeight w:val="387" w:hRule="atLeast"/>
        </w:trPr>
        <w:tc>
          <w:tcPr>
            <w:tcW w:w="2700" w:type="dxa"/>
            <w:tcBorders>
              <w:top w:val="single" w:sz="4" w:space="0" w:color="000000"/>
              <w:bottom w:val="single" w:sz="4" w:space="0" w:color="000000"/>
            </w:tcBorders>
            <w:shd w:val="clear" w:color="auto" w:fill="F9FCF9"/>
          </w:tcPr>
          <w:p>
            <w:pPr>
              <w:pStyle w:val="TableParagraph"/>
              <w:spacing w:line="159" w:lineRule="exact"/>
              <w:ind w:left="28"/>
              <w:jc w:val="left"/>
              <w:rPr>
                <w:sz w:val="14"/>
              </w:rPr>
            </w:pPr>
            <w:r>
              <w:rPr>
                <w:sz w:val="14"/>
              </w:rPr>
              <w:t>Plant products (primary/secondary)</w:t>
            </w:r>
          </w:p>
        </w:tc>
        <w:tc>
          <w:tcPr>
            <w:tcW w:w="993" w:type="dxa"/>
            <w:tcBorders>
              <w:top w:val="single" w:sz="4" w:space="0" w:color="000000"/>
              <w:bottom w:val="single" w:sz="4" w:space="0" w:color="000000"/>
            </w:tcBorders>
            <w:shd w:val="clear" w:color="auto" w:fill="F9FCF9"/>
          </w:tcPr>
          <w:p>
            <w:pPr>
              <w:pStyle w:val="TableParagraph"/>
              <w:spacing w:line="235" w:lineRule="auto"/>
              <w:ind w:left="7"/>
              <w:rPr>
                <w:sz w:val="8"/>
              </w:rPr>
            </w:pPr>
            <w:r>
              <w:rPr>
                <w:sz w:val="14"/>
              </w:rPr>
              <w:t>H</w:t>
            </w:r>
            <w:r>
              <w:rPr>
                <w:position w:val="-4"/>
                <w:sz w:val="8"/>
              </w:rPr>
              <w:t>2</w:t>
            </w:r>
          </w:p>
        </w:tc>
        <w:tc>
          <w:tcPr>
            <w:tcW w:w="847" w:type="dxa"/>
            <w:tcBorders>
              <w:top w:val="single" w:sz="4" w:space="0" w:color="000000"/>
              <w:bottom w:val="single" w:sz="4" w:space="0" w:color="000000"/>
            </w:tcBorders>
            <w:shd w:val="clear" w:color="auto" w:fill="F9FCF9"/>
          </w:tcPr>
          <w:p>
            <w:pPr>
              <w:pStyle w:val="TableParagraph"/>
              <w:spacing w:line="235" w:lineRule="auto"/>
              <w:ind w:left="71" w:right="92"/>
              <w:rPr>
                <w:sz w:val="8"/>
              </w:rPr>
            </w:pPr>
            <w:r>
              <w:rPr>
                <w:sz w:val="14"/>
              </w:rPr>
              <w:t>H</w:t>
            </w:r>
            <w:r>
              <w:rPr>
                <w:position w:val="-4"/>
                <w:sz w:val="8"/>
              </w:rPr>
              <w:t>2</w:t>
            </w:r>
          </w:p>
        </w:tc>
        <w:tc>
          <w:tcPr>
            <w:tcW w:w="650" w:type="dxa"/>
            <w:tcBorders>
              <w:top w:val="single" w:sz="4" w:space="0" w:color="000000"/>
              <w:bottom w:val="single" w:sz="4" w:space="0" w:color="000000"/>
            </w:tcBorders>
            <w:shd w:val="clear" w:color="auto" w:fill="F9FCF9"/>
          </w:tcPr>
          <w:p>
            <w:pPr>
              <w:pStyle w:val="TableParagraph"/>
              <w:spacing w:line="235" w:lineRule="auto"/>
              <w:ind w:left="89" w:right="53"/>
              <w:rPr>
                <w:sz w:val="8"/>
              </w:rPr>
            </w:pPr>
            <w:r>
              <w:rPr>
                <w:sz w:val="14"/>
              </w:rPr>
              <w:t>H</w:t>
            </w:r>
            <w:r>
              <w:rPr>
                <w:position w:val="-4"/>
                <w:sz w:val="8"/>
              </w:rPr>
              <w:t>2</w:t>
            </w:r>
          </w:p>
        </w:tc>
        <w:tc>
          <w:tcPr>
            <w:tcW w:w="1080" w:type="dxa"/>
            <w:tcBorders>
              <w:top w:val="single" w:sz="4" w:space="0" w:color="000000"/>
              <w:bottom w:val="single" w:sz="4" w:space="0" w:color="000000"/>
            </w:tcBorders>
            <w:shd w:val="clear" w:color="auto" w:fill="F9FCF9"/>
          </w:tcPr>
          <w:p>
            <w:pPr>
              <w:pStyle w:val="TableParagraph"/>
              <w:spacing w:line="181" w:lineRule="exact"/>
              <w:ind w:left="113" w:right="107"/>
              <w:rPr>
                <w:sz w:val="14"/>
              </w:rPr>
            </w:pPr>
            <w:r>
              <w:rPr>
                <w:sz w:val="14"/>
              </w:rPr>
              <w:t>H</w:t>
            </w:r>
            <w:r>
              <w:rPr>
                <w:position w:val="-4"/>
                <w:sz w:val="8"/>
              </w:rPr>
              <w:t>2</w:t>
            </w:r>
            <w:r>
              <w:rPr>
                <w:sz w:val="14"/>
              </w:rPr>
              <w:t>+</w:t>
            </w:r>
          </w:p>
          <w:p>
            <w:pPr>
              <w:pStyle w:val="TableParagraph"/>
              <w:spacing w:line="146" w:lineRule="exact"/>
              <w:ind w:left="113" w:right="106"/>
              <w:rPr>
                <w:sz w:val="14"/>
              </w:rPr>
            </w:pPr>
            <w:r>
              <w:rPr>
                <w:sz w:val="14"/>
              </w:rPr>
              <w:t>electricity</w:t>
            </w:r>
          </w:p>
        </w:tc>
        <w:tc>
          <w:tcPr>
            <w:tcW w:w="1334" w:type="dxa"/>
            <w:tcBorders>
              <w:top w:val="single" w:sz="4" w:space="0" w:color="000000"/>
              <w:bottom w:val="single" w:sz="4" w:space="0" w:color="000000"/>
            </w:tcBorders>
            <w:shd w:val="clear" w:color="auto" w:fill="F9FCF9"/>
          </w:tcPr>
          <w:p>
            <w:pPr>
              <w:pStyle w:val="TableParagraph"/>
              <w:spacing w:line="181" w:lineRule="exact"/>
              <w:ind w:left="206" w:right="200"/>
              <w:rPr>
                <w:sz w:val="14"/>
              </w:rPr>
            </w:pPr>
            <w:r>
              <w:rPr>
                <w:sz w:val="14"/>
              </w:rPr>
              <w:t>H</w:t>
            </w:r>
            <w:r>
              <w:rPr>
                <w:position w:val="-4"/>
                <w:sz w:val="8"/>
              </w:rPr>
              <w:t>2</w:t>
            </w:r>
            <w:r>
              <w:rPr>
                <w:sz w:val="14"/>
              </w:rPr>
              <w:t>+</w:t>
            </w:r>
          </w:p>
          <w:p>
            <w:pPr>
              <w:pStyle w:val="TableParagraph"/>
              <w:spacing w:line="146" w:lineRule="exact"/>
              <w:ind w:left="207" w:right="200"/>
              <w:rPr>
                <w:sz w:val="14"/>
              </w:rPr>
            </w:pPr>
            <w:r>
              <w:rPr>
                <w:sz w:val="14"/>
              </w:rPr>
              <w:t>electricity</w:t>
            </w:r>
          </w:p>
        </w:tc>
        <w:tc>
          <w:tcPr>
            <w:tcW w:w="801" w:type="dxa"/>
            <w:tcBorders>
              <w:top w:val="single" w:sz="4" w:space="0" w:color="000000"/>
              <w:bottom w:val="single" w:sz="4" w:space="0" w:color="000000"/>
            </w:tcBorders>
            <w:shd w:val="clear" w:color="auto" w:fill="F9FCF9"/>
          </w:tcPr>
          <w:p>
            <w:pPr>
              <w:pStyle w:val="TableParagraph"/>
              <w:spacing w:line="181" w:lineRule="exact"/>
              <w:ind w:left="6"/>
              <w:rPr>
                <w:sz w:val="14"/>
              </w:rPr>
            </w:pPr>
            <w:r>
              <w:rPr>
                <w:sz w:val="14"/>
              </w:rPr>
              <w:t>H</w:t>
            </w:r>
            <w:r>
              <w:rPr>
                <w:position w:val="-4"/>
                <w:sz w:val="8"/>
              </w:rPr>
              <w:t>2</w:t>
            </w:r>
            <w:r>
              <w:rPr>
                <w:sz w:val="14"/>
              </w:rPr>
              <w:t>+</w:t>
            </w:r>
          </w:p>
          <w:p>
            <w:pPr>
              <w:pStyle w:val="TableParagraph"/>
              <w:spacing w:line="146" w:lineRule="exact"/>
              <w:ind w:left="6"/>
              <w:rPr>
                <w:sz w:val="14"/>
              </w:rPr>
            </w:pPr>
            <w:r>
              <w:rPr>
                <w:sz w:val="14"/>
              </w:rPr>
              <w:t>electricity</w:t>
            </w:r>
          </w:p>
        </w:tc>
        <w:tc>
          <w:tcPr>
            <w:tcW w:w="855" w:type="dxa"/>
            <w:tcBorders>
              <w:top w:val="single" w:sz="4" w:space="0" w:color="000000"/>
              <w:bottom w:val="single" w:sz="4" w:space="0" w:color="000000"/>
            </w:tcBorders>
            <w:shd w:val="clear" w:color="auto" w:fill="F9FCF9"/>
          </w:tcPr>
          <w:p>
            <w:pPr>
              <w:pStyle w:val="TableParagraph"/>
              <w:spacing w:line="181" w:lineRule="exact"/>
              <w:ind w:left="6"/>
              <w:rPr>
                <w:sz w:val="14"/>
              </w:rPr>
            </w:pPr>
            <w:r>
              <w:rPr>
                <w:sz w:val="14"/>
              </w:rPr>
              <w:t>H</w:t>
            </w:r>
            <w:r>
              <w:rPr>
                <w:position w:val="-4"/>
                <w:sz w:val="8"/>
              </w:rPr>
              <w:t>2</w:t>
            </w:r>
            <w:r>
              <w:rPr>
                <w:sz w:val="14"/>
              </w:rPr>
              <w:t>+</w:t>
            </w:r>
          </w:p>
          <w:p>
            <w:pPr>
              <w:pStyle w:val="TableParagraph"/>
              <w:spacing w:line="146" w:lineRule="exact"/>
              <w:ind w:left="6"/>
              <w:rPr>
                <w:sz w:val="14"/>
              </w:rPr>
            </w:pPr>
            <w:r>
              <w:rPr>
                <w:sz w:val="14"/>
              </w:rPr>
              <w:t>electricity</w:t>
            </w:r>
          </w:p>
        </w:tc>
        <w:tc>
          <w:tcPr>
            <w:tcW w:w="490" w:type="dxa"/>
            <w:tcBorders>
              <w:top w:val="single" w:sz="4" w:space="0" w:color="000000"/>
              <w:bottom w:val="single" w:sz="4" w:space="0" w:color="000000"/>
            </w:tcBorders>
            <w:shd w:val="clear" w:color="auto" w:fill="F9FCF9"/>
          </w:tcPr>
          <w:p>
            <w:pPr>
              <w:pStyle w:val="TableParagraph"/>
              <w:jc w:val="left"/>
              <w:rPr>
                <w:sz w:val="14"/>
              </w:rPr>
            </w:pPr>
          </w:p>
        </w:tc>
        <w:tc>
          <w:tcPr>
            <w:tcW w:w="613" w:type="dxa"/>
            <w:tcBorders>
              <w:top w:val="single" w:sz="4" w:space="0" w:color="000000"/>
              <w:bottom w:val="single" w:sz="4" w:space="0" w:color="000000"/>
            </w:tcBorders>
            <w:shd w:val="clear" w:color="auto" w:fill="F9FCF9"/>
          </w:tcPr>
          <w:p>
            <w:pPr>
              <w:pStyle w:val="TableParagraph"/>
              <w:jc w:val="left"/>
              <w:rPr>
                <w:sz w:val="14"/>
              </w:rPr>
            </w:pPr>
          </w:p>
        </w:tc>
      </w:tr>
      <w:tr>
        <w:trPr>
          <w:trHeight w:val="177" w:hRule="atLeast"/>
        </w:trPr>
        <w:tc>
          <w:tcPr>
            <w:tcW w:w="2700" w:type="dxa"/>
            <w:tcBorders>
              <w:top w:val="single" w:sz="4" w:space="0" w:color="000000"/>
            </w:tcBorders>
            <w:shd w:val="clear" w:color="auto" w:fill="F9FCF9"/>
          </w:tcPr>
          <w:p>
            <w:pPr>
              <w:pStyle w:val="TableParagraph"/>
              <w:spacing w:line="157" w:lineRule="exact"/>
              <w:ind w:left="28"/>
              <w:jc w:val="left"/>
              <w:rPr>
                <w:sz w:val="14"/>
              </w:rPr>
            </w:pPr>
            <w:r>
              <w:rPr>
                <w:sz w:val="14"/>
              </w:rPr>
              <w:t>Production process or type</w:t>
            </w:r>
          </w:p>
        </w:tc>
        <w:tc>
          <w:tcPr>
            <w:tcW w:w="993" w:type="dxa"/>
            <w:tcBorders>
              <w:top w:val="single" w:sz="4" w:space="0" w:color="000000"/>
            </w:tcBorders>
            <w:shd w:val="clear" w:color="auto" w:fill="F9FCF9"/>
          </w:tcPr>
          <w:p>
            <w:pPr>
              <w:pStyle w:val="TableParagraph"/>
              <w:spacing w:line="157" w:lineRule="exact"/>
              <w:ind w:left="7"/>
              <w:rPr>
                <w:sz w:val="14"/>
              </w:rPr>
            </w:pPr>
            <w:r>
              <w:rPr>
                <w:sz w:val="14"/>
              </w:rPr>
              <w:t>Steam reforming</w:t>
            </w:r>
          </w:p>
        </w:tc>
        <w:tc>
          <w:tcPr>
            <w:tcW w:w="847" w:type="dxa"/>
            <w:tcBorders>
              <w:top w:val="single" w:sz="4" w:space="0" w:color="000000"/>
            </w:tcBorders>
            <w:shd w:val="clear" w:color="auto" w:fill="F9FCF9"/>
          </w:tcPr>
          <w:p>
            <w:pPr>
              <w:pStyle w:val="TableParagraph"/>
              <w:spacing w:line="157" w:lineRule="exact"/>
              <w:ind w:left="71" w:right="92"/>
              <w:rPr>
                <w:sz w:val="14"/>
              </w:rPr>
            </w:pPr>
            <w:r>
              <w:rPr>
                <w:sz w:val="14"/>
              </w:rPr>
              <w:t>Steam</w:t>
            </w:r>
          </w:p>
        </w:tc>
        <w:tc>
          <w:tcPr>
            <w:tcW w:w="650" w:type="dxa"/>
            <w:tcBorders>
              <w:top w:val="single" w:sz="4" w:space="0" w:color="000000"/>
            </w:tcBorders>
            <w:shd w:val="clear" w:color="auto" w:fill="F9FCF9"/>
          </w:tcPr>
          <w:p>
            <w:pPr>
              <w:pStyle w:val="TableParagraph"/>
              <w:spacing w:line="157" w:lineRule="exact"/>
              <w:ind w:left="89" w:right="53"/>
              <w:rPr>
                <w:sz w:val="14"/>
              </w:rPr>
            </w:pPr>
            <w:r>
              <w:rPr>
                <w:sz w:val="14"/>
              </w:rPr>
              <w:t>Texaco</w:t>
            </w:r>
          </w:p>
        </w:tc>
        <w:tc>
          <w:tcPr>
            <w:tcW w:w="1080" w:type="dxa"/>
            <w:tcBorders>
              <w:top w:val="single" w:sz="4" w:space="0" w:color="000000"/>
            </w:tcBorders>
            <w:shd w:val="clear" w:color="auto" w:fill="F9FCF9"/>
          </w:tcPr>
          <w:p>
            <w:pPr>
              <w:pStyle w:val="TableParagraph"/>
              <w:spacing w:line="157" w:lineRule="exact"/>
              <w:ind w:left="113" w:right="106"/>
              <w:rPr>
                <w:sz w:val="14"/>
              </w:rPr>
            </w:pPr>
            <w:r>
              <w:rPr>
                <w:sz w:val="14"/>
              </w:rPr>
              <w:t>Conv E-Gas,</w:t>
            </w:r>
          </w:p>
        </w:tc>
        <w:tc>
          <w:tcPr>
            <w:tcW w:w="1334" w:type="dxa"/>
            <w:tcBorders>
              <w:top w:val="single" w:sz="4" w:space="0" w:color="000000"/>
            </w:tcBorders>
            <w:shd w:val="clear" w:color="auto" w:fill="F9FCF9"/>
          </w:tcPr>
          <w:p>
            <w:pPr>
              <w:pStyle w:val="TableParagraph"/>
              <w:spacing w:line="157" w:lineRule="exact"/>
              <w:ind w:left="207" w:right="200"/>
              <w:rPr>
                <w:sz w:val="14"/>
              </w:rPr>
            </w:pPr>
            <w:r>
              <w:rPr>
                <w:sz w:val="14"/>
              </w:rPr>
              <w:t>Texaco quench,</w:t>
            </w:r>
          </w:p>
        </w:tc>
        <w:tc>
          <w:tcPr>
            <w:tcW w:w="801" w:type="dxa"/>
            <w:tcBorders>
              <w:top w:val="single" w:sz="4" w:space="0" w:color="000000"/>
            </w:tcBorders>
            <w:shd w:val="clear" w:color="auto" w:fill="F9FCF9"/>
          </w:tcPr>
          <w:p>
            <w:pPr>
              <w:pStyle w:val="TableParagraph"/>
              <w:spacing w:line="157" w:lineRule="exact"/>
              <w:ind w:left="6"/>
              <w:rPr>
                <w:sz w:val="14"/>
              </w:rPr>
            </w:pPr>
            <w:r>
              <w:rPr>
                <w:sz w:val="14"/>
              </w:rPr>
              <w:t>Texaco</w:t>
            </w:r>
          </w:p>
        </w:tc>
        <w:tc>
          <w:tcPr>
            <w:tcW w:w="855" w:type="dxa"/>
            <w:tcBorders>
              <w:top w:val="single" w:sz="4" w:space="0" w:color="000000"/>
            </w:tcBorders>
            <w:shd w:val="clear" w:color="auto" w:fill="F9FCF9"/>
          </w:tcPr>
          <w:p>
            <w:pPr>
              <w:pStyle w:val="TableParagraph"/>
              <w:spacing w:line="157" w:lineRule="exact"/>
              <w:ind w:left="6"/>
              <w:rPr>
                <w:sz w:val="14"/>
              </w:rPr>
            </w:pPr>
            <w:r>
              <w:rPr>
                <w:sz w:val="14"/>
              </w:rPr>
              <w:t>Texaco</w:t>
            </w:r>
          </w:p>
        </w:tc>
        <w:tc>
          <w:tcPr>
            <w:tcW w:w="490" w:type="dxa"/>
            <w:tcBorders>
              <w:top w:val="single" w:sz="4" w:space="0" w:color="000000"/>
            </w:tcBorders>
            <w:shd w:val="clear" w:color="auto" w:fill="F9FCF9"/>
          </w:tcPr>
          <w:p>
            <w:pPr>
              <w:pStyle w:val="TableParagraph"/>
              <w:jc w:val="left"/>
              <w:rPr>
                <w:sz w:val="10"/>
              </w:rPr>
            </w:pPr>
          </w:p>
        </w:tc>
        <w:tc>
          <w:tcPr>
            <w:tcW w:w="613" w:type="dxa"/>
            <w:tcBorders>
              <w:top w:val="single" w:sz="4" w:space="0" w:color="000000"/>
            </w:tcBorders>
            <w:shd w:val="clear" w:color="auto" w:fill="F9FCF9"/>
          </w:tcPr>
          <w:p>
            <w:pPr>
              <w:pStyle w:val="TableParagraph"/>
              <w:jc w:val="left"/>
              <w:rPr>
                <w:sz w:val="10"/>
              </w:rPr>
            </w:pPr>
          </w:p>
        </w:tc>
      </w:tr>
      <w:tr>
        <w:trPr>
          <w:trHeight w:val="317" w:hRule="atLeast"/>
        </w:trPr>
        <w:tc>
          <w:tcPr>
            <w:tcW w:w="2700" w:type="dxa"/>
            <w:tcBorders>
              <w:bottom w:val="single" w:sz="4" w:space="0" w:color="000000"/>
            </w:tcBorders>
            <w:shd w:val="clear" w:color="auto" w:fill="F9FCF9"/>
          </w:tcPr>
          <w:p>
            <w:pPr>
              <w:pStyle w:val="TableParagraph"/>
              <w:jc w:val="left"/>
              <w:rPr>
                <w:sz w:val="14"/>
              </w:rPr>
            </w:pPr>
          </w:p>
        </w:tc>
        <w:tc>
          <w:tcPr>
            <w:tcW w:w="993" w:type="dxa"/>
            <w:tcBorders>
              <w:bottom w:val="single" w:sz="4" w:space="0" w:color="000000"/>
            </w:tcBorders>
            <w:shd w:val="clear" w:color="auto" w:fill="F9FCF9"/>
          </w:tcPr>
          <w:p>
            <w:pPr>
              <w:pStyle w:val="TableParagraph"/>
              <w:jc w:val="left"/>
              <w:rPr>
                <w:sz w:val="14"/>
              </w:rPr>
            </w:pPr>
          </w:p>
        </w:tc>
        <w:tc>
          <w:tcPr>
            <w:tcW w:w="847" w:type="dxa"/>
            <w:tcBorders>
              <w:bottom w:val="single" w:sz="4" w:space="0" w:color="000000"/>
            </w:tcBorders>
            <w:shd w:val="clear" w:color="auto" w:fill="F9FCF9"/>
          </w:tcPr>
          <w:p>
            <w:pPr>
              <w:pStyle w:val="TableParagraph"/>
              <w:spacing w:line="149" w:lineRule="exact"/>
              <w:ind w:left="71" w:right="92"/>
              <w:rPr>
                <w:sz w:val="14"/>
              </w:rPr>
            </w:pPr>
            <w:r>
              <w:rPr>
                <w:sz w:val="14"/>
              </w:rPr>
              <w:t>reforming</w:t>
            </w:r>
          </w:p>
        </w:tc>
        <w:tc>
          <w:tcPr>
            <w:tcW w:w="650" w:type="dxa"/>
            <w:tcBorders>
              <w:bottom w:val="single" w:sz="4" w:space="0" w:color="000000"/>
            </w:tcBorders>
            <w:shd w:val="clear" w:color="auto" w:fill="F9FCF9"/>
          </w:tcPr>
          <w:p>
            <w:pPr>
              <w:pStyle w:val="TableParagraph"/>
              <w:spacing w:line="149" w:lineRule="exact"/>
              <w:ind w:left="123"/>
              <w:jc w:val="left"/>
              <w:rPr>
                <w:sz w:val="14"/>
              </w:rPr>
            </w:pPr>
            <w:r>
              <w:rPr>
                <w:sz w:val="14"/>
              </w:rPr>
              <w:t>quench,</w:t>
            </w:r>
          </w:p>
          <w:p>
            <w:pPr>
              <w:pStyle w:val="TableParagraph"/>
              <w:spacing w:line="134" w:lineRule="exact" w:before="7"/>
              <w:ind w:left="148"/>
              <w:jc w:val="left"/>
              <w:rPr>
                <w:sz w:val="14"/>
              </w:rPr>
            </w:pPr>
            <w:r>
              <w:rPr>
                <w:sz w:val="14"/>
              </w:rPr>
              <w:t>CGCU</w:t>
            </w:r>
          </w:p>
        </w:tc>
        <w:tc>
          <w:tcPr>
            <w:tcW w:w="1080" w:type="dxa"/>
            <w:tcBorders>
              <w:bottom w:val="single" w:sz="4" w:space="0" w:color="000000"/>
            </w:tcBorders>
            <w:shd w:val="clear" w:color="auto" w:fill="F9FCF9"/>
          </w:tcPr>
          <w:p>
            <w:pPr>
              <w:pStyle w:val="TableParagraph"/>
              <w:spacing w:line="184" w:lineRule="auto" w:before="9"/>
              <w:ind w:left="113" w:right="107"/>
              <w:rPr>
                <w:sz w:val="8"/>
              </w:rPr>
            </w:pPr>
            <w:r>
              <w:rPr>
                <w:sz w:val="14"/>
              </w:rPr>
              <w:t>CGCU, H</w:t>
            </w:r>
            <w:r>
              <w:rPr>
                <w:position w:val="-4"/>
                <w:sz w:val="8"/>
              </w:rPr>
              <w:t>2</w:t>
            </w:r>
            <w:r>
              <w:rPr>
                <w:sz w:val="14"/>
              </w:rPr>
              <w:t>SO</w:t>
            </w:r>
            <w:r>
              <w:rPr>
                <w:position w:val="-4"/>
                <w:sz w:val="8"/>
              </w:rPr>
              <w:t>4</w:t>
            </w:r>
          </w:p>
          <w:p>
            <w:pPr>
              <w:pStyle w:val="TableParagraph"/>
              <w:spacing w:line="119" w:lineRule="exact"/>
              <w:ind w:left="113" w:right="106"/>
              <w:rPr>
                <w:sz w:val="14"/>
              </w:rPr>
            </w:pPr>
            <w:r>
              <w:rPr>
                <w:sz w:val="14"/>
              </w:rPr>
              <w:t>co-product</w:t>
            </w:r>
          </w:p>
        </w:tc>
        <w:tc>
          <w:tcPr>
            <w:tcW w:w="1334" w:type="dxa"/>
            <w:tcBorders>
              <w:bottom w:val="single" w:sz="4" w:space="0" w:color="000000"/>
            </w:tcBorders>
            <w:shd w:val="clear" w:color="auto" w:fill="F9FCF9"/>
          </w:tcPr>
          <w:p>
            <w:pPr>
              <w:pStyle w:val="TableParagraph"/>
              <w:spacing w:line="149" w:lineRule="exact"/>
              <w:ind w:left="137"/>
              <w:jc w:val="left"/>
              <w:rPr>
                <w:sz w:val="14"/>
              </w:rPr>
            </w:pPr>
            <w:r>
              <w:rPr>
                <w:sz w:val="14"/>
              </w:rPr>
              <w:t>CGCU, Claus/Scot</w:t>
            </w:r>
          </w:p>
          <w:p>
            <w:pPr>
              <w:pStyle w:val="TableParagraph"/>
              <w:spacing w:line="134" w:lineRule="exact" w:before="7"/>
              <w:ind w:left="139"/>
              <w:jc w:val="left"/>
              <w:rPr>
                <w:sz w:val="14"/>
              </w:rPr>
            </w:pPr>
            <w:r>
              <w:rPr>
                <w:sz w:val="14"/>
              </w:rPr>
              <w:t>sulphur</w:t>
            </w:r>
            <w:r>
              <w:rPr>
                <w:spacing w:val="-7"/>
                <w:sz w:val="14"/>
              </w:rPr>
              <w:t> </w:t>
            </w:r>
            <w:r>
              <w:rPr>
                <w:sz w:val="14"/>
              </w:rPr>
              <w:t>co-product</w:t>
            </w:r>
          </w:p>
        </w:tc>
        <w:tc>
          <w:tcPr>
            <w:tcW w:w="801" w:type="dxa"/>
            <w:tcBorders>
              <w:bottom w:val="single" w:sz="4" w:space="0" w:color="000000"/>
            </w:tcBorders>
            <w:shd w:val="clear" w:color="auto" w:fill="F9FCF9"/>
          </w:tcPr>
          <w:p>
            <w:pPr>
              <w:pStyle w:val="TableParagraph"/>
              <w:spacing w:line="149" w:lineRule="exact"/>
              <w:ind w:left="6"/>
              <w:rPr>
                <w:sz w:val="14"/>
              </w:rPr>
            </w:pPr>
            <w:r>
              <w:rPr>
                <w:sz w:val="14"/>
              </w:rPr>
              <w:t>quench</w:t>
            </w:r>
          </w:p>
        </w:tc>
        <w:tc>
          <w:tcPr>
            <w:tcW w:w="855" w:type="dxa"/>
            <w:tcBorders>
              <w:bottom w:val="single" w:sz="4" w:space="0" w:color="000000"/>
            </w:tcBorders>
            <w:shd w:val="clear" w:color="auto" w:fill="F9FCF9"/>
          </w:tcPr>
          <w:p>
            <w:pPr>
              <w:pStyle w:val="TableParagraph"/>
              <w:spacing w:line="149" w:lineRule="exact"/>
              <w:ind w:left="6"/>
              <w:rPr>
                <w:sz w:val="14"/>
              </w:rPr>
            </w:pPr>
            <w:r>
              <w:rPr>
                <w:sz w:val="14"/>
              </w:rPr>
              <w:t>quench</w:t>
            </w:r>
          </w:p>
        </w:tc>
        <w:tc>
          <w:tcPr>
            <w:tcW w:w="490" w:type="dxa"/>
            <w:tcBorders>
              <w:bottom w:val="single" w:sz="4" w:space="0" w:color="000000"/>
            </w:tcBorders>
            <w:shd w:val="clear" w:color="auto" w:fill="F9FCF9"/>
          </w:tcPr>
          <w:p>
            <w:pPr>
              <w:pStyle w:val="TableParagraph"/>
              <w:jc w:val="left"/>
              <w:rPr>
                <w:sz w:val="14"/>
              </w:rPr>
            </w:pPr>
          </w:p>
        </w:tc>
        <w:tc>
          <w:tcPr>
            <w:tcW w:w="613" w:type="dxa"/>
            <w:tcBorders>
              <w:bottom w:val="single" w:sz="4" w:space="0" w:color="000000"/>
            </w:tcBorders>
            <w:shd w:val="clear" w:color="auto" w:fill="F9FCF9"/>
          </w:tcPr>
          <w:p>
            <w:pPr>
              <w:pStyle w:val="TableParagraph"/>
              <w:jc w:val="left"/>
              <w:rPr>
                <w:sz w:val="14"/>
              </w:rPr>
            </w:pPr>
          </w:p>
        </w:tc>
      </w:tr>
      <w:tr>
        <w:trPr>
          <w:trHeight w:val="151" w:hRule="atLeast"/>
        </w:trPr>
        <w:tc>
          <w:tcPr>
            <w:tcW w:w="2700" w:type="dxa"/>
            <w:tcBorders>
              <w:top w:val="single" w:sz="4" w:space="0" w:color="000000"/>
              <w:bottom w:val="single" w:sz="4" w:space="0" w:color="000000"/>
            </w:tcBorders>
            <w:shd w:val="clear" w:color="auto" w:fill="F9FCF9"/>
          </w:tcPr>
          <w:p>
            <w:pPr>
              <w:pStyle w:val="TableParagraph"/>
              <w:spacing w:line="132" w:lineRule="exact"/>
              <w:ind w:left="28"/>
              <w:jc w:val="left"/>
              <w:rPr>
                <w:sz w:val="14"/>
              </w:rPr>
            </w:pPr>
            <w:r>
              <w:rPr>
                <w:sz w:val="14"/>
              </w:rPr>
              <w:t>Feedstock</w:t>
            </w:r>
          </w:p>
        </w:tc>
        <w:tc>
          <w:tcPr>
            <w:tcW w:w="993" w:type="dxa"/>
            <w:tcBorders>
              <w:top w:val="single" w:sz="4" w:space="0" w:color="000000"/>
              <w:bottom w:val="single" w:sz="4" w:space="0" w:color="000000"/>
            </w:tcBorders>
            <w:shd w:val="clear" w:color="auto" w:fill="F9FCF9"/>
          </w:tcPr>
          <w:p>
            <w:pPr>
              <w:pStyle w:val="TableParagraph"/>
              <w:spacing w:line="132" w:lineRule="exact"/>
              <w:ind w:left="7"/>
              <w:rPr>
                <w:sz w:val="14"/>
              </w:rPr>
            </w:pPr>
            <w:r>
              <w:rPr>
                <w:sz w:val="14"/>
              </w:rPr>
              <w:t>Natural gas</w:t>
            </w:r>
          </w:p>
        </w:tc>
        <w:tc>
          <w:tcPr>
            <w:tcW w:w="847" w:type="dxa"/>
            <w:tcBorders>
              <w:top w:val="single" w:sz="4" w:space="0" w:color="000000"/>
              <w:bottom w:val="single" w:sz="4" w:space="0" w:color="000000"/>
            </w:tcBorders>
            <w:shd w:val="clear" w:color="auto" w:fill="F9FCF9"/>
          </w:tcPr>
          <w:p>
            <w:pPr>
              <w:pStyle w:val="TableParagraph"/>
              <w:spacing w:line="132" w:lineRule="exact"/>
              <w:ind w:left="71" w:right="93"/>
              <w:rPr>
                <w:sz w:val="14"/>
              </w:rPr>
            </w:pPr>
            <w:r>
              <w:rPr>
                <w:sz w:val="14"/>
              </w:rPr>
              <w:t>Natural gas</w:t>
            </w:r>
          </w:p>
        </w:tc>
        <w:tc>
          <w:tcPr>
            <w:tcW w:w="650" w:type="dxa"/>
            <w:tcBorders>
              <w:top w:val="single" w:sz="4" w:space="0" w:color="000000"/>
              <w:bottom w:val="single" w:sz="4" w:space="0" w:color="000000"/>
            </w:tcBorders>
            <w:shd w:val="clear" w:color="auto" w:fill="F9FCF9"/>
          </w:tcPr>
          <w:p>
            <w:pPr>
              <w:pStyle w:val="TableParagraph"/>
              <w:spacing w:line="132" w:lineRule="exact"/>
              <w:ind w:left="89" w:right="53"/>
              <w:rPr>
                <w:sz w:val="14"/>
              </w:rPr>
            </w:pPr>
            <w:r>
              <w:rPr>
                <w:sz w:val="14"/>
              </w:rPr>
              <w:t>Coal</w:t>
            </w:r>
          </w:p>
        </w:tc>
        <w:tc>
          <w:tcPr>
            <w:tcW w:w="1080" w:type="dxa"/>
            <w:tcBorders>
              <w:top w:val="single" w:sz="4" w:space="0" w:color="000000"/>
              <w:bottom w:val="single" w:sz="4" w:space="0" w:color="000000"/>
            </w:tcBorders>
            <w:shd w:val="clear" w:color="auto" w:fill="F9FCF9"/>
          </w:tcPr>
          <w:p>
            <w:pPr>
              <w:pStyle w:val="TableParagraph"/>
              <w:spacing w:line="132" w:lineRule="exact"/>
              <w:ind w:left="113" w:right="107"/>
              <w:rPr>
                <w:sz w:val="14"/>
              </w:rPr>
            </w:pPr>
            <w:r>
              <w:rPr>
                <w:sz w:val="14"/>
              </w:rPr>
              <w:t>Pgh #8 Coal</w:t>
            </w:r>
          </w:p>
        </w:tc>
        <w:tc>
          <w:tcPr>
            <w:tcW w:w="1334" w:type="dxa"/>
            <w:tcBorders>
              <w:top w:val="single" w:sz="4" w:space="0" w:color="000000"/>
              <w:bottom w:val="single" w:sz="4" w:space="0" w:color="000000"/>
            </w:tcBorders>
            <w:shd w:val="clear" w:color="auto" w:fill="F9FCF9"/>
          </w:tcPr>
          <w:p>
            <w:pPr>
              <w:pStyle w:val="TableParagraph"/>
              <w:spacing w:line="132" w:lineRule="exact"/>
              <w:ind w:left="206" w:right="200"/>
              <w:rPr>
                <w:sz w:val="14"/>
              </w:rPr>
            </w:pPr>
            <w:r>
              <w:rPr>
                <w:sz w:val="14"/>
              </w:rPr>
              <w:t>Coal</w:t>
            </w:r>
          </w:p>
        </w:tc>
        <w:tc>
          <w:tcPr>
            <w:tcW w:w="801"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Coal</w:t>
            </w:r>
          </w:p>
        </w:tc>
        <w:tc>
          <w:tcPr>
            <w:tcW w:w="855"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Coal</w:t>
            </w:r>
          </w:p>
        </w:tc>
        <w:tc>
          <w:tcPr>
            <w:tcW w:w="490" w:type="dxa"/>
            <w:tcBorders>
              <w:top w:val="single" w:sz="4" w:space="0" w:color="000000"/>
              <w:bottom w:val="single" w:sz="4" w:space="0" w:color="000000"/>
            </w:tcBorders>
            <w:shd w:val="clear" w:color="auto" w:fill="F9FCF9"/>
          </w:tcPr>
          <w:p>
            <w:pPr>
              <w:pStyle w:val="TableParagraph"/>
              <w:jc w:val="left"/>
              <w:rPr>
                <w:sz w:val="8"/>
              </w:rPr>
            </w:pPr>
          </w:p>
        </w:tc>
        <w:tc>
          <w:tcPr>
            <w:tcW w:w="613" w:type="dxa"/>
            <w:tcBorders>
              <w:top w:val="single" w:sz="4" w:space="0" w:color="000000"/>
              <w:bottom w:val="single" w:sz="4" w:space="0" w:color="000000"/>
            </w:tcBorders>
            <w:shd w:val="clear" w:color="auto" w:fill="F9FCF9"/>
          </w:tcPr>
          <w:p>
            <w:pPr>
              <w:pStyle w:val="TableParagraph"/>
              <w:jc w:val="left"/>
              <w:rPr>
                <w:sz w:val="8"/>
              </w:rPr>
            </w:pPr>
          </w:p>
        </w:tc>
      </w:tr>
      <w:tr>
        <w:trPr>
          <w:trHeight w:val="151" w:hRule="atLeast"/>
        </w:trPr>
        <w:tc>
          <w:tcPr>
            <w:tcW w:w="2700" w:type="dxa"/>
            <w:tcBorders>
              <w:top w:val="single" w:sz="4" w:space="0" w:color="000000"/>
              <w:bottom w:val="single" w:sz="4" w:space="0" w:color="000000"/>
            </w:tcBorders>
            <w:shd w:val="clear" w:color="auto" w:fill="F9FCF9"/>
          </w:tcPr>
          <w:p>
            <w:pPr>
              <w:pStyle w:val="TableParagraph"/>
              <w:spacing w:line="132" w:lineRule="exact"/>
              <w:ind w:left="28"/>
              <w:jc w:val="left"/>
              <w:rPr>
                <w:sz w:val="14"/>
              </w:rPr>
            </w:pPr>
            <w:r>
              <w:rPr>
                <w:sz w:val="14"/>
              </w:rPr>
              <w:t>Feedstock cost, LHV (US$ GJ</w:t>
            </w:r>
            <w:r>
              <w:rPr>
                <w:position w:val="5"/>
                <w:sz w:val="8"/>
              </w:rPr>
              <w:t>−1</w:t>
            </w:r>
            <w:r>
              <w:rPr>
                <w:sz w:val="14"/>
              </w:rPr>
              <w:t>)</w:t>
            </w:r>
          </w:p>
        </w:tc>
        <w:tc>
          <w:tcPr>
            <w:tcW w:w="993" w:type="dxa"/>
            <w:tcBorders>
              <w:top w:val="single" w:sz="4" w:space="0" w:color="000000"/>
              <w:bottom w:val="single" w:sz="4" w:space="0" w:color="000000"/>
            </w:tcBorders>
            <w:shd w:val="clear" w:color="auto" w:fill="F9FCF9"/>
          </w:tcPr>
          <w:p>
            <w:pPr>
              <w:pStyle w:val="TableParagraph"/>
              <w:spacing w:line="132" w:lineRule="exact"/>
              <w:ind w:left="7"/>
              <w:rPr>
                <w:sz w:val="14"/>
              </w:rPr>
            </w:pPr>
            <w:r>
              <w:rPr>
                <w:sz w:val="14"/>
              </w:rPr>
              <w:t>5.26</w:t>
            </w:r>
          </w:p>
        </w:tc>
        <w:tc>
          <w:tcPr>
            <w:tcW w:w="847" w:type="dxa"/>
            <w:tcBorders>
              <w:top w:val="single" w:sz="4" w:space="0" w:color="000000"/>
              <w:bottom w:val="single" w:sz="4" w:space="0" w:color="000000"/>
            </w:tcBorders>
            <w:shd w:val="clear" w:color="auto" w:fill="F9FCF9"/>
          </w:tcPr>
          <w:p>
            <w:pPr>
              <w:pStyle w:val="TableParagraph"/>
              <w:spacing w:line="132" w:lineRule="exact"/>
              <w:ind w:left="71" w:right="92"/>
              <w:rPr>
                <w:sz w:val="14"/>
              </w:rPr>
            </w:pPr>
            <w:r>
              <w:rPr>
                <w:sz w:val="14"/>
              </w:rPr>
              <w:t>4.73</w:t>
            </w:r>
          </w:p>
        </w:tc>
        <w:tc>
          <w:tcPr>
            <w:tcW w:w="650" w:type="dxa"/>
            <w:tcBorders>
              <w:top w:val="single" w:sz="4" w:space="0" w:color="000000"/>
              <w:bottom w:val="single" w:sz="4" w:space="0" w:color="000000"/>
            </w:tcBorders>
            <w:shd w:val="clear" w:color="auto" w:fill="F9FCF9"/>
          </w:tcPr>
          <w:p>
            <w:pPr>
              <w:pStyle w:val="TableParagraph"/>
              <w:spacing w:line="132" w:lineRule="exact"/>
              <w:ind w:left="89" w:right="53"/>
              <w:rPr>
                <w:sz w:val="14"/>
              </w:rPr>
            </w:pPr>
            <w:r>
              <w:rPr>
                <w:sz w:val="14"/>
              </w:rPr>
              <w:t>1,20</w:t>
            </w:r>
          </w:p>
        </w:tc>
        <w:tc>
          <w:tcPr>
            <w:tcW w:w="1080" w:type="dxa"/>
            <w:tcBorders>
              <w:top w:val="single" w:sz="4" w:space="0" w:color="000000"/>
              <w:bottom w:val="single" w:sz="4" w:space="0" w:color="000000"/>
            </w:tcBorders>
            <w:shd w:val="clear" w:color="auto" w:fill="F9FCF9"/>
          </w:tcPr>
          <w:p>
            <w:pPr>
              <w:pStyle w:val="TableParagraph"/>
              <w:spacing w:line="132" w:lineRule="exact"/>
              <w:ind w:left="113" w:right="107"/>
              <w:rPr>
                <w:sz w:val="14"/>
              </w:rPr>
            </w:pPr>
            <w:r>
              <w:rPr>
                <w:sz w:val="14"/>
              </w:rPr>
              <w:t>0.89</w:t>
            </w:r>
          </w:p>
        </w:tc>
        <w:tc>
          <w:tcPr>
            <w:tcW w:w="1334" w:type="dxa"/>
            <w:tcBorders>
              <w:top w:val="single" w:sz="4" w:space="0" w:color="000000"/>
              <w:bottom w:val="single" w:sz="4" w:space="0" w:color="000000"/>
            </w:tcBorders>
            <w:shd w:val="clear" w:color="auto" w:fill="F9FCF9"/>
          </w:tcPr>
          <w:p>
            <w:pPr>
              <w:pStyle w:val="TableParagraph"/>
              <w:spacing w:line="132" w:lineRule="exact"/>
              <w:ind w:left="206" w:right="200"/>
              <w:rPr>
                <w:sz w:val="14"/>
              </w:rPr>
            </w:pPr>
            <w:r>
              <w:rPr>
                <w:sz w:val="14"/>
              </w:rPr>
              <w:t>1.03</w:t>
            </w:r>
          </w:p>
        </w:tc>
        <w:tc>
          <w:tcPr>
            <w:tcW w:w="801"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1.26</w:t>
            </w:r>
          </w:p>
        </w:tc>
        <w:tc>
          <w:tcPr>
            <w:tcW w:w="855"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1.26</w:t>
            </w:r>
          </w:p>
        </w:tc>
        <w:tc>
          <w:tcPr>
            <w:tcW w:w="490" w:type="dxa"/>
            <w:tcBorders>
              <w:top w:val="single" w:sz="4" w:space="0" w:color="000000"/>
              <w:bottom w:val="single" w:sz="4" w:space="0" w:color="000000"/>
            </w:tcBorders>
            <w:shd w:val="clear" w:color="auto" w:fill="F9FCF9"/>
          </w:tcPr>
          <w:p>
            <w:pPr>
              <w:pStyle w:val="TableParagraph"/>
              <w:spacing w:line="132" w:lineRule="exact"/>
              <w:ind w:left="87" w:right="82"/>
              <w:rPr>
                <w:b/>
                <w:sz w:val="14"/>
              </w:rPr>
            </w:pPr>
            <w:r>
              <w:rPr>
                <w:b/>
                <w:sz w:val="14"/>
              </w:rPr>
              <w:t>0.89</w:t>
            </w:r>
          </w:p>
        </w:tc>
        <w:tc>
          <w:tcPr>
            <w:tcW w:w="613" w:type="dxa"/>
            <w:tcBorders>
              <w:top w:val="single" w:sz="4" w:space="0" w:color="000000"/>
              <w:bottom w:val="single" w:sz="4" w:space="0" w:color="000000"/>
            </w:tcBorders>
            <w:shd w:val="clear" w:color="auto" w:fill="F9FCF9"/>
          </w:tcPr>
          <w:p>
            <w:pPr>
              <w:pStyle w:val="TableParagraph"/>
              <w:spacing w:line="132" w:lineRule="exact"/>
              <w:ind w:left="114" w:right="109"/>
              <w:rPr>
                <w:b/>
                <w:sz w:val="14"/>
              </w:rPr>
            </w:pPr>
            <w:r>
              <w:rPr>
                <w:b/>
                <w:sz w:val="14"/>
              </w:rPr>
              <w:t>5.26</w:t>
            </w:r>
          </w:p>
        </w:tc>
      </w:tr>
      <w:tr>
        <w:trPr>
          <w:trHeight w:val="151" w:hRule="atLeast"/>
        </w:trPr>
        <w:tc>
          <w:tcPr>
            <w:tcW w:w="2700" w:type="dxa"/>
            <w:tcBorders>
              <w:top w:val="single" w:sz="4" w:space="0" w:color="000000"/>
              <w:bottom w:val="single" w:sz="4" w:space="0" w:color="000000"/>
            </w:tcBorders>
            <w:shd w:val="clear" w:color="auto" w:fill="F9FCF9"/>
          </w:tcPr>
          <w:p>
            <w:pPr>
              <w:pStyle w:val="TableParagraph"/>
              <w:spacing w:line="132" w:lineRule="exact"/>
              <w:ind w:left="28"/>
              <w:jc w:val="left"/>
              <w:rPr>
                <w:sz w:val="14"/>
              </w:rPr>
            </w:pPr>
            <w:r>
              <w:rPr>
                <w:sz w:val="14"/>
              </w:rPr>
              <w:t>Ref. plant input capacity, LHV (GJ h</w:t>
            </w:r>
            <w:r>
              <w:rPr>
                <w:position w:val="5"/>
                <w:sz w:val="8"/>
              </w:rPr>
              <w:t>−1</w:t>
            </w:r>
            <w:r>
              <w:rPr>
                <w:sz w:val="14"/>
              </w:rPr>
              <w:t>)</w:t>
            </w:r>
          </w:p>
        </w:tc>
        <w:tc>
          <w:tcPr>
            <w:tcW w:w="993" w:type="dxa"/>
            <w:tcBorders>
              <w:top w:val="single" w:sz="4" w:space="0" w:color="000000"/>
              <w:bottom w:val="single" w:sz="4" w:space="0" w:color="000000"/>
            </w:tcBorders>
            <w:shd w:val="clear" w:color="auto" w:fill="F9FCF9"/>
          </w:tcPr>
          <w:p>
            <w:pPr>
              <w:pStyle w:val="TableParagraph"/>
              <w:spacing w:line="132" w:lineRule="exact"/>
              <w:ind w:left="7"/>
              <w:rPr>
                <w:sz w:val="14"/>
              </w:rPr>
            </w:pPr>
            <w:r>
              <w:rPr>
                <w:sz w:val="14"/>
              </w:rPr>
              <w:t>9848</w:t>
            </w:r>
          </w:p>
        </w:tc>
        <w:tc>
          <w:tcPr>
            <w:tcW w:w="847" w:type="dxa"/>
            <w:tcBorders>
              <w:top w:val="single" w:sz="4" w:space="0" w:color="000000"/>
              <w:bottom w:val="single" w:sz="4" w:space="0" w:color="000000"/>
            </w:tcBorders>
            <w:shd w:val="clear" w:color="auto" w:fill="F9FCF9"/>
          </w:tcPr>
          <w:p>
            <w:pPr>
              <w:pStyle w:val="TableParagraph"/>
              <w:spacing w:line="132" w:lineRule="exact"/>
              <w:ind w:left="71" w:right="92"/>
              <w:rPr>
                <w:sz w:val="14"/>
              </w:rPr>
            </w:pPr>
            <w:r>
              <w:rPr>
                <w:sz w:val="14"/>
              </w:rPr>
              <w:t>7235</w:t>
            </w:r>
          </w:p>
        </w:tc>
        <w:tc>
          <w:tcPr>
            <w:tcW w:w="650" w:type="dxa"/>
            <w:tcBorders>
              <w:top w:val="single" w:sz="4" w:space="0" w:color="000000"/>
              <w:bottom w:val="single" w:sz="4" w:space="0" w:color="000000"/>
            </w:tcBorders>
            <w:shd w:val="clear" w:color="auto" w:fill="F9FCF9"/>
          </w:tcPr>
          <w:p>
            <w:pPr>
              <w:pStyle w:val="TableParagraph"/>
              <w:spacing w:line="132" w:lineRule="exact"/>
              <w:ind w:left="89" w:right="53"/>
              <w:rPr>
                <w:sz w:val="14"/>
              </w:rPr>
            </w:pPr>
            <w:r>
              <w:rPr>
                <w:sz w:val="14"/>
              </w:rPr>
              <w:t>8861</w:t>
            </w:r>
          </w:p>
        </w:tc>
        <w:tc>
          <w:tcPr>
            <w:tcW w:w="1080" w:type="dxa"/>
            <w:tcBorders>
              <w:top w:val="single" w:sz="4" w:space="0" w:color="000000"/>
              <w:bottom w:val="single" w:sz="4" w:space="0" w:color="000000"/>
            </w:tcBorders>
            <w:shd w:val="clear" w:color="auto" w:fill="F9FCF9"/>
          </w:tcPr>
          <w:p>
            <w:pPr>
              <w:pStyle w:val="TableParagraph"/>
              <w:spacing w:line="132" w:lineRule="exact"/>
              <w:ind w:left="113" w:right="107"/>
              <w:rPr>
                <w:sz w:val="14"/>
              </w:rPr>
            </w:pPr>
            <w:r>
              <w:rPr>
                <w:sz w:val="14"/>
              </w:rPr>
              <w:t>2627</w:t>
            </w:r>
          </w:p>
        </w:tc>
        <w:tc>
          <w:tcPr>
            <w:tcW w:w="1334" w:type="dxa"/>
            <w:tcBorders>
              <w:top w:val="single" w:sz="4" w:space="0" w:color="000000"/>
              <w:bottom w:val="single" w:sz="4" w:space="0" w:color="000000"/>
            </w:tcBorders>
            <w:shd w:val="clear" w:color="auto" w:fill="F9FCF9"/>
          </w:tcPr>
          <w:p>
            <w:pPr>
              <w:pStyle w:val="TableParagraph"/>
              <w:spacing w:line="132" w:lineRule="exact"/>
              <w:ind w:left="206" w:right="200"/>
              <w:rPr>
                <w:sz w:val="14"/>
              </w:rPr>
            </w:pPr>
            <w:r>
              <w:rPr>
                <w:sz w:val="14"/>
              </w:rPr>
              <w:t>2954</w:t>
            </w:r>
          </w:p>
        </w:tc>
        <w:tc>
          <w:tcPr>
            <w:tcW w:w="801"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6706</w:t>
            </w:r>
          </w:p>
        </w:tc>
        <w:tc>
          <w:tcPr>
            <w:tcW w:w="855"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6706</w:t>
            </w:r>
          </w:p>
        </w:tc>
        <w:tc>
          <w:tcPr>
            <w:tcW w:w="490" w:type="dxa"/>
            <w:tcBorders>
              <w:top w:val="single" w:sz="4" w:space="0" w:color="000000"/>
              <w:bottom w:val="single" w:sz="4" w:space="0" w:color="000000"/>
            </w:tcBorders>
            <w:shd w:val="clear" w:color="auto" w:fill="F9FCF9"/>
          </w:tcPr>
          <w:p>
            <w:pPr>
              <w:pStyle w:val="TableParagraph"/>
              <w:spacing w:line="132" w:lineRule="exact"/>
              <w:ind w:left="87" w:right="82"/>
              <w:rPr>
                <w:b/>
                <w:sz w:val="14"/>
              </w:rPr>
            </w:pPr>
            <w:r>
              <w:rPr>
                <w:b/>
                <w:sz w:val="14"/>
              </w:rPr>
              <w:t>2627</w:t>
            </w:r>
          </w:p>
        </w:tc>
        <w:tc>
          <w:tcPr>
            <w:tcW w:w="613" w:type="dxa"/>
            <w:tcBorders>
              <w:top w:val="single" w:sz="4" w:space="0" w:color="000000"/>
              <w:bottom w:val="single" w:sz="4" w:space="0" w:color="000000"/>
            </w:tcBorders>
            <w:shd w:val="clear" w:color="auto" w:fill="F9FCF9"/>
          </w:tcPr>
          <w:p>
            <w:pPr>
              <w:pStyle w:val="TableParagraph"/>
              <w:spacing w:line="132" w:lineRule="exact"/>
              <w:ind w:left="114" w:right="109"/>
              <w:rPr>
                <w:b/>
                <w:sz w:val="14"/>
              </w:rPr>
            </w:pPr>
            <w:r>
              <w:rPr>
                <w:b/>
                <w:sz w:val="14"/>
              </w:rPr>
              <w:t>9848</w:t>
            </w:r>
          </w:p>
        </w:tc>
      </w:tr>
      <w:tr>
        <w:trPr>
          <w:trHeight w:val="169" w:hRule="atLeast"/>
        </w:trPr>
        <w:tc>
          <w:tcPr>
            <w:tcW w:w="2700" w:type="dxa"/>
            <w:tcBorders>
              <w:top w:val="single" w:sz="4" w:space="0" w:color="000000"/>
            </w:tcBorders>
            <w:shd w:val="clear" w:color="auto" w:fill="F9FCF9"/>
          </w:tcPr>
          <w:p>
            <w:pPr>
              <w:pStyle w:val="TableParagraph"/>
              <w:spacing w:line="156" w:lineRule="exact"/>
              <w:ind w:left="28"/>
              <w:jc w:val="left"/>
              <w:rPr>
                <w:sz w:val="14"/>
              </w:rPr>
            </w:pPr>
            <w:r>
              <w:rPr>
                <w:sz w:val="14"/>
              </w:rPr>
              <w:t>Ref plant output capacity, LHV: Fuels (GJ</w:t>
            </w:r>
          </w:p>
        </w:tc>
        <w:tc>
          <w:tcPr>
            <w:tcW w:w="993" w:type="dxa"/>
            <w:tcBorders>
              <w:top w:val="single" w:sz="4" w:space="0" w:color="000000"/>
            </w:tcBorders>
            <w:shd w:val="clear" w:color="auto" w:fill="F9FCF9"/>
          </w:tcPr>
          <w:p>
            <w:pPr>
              <w:pStyle w:val="TableParagraph"/>
              <w:spacing w:line="156" w:lineRule="exact"/>
              <w:ind w:left="7"/>
              <w:rPr>
                <w:sz w:val="14"/>
              </w:rPr>
            </w:pPr>
            <w:r>
              <w:rPr>
                <w:sz w:val="14"/>
              </w:rPr>
              <w:t>7504</w:t>
            </w:r>
          </w:p>
        </w:tc>
        <w:tc>
          <w:tcPr>
            <w:tcW w:w="847" w:type="dxa"/>
            <w:tcBorders>
              <w:top w:val="single" w:sz="4" w:space="0" w:color="000000"/>
            </w:tcBorders>
            <w:shd w:val="clear" w:color="auto" w:fill="F9FCF9"/>
          </w:tcPr>
          <w:p>
            <w:pPr>
              <w:pStyle w:val="TableParagraph"/>
              <w:spacing w:line="156" w:lineRule="exact"/>
              <w:ind w:left="71" w:right="92"/>
              <w:rPr>
                <w:sz w:val="14"/>
              </w:rPr>
            </w:pPr>
            <w:r>
              <w:rPr>
                <w:sz w:val="14"/>
              </w:rPr>
              <w:t>5513</w:t>
            </w:r>
          </w:p>
        </w:tc>
        <w:tc>
          <w:tcPr>
            <w:tcW w:w="650" w:type="dxa"/>
            <w:tcBorders>
              <w:top w:val="single" w:sz="4" w:space="0" w:color="000000"/>
            </w:tcBorders>
            <w:shd w:val="clear" w:color="auto" w:fill="F9FCF9"/>
          </w:tcPr>
          <w:p>
            <w:pPr>
              <w:pStyle w:val="TableParagraph"/>
              <w:spacing w:line="156" w:lineRule="exact"/>
              <w:ind w:left="89" w:right="53"/>
              <w:rPr>
                <w:sz w:val="14"/>
              </w:rPr>
            </w:pPr>
            <w:r>
              <w:rPr>
                <w:sz w:val="14"/>
              </w:rPr>
              <w:t>6004</w:t>
            </w:r>
          </w:p>
        </w:tc>
        <w:tc>
          <w:tcPr>
            <w:tcW w:w="1080" w:type="dxa"/>
            <w:tcBorders>
              <w:top w:val="single" w:sz="4" w:space="0" w:color="000000"/>
            </w:tcBorders>
            <w:shd w:val="clear" w:color="auto" w:fill="F9FCF9"/>
          </w:tcPr>
          <w:p>
            <w:pPr>
              <w:pStyle w:val="TableParagraph"/>
              <w:spacing w:line="156" w:lineRule="exact"/>
              <w:ind w:left="113" w:right="107"/>
              <w:rPr>
                <w:sz w:val="14"/>
              </w:rPr>
            </w:pPr>
            <w:r>
              <w:rPr>
                <w:sz w:val="14"/>
              </w:rPr>
              <w:t>1419</w:t>
            </w:r>
          </w:p>
        </w:tc>
        <w:tc>
          <w:tcPr>
            <w:tcW w:w="1334" w:type="dxa"/>
            <w:tcBorders>
              <w:top w:val="single" w:sz="4" w:space="0" w:color="000000"/>
            </w:tcBorders>
            <w:shd w:val="clear" w:color="auto" w:fill="F9FCF9"/>
          </w:tcPr>
          <w:p>
            <w:pPr>
              <w:pStyle w:val="TableParagraph"/>
              <w:spacing w:line="156" w:lineRule="exact"/>
              <w:ind w:left="206" w:right="200"/>
              <w:rPr>
                <w:sz w:val="14"/>
              </w:rPr>
            </w:pPr>
            <w:r>
              <w:rPr>
                <w:sz w:val="14"/>
              </w:rPr>
              <w:t>1579</w:t>
            </w:r>
          </w:p>
        </w:tc>
        <w:tc>
          <w:tcPr>
            <w:tcW w:w="801" w:type="dxa"/>
            <w:tcBorders>
              <w:top w:val="single" w:sz="4" w:space="0" w:color="000000"/>
            </w:tcBorders>
            <w:shd w:val="clear" w:color="auto" w:fill="F9FCF9"/>
          </w:tcPr>
          <w:p>
            <w:pPr>
              <w:pStyle w:val="TableParagraph"/>
              <w:spacing w:line="156" w:lineRule="exact"/>
              <w:ind w:left="6"/>
              <w:rPr>
                <w:sz w:val="14"/>
              </w:rPr>
            </w:pPr>
            <w:r>
              <w:rPr>
                <w:sz w:val="14"/>
              </w:rPr>
              <w:t>3853</w:t>
            </w:r>
          </w:p>
        </w:tc>
        <w:tc>
          <w:tcPr>
            <w:tcW w:w="855" w:type="dxa"/>
            <w:tcBorders>
              <w:top w:val="single" w:sz="4" w:space="0" w:color="000000"/>
            </w:tcBorders>
            <w:shd w:val="clear" w:color="auto" w:fill="F9FCF9"/>
          </w:tcPr>
          <w:p>
            <w:pPr>
              <w:pStyle w:val="TableParagraph"/>
              <w:spacing w:line="156" w:lineRule="exact"/>
              <w:ind w:left="6"/>
              <w:rPr>
                <w:sz w:val="14"/>
              </w:rPr>
            </w:pPr>
            <w:r>
              <w:rPr>
                <w:sz w:val="14"/>
              </w:rPr>
              <w:t>3853</w:t>
            </w:r>
          </w:p>
        </w:tc>
        <w:tc>
          <w:tcPr>
            <w:tcW w:w="490" w:type="dxa"/>
            <w:tcBorders>
              <w:top w:val="single" w:sz="4" w:space="0" w:color="000000"/>
            </w:tcBorders>
            <w:shd w:val="clear" w:color="auto" w:fill="F9FCF9"/>
          </w:tcPr>
          <w:p>
            <w:pPr>
              <w:pStyle w:val="TableParagraph"/>
              <w:spacing w:line="156" w:lineRule="exact"/>
              <w:ind w:left="87" w:right="82"/>
              <w:rPr>
                <w:b/>
                <w:sz w:val="14"/>
              </w:rPr>
            </w:pPr>
            <w:r>
              <w:rPr>
                <w:b/>
                <w:sz w:val="14"/>
              </w:rPr>
              <w:t>1419</w:t>
            </w:r>
          </w:p>
        </w:tc>
        <w:tc>
          <w:tcPr>
            <w:tcW w:w="613" w:type="dxa"/>
            <w:tcBorders>
              <w:top w:val="single" w:sz="4" w:space="0" w:color="000000"/>
            </w:tcBorders>
            <w:shd w:val="clear" w:color="auto" w:fill="F9FCF9"/>
          </w:tcPr>
          <w:p>
            <w:pPr>
              <w:pStyle w:val="TableParagraph"/>
              <w:spacing w:line="156" w:lineRule="exact"/>
              <w:ind w:left="114" w:right="109"/>
              <w:rPr>
                <w:b/>
                <w:sz w:val="14"/>
              </w:rPr>
            </w:pPr>
            <w:r>
              <w:rPr>
                <w:b/>
                <w:sz w:val="14"/>
              </w:rPr>
              <w:t>7504</w:t>
            </w:r>
          </w:p>
        </w:tc>
      </w:tr>
      <w:tr>
        <w:trPr>
          <w:trHeight w:val="150" w:hRule="atLeast"/>
        </w:trPr>
        <w:tc>
          <w:tcPr>
            <w:tcW w:w="2700" w:type="dxa"/>
            <w:tcBorders>
              <w:bottom w:val="single" w:sz="4" w:space="0" w:color="000000"/>
            </w:tcBorders>
            <w:shd w:val="clear" w:color="auto" w:fill="F9FCF9"/>
          </w:tcPr>
          <w:p>
            <w:pPr>
              <w:pStyle w:val="TableParagraph"/>
              <w:spacing w:line="123" w:lineRule="exact"/>
              <w:ind w:left="28"/>
              <w:jc w:val="left"/>
              <w:rPr>
                <w:sz w:val="14"/>
              </w:rPr>
            </w:pPr>
            <w:r>
              <w:rPr>
                <w:position w:val="-4"/>
                <w:sz w:val="14"/>
              </w:rPr>
              <w:t>h</w:t>
            </w:r>
            <w:r>
              <w:rPr>
                <w:sz w:val="8"/>
              </w:rPr>
              <w:t>−1</w:t>
            </w:r>
            <w:r>
              <w:rPr>
                <w:position w:val="-4"/>
                <w:sz w:val="14"/>
              </w:rPr>
              <w:t>)</w:t>
            </w:r>
          </w:p>
        </w:tc>
        <w:tc>
          <w:tcPr>
            <w:tcW w:w="993" w:type="dxa"/>
            <w:tcBorders>
              <w:bottom w:val="single" w:sz="4" w:space="0" w:color="000000"/>
            </w:tcBorders>
            <w:shd w:val="clear" w:color="auto" w:fill="F9FCF9"/>
          </w:tcPr>
          <w:p>
            <w:pPr>
              <w:pStyle w:val="TableParagraph"/>
              <w:jc w:val="left"/>
              <w:rPr>
                <w:sz w:val="8"/>
              </w:rPr>
            </w:pPr>
          </w:p>
        </w:tc>
        <w:tc>
          <w:tcPr>
            <w:tcW w:w="847" w:type="dxa"/>
            <w:tcBorders>
              <w:bottom w:val="single" w:sz="4" w:space="0" w:color="000000"/>
            </w:tcBorders>
            <w:shd w:val="clear" w:color="auto" w:fill="F9FCF9"/>
          </w:tcPr>
          <w:p>
            <w:pPr>
              <w:pStyle w:val="TableParagraph"/>
              <w:jc w:val="left"/>
              <w:rPr>
                <w:sz w:val="8"/>
              </w:rPr>
            </w:pPr>
          </w:p>
        </w:tc>
        <w:tc>
          <w:tcPr>
            <w:tcW w:w="650" w:type="dxa"/>
            <w:tcBorders>
              <w:bottom w:val="single" w:sz="4" w:space="0" w:color="000000"/>
            </w:tcBorders>
            <w:shd w:val="clear" w:color="auto" w:fill="F9FCF9"/>
          </w:tcPr>
          <w:p>
            <w:pPr>
              <w:pStyle w:val="TableParagraph"/>
              <w:jc w:val="left"/>
              <w:rPr>
                <w:sz w:val="8"/>
              </w:rPr>
            </w:pPr>
          </w:p>
        </w:tc>
        <w:tc>
          <w:tcPr>
            <w:tcW w:w="1080" w:type="dxa"/>
            <w:tcBorders>
              <w:bottom w:val="single" w:sz="4" w:space="0" w:color="000000"/>
            </w:tcBorders>
            <w:shd w:val="clear" w:color="auto" w:fill="F9FCF9"/>
          </w:tcPr>
          <w:p>
            <w:pPr>
              <w:pStyle w:val="TableParagraph"/>
              <w:jc w:val="left"/>
              <w:rPr>
                <w:sz w:val="8"/>
              </w:rPr>
            </w:pPr>
          </w:p>
        </w:tc>
        <w:tc>
          <w:tcPr>
            <w:tcW w:w="1334" w:type="dxa"/>
            <w:tcBorders>
              <w:bottom w:val="single" w:sz="4" w:space="0" w:color="000000"/>
            </w:tcBorders>
            <w:shd w:val="clear" w:color="auto" w:fill="F9FCF9"/>
          </w:tcPr>
          <w:p>
            <w:pPr>
              <w:pStyle w:val="TableParagraph"/>
              <w:jc w:val="left"/>
              <w:rPr>
                <w:sz w:val="8"/>
              </w:rPr>
            </w:pPr>
          </w:p>
        </w:tc>
        <w:tc>
          <w:tcPr>
            <w:tcW w:w="801" w:type="dxa"/>
            <w:tcBorders>
              <w:bottom w:val="single" w:sz="4" w:space="0" w:color="000000"/>
            </w:tcBorders>
            <w:shd w:val="clear" w:color="auto" w:fill="F9FCF9"/>
          </w:tcPr>
          <w:p>
            <w:pPr>
              <w:pStyle w:val="TableParagraph"/>
              <w:jc w:val="left"/>
              <w:rPr>
                <w:sz w:val="8"/>
              </w:rPr>
            </w:pPr>
          </w:p>
        </w:tc>
        <w:tc>
          <w:tcPr>
            <w:tcW w:w="855" w:type="dxa"/>
            <w:tcBorders>
              <w:bottom w:val="single" w:sz="4" w:space="0" w:color="000000"/>
            </w:tcBorders>
            <w:shd w:val="clear" w:color="auto" w:fill="F9FCF9"/>
          </w:tcPr>
          <w:p>
            <w:pPr>
              <w:pStyle w:val="TableParagraph"/>
              <w:jc w:val="left"/>
              <w:rPr>
                <w:sz w:val="8"/>
              </w:rPr>
            </w:pPr>
          </w:p>
        </w:tc>
        <w:tc>
          <w:tcPr>
            <w:tcW w:w="490" w:type="dxa"/>
            <w:tcBorders>
              <w:bottom w:val="single" w:sz="4" w:space="0" w:color="000000"/>
            </w:tcBorders>
            <w:shd w:val="clear" w:color="auto" w:fill="F9FCF9"/>
          </w:tcPr>
          <w:p>
            <w:pPr>
              <w:pStyle w:val="TableParagraph"/>
              <w:jc w:val="left"/>
              <w:rPr>
                <w:sz w:val="8"/>
              </w:rPr>
            </w:pPr>
          </w:p>
        </w:tc>
        <w:tc>
          <w:tcPr>
            <w:tcW w:w="613" w:type="dxa"/>
            <w:tcBorders>
              <w:bottom w:val="single" w:sz="4" w:space="0" w:color="000000"/>
            </w:tcBorders>
            <w:shd w:val="clear" w:color="auto" w:fill="F9FCF9"/>
          </w:tcPr>
          <w:p>
            <w:pPr>
              <w:pStyle w:val="TableParagraph"/>
              <w:jc w:val="left"/>
              <w:rPr>
                <w:sz w:val="8"/>
              </w:rPr>
            </w:pPr>
          </w:p>
        </w:tc>
      </w:tr>
      <w:tr>
        <w:trPr>
          <w:trHeight w:val="151" w:hRule="atLeast"/>
        </w:trPr>
        <w:tc>
          <w:tcPr>
            <w:tcW w:w="2700" w:type="dxa"/>
            <w:tcBorders>
              <w:top w:val="single" w:sz="4" w:space="0" w:color="000000"/>
              <w:bottom w:val="single" w:sz="4" w:space="0" w:color="000000"/>
            </w:tcBorders>
            <w:shd w:val="clear" w:color="auto" w:fill="F9FCF9"/>
          </w:tcPr>
          <w:p>
            <w:pPr>
              <w:pStyle w:val="TableParagraph"/>
              <w:spacing w:line="132" w:lineRule="exact"/>
              <w:ind w:left="98"/>
              <w:jc w:val="left"/>
              <w:rPr>
                <w:sz w:val="14"/>
              </w:rPr>
            </w:pPr>
            <w:r>
              <w:rPr>
                <w:sz w:val="14"/>
              </w:rPr>
              <w:t>Electricity (MW)</w:t>
            </w:r>
          </w:p>
        </w:tc>
        <w:tc>
          <w:tcPr>
            <w:tcW w:w="993" w:type="dxa"/>
            <w:tcBorders>
              <w:top w:val="single" w:sz="4" w:space="0" w:color="000000"/>
              <w:bottom w:val="single" w:sz="4" w:space="0" w:color="000000"/>
            </w:tcBorders>
            <w:shd w:val="clear" w:color="auto" w:fill="F9FCF9"/>
          </w:tcPr>
          <w:p>
            <w:pPr>
              <w:pStyle w:val="TableParagraph"/>
              <w:spacing w:line="132" w:lineRule="exact"/>
              <w:ind w:left="7"/>
              <w:rPr>
                <w:sz w:val="14"/>
              </w:rPr>
            </w:pPr>
            <w:r>
              <w:rPr>
                <w:sz w:val="14"/>
              </w:rPr>
              <w:t>-44</w:t>
            </w:r>
          </w:p>
        </w:tc>
        <w:tc>
          <w:tcPr>
            <w:tcW w:w="847" w:type="dxa"/>
            <w:tcBorders>
              <w:top w:val="single" w:sz="4" w:space="0" w:color="000000"/>
              <w:bottom w:val="single" w:sz="4" w:space="0" w:color="000000"/>
            </w:tcBorders>
            <w:shd w:val="clear" w:color="auto" w:fill="F9FCF9"/>
          </w:tcPr>
          <w:p>
            <w:pPr>
              <w:pStyle w:val="TableParagraph"/>
              <w:spacing w:line="132" w:lineRule="exact"/>
              <w:ind w:left="71" w:right="92"/>
              <w:rPr>
                <w:sz w:val="14"/>
              </w:rPr>
            </w:pPr>
            <w:r>
              <w:rPr>
                <w:sz w:val="14"/>
              </w:rPr>
              <w:t>-32</w:t>
            </w:r>
          </w:p>
        </w:tc>
        <w:tc>
          <w:tcPr>
            <w:tcW w:w="650" w:type="dxa"/>
            <w:tcBorders>
              <w:top w:val="single" w:sz="4" w:space="0" w:color="000000"/>
              <w:bottom w:val="single" w:sz="4" w:space="0" w:color="000000"/>
            </w:tcBorders>
            <w:shd w:val="clear" w:color="auto" w:fill="F9FCF9"/>
          </w:tcPr>
          <w:p>
            <w:pPr>
              <w:pStyle w:val="TableParagraph"/>
              <w:spacing w:line="132" w:lineRule="exact"/>
              <w:ind w:left="89" w:right="53"/>
              <w:rPr>
                <w:sz w:val="14"/>
              </w:rPr>
            </w:pPr>
            <w:r>
              <w:rPr>
                <w:sz w:val="14"/>
              </w:rPr>
              <w:t>-121</w:t>
            </w:r>
          </w:p>
        </w:tc>
        <w:tc>
          <w:tcPr>
            <w:tcW w:w="1080" w:type="dxa"/>
            <w:tcBorders>
              <w:top w:val="single" w:sz="4" w:space="0" w:color="000000"/>
              <w:bottom w:val="single" w:sz="4" w:space="0" w:color="000000"/>
            </w:tcBorders>
            <w:shd w:val="clear" w:color="auto" w:fill="F9FCF9"/>
          </w:tcPr>
          <w:p>
            <w:pPr>
              <w:pStyle w:val="TableParagraph"/>
              <w:spacing w:line="132" w:lineRule="exact"/>
              <w:ind w:left="113" w:right="107"/>
              <w:rPr>
                <w:sz w:val="14"/>
              </w:rPr>
            </w:pPr>
            <w:r>
              <w:rPr>
                <w:sz w:val="14"/>
              </w:rPr>
              <w:t>38</w:t>
            </w:r>
          </w:p>
        </w:tc>
        <w:tc>
          <w:tcPr>
            <w:tcW w:w="1334" w:type="dxa"/>
            <w:tcBorders>
              <w:top w:val="single" w:sz="4" w:space="0" w:color="000000"/>
              <w:bottom w:val="single" w:sz="4" w:space="0" w:color="000000"/>
            </w:tcBorders>
            <w:shd w:val="clear" w:color="auto" w:fill="F9FCF9"/>
          </w:tcPr>
          <w:p>
            <w:pPr>
              <w:pStyle w:val="TableParagraph"/>
              <w:spacing w:line="132" w:lineRule="exact"/>
              <w:ind w:left="206" w:right="200"/>
              <w:rPr>
                <w:sz w:val="14"/>
              </w:rPr>
            </w:pPr>
            <w:r>
              <w:rPr>
                <w:sz w:val="14"/>
              </w:rPr>
              <w:t>20</w:t>
            </w:r>
          </w:p>
        </w:tc>
        <w:tc>
          <w:tcPr>
            <w:tcW w:w="801"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78</w:t>
            </w:r>
          </w:p>
        </w:tc>
        <w:tc>
          <w:tcPr>
            <w:tcW w:w="855"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78</w:t>
            </w:r>
          </w:p>
        </w:tc>
        <w:tc>
          <w:tcPr>
            <w:tcW w:w="490" w:type="dxa"/>
            <w:tcBorders>
              <w:top w:val="single" w:sz="4" w:space="0" w:color="000000"/>
              <w:bottom w:val="single" w:sz="4" w:space="0" w:color="000000"/>
            </w:tcBorders>
            <w:shd w:val="clear" w:color="auto" w:fill="F9FCF9"/>
          </w:tcPr>
          <w:p>
            <w:pPr>
              <w:pStyle w:val="TableParagraph"/>
              <w:spacing w:line="132" w:lineRule="exact"/>
              <w:ind w:left="87" w:right="82"/>
              <w:rPr>
                <w:b/>
                <w:sz w:val="14"/>
              </w:rPr>
            </w:pPr>
            <w:r>
              <w:rPr>
                <w:b/>
                <w:sz w:val="14"/>
              </w:rPr>
              <w:t>-121</w:t>
            </w:r>
          </w:p>
        </w:tc>
        <w:tc>
          <w:tcPr>
            <w:tcW w:w="613" w:type="dxa"/>
            <w:tcBorders>
              <w:top w:val="single" w:sz="4" w:space="0" w:color="000000"/>
              <w:bottom w:val="single" w:sz="4" w:space="0" w:color="000000"/>
            </w:tcBorders>
            <w:shd w:val="clear" w:color="auto" w:fill="F9FCF9"/>
          </w:tcPr>
          <w:p>
            <w:pPr>
              <w:pStyle w:val="TableParagraph"/>
              <w:spacing w:line="132" w:lineRule="exact"/>
              <w:ind w:left="114" w:right="109"/>
              <w:rPr>
                <w:b/>
                <w:sz w:val="14"/>
              </w:rPr>
            </w:pPr>
            <w:r>
              <w:rPr>
                <w:b/>
                <w:sz w:val="14"/>
              </w:rPr>
              <w:t>78</w:t>
            </w:r>
          </w:p>
        </w:tc>
      </w:tr>
      <w:tr>
        <w:trPr>
          <w:trHeight w:val="151" w:hRule="atLeast"/>
        </w:trPr>
        <w:tc>
          <w:tcPr>
            <w:tcW w:w="2700" w:type="dxa"/>
            <w:tcBorders>
              <w:top w:val="single" w:sz="4" w:space="0" w:color="000000"/>
              <w:bottom w:val="single" w:sz="4" w:space="0" w:color="000000"/>
            </w:tcBorders>
            <w:shd w:val="clear" w:color="auto" w:fill="F9FCF9"/>
          </w:tcPr>
          <w:p>
            <w:pPr>
              <w:pStyle w:val="TableParagraph"/>
              <w:spacing w:line="132" w:lineRule="exact"/>
              <w:ind w:left="28"/>
              <w:jc w:val="left"/>
              <w:rPr>
                <w:sz w:val="14"/>
              </w:rPr>
            </w:pPr>
            <w:r>
              <w:rPr>
                <w:sz w:val="14"/>
              </w:rPr>
              <w:t>Net plant efficiency, LHV (%)</w:t>
            </w:r>
          </w:p>
        </w:tc>
        <w:tc>
          <w:tcPr>
            <w:tcW w:w="993" w:type="dxa"/>
            <w:tcBorders>
              <w:top w:val="single" w:sz="4" w:space="0" w:color="000000"/>
              <w:bottom w:val="single" w:sz="4" w:space="0" w:color="000000"/>
            </w:tcBorders>
            <w:shd w:val="clear" w:color="auto" w:fill="F9FCF9"/>
          </w:tcPr>
          <w:p>
            <w:pPr>
              <w:pStyle w:val="TableParagraph"/>
              <w:spacing w:line="132" w:lineRule="exact"/>
              <w:ind w:left="7"/>
              <w:rPr>
                <w:sz w:val="14"/>
              </w:rPr>
            </w:pPr>
            <w:r>
              <w:rPr>
                <w:sz w:val="14"/>
              </w:rPr>
              <w:t>74.6</w:t>
            </w:r>
          </w:p>
        </w:tc>
        <w:tc>
          <w:tcPr>
            <w:tcW w:w="847" w:type="dxa"/>
            <w:tcBorders>
              <w:top w:val="single" w:sz="4" w:space="0" w:color="000000"/>
              <w:bottom w:val="single" w:sz="4" w:space="0" w:color="000000"/>
            </w:tcBorders>
            <w:shd w:val="clear" w:color="auto" w:fill="F9FCF9"/>
          </w:tcPr>
          <w:p>
            <w:pPr>
              <w:pStyle w:val="TableParagraph"/>
              <w:spacing w:line="132" w:lineRule="exact"/>
              <w:ind w:left="71" w:right="92"/>
              <w:rPr>
                <w:sz w:val="14"/>
              </w:rPr>
            </w:pPr>
            <w:r>
              <w:rPr>
                <w:sz w:val="14"/>
              </w:rPr>
              <w:t>74.6</w:t>
            </w:r>
          </w:p>
        </w:tc>
        <w:tc>
          <w:tcPr>
            <w:tcW w:w="650" w:type="dxa"/>
            <w:tcBorders>
              <w:top w:val="single" w:sz="4" w:space="0" w:color="000000"/>
              <w:bottom w:val="single" w:sz="4" w:space="0" w:color="000000"/>
            </w:tcBorders>
            <w:shd w:val="clear" w:color="auto" w:fill="F9FCF9"/>
          </w:tcPr>
          <w:p>
            <w:pPr>
              <w:pStyle w:val="TableParagraph"/>
              <w:spacing w:line="132" w:lineRule="exact"/>
              <w:ind w:left="89" w:right="53"/>
              <w:rPr>
                <w:sz w:val="14"/>
              </w:rPr>
            </w:pPr>
            <w:r>
              <w:rPr>
                <w:sz w:val="14"/>
              </w:rPr>
              <w:t>62.9</w:t>
            </w:r>
          </w:p>
        </w:tc>
        <w:tc>
          <w:tcPr>
            <w:tcW w:w="1080" w:type="dxa"/>
            <w:tcBorders>
              <w:top w:val="single" w:sz="4" w:space="0" w:color="000000"/>
              <w:bottom w:val="single" w:sz="4" w:space="0" w:color="000000"/>
            </w:tcBorders>
            <w:shd w:val="clear" w:color="auto" w:fill="F9FCF9"/>
          </w:tcPr>
          <w:p>
            <w:pPr>
              <w:pStyle w:val="TableParagraph"/>
              <w:spacing w:line="132" w:lineRule="exact"/>
              <w:ind w:left="113" w:right="107"/>
              <w:rPr>
                <w:sz w:val="14"/>
              </w:rPr>
            </w:pPr>
            <w:r>
              <w:rPr>
                <w:sz w:val="14"/>
              </w:rPr>
              <w:t>59.2</w:t>
            </w:r>
          </w:p>
        </w:tc>
        <w:tc>
          <w:tcPr>
            <w:tcW w:w="1334" w:type="dxa"/>
            <w:tcBorders>
              <w:top w:val="single" w:sz="4" w:space="0" w:color="000000"/>
              <w:bottom w:val="single" w:sz="4" w:space="0" w:color="000000"/>
            </w:tcBorders>
            <w:shd w:val="clear" w:color="auto" w:fill="F9FCF9"/>
          </w:tcPr>
          <w:p>
            <w:pPr>
              <w:pStyle w:val="TableParagraph"/>
              <w:spacing w:line="132" w:lineRule="exact"/>
              <w:ind w:left="206" w:right="200"/>
              <w:rPr>
                <w:sz w:val="14"/>
              </w:rPr>
            </w:pPr>
            <w:r>
              <w:rPr>
                <w:sz w:val="14"/>
              </w:rPr>
              <w:t>55.9</w:t>
            </w:r>
          </w:p>
        </w:tc>
        <w:tc>
          <w:tcPr>
            <w:tcW w:w="801"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61.7</w:t>
            </w:r>
          </w:p>
        </w:tc>
        <w:tc>
          <w:tcPr>
            <w:tcW w:w="855"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61.7</w:t>
            </w:r>
          </w:p>
        </w:tc>
        <w:tc>
          <w:tcPr>
            <w:tcW w:w="490" w:type="dxa"/>
            <w:tcBorders>
              <w:top w:val="single" w:sz="4" w:space="0" w:color="000000"/>
              <w:bottom w:val="single" w:sz="4" w:space="0" w:color="000000"/>
            </w:tcBorders>
            <w:shd w:val="clear" w:color="auto" w:fill="F9FCF9"/>
          </w:tcPr>
          <w:p>
            <w:pPr>
              <w:pStyle w:val="TableParagraph"/>
              <w:spacing w:line="132" w:lineRule="exact"/>
              <w:ind w:left="87" w:right="82"/>
              <w:rPr>
                <w:b/>
                <w:sz w:val="14"/>
              </w:rPr>
            </w:pPr>
            <w:r>
              <w:rPr>
                <w:b/>
                <w:sz w:val="14"/>
              </w:rPr>
              <w:t>55.9</w:t>
            </w:r>
          </w:p>
        </w:tc>
        <w:tc>
          <w:tcPr>
            <w:tcW w:w="613" w:type="dxa"/>
            <w:tcBorders>
              <w:top w:val="single" w:sz="4" w:space="0" w:color="000000"/>
              <w:bottom w:val="single" w:sz="4" w:space="0" w:color="000000"/>
            </w:tcBorders>
            <w:shd w:val="clear" w:color="auto" w:fill="F9FCF9"/>
          </w:tcPr>
          <w:p>
            <w:pPr>
              <w:pStyle w:val="TableParagraph"/>
              <w:spacing w:line="132" w:lineRule="exact"/>
              <w:ind w:left="114" w:right="109"/>
              <w:rPr>
                <w:b/>
                <w:sz w:val="14"/>
              </w:rPr>
            </w:pPr>
            <w:r>
              <w:rPr>
                <w:b/>
                <w:sz w:val="14"/>
              </w:rPr>
              <w:t>74.6</w:t>
            </w:r>
          </w:p>
        </w:tc>
      </w:tr>
      <w:tr>
        <w:trPr>
          <w:trHeight w:val="151" w:hRule="atLeast"/>
        </w:trPr>
        <w:tc>
          <w:tcPr>
            <w:tcW w:w="2700" w:type="dxa"/>
            <w:tcBorders>
              <w:top w:val="single" w:sz="4" w:space="0" w:color="000000"/>
              <w:bottom w:val="single" w:sz="4" w:space="0" w:color="000000"/>
            </w:tcBorders>
            <w:shd w:val="clear" w:color="auto" w:fill="F9FCF9"/>
          </w:tcPr>
          <w:p>
            <w:pPr>
              <w:pStyle w:val="TableParagraph"/>
              <w:spacing w:line="132" w:lineRule="exact"/>
              <w:ind w:left="28"/>
              <w:jc w:val="left"/>
              <w:rPr>
                <w:sz w:val="14"/>
              </w:rPr>
            </w:pPr>
            <w:r>
              <w:rPr>
                <w:sz w:val="14"/>
              </w:rPr>
              <w:t>Plant capacity factor (%)</w:t>
            </w:r>
          </w:p>
        </w:tc>
        <w:tc>
          <w:tcPr>
            <w:tcW w:w="993" w:type="dxa"/>
            <w:tcBorders>
              <w:top w:val="single" w:sz="4" w:space="0" w:color="000000"/>
              <w:bottom w:val="single" w:sz="4" w:space="0" w:color="000000"/>
            </w:tcBorders>
            <w:shd w:val="clear" w:color="auto" w:fill="F9FCF9"/>
          </w:tcPr>
          <w:p>
            <w:pPr>
              <w:pStyle w:val="TableParagraph"/>
              <w:spacing w:line="132" w:lineRule="exact"/>
              <w:ind w:left="7"/>
              <w:rPr>
                <w:sz w:val="14"/>
              </w:rPr>
            </w:pPr>
            <w:r>
              <w:rPr>
                <w:sz w:val="14"/>
              </w:rPr>
              <w:t>90</w:t>
            </w:r>
          </w:p>
        </w:tc>
        <w:tc>
          <w:tcPr>
            <w:tcW w:w="847" w:type="dxa"/>
            <w:tcBorders>
              <w:top w:val="single" w:sz="4" w:space="0" w:color="000000"/>
              <w:bottom w:val="single" w:sz="4" w:space="0" w:color="000000"/>
            </w:tcBorders>
            <w:shd w:val="clear" w:color="auto" w:fill="F9FCF9"/>
          </w:tcPr>
          <w:p>
            <w:pPr>
              <w:pStyle w:val="TableParagraph"/>
              <w:spacing w:line="132" w:lineRule="exact"/>
              <w:ind w:left="71" w:right="92"/>
              <w:rPr>
                <w:sz w:val="14"/>
              </w:rPr>
            </w:pPr>
            <w:r>
              <w:rPr>
                <w:sz w:val="14"/>
              </w:rPr>
              <w:t>90</w:t>
            </w:r>
          </w:p>
        </w:tc>
        <w:tc>
          <w:tcPr>
            <w:tcW w:w="650" w:type="dxa"/>
            <w:tcBorders>
              <w:top w:val="single" w:sz="4" w:space="0" w:color="000000"/>
              <w:bottom w:val="single" w:sz="4" w:space="0" w:color="000000"/>
            </w:tcBorders>
            <w:shd w:val="clear" w:color="auto" w:fill="F9FCF9"/>
          </w:tcPr>
          <w:p>
            <w:pPr>
              <w:pStyle w:val="TableParagraph"/>
              <w:spacing w:line="132" w:lineRule="exact"/>
              <w:ind w:left="89" w:right="53"/>
              <w:rPr>
                <w:sz w:val="14"/>
              </w:rPr>
            </w:pPr>
            <w:r>
              <w:rPr>
                <w:sz w:val="14"/>
              </w:rPr>
              <w:t>90</w:t>
            </w:r>
          </w:p>
        </w:tc>
        <w:tc>
          <w:tcPr>
            <w:tcW w:w="1080" w:type="dxa"/>
            <w:tcBorders>
              <w:top w:val="single" w:sz="4" w:space="0" w:color="000000"/>
              <w:bottom w:val="single" w:sz="4" w:space="0" w:color="000000"/>
            </w:tcBorders>
            <w:shd w:val="clear" w:color="auto" w:fill="F9FCF9"/>
          </w:tcPr>
          <w:p>
            <w:pPr>
              <w:pStyle w:val="TableParagraph"/>
              <w:spacing w:line="132" w:lineRule="exact"/>
              <w:ind w:left="113" w:right="107"/>
              <w:rPr>
                <w:sz w:val="14"/>
              </w:rPr>
            </w:pPr>
            <w:r>
              <w:rPr>
                <w:sz w:val="14"/>
              </w:rPr>
              <w:t>80</w:t>
            </w:r>
          </w:p>
        </w:tc>
        <w:tc>
          <w:tcPr>
            <w:tcW w:w="1334" w:type="dxa"/>
            <w:tcBorders>
              <w:top w:val="single" w:sz="4" w:space="0" w:color="000000"/>
              <w:bottom w:val="single" w:sz="4" w:space="0" w:color="000000"/>
            </w:tcBorders>
            <w:shd w:val="clear" w:color="auto" w:fill="F9FCF9"/>
          </w:tcPr>
          <w:p>
            <w:pPr>
              <w:pStyle w:val="TableParagraph"/>
              <w:spacing w:line="132" w:lineRule="exact"/>
              <w:ind w:left="206" w:right="200"/>
              <w:rPr>
                <w:sz w:val="14"/>
              </w:rPr>
            </w:pPr>
            <w:r>
              <w:rPr>
                <w:sz w:val="14"/>
              </w:rPr>
              <w:t>85</w:t>
            </w:r>
          </w:p>
        </w:tc>
        <w:tc>
          <w:tcPr>
            <w:tcW w:w="801"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80</w:t>
            </w:r>
          </w:p>
        </w:tc>
        <w:tc>
          <w:tcPr>
            <w:tcW w:w="855"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80</w:t>
            </w:r>
          </w:p>
        </w:tc>
        <w:tc>
          <w:tcPr>
            <w:tcW w:w="490" w:type="dxa"/>
            <w:tcBorders>
              <w:top w:val="single" w:sz="4" w:space="0" w:color="000000"/>
              <w:bottom w:val="single" w:sz="4" w:space="0" w:color="000000"/>
            </w:tcBorders>
            <w:shd w:val="clear" w:color="auto" w:fill="F9FCF9"/>
          </w:tcPr>
          <w:p>
            <w:pPr>
              <w:pStyle w:val="TableParagraph"/>
              <w:spacing w:line="132" w:lineRule="exact"/>
              <w:ind w:left="87" w:right="82"/>
              <w:rPr>
                <w:b/>
                <w:sz w:val="14"/>
              </w:rPr>
            </w:pPr>
            <w:r>
              <w:rPr>
                <w:b/>
                <w:sz w:val="14"/>
              </w:rPr>
              <w:t>80</w:t>
            </w:r>
          </w:p>
        </w:tc>
        <w:tc>
          <w:tcPr>
            <w:tcW w:w="613" w:type="dxa"/>
            <w:tcBorders>
              <w:top w:val="single" w:sz="4" w:space="0" w:color="000000"/>
              <w:bottom w:val="single" w:sz="4" w:space="0" w:color="000000"/>
            </w:tcBorders>
            <w:shd w:val="clear" w:color="auto" w:fill="F9FCF9"/>
          </w:tcPr>
          <w:p>
            <w:pPr>
              <w:pStyle w:val="TableParagraph"/>
              <w:spacing w:line="132" w:lineRule="exact"/>
              <w:ind w:left="114" w:right="109"/>
              <w:rPr>
                <w:b/>
                <w:sz w:val="14"/>
              </w:rPr>
            </w:pPr>
            <w:r>
              <w:rPr>
                <w:b/>
                <w:sz w:val="14"/>
              </w:rPr>
              <w:t>90</w:t>
            </w:r>
          </w:p>
        </w:tc>
      </w:tr>
      <w:tr>
        <w:trPr>
          <w:trHeight w:val="151" w:hRule="atLeast"/>
        </w:trPr>
        <w:tc>
          <w:tcPr>
            <w:tcW w:w="2700" w:type="dxa"/>
            <w:tcBorders>
              <w:top w:val="single" w:sz="4" w:space="0" w:color="000000"/>
              <w:bottom w:val="single" w:sz="4" w:space="0" w:color="000000"/>
            </w:tcBorders>
            <w:shd w:val="clear" w:color="auto" w:fill="F9FCF9"/>
          </w:tcPr>
          <w:p>
            <w:pPr>
              <w:pStyle w:val="TableParagraph"/>
              <w:spacing w:before="7"/>
              <w:ind w:left="1260" w:right="1244"/>
              <w:rPr>
                <w:sz w:val="8"/>
              </w:rPr>
            </w:pPr>
            <w:r>
              <w:rPr>
                <w:sz w:val="8"/>
              </w:rPr>
              <w:t>−1</w:t>
            </w:r>
          </w:p>
        </w:tc>
        <w:tc>
          <w:tcPr>
            <w:tcW w:w="993" w:type="dxa"/>
            <w:tcBorders>
              <w:top w:val="single" w:sz="4" w:space="0" w:color="000000"/>
              <w:bottom w:val="single" w:sz="4" w:space="0" w:color="000000"/>
            </w:tcBorders>
            <w:shd w:val="clear" w:color="auto" w:fill="F9FCF9"/>
          </w:tcPr>
          <w:p>
            <w:pPr>
              <w:pStyle w:val="TableParagraph"/>
              <w:spacing w:line="132" w:lineRule="exact"/>
              <w:ind w:left="7"/>
              <w:rPr>
                <w:sz w:val="14"/>
              </w:rPr>
            </w:pPr>
            <w:r>
              <w:rPr>
                <w:sz w:val="14"/>
              </w:rPr>
              <w:t>4.693</w:t>
            </w:r>
          </w:p>
        </w:tc>
        <w:tc>
          <w:tcPr>
            <w:tcW w:w="847" w:type="dxa"/>
            <w:tcBorders>
              <w:top w:val="single" w:sz="4" w:space="0" w:color="000000"/>
              <w:bottom w:val="single" w:sz="4" w:space="0" w:color="000000"/>
            </w:tcBorders>
            <w:shd w:val="clear" w:color="auto" w:fill="F9FCF9"/>
          </w:tcPr>
          <w:p>
            <w:pPr>
              <w:pStyle w:val="TableParagraph"/>
              <w:spacing w:line="132" w:lineRule="exact"/>
              <w:ind w:left="71" w:right="92"/>
              <w:rPr>
                <w:sz w:val="14"/>
              </w:rPr>
            </w:pPr>
            <w:r>
              <w:rPr>
                <w:sz w:val="14"/>
              </w:rPr>
              <w:t>3.339</w:t>
            </w:r>
          </w:p>
        </w:tc>
        <w:tc>
          <w:tcPr>
            <w:tcW w:w="650" w:type="dxa"/>
            <w:tcBorders>
              <w:top w:val="single" w:sz="4" w:space="0" w:color="000000"/>
              <w:bottom w:val="single" w:sz="4" w:space="0" w:color="000000"/>
            </w:tcBorders>
            <w:shd w:val="clear" w:color="auto" w:fill="F9FCF9"/>
          </w:tcPr>
          <w:p>
            <w:pPr>
              <w:pStyle w:val="TableParagraph"/>
              <w:spacing w:line="132" w:lineRule="exact"/>
              <w:ind w:left="89" w:right="53"/>
              <w:rPr>
                <w:sz w:val="14"/>
              </w:rPr>
            </w:pPr>
            <w:r>
              <w:rPr>
                <w:sz w:val="14"/>
              </w:rPr>
              <w:t>7.399</w:t>
            </w:r>
          </w:p>
        </w:tc>
        <w:tc>
          <w:tcPr>
            <w:tcW w:w="1080" w:type="dxa"/>
            <w:tcBorders>
              <w:top w:val="single" w:sz="4" w:space="0" w:color="000000"/>
              <w:bottom w:val="single" w:sz="4" w:space="0" w:color="000000"/>
            </w:tcBorders>
            <w:shd w:val="clear" w:color="auto" w:fill="F9FCF9"/>
          </w:tcPr>
          <w:p>
            <w:pPr>
              <w:pStyle w:val="TableParagraph"/>
              <w:spacing w:line="132" w:lineRule="exact"/>
              <w:ind w:left="113" w:right="107"/>
              <w:rPr>
                <w:sz w:val="14"/>
              </w:rPr>
            </w:pPr>
            <w:r>
              <w:rPr>
                <w:sz w:val="14"/>
              </w:rPr>
              <w:t>1.795</w:t>
            </w:r>
          </w:p>
        </w:tc>
        <w:tc>
          <w:tcPr>
            <w:tcW w:w="1334" w:type="dxa"/>
            <w:tcBorders>
              <w:top w:val="single" w:sz="4" w:space="0" w:color="000000"/>
              <w:bottom w:val="single" w:sz="4" w:space="0" w:color="000000"/>
            </w:tcBorders>
            <w:shd w:val="clear" w:color="auto" w:fill="F9FCF9"/>
          </w:tcPr>
          <w:p>
            <w:pPr>
              <w:pStyle w:val="TableParagraph"/>
              <w:spacing w:line="132" w:lineRule="exact"/>
              <w:ind w:left="206" w:right="200"/>
              <w:rPr>
                <w:sz w:val="14"/>
              </w:rPr>
            </w:pPr>
            <w:r>
              <w:rPr>
                <w:sz w:val="14"/>
              </w:rPr>
              <w:t>2.148</w:t>
            </w:r>
          </w:p>
        </w:tc>
        <w:tc>
          <w:tcPr>
            <w:tcW w:w="801"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4.215</w:t>
            </w:r>
          </w:p>
        </w:tc>
        <w:tc>
          <w:tcPr>
            <w:tcW w:w="855"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4.215</w:t>
            </w:r>
          </w:p>
        </w:tc>
        <w:tc>
          <w:tcPr>
            <w:tcW w:w="490" w:type="dxa"/>
            <w:tcBorders>
              <w:top w:val="single" w:sz="4" w:space="0" w:color="000000"/>
              <w:bottom w:val="single" w:sz="4" w:space="0" w:color="000000"/>
            </w:tcBorders>
            <w:shd w:val="clear" w:color="auto" w:fill="F9FCF9"/>
          </w:tcPr>
          <w:p>
            <w:pPr>
              <w:pStyle w:val="TableParagraph"/>
              <w:spacing w:line="132" w:lineRule="exact"/>
              <w:ind w:left="87" w:right="82"/>
              <w:rPr>
                <w:b/>
                <w:sz w:val="14"/>
              </w:rPr>
            </w:pPr>
            <w:r>
              <w:rPr>
                <w:b/>
                <w:sz w:val="14"/>
              </w:rPr>
              <w:t>1.80</w:t>
            </w:r>
          </w:p>
        </w:tc>
        <w:tc>
          <w:tcPr>
            <w:tcW w:w="613" w:type="dxa"/>
            <w:tcBorders>
              <w:top w:val="single" w:sz="4" w:space="0" w:color="000000"/>
              <w:bottom w:val="single" w:sz="4" w:space="0" w:color="000000"/>
            </w:tcBorders>
            <w:shd w:val="clear" w:color="auto" w:fill="F9FCF9"/>
          </w:tcPr>
          <w:p>
            <w:pPr>
              <w:pStyle w:val="TableParagraph"/>
              <w:spacing w:line="132" w:lineRule="exact"/>
              <w:ind w:left="114" w:right="109"/>
              <w:rPr>
                <w:b/>
                <w:sz w:val="14"/>
              </w:rPr>
            </w:pPr>
            <w:r>
              <w:rPr>
                <w:b/>
                <w:sz w:val="14"/>
              </w:rPr>
              <w:t>7.40</w:t>
            </w:r>
          </w:p>
        </w:tc>
      </w:tr>
      <w:tr>
        <w:trPr>
          <w:trHeight w:val="151" w:hRule="atLeast"/>
        </w:trPr>
        <w:tc>
          <w:tcPr>
            <w:tcW w:w="2700" w:type="dxa"/>
            <w:tcBorders>
              <w:top w:val="single" w:sz="4" w:space="0" w:color="000000"/>
              <w:bottom w:val="single" w:sz="4" w:space="0" w:color="000000"/>
            </w:tcBorders>
            <w:shd w:val="clear" w:color="auto" w:fill="F9FCF9"/>
          </w:tcPr>
          <w:p>
            <w:pPr>
              <w:pStyle w:val="TableParagraph"/>
              <w:spacing w:line="132" w:lineRule="exact"/>
              <w:ind w:left="28"/>
              <w:jc w:val="left"/>
              <w:rPr>
                <w:sz w:val="14"/>
              </w:rPr>
            </w:pPr>
            <w:r>
              <w:rPr>
                <w:sz w:val="14"/>
              </w:rPr>
              <w:t>Carbon exported in fuels (MtC yr</w:t>
            </w:r>
            <w:r>
              <w:rPr>
                <w:position w:val="5"/>
                <w:sz w:val="8"/>
              </w:rPr>
              <w:t>−1</w:t>
            </w:r>
            <w:r>
              <w:rPr>
                <w:sz w:val="14"/>
              </w:rPr>
              <w:t>)</w:t>
            </w:r>
          </w:p>
        </w:tc>
        <w:tc>
          <w:tcPr>
            <w:tcW w:w="993" w:type="dxa"/>
            <w:tcBorders>
              <w:top w:val="single" w:sz="4" w:space="0" w:color="000000"/>
              <w:bottom w:val="single" w:sz="4" w:space="0" w:color="000000"/>
            </w:tcBorders>
            <w:shd w:val="clear" w:color="auto" w:fill="F9FCF9"/>
          </w:tcPr>
          <w:p>
            <w:pPr>
              <w:pStyle w:val="TableParagraph"/>
              <w:spacing w:line="132" w:lineRule="exact"/>
              <w:ind w:left="7"/>
              <w:rPr>
                <w:sz w:val="14"/>
              </w:rPr>
            </w:pPr>
            <w:r>
              <w:rPr>
                <w:sz w:val="14"/>
              </w:rPr>
              <w:t>0</w:t>
            </w:r>
          </w:p>
        </w:tc>
        <w:tc>
          <w:tcPr>
            <w:tcW w:w="847" w:type="dxa"/>
            <w:tcBorders>
              <w:top w:val="single" w:sz="4" w:space="0" w:color="000000"/>
              <w:bottom w:val="single" w:sz="4" w:space="0" w:color="000000"/>
            </w:tcBorders>
            <w:shd w:val="clear" w:color="auto" w:fill="F9FCF9"/>
          </w:tcPr>
          <w:p>
            <w:pPr>
              <w:pStyle w:val="TableParagraph"/>
              <w:spacing w:line="132" w:lineRule="exact"/>
              <w:ind w:right="21"/>
              <w:rPr>
                <w:sz w:val="14"/>
              </w:rPr>
            </w:pPr>
            <w:r>
              <w:rPr>
                <w:sz w:val="14"/>
              </w:rPr>
              <w:t>0</w:t>
            </w:r>
          </w:p>
        </w:tc>
        <w:tc>
          <w:tcPr>
            <w:tcW w:w="650" w:type="dxa"/>
            <w:tcBorders>
              <w:top w:val="single" w:sz="4" w:space="0" w:color="000000"/>
              <w:bottom w:val="single" w:sz="4" w:space="0" w:color="000000"/>
            </w:tcBorders>
            <w:shd w:val="clear" w:color="auto" w:fill="F9FCF9"/>
          </w:tcPr>
          <w:p>
            <w:pPr>
              <w:pStyle w:val="TableParagraph"/>
              <w:spacing w:line="132" w:lineRule="exact"/>
              <w:ind w:left="36"/>
              <w:rPr>
                <w:sz w:val="14"/>
              </w:rPr>
            </w:pPr>
            <w:r>
              <w:rPr>
                <w:sz w:val="14"/>
              </w:rPr>
              <w:t>0</w:t>
            </w:r>
          </w:p>
        </w:tc>
        <w:tc>
          <w:tcPr>
            <w:tcW w:w="1080"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0</w:t>
            </w:r>
          </w:p>
        </w:tc>
        <w:tc>
          <w:tcPr>
            <w:tcW w:w="1334"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0</w:t>
            </w:r>
          </w:p>
        </w:tc>
        <w:tc>
          <w:tcPr>
            <w:tcW w:w="801"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0</w:t>
            </w:r>
          </w:p>
        </w:tc>
        <w:tc>
          <w:tcPr>
            <w:tcW w:w="855"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0</w:t>
            </w:r>
          </w:p>
        </w:tc>
        <w:tc>
          <w:tcPr>
            <w:tcW w:w="490" w:type="dxa"/>
            <w:tcBorders>
              <w:top w:val="single" w:sz="4" w:space="0" w:color="000000"/>
              <w:bottom w:val="single" w:sz="4" w:space="0" w:color="000000"/>
            </w:tcBorders>
            <w:shd w:val="clear" w:color="auto" w:fill="F9FCF9"/>
          </w:tcPr>
          <w:p>
            <w:pPr>
              <w:pStyle w:val="TableParagraph"/>
              <w:spacing w:line="132" w:lineRule="exact"/>
              <w:ind w:left="5"/>
              <w:rPr>
                <w:b/>
                <w:sz w:val="14"/>
              </w:rPr>
            </w:pPr>
            <w:r>
              <w:rPr>
                <w:b/>
                <w:sz w:val="14"/>
              </w:rPr>
              <w:t>0</w:t>
            </w:r>
          </w:p>
        </w:tc>
        <w:tc>
          <w:tcPr>
            <w:tcW w:w="613" w:type="dxa"/>
            <w:tcBorders>
              <w:top w:val="single" w:sz="4" w:space="0" w:color="000000"/>
              <w:bottom w:val="single" w:sz="4" w:space="0" w:color="000000"/>
            </w:tcBorders>
            <w:shd w:val="clear" w:color="auto" w:fill="F9FCF9"/>
          </w:tcPr>
          <w:p>
            <w:pPr>
              <w:pStyle w:val="TableParagraph"/>
              <w:spacing w:line="132" w:lineRule="exact"/>
              <w:ind w:left="5"/>
              <w:rPr>
                <w:b/>
                <w:sz w:val="14"/>
              </w:rPr>
            </w:pPr>
            <w:r>
              <w:rPr>
                <w:b/>
                <w:sz w:val="14"/>
              </w:rPr>
              <w:t>0</w:t>
            </w:r>
          </w:p>
        </w:tc>
      </w:tr>
      <w:tr>
        <w:trPr>
          <w:trHeight w:val="151" w:hRule="atLeast"/>
        </w:trPr>
        <w:tc>
          <w:tcPr>
            <w:tcW w:w="2700" w:type="dxa"/>
            <w:tcBorders>
              <w:top w:val="single" w:sz="4" w:space="0" w:color="000000"/>
              <w:bottom w:val="single" w:sz="4" w:space="0" w:color="000000"/>
            </w:tcBorders>
            <w:shd w:val="clear" w:color="auto" w:fill="F9FCF9"/>
          </w:tcPr>
          <w:p>
            <w:pPr>
              <w:pStyle w:val="TableParagraph"/>
              <w:spacing w:before="7"/>
              <w:ind w:right="705"/>
              <w:jc w:val="right"/>
              <w:rPr>
                <w:sz w:val="8"/>
              </w:rPr>
            </w:pPr>
            <w:r>
              <w:rPr>
                <w:sz w:val="8"/>
              </w:rPr>
              <w:t>−1</w:t>
            </w:r>
          </w:p>
        </w:tc>
        <w:tc>
          <w:tcPr>
            <w:tcW w:w="993" w:type="dxa"/>
            <w:tcBorders>
              <w:top w:val="single" w:sz="4" w:space="0" w:color="000000"/>
              <w:bottom w:val="single" w:sz="4" w:space="0" w:color="000000"/>
            </w:tcBorders>
            <w:shd w:val="clear" w:color="auto" w:fill="F9FCF9"/>
          </w:tcPr>
          <w:p>
            <w:pPr>
              <w:pStyle w:val="TableParagraph"/>
              <w:spacing w:line="132" w:lineRule="exact"/>
              <w:ind w:left="7"/>
              <w:rPr>
                <w:sz w:val="14"/>
              </w:rPr>
            </w:pPr>
            <w:r>
              <w:rPr>
                <w:sz w:val="14"/>
              </w:rPr>
              <w:t>81</w:t>
            </w:r>
          </w:p>
        </w:tc>
        <w:tc>
          <w:tcPr>
            <w:tcW w:w="847" w:type="dxa"/>
            <w:tcBorders>
              <w:top w:val="single" w:sz="4" w:space="0" w:color="000000"/>
              <w:bottom w:val="single" w:sz="4" w:space="0" w:color="000000"/>
            </w:tcBorders>
            <w:shd w:val="clear" w:color="auto" w:fill="F9FCF9"/>
          </w:tcPr>
          <w:p>
            <w:pPr>
              <w:pStyle w:val="TableParagraph"/>
              <w:spacing w:line="132" w:lineRule="exact"/>
              <w:ind w:left="71" w:right="92"/>
              <w:rPr>
                <w:sz w:val="14"/>
              </w:rPr>
            </w:pPr>
            <w:r>
              <w:rPr>
                <w:sz w:val="14"/>
              </w:rPr>
              <w:t>78</w:t>
            </w:r>
          </w:p>
        </w:tc>
        <w:tc>
          <w:tcPr>
            <w:tcW w:w="650" w:type="dxa"/>
            <w:tcBorders>
              <w:top w:val="single" w:sz="4" w:space="0" w:color="000000"/>
              <w:bottom w:val="single" w:sz="4" w:space="0" w:color="000000"/>
            </w:tcBorders>
            <w:shd w:val="clear" w:color="auto" w:fill="F9FCF9"/>
          </w:tcPr>
          <w:p>
            <w:pPr>
              <w:pStyle w:val="TableParagraph"/>
              <w:spacing w:line="132" w:lineRule="exact"/>
              <w:ind w:left="89" w:right="53"/>
              <w:rPr>
                <w:sz w:val="14"/>
              </w:rPr>
            </w:pPr>
            <w:r>
              <w:rPr>
                <w:sz w:val="14"/>
              </w:rPr>
              <w:t>168</w:t>
            </w:r>
          </w:p>
        </w:tc>
        <w:tc>
          <w:tcPr>
            <w:tcW w:w="1080" w:type="dxa"/>
            <w:tcBorders>
              <w:top w:val="single" w:sz="4" w:space="0" w:color="000000"/>
              <w:bottom w:val="single" w:sz="4" w:space="0" w:color="000000"/>
            </w:tcBorders>
            <w:shd w:val="clear" w:color="auto" w:fill="F9FCF9"/>
          </w:tcPr>
          <w:p>
            <w:pPr>
              <w:pStyle w:val="TableParagraph"/>
              <w:spacing w:line="132" w:lineRule="exact"/>
              <w:ind w:left="113" w:right="107"/>
              <w:rPr>
                <w:sz w:val="14"/>
              </w:rPr>
            </w:pPr>
            <w:r>
              <w:rPr>
                <w:sz w:val="14"/>
              </w:rPr>
              <w:t>164</w:t>
            </w:r>
          </w:p>
        </w:tc>
        <w:tc>
          <w:tcPr>
            <w:tcW w:w="1334" w:type="dxa"/>
            <w:tcBorders>
              <w:top w:val="single" w:sz="4" w:space="0" w:color="000000"/>
              <w:bottom w:val="single" w:sz="4" w:space="0" w:color="000000"/>
            </w:tcBorders>
            <w:shd w:val="clear" w:color="auto" w:fill="F9FCF9"/>
          </w:tcPr>
          <w:p>
            <w:pPr>
              <w:pStyle w:val="TableParagraph"/>
              <w:spacing w:line="132" w:lineRule="exact"/>
              <w:ind w:left="206" w:right="200"/>
              <w:rPr>
                <w:sz w:val="14"/>
              </w:rPr>
            </w:pPr>
            <w:r>
              <w:rPr>
                <w:sz w:val="14"/>
              </w:rPr>
              <w:t>174</w:t>
            </w:r>
          </w:p>
        </w:tc>
        <w:tc>
          <w:tcPr>
            <w:tcW w:w="801"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145</w:t>
            </w:r>
          </w:p>
        </w:tc>
        <w:tc>
          <w:tcPr>
            <w:tcW w:w="855"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145</w:t>
            </w:r>
          </w:p>
        </w:tc>
        <w:tc>
          <w:tcPr>
            <w:tcW w:w="490" w:type="dxa"/>
            <w:tcBorders>
              <w:top w:val="single" w:sz="4" w:space="0" w:color="000000"/>
              <w:bottom w:val="single" w:sz="4" w:space="0" w:color="000000"/>
            </w:tcBorders>
            <w:shd w:val="clear" w:color="auto" w:fill="F9FCF9"/>
          </w:tcPr>
          <w:p>
            <w:pPr>
              <w:pStyle w:val="TableParagraph"/>
              <w:spacing w:line="132" w:lineRule="exact"/>
              <w:ind w:left="87" w:right="82"/>
              <w:rPr>
                <w:b/>
                <w:sz w:val="14"/>
              </w:rPr>
            </w:pPr>
            <w:r>
              <w:rPr>
                <w:b/>
                <w:sz w:val="14"/>
              </w:rPr>
              <w:t>78</w:t>
            </w:r>
          </w:p>
        </w:tc>
        <w:tc>
          <w:tcPr>
            <w:tcW w:w="613" w:type="dxa"/>
            <w:tcBorders>
              <w:top w:val="single" w:sz="4" w:space="0" w:color="000000"/>
              <w:bottom w:val="single" w:sz="4" w:space="0" w:color="000000"/>
            </w:tcBorders>
            <w:shd w:val="clear" w:color="auto" w:fill="F9FCF9"/>
          </w:tcPr>
          <w:p>
            <w:pPr>
              <w:pStyle w:val="TableParagraph"/>
              <w:spacing w:line="132" w:lineRule="exact"/>
              <w:ind w:left="114" w:right="109"/>
              <w:rPr>
                <w:b/>
                <w:sz w:val="14"/>
              </w:rPr>
            </w:pPr>
            <w:r>
              <w:rPr>
                <w:b/>
                <w:sz w:val="14"/>
              </w:rPr>
              <w:t>174</w:t>
            </w:r>
          </w:p>
        </w:tc>
      </w:tr>
      <w:tr>
        <w:trPr>
          <w:trHeight w:val="151" w:hRule="atLeast"/>
        </w:trPr>
        <w:tc>
          <w:tcPr>
            <w:tcW w:w="2700" w:type="dxa"/>
            <w:tcBorders>
              <w:top w:val="single" w:sz="4" w:space="0" w:color="000000"/>
              <w:bottom w:val="single" w:sz="4" w:space="0" w:color="000000"/>
            </w:tcBorders>
            <w:shd w:val="clear" w:color="auto" w:fill="F9FCF9"/>
          </w:tcPr>
          <w:p>
            <w:pPr>
              <w:pStyle w:val="TableParagraph"/>
              <w:spacing w:line="132" w:lineRule="exact"/>
              <w:ind w:left="28"/>
              <w:jc w:val="left"/>
              <w:rPr>
                <w:b/>
                <w:i/>
                <w:sz w:val="14"/>
              </w:rPr>
            </w:pPr>
            <w:r>
              <w:rPr>
                <w:b/>
                <w:i/>
                <w:sz w:val="14"/>
              </w:rPr>
              <w:t>Capture Plant Design</w:t>
            </w:r>
          </w:p>
        </w:tc>
        <w:tc>
          <w:tcPr>
            <w:tcW w:w="993" w:type="dxa"/>
            <w:tcBorders>
              <w:top w:val="single" w:sz="4" w:space="0" w:color="000000"/>
              <w:bottom w:val="single" w:sz="4" w:space="0" w:color="000000"/>
            </w:tcBorders>
            <w:shd w:val="clear" w:color="auto" w:fill="F9FCF9"/>
          </w:tcPr>
          <w:p>
            <w:pPr>
              <w:pStyle w:val="TableParagraph"/>
              <w:jc w:val="left"/>
              <w:rPr>
                <w:sz w:val="8"/>
              </w:rPr>
            </w:pPr>
          </w:p>
        </w:tc>
        <w:tc>
          <w:tcPr>
            <w:tcW w:w="847" w:type="dxa"/>
            <w:tcBorders>
              <w:top w:val="single" w:sz="4" w:space="0" w:color="000000"/>
              <w:bottom w:val="single" w:sz="4" w:space="0" w:color="000000"/>
            </w:tcBorders>
            <w:shd w:val="clear" w:color="auto" w:fill="F9FCF9"/>
          </w:tcPr>
          <w:p>
            <w:pPr>
              <w:pStyle w:val="TableParagraph"/>
              <w:jc w:val="left"/>
              <w:rPr>
                <w:sz w:val="8"/>
              </w:rPr>
            </w:pPr>
          </w:p>
        </w:tc>
        <w:tc>
          <w:tcPr>
            <w:tcW w:w="650" w:type="dxa"/>
            <w:tcBorders>
              <w:top w:val="single" w:sz="4" w:space="0" w:color="000000"/>
              <w:bottom w:val="single" w:sz="4" w:space="0" w:color="000000"/>
            </w:tcBorders>
            <w:shd w:val="clear" w:color="auto" w:fill="F9FCF9"/>
          </w:tcPr>
          <w:p>
            <w:pPr>
              <w:pStyle w:val="TableParagraph"/>
              <w:jc w:val="left"/>
              <w:rPr>
                <w:sz w:val="8"/>
              </w:rPr>
            </w:pPr>
          </w:p>
        </w:tc>
        <w:tc>
          <w:tcPr>
            <w:tcW w:w="1080" w:type="dxa"/>
            <w:tcBorders>
              <w:top w:val="single" w:sz="4" w:space="0" w:color="000000"/>
              <w:bottom w:val="single" w:sz="4" w:space="0" w:color="000000"/>
            </w:tcBorders>
            <w:shd w:val="clear" w:color="auto" w:fill="F9FCF9"/>
          </w:tcPr>
          <w:p>
            <w:pPr>
              <w:pStyle w:val="TableParagraph"/>
              <w:jc w:val="left"/>
              <w:rPr>
                <w:sz w:val="8"/>
              </w:rPr>
            </w:pPr>
          </w:p>
        </w:tc>
        <w:tc>
          <w:tcPr>
            <w:tcW w:w="1334" w:type="dxa"/>
            <w:tcBorders>
              <w:top w:val="single" w:sz="4" w:space="0" w:color="000000"/>
              <w:bottom w:val="single" w:sz="4" w:space="0" w:color="000000"/>
            </w:tcBorders>
            <w:shd w:val="clear" w:color="auto" w:fill="F9FCF9"/>
          </w:tcPr>
          <w:p>
            <w:pPr>
              <w:pStyle w:val="TableParagraph"/>
              <w:jc w:val="left"/>
              <w:rPr>
                <w:sz w:val="8"/>
              </w:rPr>
            </w:pPr>
          </w:p>
        </w:tc>
        <w:tc>
          <w:tcPr>
            <w:tcW w:w="801" w:type="dxa"/>
            <w:tcBorders>
              <w:top w:val="single" w:sz="4" w:space="0" w:color="000000"/>
              <w:bottom w:val="single" w:sz="4" w:space="0" w:color="000000"/>
            </w:tcBorders>
            <w:shd w:val="clear" w:color="auto" w:fill="F9FCF9"/>
          </w:tcPr>
          <w:p>
            <w:pPr>
              <w:pStyle w:val="TableParagraph"/>
              <w:jc w:val="left"/>
              <w:rPr>
                <w:sz w:val="8"/>
              </w:rPr>
            </w:pPr>
          </w:p>
        </w:tc>
        <w:tc>
          <w:tcPr>
            <w:tcW w:w="855" w:type="dxa"/>
            <w:tcBorders>
              <w:top w:val="single" w:sz="4" w:space="0" w:color="000000"/>
              <w:bottom w:val="single" w:sz="4" w:space="0" w:color="000000"/>
            </w:tcBorders>
            <w:shd w:val="clear" w:color="auto" w:fill="F9FCF9"/>
          </w:tcPr>
          <w:p>
            <w:pPr>
              <w:pStyle w:val="TableParagraph"/>
              <w:jc w:val="left"/>
              <w:rPr>
                <w:sz w:val="8"/>
              </w:rPr>
            </w:pPr>
          </w:p>
        </w:tc>
        <w:tc>
          <w:tcPr>
            <w:tcW w:w="490" w:type="dxa"/>
            <w:tcBorders>
              <w:top w:val="single" w:sz="4" w:space="0" w:color="000000"/>
              <w:bottom w:val="single" w:sz="4" w:space="0" w:color="000000"/>
            </w:tcBorders>
            <w:shd w:val="clear" w:color="auto" w:fill="F9FCF9"/>
          </w:tcPr>
          <w:p>
            <w:pPr>
              <w:pStyle w:val="TableParagraph"/>
              <w:jc w:val="left"/>
              <w:rPr>
                <w:sz w:val="8"/>
              </w:rPr>
            </w:pPr>
          </w:p>
        </w:tc>
        <w:tc>
          <w:tcPr>
            <w:tcW w:w="613" w:type="dxa"/>
            <w:tcBorders>
              <w:top w:val="single" w:sz="4" w:space="0" w:color="000000"/>
              <w:bottom w:val="single" w:sz="4" w:space="0" w:color="000000"/>
            </w:tcBorders>
            <w:shd w:val="clear" w:color="auto" w:fill="F9FCF9"/>
          </w:tcPr>
          <w:p>
            <w:pPr>
              <w:pStyle w:val="TableParagraph"/>
              <w:jc w:val="left"/>
              <w:rPr>
                <w:sz w:val="8"/>
              </w:rPr>
            </w:pPr>
          </w:p>
        </w:tc>
      </w:tr>
      <w:tr>
        <w:trPr>
          <w:trHeight w:val="338" w:hRule="atLeast"/>
        </w:trPr>
        <w:tc>
          <w:tcPr>
            <w:tcW w:w="2700" w:type="dxa"/>
            <w:tcBorders>
              <w:top w:val="single" w:sz="4" w:space="0" w:color="000000"/>
            </w:tcBorders>
            <w:shd w:val="clear" w:color="auto" w:fill="F9FCF9"/>
          </w:tcPr>
          <w:p>
            <w:pPr>
              <w:pStyle w:val="TableParagraph"/>
              <w:spacing w:line="235" w:lineRule="auto"/>
              <w:ind w:left="28"/>
              <w:jc w:val="left"/>
              <w:rPr>
                <w:sz w:val="14"/>
              </w:rPr>
            </w:pPr>
            <w:r>
              <w:rPr>
                <w:sz w:val="14"/>
              </w:rPr>
              <w:t>CO</w:t>
            </w:r>
            <w:r>
              <w:rPr>
                <w:position w:val="-4"/>
                <w:sz w:val="8"/>
              </w:rPr>
              <w:t>2 </w:t>
            </w:r>
            <w:r>
              <w:rPr>
                <w:sz w:val="14"/>
              </w:rPr>
              <w:t>capture/separation technology</w:t>
            </w:r>
          </w:p>
        </w:tc>
        <w:tc>
          <w:tcPr>
            <w:tcW w:w="993" w:type="dxa"/>
            <w:tcBorders>
              <w:top w:val="single" w:sz="4" w:space="0" w:color="000000"/>
            </w:tcBorders>
            <w:shd w:val="clear" w:color="auto" w:fill="F9FCF9"/>
          </w:tcPr>
          <w:p>
            <w:pPr>
              <w:pStyle w:val="TableParagraph"/>
              <w:spacing w:line="159" w:lineRule="exact"/>
              <w:ind w:left="36"/>
              <w:jc w:val="left"/>
              <w:rPr>
                <w:sz w:val="14"/>
              </w:rPr>
            </w:pPr>
            <w:r>
              <w:rPr>
                <w:sz w:val="14"/>
              </w:rPr>
              <w:t>Amine scrubber,</w:t>
            </w:r>
          </w:p>
          <w:p>
            <w:pPr>
              <w:pStyle w:val="TableParagraph"/>
              <w:spacing w:line="160" w:lineRule="exact" w:before="7"/>
              <w:ind w:left="119"/>
              <w:jc w:val="left"/>
              <w:rPr>
                <w:sz w:val="14"/>
              </w:rPr>
            </w:pPr>
            <w:r>
              <w:rPr>
                <w:sz w:val="14"/>
              </w:rPr>
              <w:t>SMR flue gas</w:t>
            </w:r>
          </w:p>
        </w:tc>
        <w:tc>
          <w:tcPr>
            <w:tcW w:w="847" w:type="dxa"/>
            <w:tcBorders>
              <w:top w:val="single" w:sz="4" w:space="0" w:color="000000"/>
            </w:tcBorders>
            <w:shd w:val="clear" w:color="auto" w:fill="F9FCF9"/>
          </w:tcPr>
          <w:p>
            <w:pPr>
              <w:pStyle w:val="TableParagraph"/>
              <w:spacing w:line="159" w:lineRule="exact"/>
              <w:ind w:left="259"/>
              <w:jc w:val="left"/>
              <w:rPr>
                <w:sz w:val="14"/>
              </w:rPr>
            </w:pPr>
            <w:r>
              <w:rPr>
                <w:sz w:val="14"/>
              </w:rPr>
              <w:t>MEA</w:t>
            </w:r>
          </w:p>
          <w:p>
            <w:pPr>
              <w:pStyle w:val="TableParagraph"/>
              <w:spacing w:line="160" w:lineRule="exact" w:before="7"/>
              <w:ind w:left="170"/>
              <w:jc w:val="left"/>
              <w:rPr>
                <w:sz w:val="14"/>
              </w:rPr>
            </w:pPr>
            <w:r>
              <w:rPr>
                <w:sz w:val="14"/>
              </w:rPr>
              <w:t>scrubber</w:t>
            </w:r>
          </w:p>
        </w:tc>
        <w:tc>
          <w:tcPr>
            <w:tcW w:w="650" w:type="dxa"/>
            <w:tcBorders>
              <w:top w:val="single" w:sz="4" w:space="0" w:color="000000"/>
            </w:tcBorders>
            <w:shd w:val="clear" w:color="auto" w:fill="F9FCF9"/>
          </w:tcPr>
          <w:p>
            <w:pPr>
              <w:pStyle w:val="TableParagraph"/>
              <w:spacing w:line="159" w:lineRule="exact"/>
              <w:ind w:left="89" w:right="53"/>
              <w:rPr>
                <w:sz w:val="14"/>
              </w:rPr>
            </w:pPr>
            <w:r>
              <w:rPr>
                <w:sz w:val="14"/>
              </w:rPr>
              <w:t>Not</w:t>
            </w:r>
          </w:p>
          <w:p>
            <w:pPr>
              <w:pStyle w:val="TableParagraph"/>
              <w:spacing w:line="160" w:lineRule="exact" w:before="7"/>
              <w:ind w:left="89" w:right="53"/>
              <w:rPr>
                <w:sz w:val="14"/>
              </w:rPr>
            </w:pPr>
            <w:r>
              <w:rPr>
                <w:sz w:val="14"/>
              </w:rPr>
              <w:t>reported</w:t>
            </w:r>
          </w:p>
        </w:tc>
        <w:tc>
          <w:tcPr>
            <w:tcW w:w="1080" w:type="dxa"/>
            <w:tcBorders>
              <w:top w:val="single" w:sz="4" w:space="0" w:color="000000"/>
            </w:tcBorders>
            <w:shd w:val="clear" w:color="auto" w:fill="F9FCF9"/>
          </w:tcPr>
          <w:p>
            <w:pPr>
              <w:pStyle w:val="TableParagraph"/>
              <w:spacing w:line="159" w:lineRule="exact"/>
              <w:ind w:left="113" w:right="107"/>
              <w:rPr>
                <w:sz w:val="14"/>
              </w:rPr>
            </w:pPr>
            <w:r>
              <w:rPr>
                <w:sz w:val="14"/>
              </w:rPr>
              <w:t>Selexol</w:t>
            </w:r>
          </w:p>
        </w:tc>
        <w:tc>
          <w:tcPr>
            <w:tcW w:w="1334" w:type="dxa"/>
            <w:tcBorders>
              <w:top w:val="single" w:sz="4" w:space="0" w:color="000000"/>
            </w:tcBorders>
            <w:shd w:val="clear" w:color="auto" w:fill="F9FCF9"/>
          </w:tcPr>
          <w:p>
            <w:pPr>
              <w:pStyle w:val="TableParagraph"/>
              <w:spacing w:line="159" w:lineRule="exact"/>
              <w:ind w:left="206" w:right="200"/>
              <w:rPr>
                <w:sz w:val="14"/>
              </w:rPr>
            </w:pPr>
            <w:r>
              <w:rPr>
                <w:sz w:val="14"/>
              </w:rPr>
              <w:t>Not reported</w:t>
            </w:r>
          </w:p>
        </w:tc>
        <w:tc>
          <w:tcPr>
            <w:tcW w:w="801" w:type="dxa"/>
            <w:tcBorders>
              <w:top w:val="single" w:sz="4" w:space="0" w:color="000000"/>
            </w:tcBorders>
            <w:shd w:val="clear" w:color="auto" w:fill="F9FCF9"/>
          </w:tcPr>
          <w:p>
            <w:pPr>
              <w:pStyle w:val="TableParagraph"/>
              <w:spacing w:line="159" w:lineRule="exact"/>
              <w:ind w:left="6"/>
              <w:rPr>
                <w:sz w:val="14"/>
              </w:rPr>
            </w:pPr>
            <w:r>
              <w:rPr>
                <w:sz w:val="14"/>
              </w:rPr>
              <w:t>Selexol</w:t>
            </w:r>
          </w:p>
        </w:tc>
        <w:tc>
          <w:tcPr>
            <w:tcW w:w="855" w:type="dxa"/>
            <w:tcBorders>
              <w:top w:val="single" w:sz="4" w:space="0" w:color="000000"/>
            </w:tcBorders>
            <w:shd w:val="clear" w:color="auto" w:fill="F9FCF9"/>
          </w:tcPr>
          <w:p>
            <w:pPr>
              <w:pStyle w:val="TableParagraph"/>
              <w:spacing w:line="181" w:lineRule="exact"/>
              <w:rPr>
                <w:sz w:val="14"/>
              </w:rPr>
            </w:pPr>
            <w:r>
              <w:rPr>
                <w:sz w:val="14"/>
              </w:rPr>
              <w:t>CO</w:t>
            </w:r>
            <w:r>
              <w:rPr>
                <w:position w:val="-4"/>
                <w:sz w:val="8"/>
              </w:rPr>
              <w:t>2 </w:t>
            </w:r>
            <w:r>
              <w:rPr>
                <w:sz w:val="14"/>
              </w:rPr>
              <w:t>H</w:t>
            </w:r>
            <w:r>
              <w:rPr>
                <w:position w:val="-4"/>
                <w:sz w:val="8"/>
              </w:rPr>
              <w:t>2</w:t>
            </w:r>
            <w:r>
              <w:rPr>
                <w:sz w:val="14"/>
              </w:rPr>
              <w:t>S co-</w:t>
            </w:r>
          </w:p>
          <w:p>
            <w:pPr>
              <w:pStyle w:val="TableParagraph"/>
              <w:spacing w:line="145" w:lineRule="exact"/>
              <w:rPr>
                <w:sz w:val="14"/>
              </w:rPr>
            </w:pPr>
            <w:r>
              <w:rPr>
                <w:sz w:val="14"/>
              </w:rPr>
              <w:t>capture,</w:t>
            </w:r>
          </w:p>
        </w:tc>
        <w:tc>
          <w:tcPr>
            <w:tcW w:w="490" w:type="dxa"/>
            <w:tcBorders>
              <w:top w:val="single" w:sz="4" w:space="0" w:color="000000"/>
            </w:tcBorders>
            <w:shd w:val="clear" w:color="auto" w:fill="F9FCF9"/>
          </w:tcPr>
          <w:p>
            <w:pPr>
              <w:pStyle w:val="TableParagraph"/>
              <w:jc w:val="left"/>
              <w:rPr>
                <w:sz w:val="14"/>
              </w:rPr>
            </w:pPr>
          </w:p>
        </w:tc>
        <w:tc>
          <w:tcPr>
            <w:tcW w:w="613" w:type="dxa"/>
            <w:tcBorders>
              <w:top w:val="single" w:sz="4" w:space="0" w:color="000000"/>
            </w:tcBorders>
            <w:shd w:val="clear" w:color="auto" w:fill="F9FCF9"/>
          </w:tcPr>
          <w:p>
            <w:pPr>
              <w:pStyle w:val="TableParagraph"/>
              <w:jc w:val="left"/>
              <w:rPr>
                <w:sz w:val="14"/>
              </w:rPr>
            </w:pPr>
          </w:p>
        </w:tc>
      </w:tr>
      <w:tr>
        <w:trPr>
          <w:trHeight w:val="148" w:hRule="atLeast"/>
        </w:trPr>
        <w:tc>
          <w:tcPr>
            <w:tcW w:w="2700" w:type="dxa"/>
            <w:tcBorders>
              <w:bottom w:val="single" w:sz="4" w:space="0" w:color="000000"/>
            </w:tcBorders>
            <w:shd w:val="clear" w:color="auto" w:fill="F9FCF9"/>
          </w:tcPr>
          <w:p>
            <w:pPr>
              <w:pStyle w:val="TableParagraph"/>
              <w:jc w:val="left"/>
              <w:rPr>
                <w:sz w:val="8"/>
              </w:rPr>
            </w:pPr>
          </w:p>
        </w:tc>
        <w:tc>
          <w:tcPr>
            <w:tcW w:w="993" w:type="dxa"/>
            <w:tcBorders>
              <w:bottom w:val="single" w:sz="4" w:space="0" w:color="000000"/>
            </w:tcBorders>
            <w:shd w:val="clear" w:color="auto" w:fill="F9FCF9"/>
          </w:tcPr>
          <w:p>
            <w:pPr>
              <w:pStyle w:val="TableParagraph"/>
              <w:jc w:val="left"/>
              <w:rPr>
                <w:sz w:val="8"/>
              </w:rPr>
            </w:pPr>
          </w:p>
        </w:tc>
        <w:tc>
          <w:tcPr>
            <w:tcW w:w="847" w:type="dxa"/>
            <w:tcBorders>
              <w:bottom w:val="single" w:sz="4" w:space="0" w:color="000000"/>
            </w:tcBorders>
            <w:shd w:val="clear" w:color="auto" w:fill="F9FCF9"/>
          </w:tcPr>
          <w:p>
            <w:pPr>
              <w:pStyle w:val="TableParagraph"/>
              <w:jc w:val="left"/>
              <w:rPr>
                <w:sz w:val="8"/>
              </w:rPr>
            </w:pPr>
          </w:p>
        </w:tc>
        <w:tc>
          <w:tcPr>
            <w:tcW w:w="650" w:type="dxa"/>
            <w:tcBorders>
              <w:bottom w:val="single" w:sz="4" w:space="0" w:color="000000"/>
            </w:tcBorders>
            <w:shd w:val="clear" w:color="auto" w:fill="F9FCF9"/>
          </w:tcPr>
          <w:p>
            <w:pPr>
              <w:pStyle w:val="TableParagraph"/>
              <w:jc w:val="left"/>
              <w:rPr>
                <w:sz w:val="8"/>
              </w:rPr>
            </w:pPr>
          </w:p>
        </w:tc>
        <w:tc>
          <w:tcPr>
            <w:tcW w:w="1080" w:type="dxa"/>
            <w:tcBorders>
              <w:bottom w:val="single" w:sz="4" w:space="0" w:color="000000"/>
            </w:tcBorders>
            <w:shd w:val="clear" w:color="auto" w:fill="F9FCF9"/>
          </w:tcPr>
          <w:p>
            <w:pPr>
              <w:pStyle w:val="TableParagraph"/>
              <w:jc w:val="left"/>
              <w:rPr>
                <w:sz w:val="8"/>
              </w:rPr>
            </w:pPr>
          </w:p>
        </w:tc>
        <w:tc>
          <w:tcPr>
            <w:tcW w:w="1334" w:type="dxa"/>
            <w:tcBorders>
              <w:bottom w:val="single" w:sz="4" w:space="0" w:color="000000"/>
            </w:tcBorders>
            <w:shd w:val="clear" w:color="auto" w:fill="F9FCF9"/>
          </w:tcPr>
          <w:p>
            <w:pPr>
              <w:pStyle w:val="TableParagraph"/>
              <w:jc w:val="left"/>
              <w:rPr>
                <w:sz w:val="8"/>
              </w:rPr>
            </w:pPr>
          </w:p>
        </w:tc>
        <w:tc>
          <w:tcPr>
            <w:tcW w:w="801" w:type="dxa"/>
            <w:tcBorders>
              <w:bottom w:val="single" w:sz="4" w:space="0" w:color="000000"/>
            </w:tcBorders>
            <w:shd w:val="clear" w:color="auto" w:fill="F9FCF9"/>
          </w:tcPr>
          <w:p>
            <w:pPr>
              <w:pStyle w:val="TableParagraph"/>
              <w:jc w:val="left"/>
              <w:rPr>
                <w:sz w:val="8"/>
              </w:rPr>
            </w:pPr>
          </w:p>
        </w:tc>
        <w:tc>
          <w:tcPr>
            <w:tcW w:w="855" w:type="dxa"/>
            <w:tcBorders>
              <w:bottom w:val="single" w:sz="4" w:space="0" w:color="000000"/>
            </w:tcBorders>
            <w:shd w:val="clear" w:color="auto" w:fill="F9FCF9"/>
          </w:tcPr>
          <w:p>
            <w:pPr>
              <w:pStyle w:val="TableParagraph"/>
              <w:spacing w:line="122" w:lineRule="exact"/>
              <w:rPr>
                <w:sz w:val="14"/>
              </w:rPr>
            </w:pPr>
            <w:r>
              <w:rPr>
                <w:sz w:val="14"/>
              </w:rPr>
              <w:t>Selexol</w:t>
            </w:r>
          </w:p>
        </w:tc>
        <w:tc>
          <w:tcPr>
            <w:tcW w:w="490" w:type="dxa"/>
            <w:tcBorders>
              <w:bottom w:val="single" w:sz="4" w:space="0" w:color="000000"/>
            </w:tcBorders>
            <w:shd w:val="clear" w:color="auto" w:fill="F9FCF9"/>
          </w:tcPr>
          <w:p>
            <w:pPr>
              <w:pStyle w:val="TableParagraph"/>
              <w:jc w:val="left"/>
              <w:rPr>
                <w:sz w:val="8"/>
              </w:rPr>
            </w:pPr>
          </w:p>
        </w:tc>
        <w:tc>
          <w:tcPr>
            <w:tcW w:w="613" w:type="dxa"/>
            <w:tcBorders>
              <w:bottom w:val="single" w:sz="4" w:space="0" w:color="000000"/>
            </w:tcBorders>
            <w:shd w:val="clear" w:color="auto" w:fill="F9FCF9"/>
          </w:tcPr>
          <w:p>
            <w:pPr>
              <w:pStyle w:val="TableParagraph"/>
              <w:jc w:val="left"/>
              <w:rPr>
                <w:sz w:val="8"/>
              </w:rPr>
            </w:pPr>
          </w:p>
        </w:tc>
      </w:tr>
      <w:tr>
        <w:trPr>
          <w:trHeight w:val="169" w:hRule="atLeast"/>
        </w:trPr>
        <w:tc>
          <w:tcPr>
            <w:tcW w:w="2700" w:type="dxa"/>
            <w:tcBorders>
              <w:top w:val="single" w:sz="4" w:space="0" w:color="000000"/>
            </w:tcBorders>
            <w:shd w:val="clear" w:color="auto" w:fill="F9FCF9"/>
          </w:tcPr>
          <w:p>
            <w:pPr>
              <w:pStyle w:val="TableParagraph"/>
              <w:spacing w:line="156" w:lineRule="exact"/>
              <w:ind w:left="28"/>
              <w:jc w:val="left"/>
              <w:rPr>
                <w:sz w:val="14"/>
              </w:rPr>
            </w:pPr>
            <w:r>
              <w:rPr>
                <w:sz w:val="14"/>
              </w:rPr>
              <w:t>Capture plant input capacity, LHV</w:t>
            </w:r>
          </w:p>
        </w:tc>
        <w:tc>
          <w:tcPr>
            <w:tcW w:w="993" w:type="dxa"/>
            <w:tcBorders>
              <w:top w:val="single" w:sz="4" w:space="0" w:color="000000"/>
            </w:tcBorders>
            <w:shd w:val="clear" w:color="auto" w:fill="F9FCF9"/>
          </w:tcPr>
          <w:p>
            <w:pPr>
              <w:pStyle w:val="TableParagraph"/>
              <w:spacing w:line="156" w:lineRule="exact"/>
              <w:ind w:left="7"/>
              <w:rPr>
                <w:sz w:val="14"/>
              </w:rPr>
            </w:pPr>
            <w:r>
              <w:rPr>
                <w:sz w:val="14"/>
              </w:rPr>
              <w:t>11495</w:t>
            </w:r>
          </w:p>
        </w:tc>
        <w:tc>
          <w:tcPr>
            <w:tcW w:w="847" w:type="dxa"/>
            <w:tcBorders>
              <w:top w:val="single" w:sz="4" w:space="0" w:color="000000"/>
            </w:tcBorders>
            <w:shd w:val="clear" w:color="auto" w:fill="F9FCF9"/>
          </w:tcPr>
          <w:p>
            <w:pPr>
              <w:pStyle w:val="TableParagraph"/>
              <w:spacing w:line="156" w:lineRule="exact"/>
              <w:ind w:left="71" w:right="92"/>
              <w:rPr>
                <w:sz w:val="14"/>
              </w:rPr>
            </w:pPr>
            <w:r>
              <w:rPr>
                <w:sz w:val="14"/>
              </w:rPr>
              <w:t>8339</w:t>
            </w:r>
          </w:p>
        </w:tc>
        <w:tc>
          <w:tcPr>
            <w:tcW w:w="650" w:type="dxa"/>
            <w:tcBorders>
              <w:top w:val="single" w:sz="4" w:space="0" w:color="000000"/>
            </w:tcBorders>
            <w:shd w:val="clear" w:color="auto" w:fill="F9FCF9"/>
          </w:tcPr>
          <w:p>
            <w:pPr>
              <w:pStyle w:val="TableParagraph"/>
              <w:spacing w:line="156" w:lineRule="exact"/>
              <w:ind w:left="89" w:right="53"/>
              <w:rPr>
                <w:sz w:val="14"/>
              </w:rPr>
            </w:pPr>
            <w:r>
              <w:rPr>
                <w:sz w:val="14"/>
              </w:rPr>
              <w:t>8861</w:t>
            </w:r>
          </w:p>
        </w:tc>
        <w:tc>
          <w:tcPr>
            <w:tcW w:w="1080" w:type="dxa"/>
            <w:tcBorders>
              <w:top w:val="single" w:sz="4" w:space="0" w:color="000000"/>
            </w:tcBorders>
            <w:shd w:val="clear" w:color="auto" w:fill="F9FCF9"/>
          </w:tcPr>
          <w:p>
            <w:pPr>
              <w:pStyle w:val="TableParagraph"/>
              <w:spacing w:line="156" w:lineRule="exact"/>
              <w:ind w:left="113" w:right="107"/>
              <w:rPr>
                <w:sz w:val="14"/>
              </w:rPr>
            </w:pPr>
            <w:r>
              <w:rPr>
                <w:sz w:val="14"/>
              </w:rPr>
              <w:t>2627</w:t>
            </w:r>
          </w:p>
        </w:tc>
        <w:tc>
          <w:tcPr>
            <w:tcW w:w="1334" w:type="dxa"/>
            <w:tcBorders>
              <w:top w:val="single" w:sz="4" w:space="0" w:color="000000"/>
            </w:tcBorders>
            <w:shd w:val="clear" w:color="auto" w:fill="F9FCF9"/>
          </w:tcPr>
          <w:p>
            <w:pPr>
              <w:pStyle w:val="TableParagraph"/>
              <w:spacing w:line="156" w:lineRule="exact"/>
              <w:ind w:left="206" w:right="200"/>
              <w:rPr>
                <w:sz w:val="14"/>
              </w:rPr>
            </w:pPr>
            <w:r>
              <w:rPr>
                <w:sz w:val="14"/>
              </w:rPr>
              <w:t>2954</w:t>
            </w:r>
          </w:p>
        </w:tc>
        <w:tc>
          <w:tcPr>
            <w:tcW w:w="801" w:type="dxa"/>
            <w:tcBorders>
              <w:top w:val="single" w:sz="4" w:space="0" w:color="000000"/>
            </w:tcBorders>
            <w:shd w:val="clear" w:color="auto" w:fill="F9FCF9"/>
          </w:tcPr>
          <w:p>
            <w:pPr>
              <w:pStyle w:val="TableParagraph"/>
              <w:spacing w:line="156" w:lineRule="exact"/>
              <w:ind w:left="6"/>
              <w:rPr>
                <w:sz w:val="14"/>
              </w:rPr>
            </w:pPr>
            <w:r>
              <w:rPr>
                <w:sz w:val="14"/>
              </w:rPr>
              <w:t>6706</w:t>
            </w:r>
          </w:p>
        </w:tc>
        <w:tc>
          <w:tcPr>
            <w:tcW w:w="855" w:type="dxa"/>
            <w:tcBorders>
              <w:top w:val="single" w:sz="4" w:space="0" w:color="000000"/>
            </w:tcBorders>
            <w:shd w:val="clear" w:color="auto" w:fill="F9FCF9"/>
          </w:tcPr>
          <w:p>
            <w:pPr>
              <w:pStyle w:val="TableParagraph"/>
              <w:spacing w:line="156" w:lineRule="exact"/>
              <w:ind w:left="6"/>
              <w:rPr>
                <w:sz w:val="14"/>
              </w:rPr>
            </w:pPr>
            <w:r>
              <w:rPr>
                <w:sz w:val="14"/>
              </w:rPr>
              <w:t>6706</w:t>
            </w:r>
          </w:p>
        </w:tc>
        <w:tc>
          <w:tcPr>
            <w:tcW w:w="490" w:type="dxa"/>
            <w:tcBorders>
              <w:top w:val="single" w:sz="4" w:space="0" w:color="000000"/>
            </w:tcBorders>
            <w:shd w:val="clear" w:color="auto" w:fill="F9FCF9"/>
          </w:tcPr>
          <w:p>
            <w:pPr>
              <w:pStyle w:val="TableParagraph"/>
              <w:spacing w:line="156" w:lineRule="exact"/>
              <w:ind w:left="87" w:right="82"/>
              <w:rPr>
                <w:b/>
                <w:sz w:val="14"/>
              </w:rPr>
            </w:pPr>
            <w:r>
              <w:rPr>
                <w:b/>
                <w:sz w:val="14"/>
              </w:rPr>
              <w:t>2627</w:t>
            </w:r>
          </w:p>
        </w:tc>
        <w:tc>
          <w:tcPr>
            <w:tcW w:w="613" w:type="dxa"/>
            <w:tcBorders>
              <w:top w:val="single" w:sz="4" w:space="0" w:color="000000"/>
            </w:tcBorders>
            <w:shd w:val="clear" w:color="auto" w:fill="F9FCF9"/>
          </w:tcPr>
          <w:p>
            <w:pPr>
              <w:pStyle w:val="TableParagraph"/>
              <w:spacing w:line="156" w:lineRule="exact"/>
              <w:ind w:left="114" w:right="109"/>
              <w:rPr>
                <w:b/>
                <w:sz w:val="14"/>
              </w:rPr>
            </w:pPr>
            <w:r>
              <w:rPr>
                <w:b/>
                <w:sz w:val="14"/>
              </w:rPr>
              <w:t>11495</w:t>
            </w:r>
          </w:p>
        </w:tc>
      </w:tr>
      <w:tr>
        <w:trPr>
          <w:trHeight w:val="150" w:hRule="atLeast"/>
        </w:trPr>
        <w:tc>
          <w:tcPr>
            <w:tcW w:w="2700" w:type="dxa"/>
            <w:tcBorders>
              <w:bottom w:val="single" w:sz="4" w:space="0" w:color="000000"/>
            </w:tcBorders>
            <w:shd w:val="clear" w:color="auto" w:fill="F9FCF9"/>
          </w:tcPr>
          <w:p>
            <w:pPr>
              <w:pStyle w:val="TableParagraph"/>
              <w:spacing w:line="123" w:lineRule="exact"/>
              <w:ind w:left="28"/>
              <w:jc w:val="left"/>
              <w:rPr>
                <w:sz w:val="14"/>
              </w:rPr>
            </w:pPr>
            <w:r>
              <w:rPr>
                <w:sz w:val="14"/>
              </w:rPr>
              <w:t>(GJ h</w:t>
            </w:r>
            <w:r>
              <w:rPr>
                <w:position w:val="5"/>
                <w:sz w:val="8"/>
              </w:rPr>
              <w:t>−1</w:t>
            </w:r>
            <w:r>
              <w:rPr>
                <w:sz w:val="14"/>
              </w:rPr>
              <w:t>)</w:t>
            </w:r>
          </w:p>
        </w:tc>
        <w:tc>
          <w:tcPr>
            <w:tcW w:w="993" w:type="dxa"/>
            <w:tcBorders>
              <w:bottom w:val="single" w:sz="4" w:space="0" w:color="000000"/>
            </w:tcBorders>
            <w:shd w:val="clear" w:color="auto" w:fill="F9FCF9"/>
          </w:tcPr>
          <w:p>
            <w:pPr>
              <w:pStyle w:val="TableParagraph"/>
              <w:jc w:val="left"/>
              <w:rPr>
                <w:sz w:val="8"/>
              </w:rPr>
            </w:pPr>
          </w:p>
        </w:tc>
        <w:tc>
          <w:tcPr>
            <w:tcW w:w="847" w:type="dxa"/>
            <w:tcBorders>
              <w:bottom w:val="single" w:sz="4" w:space="0" w:color="000000"/>
            </w:tcBorders>
            <w:shd w:val="clear" w:color="auto" w:fill="F9FCF9"/>
          </w:tcPr>
          <w:p>
            <w:pPr>
              <w:pStyle w:val="TableParagraph"/>
              <w:jc w:val="left"/>
              <w:rPr>
                <w:sz w:val="8"/>
              </w:rPr>
            </w:pPr>
          </w:p>
        </w:tc>
        <w:tc>
          <w:tcPr>
            <w:tcW w:w="650" w:type="dxa"/>
            <w:tcBorders>
              <w:bottom w:val="single" w:sz="4" w:space="0" w:color="000000"/>
            </w:tcBorders>
            <w:shd w:val="clear" w:color="auto" w:fill="F9FCF9"/>
          </w:tcPr>
          <w:p>
            <w:pPr>
              <w:pStyle w:val="TableParagraph"/>
              <w:jc w:val="left"/>
              <w:rPr>
                <w:sz w:val="8"/>
              </w:rPr>
            </w:pPr>
          </w:p>
        </w:tc>
        <w:tc>
          <w:tcPr>
            <w:tcW w:w="1080" w:type="dxa"/>
            <w:tcBorders>
              <w:bottom w:val="single" w:sz="4" w:space="0" w:color="000000"/>
            </w:tcBorders>
            <w:shd w:val="clear" w:color="auto" w:fill="F9FCF9"/>
          </w:tcPr>
          <w:p>
            <w:pPr>
              <w:pStyle w:val="TableParagraph"/>
              <w:jc w:val="left"/>
              <w:rPr>
                <w:sz w:val="8"/>
              </w:rPr>
            </w:pPr>
          </w:p>
        </w:tc>
        <w:tc>
          <w:tcPr>
            <w:tcW w:w="1334" w:type="dxa"/>
            <w:tcBorders>
              <w:bottom w:val="single" w:sz="4" w:space="0" w:color="000000"/>
            </w:tcBorders>
            <w:shd w:val="clear" w:color="auto" w:fill="F9FCF9"/>
          </w:tcPr>
          <w:p>
            <w:pPr>
              <w:pStyle w:val="TableParagraph"/>
              <w:jc w:val="left"/>
              <w:rPr>
                <w:sz w:val="8"/>
              </w:rPr>
            </w:pPr>
          </w:p>
        </w:tc>
        <w:tc>
          <w:tcPr>
            <w:tcW w:w="801" w:type="dxa"/>
            <w:tcBorders>
              <w:bottom w:val="single" w:sz="4" w:space="0" w:color="000000"/>
            </w:tcBorders>
            <w:shd w:val="clear" w:color="auto" w:fill="F9FCF9"/>
          </w:tcPr>
          <w:p>
            <w:pPr>
              <w:pStyle w:val="TableParagraph"/>
              <w:jc w:val="left"/>
              <w:rPr>
                <w:sz w:val="8"/>
              </w:rPr>
            </w:pPr>
          </w:p>
        </w:tc>
        <w:tc>
          <w:tcPr>
            <w:tcW w:w="855" w:type="dxa"/>
            <w:tcBorders>
              <w:bottom w:val="single" w:sz="4" w:space="0" w:color="000000"/>
            </w:tcBorders>
            <w:shd w:val="clear" w:color="auto" w:fill="F9FCF9"/>
          </w:tcPr>
          <w:p>
            <w:pPr>
              <w:pStyle w:val="TableParagraph"/>
              <w:jc w:val="left"/>
              <w:rPr>
                <w:sz w:val="8"/>
              </w:rPr>
            </w:pPr>
          </w:p>
        </w:tc>
        <w:tc>
          <w:tcPr>
            <w:tcW w:w="490" w:type="dxa"/>
            <w:tcBorders>
              <w:bottom w:val="single" w:sz="4" w:space="0" w:color="000000"/>
            </w:tcBorders>
            <w:shd w:val="clear" w:color="auto" w:fill="F9FCF9"/>
          </w:tcPr>
          <w:p>
            <w:pPr>
              <w:pStyle w:val="TableParagraph"/>
              <w:jc w:val="left"/>
              <w:rPr>
                <w:sz w:val="8"/>
              </w:rPr>
            </w:pPr>
          </w:p>
        </w:tc>
        <w:tc>
          <w:tcPr>
            <w:tcW w:w="613" w:type="dxa"/>
            <w:tcBorders>
              <w:bottom w:val="single" w:sz="4" w:space="0" w:color="000000"/>
            </w:tcBorders>
            <w:shd w:val="clear" w:color="auto" w:fill="F9FCF9"/>
          </w:tcPr>
          <w:p>
            <w:pPr>
              <w:pStyle w:val="TableParagraph"/>
              <w:jc w:val="left"/>
              <w:rPr>
                <w:sz w:val="8"/>
              </w:rPr>
            </w:pPr>
          </w:p>
        </w:tc>
      </w:tr>
      <w:tr>
        <w:trPr>
          <w:trHeight w:val="169" w:hRule="atLeast"/>
        </w:trPr>
        <w:tc>
          <w:tcPr>
            <w:tcW w:w="2700" w:type="dxa"/>
            <w:tcBorders>
              <w:top w:val="single" w:sz="4" w:space="0" w:color="000000"/>
            </w:tcBorders>
            <w:shd w:val="clear" w:color="auto" w:fill="F9FCF9"/>
          </w:tcPr>
          <w:p>
            <w:pPr>
              <w:pStyle w:val="TableParagraph"/>
              <w:spacing w:line="156" w:lineRule="exact"/>
              <w:ind w:left="28"/>
              <w:jc w:val="left"/>
              <w:rPr>
                <w:sz w:val="14"/>
              </w:rPr>
            </w:pPr>
            <w:r>
              <w:rPr>
                <w:sz w:val="14"/>
              </w:rPr>
              <w:t>Capture plant output capacity, LHV: Fuels</w:t>
            </w:r>
          </w:p>
        </w:tc>
        <w:tc>
          <w:tcPr>
            <w:tcW w:w="993" w:type="dxa"/>
            <w:tcBorders>
              <w:top w:val="single" w:sz="4" w:space="0" w:color="000000"/>
            </w:tcBorders>
            <w:shd w:val="clear" w:color="auto" w:fill="F9FCF9"/>
          </w:tcPr>
          <w:p>
            <w:pPr>
              <w:pStyle w:val="TableParagraph"/>
              <w:spacing w:line="156" w:lineRule="exact"/>
              <w:ind w:left="7"/>
              <w:rPr>
                <w:sz w:val="14"/>
              </w:rPr>
            </w:pPr>
            <w:r>
              <w:rPr>
                <w:sz w:val="14"/>
              </w:rPr>
              <w:t>7504</w:t>
            </w:r>
          </w:p>
        </w:tc>
        <w:tc>
          <w:tcPr>
            <w:tcW w:w="847" w:type="dxa"/>
            <w:tcBorders>
              <w:top w:val="single" w:sz="4" w:space="0" w:color="000000"/>
            </w:tcBorders>
            <w:shd w:val="clear" w:color="auto" w:fill="F9FCF9"/>
          </w:tcPr>
          <w:p>
            <w:pPr>
              <w:pStyle w:val="TableParagraph"/>
              <w:spacing w:line="156" w:lineRule="exact"/>
              <w:ind w:left="71" w:right="92"/>
              <w:rPr>
                <w:sz w:val="14"/>
              </w:rPr>
            </w:pPr>
            <w:r>
              <w:rPr>
                <w:sz w:val="14"/>
              </w:rPr>
              <w:t>6004</w:t>
            </w:r>
          </w:p>
        </w:tc>
        <w:tc>
          <w:tcPr>
            <w:tcW w:w="650" w:type="dxa"/>
            <w:tcBorders>
              <w:top w:val="single" w:sz="4" w:space="0" w:color="000000"/>
            </w:tcBorders>
            <w:shd w:val="clear" w:color="auto" w:fill="F9FCF9"/>
          </w:tcPr>
          <w:p>
            <w:pPr>
              <w:pStyle w:val="TableParagraph"/>
              <w:spacing w:line="156" w:lineRule="exact"/>
              <w:ind w:left="89" w:right="53"/>
              <w:rPr>
                <w:sz w:val="14"/>
              </w:rPr>
            </w:pPr>
            <w:r>
              <w:rPr>
                <w:sz w:val="14"/>
              </w:rPr>
              <w:t>6004</w:t>
            </w:r>
          </w:p>
        </w:tc>
        <w:tc>
          <w:tcPr>
            <w:tcW w:w="1080" w:type="dxa"/>
            <w:tcBorders>
              <w:top w:val="single" w:sz="4" w:space="0" w:color="000000"/>
            </w:tcBorders>
            <w:shd w:val="clear" w:color="auto" w:fill="F9FCF9"/>
          </w:tcPr>
          <w:p>
            <w:pPr>
              <w:pStyle w:val="TableParagraph"/>
              <w:spacing w:line="156" w:lineRule="exact"/>
              <w:ind w:left="113" w:right="107"/>
              <w:rPr>
                <w:sz w:val="14"/>
              </w:rPr>
            </w:pPr>
            <w:r>
              <w:rPr>
                <w:sz w:val="14"/>
              </w:rPr>
              <w:t>1443</w:t>
            </w:r>
          </w:p>
        </w:tc>
        <w:tc>
          <w:tcPr>
            <w:tcW w:w="1334" w:type="dxa"/>
            <w:tcBorders>
              <w:top w:val="single" w:sz="4" w:space="0" w:color="000000"/>
            </w:tcBorders>
            <w:shd w:val="clear" w:color="auto" w:fill="F9FCF9"/>
          </w:tcPr>
          <w:p>
            <w:pPr>
              <w:pStyle w:val="TableParagraph"/>
              <w:spacing w:line="156" w:lineRule="exact"/>
              <w:ind w:left="206" w:right="200"/>
              <w:rPr>
                <w:sz w:val="14"/>
              </w:rPr>
            </w:pPr>
            <w:r>
              <w:rPr>
                <w:sz w:val="14"/>
              </w:rPr>
              <w:t>1434</w:t>
            </w:r>
          </w:p>
        </w:tc>
        <w:tc>
          <w:tcPr>
            <w:tcW w:w="801" w:type="dxa"/>
            <w:tcBorders>
              <w:top w:val="single" w:sz="4" w:space="0" w:color="000000"/>
            </w:tcBorders>
            <w:shd w:val="clear" w:color="auto" w:fill="F9FCF9"/>
          </w:tcPr>
          <w:p>
            <w:pPr>
              <w:pStyle w:val="TableParagraph"/>
              <w:spacing w:line="156" w:lineRule="exact"/>
              <w:ind w:left="6"/>
              <w:rPr>
                <w:sz w:val="14"/>
              </w:rPr>
            </w:pPr>
            <w:r>
              <w:rPr>
                <w:sz w:val="14"/>
              </w:rPr>
              <w:t>3853</w:t>
            </w:r>
          </w:p>
        </w:tc>
        <w:tc>
          <w:tcPr>
            <w:tcW w:w="855" w:type="dxa"/>
            <w:tcBorders>
              <w:top w:val="single" w:sz="4" w:space="0" w:color="000000"/>
            </w:tcBorders>
            <w:shd w:val="clear" w:color="auto" w:fill="F9FCF9"/>
          </w:tcPr>
          <w:p>
            <w:pPr>
              <w:pStyle w:val="TableParagraph"/>
              <w:spacing w:line="156" w:lineRule="exact"/>
              <w:ind w:left="6"/>
              <w:rPr>
                <w:sz w:val="14"/>
              </w:rPr>
            </w:pPr>
            <w:r>
              <w:rPr>
                <w:sz w:val="14"/>
              </w:rPr>
              <w:t>3853</w:t>
            </w:r>
          </w:p>
        </w:tc>
        <w:tc>
          <w:tcPr>
            <w:tcW w:w="490" w:type="dxa"/>
            <w:tcBorders>
              <w:top w:val="single" w:sz="4" w:space="0" w:color="000000"/>
            </w:tcBorders>
            <w:shd w:val="clear" w:color="auto" w:fill="F9FCF9"/>
          </w:tcPr>
          <w:p>
            <w:pPr>
              <w:pStyle w:val="TableParagraph"/>
              <w:spacing w:line="156" w:lineRule="exact"/>
              <w:ind w:left="87" w:right="82"/>
              <w:rPr>
                <w:b/>
                <w:sz w:val="14"/>
              </w:rPr>
            </w:pPr>
            <w:r>
              <w:rPr>
                <w:b/>
                <w:sz w:val="14"/>
              </w:rPr>
              <w:t>1434</w:t>
            </w:r>
          </w:p>
        </w:tc>
        <w:tc>
          <w:tcPr>
            <w:tcW w:w="613" w:type="dxa"/>
            <w:tcBorders>
              <w:top w:val="single" w:sz="4" w:space="0" w:color="000000"/>
            </w:tcBorders>
            <w:shd w:val="clear" w:color="auto" w:fill="F9FCF9"/>
          </w:tcPr>
          <w:p>
            <w:pPr>
              <w:pStyle w:val="TableParagraph"/>
              <w:spacing w:line="156" w:lineRule="exact"/>
              <w:ind w:left="114" w:right="109"/>
              <w:rPr>
                <w:b/>
                <w:sz w:val="14"/>
              </w:rPr>
            </w:pPr>
            <w:r>
              <w:rPr>
                <w:b/>
                <w:sz w:val="14"/>
              </w:rPr>
              <w:t>7504</w:t>
            </w:r>
          </w:p>
        </w:tc>
      </w:tr>
      <w:tr>
        <w:trPr>
          <w:trHeight w:val="150" w:hRule="atLeast"/>
        </w:trPr>
        <w:tc>
          <w:tcPr>
            <w:tcW w:w="2700" w:type="dxa"/>
            <w:tcBorders>
              <w:bottom w:val="single" w:sz="4" w:space="0" w:color="000000"/>
            </w:tcBorders>
            <w:shd w:val="clear" w:color="auto" w:fill="F9FCF9"/>
          </w:tcPr>
          <w:p>
            <w:pPr>
              <w:pStyle w:val="TableParagraph"/>
              <w:spacing w:line="123" w:lineRule="exact"/>
              <w:ind w:left="28"/>
              <w:jc w:val="left"/>
              <w:rPr>
                <w:sz w:val="14"/>
              </w:rPr>
            </w:pPr>
            <w:r>
              <w:rPr>
                <w:sz w:val="14"/>
              </w:rPr>
              <w:t>(GJ h</w:t>
            </w:r>
            <w:r>
              <w:rPr>
                <w:position w:val="5"/>
                <w:sz w:val="8"/>
              </w:rPr>
              <w:t>−1</w:t>
            </w:r>
            <w:r>
              <w:rPr>
                <w:sz w:val="14"/>
              </w:rPr>
              <w:t>)</w:t>
            </w:r>
          </w:p>
        </w:tc>
        <w:tc>
          <w:tcPr>
            <w:tcW w:w="993" w:type="dxa"/>
            <w:tcBorders>
              <w:bottom w:val="single" w:sz="4" w:space="0" w:color="000000"/>
            </w:tcBorders>
            <w:shd w:val="clear" w:color="auto" w:fill="F9FCF9"/>
          </w:tcPr>
          <w:p>
            <w:pPr>
              <w:pStyle w:val="TableParagraph"/>
              <w:jc w:val="left"/>
              <w:rPr>
                <w:sz w:val="8"/>
              </w:rPr>
            </w:pPr>
          </w:p>
        </w:tc>
        <w:tc>
          <w:tcPr>
            <w:tcW w:w="847" w:type="dxa"/>
            <w:tcBorders>
              <w:bottom w:val="single" w:sz="4" w:space="0" w:color="000000"/>
            </w:tcBorders>
            <w:shd w:val="clear" w:color="auto" w:fill="F9FCF9"/>
          </w:tcPr>
          <w:p>
            <w:pPr>
              <w:pStyle w:val="TableParagraph"/>
              <w:jc w:val="left"/>
              <w:rPr>
                <w:sz w:val="8"/>
              </w:rPr>
            </w:pPr>
          </w:p>
        </w:tc>
        <w:tc>
          <w:tcPr>
            <w:tcW w:w="650" w:type="dxa"/>
            <w:tcBorders>
              <w:bottom w:val="single" w:sz="4" w:space="0" w:color="000000"/>
            </w:tcBorders>
            <w:shd w:val="clear" w:color="auto" w:fill="F9FCF9"/>
          </w:tcPr>
          <w:p>
            <w:pPr>
              <w:pStyle w:val="TableParagraph"/>
              <w:jc w:val="left"/>
              <w:rPr>
                <w:sz w:val="8"/>
              </w:rPr>
            </w:pPr>
          </w:p>
        </w:tc>
        <w:tc>
          <w:tcPr>
            <w:tcW w:w="1080" w:type="dxa"/>
            <w:tcBorders>
              <w:bottom w:val="single" w:sz="4" w:space="0" w:color="000000"/>
            </w:tcBorders>
            <w:shd w:val="clear" w:color="auto" w:fill="F9FCF9"/>
          </w:tcPr>
          <w:p>
            <w:pPr>
              <w:pStyle w:val="TableParagraph"/>
              <w:jc w:val="left"/>
              <w:rPr>
                <w:sz w:val="8"/>
              </w:rPr>
            </w:pPr>
          </w:p>
        </w:tc>
        <w:tc>
          <w:tcPr>
            <w:tcW w:w="1334" w:type="dxa"/>
            <w:tcBorders>
              <w:bottom w:val="single" w:sz="4" w:space="0" w:color="000000"/>
            </w:tcBorders>
            <w:shd w:val="clear" w:color="auto" w:fill="F9FCF9"/>
          </w:tcPr>
          <w:p>
            <w:pPr>
              <w:pStyle w:val="TableParagraph"/>
              <w:jc w:val="left"/>
              <w:rPr>
                <w:sz w:val="8"/>
              </w:rPr>
            </w:pPr>
          </w:p>
        </w:tc>
        <w:tc>
          <w:tcPr>
            <w:tcW w:w="801" w:type="dxa"/>
            <w:tcBorders>
              <w:bottom w:val="single" w:sz="4" w:space="0" w:color="000000"/>
            </w:tcBorders>
            <w:shd w:val="clear" w:color="auto" w:fill="F9FCF9"/>
          </w:tcPr>
          <w:p>
            <w:pPr>
              <w:pStyle w:val="TableParagraph"/>
              <w:jc w:val="left"/>
              <w:rPr>
                <w:sz w:val="8"/>
              </w:rPr>
            </w:pPr>
          </w:p>
        </w:tc>
        <w:tc>
          <w:tcPr>
            <w:tcW w:w="855" w:type="dxa"/>
            <w:tcBorders>
              <w:bottom w:val="single" w:sz="4" w:space="0" w:color="000000"/>
            </w:tcBorders>
            <w:shd w:val="clear" w:color="auto" w:fill="F9FCF9"/>
          </w:tcPr>
          <w:p>
            <w:pPr>
              <w:pStyle w:val="TableParagraph"/>
              <w:jc w:val="left"/>
              <w:rPr>
                <w:sz w:val="8"/>
              </w:rPr>
            </w:pPr>
          </w:p>
        </w:tc>
        <w:tc>
          <w:tcPr>
            <w:tcW w:w="490" w:type="dxa"/>
            <w:tcBorders>
              <w:bottom w:val="single" w:sz="4" w:space="0" w:color="000000"/>
            </w:tcBorders>
            <w:shd w:val="clear" w:color="auto" w:fill="F9FCF9"/>
          </w:tcPr>
          <w:p>
            <w:pPr>
              <w:pStyle w:val="TableParagraph"/>
              <w:jc w:val="left"/>
              <w:rPr>
                <w:sz w:val="8"/>
              </w:rPr>
            </w:pPr>
          </w:p>
        </w:tc>
        <w:tc>
          <w:tcPr>
            <w:tcW w:w="613" w:type="dxa"/>
            <w:tcBorders>
              <w:bottom w:val="single" w:sz="4" w:space="0" w:color="000000"/>
            </w:tcBorders>
            <w:shd w:val="clear" w:color="auto" w:fill="F9FCF9"/>
          </w:tcPr>
          <w:p>
            <w:pPr>
              <w:pStyle w:val="TableParagraph"/>
              <w:jc w:val="left"/>
              <w:rPr>
                <w:sz w:val="8"/>
              </w:rPr>
            </w:pPr>
          </w:p>
        </w:tc>
      </w:tr>
      <w:tr>
        <w:trPr>
          <w:trHeight w:val="151" w:hRule="atLeast"/>
        </w:trPr>
        <w:tc>
          <w:tcPr>
            <w:tcW w:w="2700" w:type="dxa"/>
            <w:tcBorders>
              <w:top w:val="single" w:sz="4" w:space="0" w:color="000000"/>
              <w:bottom w:val="single" w:sz="4" w:space="0" w:color="000000"/>
            </w:tcBorders>
            <w:shd w:val="clear" w:color="auto" w:fill="F9FCF9"/>
          </w:tcPr>
          <w:p>
            <w:pPr>
              <w:pStyle w:val="TableParagraph"/>
              <w:spacing w:line="132" w:lineRule="exact"/>
              <w:ind w:left="98"/>
              <w:jc w:val="left"/>
              <w:rPr>
                <w:sz w:val="14"/>
              </w:rPr>
            </w:pPr>
            <w:r>
              <w:rPr>
                <w:sz w:val="14"/>
              </w:rPr>
              <w:t>Electricity (MW)</w:t>
            </w:r>
          </w:p>
        </w:tc>
        <w:tc>
          <w:tcPr>
            <w:tcW w:w="993" w:type="dxa"/>
            <w:tcBorders>
              <w:top w:val="single" w:sz="4" w:space="0" w:color="000000"/>
              <w:bottom w:val="single" w:sz="4" w:space="0" w:color="000000"/>
            </w:tcBorders>
            <w:shd w:val="clear" w:color="auto" w:fill="F9FCF9"/>
          </w:tcPr>
          <w:p>
            <w:pPr>
              <w:pStyle w:val="TableParagraph"/>
              <w:spacing w:line="132" w:lineRule="exact"/>
              <w:ind w:left="7"/>
              <w:rPr>
                <w:sz w:val="14"/>
              </w:rPr>
            </w:pPr>
            <w:r>
              <w:rPr>
                <w:sz w:val="14"/>
              </w:rPr>
              <w:t>-129</w:t>
            </w:r>
          </w:p>
        </w:tc>
        <w:tc>
          <w:tcPr>
            <w:tcW w:w="847" w:type="dxa"/>
            <w:tcBorders>
              <w:top w:val="single" w:sz="4" w:space="0" w:color="000000"/>
              <w:bottom w:val="single" w:sz="4" w:space="0" w:color="000000"/>
            </w:tcBorders>
            <w:shd w:val="clear" w:color="auto" w:fill="F9FCF9"/>
          </w:tcPr>
          <w:p>
            <w:pPr>
              <w:pStyle w:val="TableParagraph"/>
              <w:spacing w:line="132" w:lineRule="exact"/>
              <w:ind w:left="71" w:right="92"/>
              <w:rPr>
                <w:sz w:val="14"/>
              </w:rPr>
            </w:pPr>
            <w:r>
              <w:rPr>
                <w:sz w:val="14"/>
              </w:rPr>
              <w:t>-91</w:t>
            </w:r>
          </w:p>
        </w:tc>
        <w:tc>
          <w:tcPr>
            <w:tcW w:w="650" w:type="dxa"/>
            <w:tcBorders>
              <w:top w:val="single" w:sz="4" w:space="0" w:color="000000"/>
              <w:bottom w:val="single" w:sz="4" w:space="0" w:color="000000"/>
            </w:tcBorders>
            <w:shd w:val="clear" w:color="auto" w:fill="F9FCF9"/>
          </w:tcPr>
          <w:p>
            <w:pPr>
              <w:pStyle w:val="TableParagraph"/>
              <w:spacing w:line="132" w:lineRule="exact"/>
              <w:ind w:left="89" w:right="53"/>
              <w:rPr>
                <w:sz w:val="14"/>
              </w:rPr>
            </w:pPr>
            <w:r>
              <w:rPr>
                <w:sz w:val="14"/>
              </w:rPr>
              <w:t>-187</w:t>
            </w:r>
          </w:p>
        </w:tc>
        <w:tc>
          <w:tcPr>
            <w:tcW w:w="1080" w:type="dxa"/>
            <w:tcBorders>
              <w:top w:val="single" w:sz="4" w:space="0" w:color="000000"/>
              <w:bottom w:val="single" w:sz="4" w:space="0" w:color="000000"/>
            </w:tcBorders>
            <w:shd w:val="clear" w:color="auto" w:fill="F9FCF9"/>
          </w:tcPr>
          <w:p>
            <w:pPr>
              <w:pStyle w:val="TableParagraph"/>
              <w:spacing w:line="132" w:lineRule="exact"/>
              <w:ind w:left="113" w:right="107"/>
              <w:rPr>
                <w:sz w:val="14"/>
              </w:rPr>
            </w:pPr>
            <w:r>
              <w:rPr>
                <w:sz w:val="14"/>
              </w:rPr>
              <w:t>12</w:t>
            </w:r>
          </w:p>
        </w:tc>
        <w:tc>
          <w:tcPr>
            <w:tcW w:w="1334" w:type="dxa"/>
            <w:tcBorders>
              <w:top w:val="single" w:sz="4" w:space="0" w:color="000000"/>
              <w:bottom w:val="single" w:sz="4" w:space="0" w:color="000000"/>
            </w:tcBorders>
            <w:shd w:val="clear" w:color="auto" w:fill="F9FCF9"/>
          </w:tcPr>
          <w:p>
            <w:pPr>
              <w:pStyle w:val="TableParagraph"/>
              <w:spacing w:line="132" w:lineRule="exact"/>
              <w:ind w:left="206" w:right="200"/>
              <w:rPr>
                <w:sz w:val="14"/>
              </w:rPr>
            </w:pPr>
            <w:r>
              <w:rPr>
                <w:sz w:val="14"/>
              </w:rPr>
              <w:t>27</w:t>
            </w:r>
          </w:p>
        </w:tc>
        <w:tc>
          <w:tcPr>
            <w:tcW w:w="801"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39</w:t>
            </w:r>
          </w:p>
        </w:tc>
        <w:tc>
          <w:tcPr>
            <w:tcW w:w="855"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35</w:t>
            </w:r>
          </w:p>
        </w:tc>
        <w:tc>
          <w:tcPr>
            <w:tcW w:w="490" w:type="dxa"/>
            <w:tcBorders>
              <w:top w:val="single" w:sz="4" w:space="0" w:color="000000"/>
              <w:bottom w:val="single" w:sz="4" w:space="0" w:color="000000"/>
            </w:tcBorders>
            <w:shd w:val="clear" w:color="auto" w:fill="F9FCF9"/>
          </w:tcPr>
          <w:p>
            <w:pPr>
              <w:pStyle w:val="TableParagraph"/>
              <w:spacing w:line="132" w:lineRule="exact"/>
              <w:ind w:left="87" w:right="82"/>
              <w:rPr>
                <w:b/>
                <w:sz w:val="14"/>
              </w:rPr>
            </w:pPr>
            <w:r>
              <w:rPr>
                <w:b/>
                <w:sz w:val="14"/>
              </w:rPr>
              <w:t>-187</w:t>
            </w:r>
          </w:p>
        </w:tc>
        <w:tc>
          <w:tcPr>
            <w:tcW w:w="613" w:type="dxa"/>
            <w:tcBorders>
              <w:top w:val="single" w:sz="4" w:space="0" w:color="000000"/>
              <w:bottom w:val="single" w:sz="4" w:space="0" w:color="000000"/>
            </w:tcBorders>
            <w:shd w:val="clear" w:color="auto" w:fill="F9FCF9"/>
          </w:tcPr>
          <w:p>
            <w:pPr>
              <w:pStyle w:val="TableParagraph"/>
              <w:spacing w:line="132" w:lineRule="exact"/>
              <w:ind w:left="114" w:right="109"/>
              <w:rPr>
                <w:b/>
                <w:sz w:val="14"/>
              </w:rPr>
            </w:pPr>
            <w:r>
              <w:rPr>
                <w:b/>
                <w:sz w:val="14"/>
              </w:rPr>
              <w:t>39</w:t>
            </w:r>
          </w:p>
        </w:tc>
      </w:tr>
      <w:tr>
        <w:trPr>
          <w:trHeight w:val="151" w:hRule="atLeast"/>
        </w:trPr>
        <w:tc>
          <w:tcPr>
            <w:tcW w:w="2700" w:type="dxa"/>
            <w:tcBorders>
              <w:top w:val="single" w:sz="4" w:space="0" w:color="000000"/>
              <w:bottom w:val="single" w:sz="4" w:space="0" w:color="000000"/>
            </w:tcBorders>
            <w:shd w:val="clear" w:color="auto" w:fill="F9FCF9"/>
          </w:tcPr>
          <w:p>
            <w:pPr>
              <w:pStyle w:val="TableParagraph"/>
              <w:spacing w:line="132" w:lineRule="exact"/>
              <w:ind w:left="28"/>
              <w:jc w:val="left"/>
              <w:rPr>
                <w:sz w:val="14"/>
              </w:rPr>
            </w:pPr>
            <w:r>
              <w:rPr>
                <w:sz w:val="14"/>
              </w:rPr>
              <w:t>Net plant efficiency, LHV (%)</w:t>
            </w:r>
          </w:p>
        </w:tc>
        <w:tc>
          <w:tcPr>
            <w:tcW w:w="993" w:type="dxa"/>
            <w:tcBorders>
              <w:top w:val="single" w:sz="4" w:space="0" w:color="000000"/>
              <w:bottom w:val="single" w:sz="4" w:space="0" w:color="000000"/>
            </w:tcBorders>
            <w:shd w:val="clear" w:color="auto" w:fill="F9FCF9"/>
          </w:tcPr>
          <w:p>
            <w:pPr>
              <w:pStyle w:val="TableParagraph"/>
              <w:spacing w:line="132" w:lineRule="exact"/>
              <w:ind w:left="7"/>
              <w:rPr>
                <w:sz w:val="14"/>
              </w:rPr>
            </w:pPr>
            <w:r>
              <w:rPr>
                <w:sz w:val="14"/>
              </w:rPr>
              <w:t>61.2</w:t>
            </w:r>
          </w:p>
        </w:tc>
        <w:tc>
          <w:tcPr>
            <w:tcW w:w="847" w:type="dxa"/>
            <w:tcBorders>
              <w:top w:val="single" w:sz="4" w:space="0" w:color="000000"/>
              <w:bottom w:val="single" w:sz="4" w:space="0" w:color="000000"/>
            </w:tcBorders>
            <w:shd w:val="clear" w:color="auto" w:fill="F9FCF9"/>
          </w:tcPr>
          <w:p>
            <w:pPr>
              <w:pStyle w:val="TableParagraph"/>
              <w:spacing w:line="132" w:lineRule="exact"/>
              <w:ind w:left="71" w:right="92"/>
              <w:rPr>
                <w:sz w:val="14"/>
              </w:rPr>
            </w:pPr>
            <w:r>
              <w:rPr>
                <w:sz w:val="14"/>
              </w:rPr>
              <w:t>68.1</w:t>
            </w:r>
          </w:p>
        </w:tc>
        <w:tc>
          <w:tcPr>
            <w:tcW w:w="650" w:type="dxa"/>
            <w:tcBorders>
              <w:top w:val="single" w:sz="4" w:space="0" w:color="000000"/>
              <w:bottom w:val="single" w:sz="4" w:space="0" w:color="000000"/>
            </w:tcBorders>
            <w:shd w:val="clear" w:color="auto" w:fill="F9FCF9"/>
          </w:tcPr>
          <w:p>
            <w:pPr>
              <w:pStyle w:val="TableParagraph"/>
              <w:spacing w:line="132" w:lineRule="exact"/>
              <w:ind w:left="89" w:right="53"/>
              <w:rPr>
                <w:sz w:val="14"/>
              </w:rPr>
            </w:pPr>
            <w:r>
              <w:rPr>
                <w:sz w:val="14"/>
              </w:rPr>
              <w:t>60.2</w:t>
            </w:r>
          </w:p>
        </w:tc>
        <w:tc>
          <w:tcPr>
            <w:tcW w:w="1080" w:type="dxa"/>
            <w:tcBorders>
              <w:top w:val="single" w:sz="4" w:space="0" w:color="000000"/>
              <w:bottom w:val="single" w:sz="4" w:space="0" w:color="000000"/>
            </w:tcBorders>
            <w:shd w:val="clear" w:color="auto" w:fill="F9FCF9"/>
          </w:tcPr>
          <w:p>
            <w:pPr>
              <w:pStyle w:val="TableParagraph"/>
              <w:spacing w:line="132" w:lineRule="exact"/>
              <w:ind w:left="113" w:right="107"/>
              <w:rPr>
                <w:sz w:val="14"/>
              </w:rPr>
            </w:pPr>
            <w:r>
              <w:rPr>
                <w:sz w:val="14"/>
              </w:rPr>
              <w:t>56.6</w:t>
            </w:r>
          </w:p>
        </w:tc>
        <w:tc>
          <w:tcPr>
            <w:tcW w:w="1334" w:type="dxa"/>
            <w:tcBorders>
              <w:top w:val="single" w:sz="4" w:space="0" w:color="000000"/>
              <w:bottom w:val="single" w:sz="4" w:space="0" w:color="000000"/>
            </w:tcBorders>
            <w:shd w:val="clear" w:color="auto" w:fill="F9FCF9"/>
          </w:tcPr>
          <w:p>
            <w:pPr>
              <w:pStyle w:val="TableParagraph"/>
              <w:spacing w:line="132" w:lineRule="exact"/>
              <w:ind w:left="206" w:right="200"/>
              <w:rPr>
                <w:sz w:val="14"/>
              </w:rPr>
            </w:pPr>
            <w:r>
              <w:rPr>
                <w:sz w:val="14"/>
              </w:rPr>
              <w:t>51.8</w:t>
            </w:r>
          </w:p>
        </w:tc>
        <w:tc>
          <w:tcPr>
            <w:tcW w:w="801"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59.5</w:t>
            </w:r>
          </w:p>
        </w:tc>
        <w:tc>
          <w:tcPr>
            <w:tcW w:w="855" w:type="dxa"/>
            <w:tcBorders>
              <w:top w:val="single" w:sz="4" w:space="0" w:color="000000"/>
              <w:bottom w:val="single" w:sz="4" w:space="0" w:color="000000"/>
            </w:tcBorders>
            <w:shd w:val="clear" w:color="auto" w:fill="F9FCF9"/>
          </w:tcPr>
          <w:p>
            <w:pPr>
              <w:pStyle w:val="TableParagraph"/>
              <w:spacing w:line="132" w:lineRule="exact"/>
              <w:ind w:left="6"/>
              <w:rPr>
                <w:sz w:val="14"/>
              </w:rPr>
            </w:pPr>
            <w:r>
              <w:rPr>
                <w:sz w:val="14"/>
              </w:rPr>
              <w:t>59.3</w:t>
            </w:r>
          </w:p>
        </w:tc>
        <w:tc>
          <w:tcPr>
            <w:tcW w:w="490" w:type="dxa"/>
            <w:tcBorders>
              <w:top w:val="single" w:sz="4" w:space="0" w:color="000000"/>
              <w:bottom w:val="single" w:sz="4" w:space="0" w:color="000000"/>
            </w:tcBorders>
            <w:shd w:val="clear" w:color="auto" w:fill="F9FCF9"/>
          </w:tcPr>
          <w:p>
            <w:pPr>
              <w:pStyle w:val="TableParagraph"/>
              <w:spacing w:line="132" w:lineRule="exact"/>
              <w:ind w:left="87" w:right="82"/>
              <w:rPr>
                <w:b/>
                <w:sz w:val="14"/>
              </w:rPr>
            </w:pPr>
            <w:r>
              <w:rPr>
                <w:b/>
                <w:sz w:val="14"/>
              </w:rPr>
              <w:t>51.8</w:t>
            </w:r>
          </w:p>
        </w:tc>
        <w:tc>
          <w:tcPr>
            <w:tcW w:w="613" w:type="dxa"/>
            <w:tcBorders>
              <w:top w:val="single" w:sz="4" w:space="0" w:color="000000"/>
              <w:bottom w:val="single" w:sz="4" w:space="0" w:color="000000"/>
            </w:tcBorders>
            <w:shd w:val="clear" w:color="auto" w:fill="F9FCF9"/>
          </w:tcPr>
          <w:p>
            <w:pPr>
              <w:pStyle w:val="TableParagraph"/>
              <w:spacing w:line="132" w:lineRule="exact"/>
              <w:ind w:left="114" w:right="109"/>
              <w:rPr>
                <w:b/>
                <w:sz w:val="14"/>
              </w:rPr>
            </w:pPr>
            <w:r>
              <w:rPr>
                <w:b/>
                <w:sz w:val="14"/>
              </w:rPr>
              <w:t>68.1</w:t>
            </w:r>
          </w:p>
        </w:tc>
      </w:tr>
      <w:tr>
        <w:trPr>
          <w:trHeight w:val="183" w:hRule="atLeast"/>
        </w:trPr>
        <w:tc>
          <w:tcPr>
            <w:tcW w:w="2700" w:type="dxa"/>
            <w:tcBorders>
              <w:top w:val="single" w:sz="4" w:space="0" w:color="000000"/>
            </w:tcBorders>
            <w:shd w:val="clear" w:color="auto" w:fill="F9FCF9"/>
          </w:tcPr>
          <w:p>
            <w:pPr>
              <w:pStyle w:val="TableParagraph"/>
              <w:spacing w:line="170" w:lineRule="exact"/>
              <w:ind w:left="28"/>
              <w:jc w:val="left"/>
              <w:rPr>
                <w:sz w:val="14"/>
              </w:rPr>
            </w:pPr>
            <w:r>
              <w:rPr>
                <w:sz w:val="14"/>
              </w:rPr>
              <w:t>CO</w:t>
            </w:r>
            <w:r>
              <w:rPr>
                <w:position w:val="-4"/>
                <w:sz w:val="8"/>
              </w:rPr>
              <w:t>2 </w:t>
            </w:r>
            <w:r>
              <w:rPr>
                <w:sz w:val="14"/>
              </w:rPr>
              <w:t>capture efficiency (%)**</w:t>
            </w:r>
          </w:p>
        </w:tc>
        <w:tc>
          <w:tcPr>
            <w:tcW w:w="993" w:type="dxa"/>
            <w:tcBorders>
              <w:top w:val="single" w:sz="4" w:space="0" w:color="000000"/>
            </w:tcBorders>
            <w:shd w:val="clear" w:color="auto" w:fill="F9FCF9"/>
          </w:tcPr>
          <w:p>
            <w:pPr>
              <w:pStyle w:val="TableParagraph"/>
              <w:spacing w:line="159" w:lineRule="exact"/>
              <w:ind w:left="7"/>
              <w:rPr>
                <w:sz w:val="14"/>
              </w:rPr>
            </w:pPr>
            <w:r>
              <w:rPr>
                <w:sz w:val="14"/>
              </w:rPr>
              <w:t>90</w:t>
            </w:r>
          </w:p>
        </w:tc>
        <w:tc>
          <w:tcPr>
            <w:tcW w:w="847" w:type="dxa"/>
            <w:tcBorders>
              <w:top w:val="single" w:sz="4" w:space="0" w:color="000000"/>
            </w:tcBorders>
            <w:shd w:val="clear" w:color="auto" w:fill="F9FCF9"/>
          </w:tcPr>
          <w:p>
            <w:pPr>
              <w:pStyle w:val="TableParagraph"/>
              <w:spacing w:line="159" w:lineRule="exact"/>
              <w:ind w:left="71" w:right="92"/>
              <w:rPr>
                <w:sz w:val="14"/>
              </w:rPr>
            </w:pPr>
            <w:r>
              <w:rPr>
                <w:sz w:val="14"/>
              </w:rPr>
              <w:t>90</w:t>
            </w:r>
          </w:p>
        </w:tc>
        <w:tc>
          <w:tcPr>
            <w:tcW w:w="650" w:type="dxa"/>
            <w:tcBorders>
              <w:top w:val="single" w:sz="4" w:space="0" w:color="000000"/>
            </w:tcBorders>
            <w:shd w:val="clear" w:color="auto" w:fill="F9FCF9"/>
          </w:tcPr>
          <w:p>
            <w:pPr>
              <w:pStyle w:val="TableParagraph"/>
              <w:spacing w:line="159" w:lineRule="exact"/>
              <w:ind w:left="89" w:right="53"/>
              <w:rPr>
                <w:sz w:val="14"/>
              </w:rPr>
            </w:pPr>
            <w:r>
              <w:rPr>
                <w:sz w:val="14"/>
              </w:rPr>
              <w:t>90</w:t>
            </w:r>
          </w:p>
        </w:tc>
        <w:tc>
          <w:tcPr>
            <w:tcW w:w="1080" w:type="dxa"/>
            <w:tcBorders>
              <w:top w:val="single" w:sz="4" w:space="0" w:color="000000"/>
            </w:tcBorders>
            <w:shd w:val="clear" w:color="auto" w:fill="F9FCF9"/>
          </w:tcPr>
          <w:p>
            <w:pPr>
              <w:pStyle w:val="TableParagraph"/>
              <w:spacing w:line="159" w:lineRule="exact"/>
              <w:ind w:left="113" w:right="107"/>
              <w:rPr>
                <w:sz w:val="14"/>
              </w:rPr>
            </w:pPr>
            <w:r>
              <w:rPr>
                <w:sz w:val="14"/>
              </w:rPr>
              <w:t>92</w:t>
            </w:r>
          </w:p>
        </w:tc>
        <w:tc>
          <w:tcPr>
            <w:tcW w:w="1334" w:type="dxa"/>
            <w:tcBorders>
              <w:top w:val="single" w:sz="4" w:space="0" w:color="000000"/>
            </w:tcBorders>
            <w:shd w:val="clear" w:color="auto" w:fill="F9FCF9"/>
          </w:tcPr>
          <w:p>
            <w:pPr>
              <w:pStyle w:val="TableParagraph"/>
              <w:spacing w:line="159" w:lineRule="exact"/>
              <w:ind w:left="206" w:right="200"/>
              <w:rPr>
                <w:sz w:val="14"/>
              </w:rPr>
            </w:pPr>
            <w:r>
              <w:rPr>
                <w:sz w:val="14"/>
              </w:rPr>
              <w:t>87</w:t>
            </w:r>
          </w:p>
        </w:tc>
        <w:tc>
          <w:tcPr>
            <w:tcW w:w="801" w:type="dxa"/>
            <w:tcBorders>
              <w:top w:val="single" w:sz="4" w:space="0" w:color="000000"/>
            </w:tcBorders>
            <w:shd w:val="clear" w:color="auto" w:fill="F9FCF9"/>
          </w:tcPr>
          <w:p>
            <w:pPr>
              <w:pStyle w:val="TableParagraph"/>
              <w:spacing w:line="159" w:lineRule="exact"/>
              <w:ind w:left="6"/>
              <w:rPr>
                <w:sz w:val="14"/>
              </w:rPr>
            </w:pPr>
            <w:r>
              <w:rPr>
                <w:sz w:val="14"/>
              </w:rPr>
              <w:t>91</w:t>
            </w:r>
          </w:p>
        </w:tc>
        <w:tc>
          <w:tcPr>
            <w:tcW w:w="855" w:type="dxa"/>
            <w:tcBorders>
              <w:top w:val="single" w:sz="4" w:space="0" w:color="000000"/>
            </w:tcBorders>
            <w:shd w:val="clear" w:color="auto" w:fill="F9FCF9"/>
          </w:tcPr>
          <w:p>
            <w:pPr>
              <w:pStyle w:val="TableParagraph"/>
              <w:spacing w:line="159" w:lineRule="exact"/>
              <w:ind w:left="6"/>
              <w:rPr>
                <w:sz w:val="14"/>
              </w:rPr>
            </w:pPr>
            <w:r>
              <w:rPr>
                <w:sz w:val="14"/>
              </w:rPr>
              <w:t>95</w:t>
            </w:r>
          </w:p>
        </w:tc>
        <w:tc>
          <w:tcPr>
            <w:tcW w:w="490" w:type="dxa"/>
            <w:tcBorders>
              <w:top w:val="single" w:sz="4" w:space="0" w:color="000000"/>
            </w:tcBorders>
            <w:shd w:val="clear" w:color="auto" w:fill="F9FCF9"/>
          </w:tcPr>
          <w:p>
            <w:pPr>
              <w:pStyle w:val="TableParagraph"/>
              <w:spacing w:line="159" w:lineRule="exact"/>
              <w:ind w:left="87" w:right="82"/>
              <w:rPr>
                <w:b/>
                <w:sz w:val="14"/>
              </w:rPr>
            </w:pPr>
            <w:r>
              <w:rPr>
                <w:b/>
                <w:sz w:val="14"/>
              </w:rPr>
              <w:t>87</w:t>
            </w:r>
          </w:p>
        </w:tc>
        <w:tc>
          <w:tcPr>
            <w:tcW w:w="613" w:type="dxa"/>
            <w:tcBorders>
              <w:top w:val="single" w:sz="4" w:space="0" w:color="000000"/>
            </w:tcBorders>
            <w:shd w:val="clear" w:color="auto" w:fill="F9FCF9"/>
          </w:tcPr>
          <w:p>
            <w:pPr>
              <w:pStyle w:val="TableParagraph"/>
              <w:spacing w:line="159" w:lineRule="exact"/>
              <w:ind w:left="114" w:right="109"/>
              <w:rPr>
                <w:b/>
                <w:sz w:val="14"/>
              </w:rPr>
            </w:pPr>
            <w:r>
              <w:rPr>
                <w:b/>
                <w:sz w:val="14"/>
              </w:rPr>
              <w:t>95</w:t>
            </w:r>
          </w:p>
        </w:tc>
      </w:tr>
      <w:tr>
        <w:trPr>
          <w:trHeight w:val="648" w:hRule="atLeast"/>
        </w:trPr>
        <w:tc>
          <w:tcPr>
            <w:tcW w:w="2700" w:type="dxa"/>
            <w:shd w:val="clear" w:color="auto" w:fill="F9FCF9"/>
          </w:tcPr>
          <w:p>
            <w:pPr>
              <w:pStyle w:val="TableParagraph"/>
              <w:spacing w:line="71" w:lineRule="exact"/>
              <w:ind w:left="1295" w:right="1209"/>
              <w:rPr>
                <w:sz w:val="8"/>
              </w:rPr>
            </w:pPr>
            <w:r>
              <w:rPr>
                <w:sz w:val="8"/>
              </w:rPr>
              <w:t>−1</w:t>
            </w:r>
          </w:p>
          <w:p>
            <w:pPr>
              <w:pStyle w:val="TableParagraph"/>
              <w:spacing w:before="60"/>
              <w:ind w:left="28" w:right="642"/>
              <w:jc w:val="left"/>
              <w:rPr>
                <w:sz w:val="14"/>
              </w:rPr>
            </w:pPr>
            <w:r>
              <w:rPr>
                <w:sz w:val="14"/>
              </w:rPr>
              <w:t>Carbon exported in fuels (MtC yr</w:t>
            </w:r>
            <w:r>
              <w:rPr>
                <w:position w:val="5"/>
                <w:sz w:val="8"/>
              </w:rPr>
              <w:t>−1</w:t>
            </w:r>
            <w:r>
              <w:rPr>
                <w:sz w:val="14"/>
              </w:rPr>
              <w:t>) Total carbon released</w:t>
            </w:r>
          </w:p>
          <w:p>
            <w:pPr>
              <w:pStyle w:val="TableParagraph"/>
              <w:spacing w:before="17"/>
              <w:ind w:left="640"/>
              <w:jc w:val="left"/>
              <w:rPr>
                <w:sz w:val="8"/>
              </w:rPr>
            </w:pPr>
            <w:r>
              <w:rPr>
                <w:sz w:val="8"/>
              </w:rPr>
              <w:t>−1</w:t>
            </w:r>
          </w:p>
        </w:tc>
        <w:tc>
          <w:tcPr>
            <w:tcW w:w="993" w:type="dxa"/>
            <w:shd w:val="clear" w:color="auto" w:fill="F9FCF9"/>
          </w:tcPr>
          <w:p>
            <w:pPr>
              <w:pStyle w:val="TableParagraph"/>
              <w:spacing w:line="130" w:lineRule="exact"/>
              <w:ind w:left="7"/>
              <w:rPr>
                <w:sz w:val="14"/>
              </w:rPr>
            </w:pPr>
            <w:r>
              <w:rPr>
                <w:sz w:val="14"/>
              </w:rPr>
              <w:t>1.280</w:t>
            </w:r>
          </w:p>
          <w:p>
            <w:pPr>
              <w:pStyle w:val="TableParagraph"/>
              <w:ind w:left="7"/>
              <w:rPr>
                <w:sz w:val="14"/>
              </w:rPr>
            </w:pPr>
            <w:r>
              <w:rPr>
                <w:sz w:val="14"/>
              </w:rPr>
              <w:t>0</w:t>
            </w:r>
          </w:p>
          <w:p>
            <w:pPr>
              <w:pStyle w:val="TableParagraph"/>
              <w:spacing w:before="1"/>
              <w:ind w:left="7"/>
              <w:rPr>
                <w:sz w:val="14"/>
              </w:rPr>
            </w:pPr>
            <w:r>
              <w:rPr>
                <w:sz w:val="14"/>
              </w:rPr>
              <w:t>23.0</w:t>
            </w:r>
          </w:p>
        </w:tc>
        <w:tc>
          <w:tcPr>
            <w:tcW w:w="847" w:type="dxa"/>
            <w:shd w:val="clear" w:color="auto" w:fill="F9FCF9"/>
          </w:tcPr>
          <w:p>
            <w:pPr>
              <w:pStyle w:val="TableParagraph"/>
              <w:spacing w:line="130" w:lineRule="exact"/>
              <w:ind w:left="71" w:right="92"/>
              <w:rPr>
                <w:sz w:val="14"/>
              </w:rPr>
            </w:pPr>
            <w:r>
              <w:rPr>
                <w:sz w:val="14"/>
              </w:rPr>
              <w:t>0.604</w:t>
            </w:r>
          </w:p>
          <w:p>
            <w:pPr>
              <w:pStyle w:val="TableParagraph"/>
              <w:ind w:right="21"/>
              <w:rPr>
                <w:sz w:val="14"/>
              </w:rPr>
            </w:pPr>
            <w:r>
              <w:rPr>
                <w:sz w:val="14"/>
              </w:rPr>
              <w:t>0</w:t>
            </w:r>
          </w:p>
          <w:p>
            <w:pPr>
              <w:pStyle w:val="TableParagraph"/>
              <w:spacing w:before="1"/>
              <w:ind w:left="71" w:right="92"/>
              <w:rPr>
                <w:sz w:val="14"/>
              </w:rPr>
            </w:pPr>
            <w:r>
              <w:rPr>
                <w:sz w:val="14"/>
              </w:rPr>
              <w:t>13.5</w:t>
            </w:r>
          </w:p>
        </w:tc>
        <w:tc>
          <w:tcPr>
            <w:tcW w:w="650" w:type="dxa"/>
            <w:shd w:val="clear" w:color="auto" w:fill="F9FCF9"/>
          </w:tcPr>
          <w:p>
            <w:pPr>
              <w:pStyle w:val="TableParagraph"/>
              <w:spacing w:line="130" w:lineRule="exact"/>
              <w:ind w:left="89" w:right="53"/>
              <w:rPr>
                <w:sz w:val="14"/>
              </w:rPr>
            </w:pPr>
            <w:r>
              <w:rPr>
                <w:sz w:val="14"/>
              </w:rPr>
              <w:t>1.181</w:t>
            </w:r>
          </w:p>
          <w:p>
            <w:pPr>
              <w:pStyle w:val="TableParagraph"/>
              <w:ind w:left="36"/>
              <w:rPr>
                <w:sz w:val="14"/>
              </w:rPr>
            </w:pPr>
            <w:r>
              <w:rPr>
                <w:sz w:val="14"/>
              </w:rPr>
              <w:t>0</w:t>
            </w:r>
          </w:p>
          <w:p>
            <w:pPr>
              <w:pStyle w:val="TableParagraph"/>
              <w:spacing w:before="1"/>
              <w:ind w:left="89" w:right="53"/>
              <w:rPr>
                <w:sz w:val="14"/>
              </w:rPr>
            </w:pPr>
            <w:r>
              <w:rPr>
                <w:sz w:val="14"/>
              </w:rPr>
              <w:t>28.1</w:t>
            </w:r>
          </w:p>
        </w:tc>
        <w:tc>
          <w:tcPr>
            <w:tcW w:w="1080" w:type="dxa"/>
            <w:shd w:val="clear" w:color="auto" w:fill="F9FCF9"/>
          </w:tcPr>
          <w:p>
            <w:pPr>
              <w:pStyle w:val="TableParagraph"/>
              <w:spacing w:line="130" w:lineRule="exact"/>
              <w:ind w:left="113" w:right="107"/>
              <w:rPr>
                <w:sz w:val="14"/>
              </w:rPr>
            </w:pPr>
            <w:r>
              <w:rPr>
                <w:sz w:val="14"/>
              </w:rPr>
              <w:t>0.143</w:t>
            </w:r>
          </w:p>
          <w:p>
            <w:pPr>
              <w:pStyle w:val="TableParagraph"/>
              <w:ind w:left="6"/>
              <w:rPr>
                <w:sz w:val="14"/>
              </w:rPr>
            </w:pPr>
            <w:r>
              <w:rPr>
                <w:sz w:val="14"/>
              </w:rPr>
              <w:t>0</w:t>
            </w:r>
          </w:p>
          <w:p>
            <w:pPr>
              <w:pStyle w:val="TableParagraph"/>
              <w:spacing w:before="1"/>
              <w:ind w:left="113" w:right="107"/>
              <w:rPr>
                <w:sz w:val="14"/>
              </w:rPr>
            </w:pPr>
            <w:r>
              <w:rPr>
                <w:sz w:val="14"/>
              </w:rPr>
              <w:t>13.7</w:t>
            </w:r>
          </w:p>
        </w:tc>
        <w:tc>
          <w:tcPr>
            <w:tcW w:w="1334" w:type="dxa"/>
            <w:shd w:val="clear" w:color="auto" w:fill="F9FCF9"/>
          </w:tcPr>
          <w:p>
            <w:pPr>
              <w:pStyle w:val="TableParagraph"/>
              <w:spacing w:line="130" w:lineRule="exact"/>
              <w:ind w:left="206" w:right="200"/>
              <w:rPr>
                <w:sz w:val="14"/>
              </w:rPr>
            </w:pPr>
            <w:r>
              <w:rPr>
                <w:sz w:val="14"/>
              </w:rPr>
              <w:t>0.279</w:t>
            </w:r>
          </w:p>
          <w:p>
            <w:pPr>
              <w:pStyle w:val="TableParagraph"/>
              <w:ind w:left="6"/>
              <w:rPr>
                <w:sz w:val="14"/>
              </w:rPr>
            </w:pPr>
            <w:r>
              <w:rPr>
                <w:sz w:val="14"/>
              </w:rPr>
              <w:t>0</w:t>
            </w:r>
          </w:p>
          <w:p>
            <w:pPr>
              <w:pStyle w:val="TableParagraph"/>
              <w:spacing w:before="1"/>
              <w:ind w:left="206" w:right="200"/>
              <w:rPr>
                <w:sz w:val="14"/>
              </w:rPr>
            </w:pPr>
            <w:r>
              <w:rPr>
                <w:sz w:val="14"/>
              </w:rPr>
              <w:t>24.5</w:t>
            </w:r>
          </w:p>
        </w:tc>
        <w:tc>
          <w:tcPr>
            <w:tcW w:w="801" w:type="dxa"/>
            <w:shd w:val="clear" w:color="auto" w:fill="F9FCF9"/>
          </w:tcPr>
          <w:p>
            <w:pPr>
              <w:pStyle w:val="TableParagraph"/>
              <w:spacing w:line="130" w:lineRule="exact"/>
              <w:ind w:left="6"/>
              <w:rPr>
                <w:sz w:val="14"/>
              </w:rPr>
            </w:pPr>
            <w:r>
              <w:rPr>
                <w:sz w:val="14"/>
              </w:rPr>
              <w:t>0.338</w:t>
            </w:r>
          </w:p>
          <w:p>
            <w:pPr>
              <w:pStyle w:val="TableParagraph"/>
              <w:ind w:left="6"/>
              <w:rPr>
                <w:sz w:val="14"/>
              </w:rPr>
            </w:pPr>
            <w:r>
              <w:rPr>
                <w:sz w:val="14"/>
              </w:rPr>
              <w:t>0</w:t>
            </w:r>
          </w:p>
          <w:p>
            <w:pPr>
              <w:pStyle w:val="TableParagraph"/>
              <w:spacing w:before="1"/>
              <w:ind w:left="6"/>
              <w:rPr>
                <w:sz w:val="14"/>
              </w:rPr>
            </w:pPr>
            <w:r>
              <w:rPr>
                <w:sz w:val="14"/>
              </w:rPr>
              <w:t>12.1</w:t>
            </w:r>
          </w:p>
        </w:tc>
        <w:tc>
          <w:tcPr>
            <w:tcW w:w="855" w:type="dxa"/>
            <w:shd w:val="clear" w:color="auto" w:fill="F9FCF9"/>
          </w:tcPr>
          <w:p>
            <w:pPr>
              <w:pStyle w:val="TableParagraph"/>
              <w:spacing w:line="130" w:lineRule="exact"/>
              <w:ind w:left="6"/>
              <w:rPr>
                <w:sz w:val="14"/>
              </w:rPr>
            </w:pPr>
            <w:r>
              <w:rPr>
                <w:sz w:val="14"/>
              </w:rPr>
              <w:t>0.182</w:t>
            </w:r>
          </w:p>
          <w:p>
            <w:pPr>
              <w:pStyle w:val="TableParagraph"/>
              <w:ind w:left="6"/>
              <w:rPr>
                <w:sz w:val="14"/>
              </w:rPr>
            </w:pPr>
            <w:r>
              <w:rPr>
                <w:sz w:val="14"/>
              </w:rPr>
              <w:t>0</w:t>
            </w:r>
          </w:p>
          <w:p>
            <w:pPr>
              <w:pStyle w:val="TableParagraph"/>
              <w:spacing w:before="1"/>
              <w:ind w:left="6"/>
              <w:rPr>
                <w:sz w:val="14"/>
              </w:rPr>
            </w:pPr>
            <w:r>
              <w:rPr>
                <w:sz w:val="14"/>
              </w:rPr>
              <w:t>6.5</w:t>
            </w:r>
          </w:p>
        </w:tc>
        <w:tc>
          <w:tcPr>
            <w:tcW w:w="490" w:type="dxa"/>
            <w:shd w:val="clear" w:color="auto" w:fill="F9FCF9"/>
          </w:tcPr>
          <w:p>
            <w:pPr>
              <w:pStyle w:val="TableParagraph"/>
              <w:spacing w:line="130" w:lineRule="exact"/>
              <w:ind w:left="125"/>
              <w:jc w:val="left"/>
              <w:rPr>
                <w:b/>
                <w:sz w:val="14"/>
              </w:rPr>
            </w:pPr>
            <w:r>
              <w:rPr>
                <w:b/>
                <w:sz w:val="14"/>
              </w:rPr>
              <w:t>0.14</w:t>
            </w:r>
          </w:p>
          <w:p>
            <w:pPr>
              <w:pStyle w:val="TableParagraph"/>
              <w:ind w:left="160"/>
              <w:jc w:val="left"/>
              <w:rPr>
                <w:b/>
                <w:sz w:val="14"/>
              </w:rPr>
            </w:pPr>
            <w:r>
              <w:rPr>
                <w:b/>
                <w:sz w:val="14"/>
              </w:rPr>
              <w:t>0.0</w:t>
            </w:r>
          </w:p>
          <w:p>
            <w:pPr>
              <w:pStyle w:val="TableParagraph"/>
              <w:spacing w:before="1"/>
              <w:ind w:left="160"/>
              <w:jc w:val="left"/>
              <w:rPr>
                <w:b/>
                <w:sz w:val="14"/>
              </w:rPr>
            </w:pPr>
            <w:r>
              <w:rPr>
                <w:b/>
                <w:sz w:val="14"/>
              </w:rPr>
              <w:t>6.5</w:t>
            </w:r>
          </w:p>
        </w:tc>
        <w:tc>
          <w:tcPr>
            <w:tcW w:w="613" w:type="dxa"/>
            <w:shd w:val="clear" w:color="auto" w:fill="F9FCF9"/>
          </w:tcPr>
          <w:p>
            <w:pPr>
              <w:pStyle w:val="TableParagraph"/>
              <w:spacing w:line="130" w:lineRule="exact"/>
              <w:ind w:left="114" w:right="109"/>
              <w:rPr>
                <w:b/>
                <w:sz w:val="14"/>
              </w:rPr>
            </w:pPr>
            <w:r>
              <w:rPr>
                <w:b/>
                <w:sz w:val="14"/>
              </w:rPr>
              <w:t>1.280</w:t>
            </w:r>
          </w:p>
          <w:p>
            <w:pPr>
              <w:pStyle w:val="TableParagraph"/>
              <w:ind w:left="5"/>
              <w:rPr>
                <w:b/>
                <w:sz w:val="14"/>
              </w:rPr>
            </w:pPr>
            <w:r>
              <w:rPr>
                <w:b/>
                <w:sz w:val="14"/>
              </w:rPr>
              <w:t>0</w:t>
            </w:r>
          </w:p>
          <w:p>
            <w:pPr>
              <w:pStyle w:val="TableParagraph"/>
              <w:spacing w:before="1"/>
              <w:ind w:left="114" w:right="109"/>
              <w:rPr>
                <w:b/>
                <w:sz w:val="14"/>
              </w:rPr>
            </w:pPr>
            <w:r>
              <w:rPr>
                <w:b/>
                <w:sz w:val="14"/>
              </w:rPr>
              <w:t>28.1</w:t>
            </w:r>
          </w:p>
        </w:tc>
      </w:tr>
    </w:tbl>
    <w:p>
      <w:pPr>
        <w:pStyle w:val="BodyText"/>
        <w:spacing w:before="6" w:after="1"/>
        <w:rPr>
          <w:sz w:val="11"/>
        </w:rPr>
      </w:pPr>
    </w:p>
    <w:tbl>
      <w:tblPr>
        <w:tblW w:w="0" w:type="auto"/>
        <w:jc w:val="left"/>
        <w:tblInd w:w="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0"/>
        <w:gridCol w:w="672"/>
        <w:gridCol w:w="420"/>
        <w:gridCol w:w="663"/>
        <w:gridCol w:w="806"/>
        <w:gridCol w:w="1029"/>
        <w:gridCol w:w="1342"/>
        <w:gridCol w:w="744"/>
        <w:gridCol w:w="759"/>
        <w:gridCol w:w="586"/>
        <w:gridCol w:w="597"/>
      </w:tblGrid>
      <w:tr>
        <w:trPr>
          <w:trHeight w:val="189" w:hRule="atLeast"/>
        </w:trPr>
        <w:tc>
          <w:tcPr>
            <w:tcW w:w="2750" w:type="dxa"/>
            <w:tcBorders>
              <w:top w:val="single" w:sz="4" w:space="0" w:color="000000"/>
            </w:tcBorders>
            <w:shd w:val="clear" w:color="auto" w:fill="F9FCF9"/>
          </w:tcPr>
          <w:p>
            <w:pPr>
              <w:pStyle w:val="TableParagraph"/>
              <w:spacing w:line="170" w:lineRule="exact"/>
              <w:ind w:left="28"/>
              <w:jc w:val="left"/>
              <w:rPr>
                <w:sz w:val="14"/>
              </w:rPr>
            </w:pPr>
            <w:r>
              <w:rPr>
                <w:sz w:val="14"/>
              </w:rPr>
              <w:t>CO</w:t>
            </w:r>
            <w:r>
              <w:rPr>
                <w:position w:val="-4"/>
                <w:sz w:val="8"/>
              </w:rPr>
              <w:t>2 </w:t>
            </w:r>
            <w:r>
              <w:rPr>
                <w:sz w:val="14"/>
              </w:rPr>
              <w:t>product pressure (MPa)</w:t>
            </w:r>
          </w:p>
        </w:tc>
        <w:tc>
          <w:tcPr>
            <w:tcW w:w="672" w:type="dxa"/>
            <w:tcBorders>
              <w:top w:val="single" w:sz="4" w:space="0" w:color="000000"/>
            </w:tcBorders>
            <w:shd w:val="clear" w:color="auto" w:fill="F9FCF9"/>
          </w:tcPr>
          <w:p>
            <w:pPr>
              <w:pStyle w:val="TableParagraph"/>
              <w:spacing w:line="159" w:lineRule="exact"/>
              <w:ind w:left="229" w:right="1"/>
              <w:rPr>
                <w:sz w:val="14"/>
              </w:rPr>
            </w:pPr>
            <w:r>
              <w:rPr>
                <w:sz w:val="14"/>
              </w:rPr>
              <w:t>13.7</w:t>
            </w:r>
          </w:p>
        </w:tc>
        <w:tc>
          <w:tcPr>
            <w:tcW w:w="1083" w:type="dxa"/>
            <w:gridSpan w:val="2"/>
            <w:tcBorders>
              <w:top w:val="single" w:sz="4" w:space="0" w:color="000000"/>
            </w:tcBorders>
            <w:shd w:val="clear" w:color="auto" w:fill="F9FCF9"/>
          </w:tcPr>
          <w:p>
            <w:pPr>
              <w:pStyle w:val="TableParagraph"/>
              <w:spacing w:line="159" w:lineRule="exact"/>
              <w:ind w:left="560"/>
              <w:jc w:val="left"/>
              <w:rPr>
                <w:sz w:val="14"/>
              </w:rPr>
            </w:pPr>
            <w:r>
              <w:rPr>
                <w:sz w:val="14"/>
              </w:rPr>
              <w:t>13.7</w:t>
            </w:r>
          </w:p>
        </w:tc>
        <w:tc>
          <w:tcPr>
            <w:tcW w:w="806" w:type="dxa"/>
            <w:tcBorders>
              <w:top w:val="single" w:sz="4" w:space="0" w:color="000000"/>
            </w:tcBorders>
            <w:shd w:val="clear" w:color="auto" w:fill="F9FCF9"/>
          </w:tcPr>
          <w:p>
            <w:pPr>
              <w:pStyle w:val="TableParagraph"/>
              <w:spacing w:line="159" w:lineRule="exact"/>
              <w:ind w:left="219" w:right="266"/>
              <w:rPr>
                <w:sz w:val="14"/>
              </w:rPr>
            </w:pPr>
            <w:r>
              <w:rPr>
                <w:sz w:val="14"/>
              </w:rPr>
              <w:t>13.7</w:t>
            </w:r>
          </w:p>
        </w:tc>
        <w:tc>
          <w:tcPr>
            <w:tcW w:w="1029" w:type="dxa"/>
            <w:tcBorders>
              <w:top w:val="single" w:sz="4" w:space="0" w:color="000000"/>
            </w:tcBorders>
            <w:shd w:val="clear" w:color="auto" w:fill="F9FCF9"/>
          </w:tcPr>
          <w:p>
            <w:pPr>
              <w:pStyle w:val="TableParagraph"/>
              <w:spacing w:line="159" w:lineRule="exact"/>
              <w:ind w:right="482"/>
              <w:jc w:val="right"/>
              <w:rPr>
                <w:sz w:val="14"/>
              </w:rPr>
            </w:pPr>
            <w:r>
              <w:rPr>
                <w:sz w:val="14"/>
              </w:rPr>
              <w:t>13.4</w:t>
            </w:r>
          </w:p>
        </w:tc>
        <w:tc>
          <w:tcPr>
            <w:tcW w:w="1342" w:type="dxa"/>
            <w:tcBorders>
              <w:top w:val="single" w:sz="4" w:space="0" w:color="000000"/>
            </w:tcBorders>
            <w:shd w:val="clear" w:color="auto" w:fill="F9FCF9"/>
          </w:tcPr>
          <w:p>
            <w:pPr>
              <w:pStyle w:val="TableParagraph"/>
              <w:spacing w:line="159" w:lineRule="exact"/>
              <w:ind w:right="669"/>
              <w:jc w:val="right"/>
              <w:rPr>
                <w:sz w:val="14"/>
              </w:rPr>
            </w:pPr>
            <w:r>
              <w:rPr>
                <w:sz w:val="14"/>
              </w:rPr>
              <w:t>20</w:t>
            </w:r>
          </w:p>
        </w:tc>
        <w:tc>
          <w:tcPr>
            <w:tcW w:w="744" w:type="dxa"/>
            <w:tcBorders>
              <w:top w:val="single" w:sz="4" w:space="0" w:color="000000"/>
            </w:tcBorders>
            <w:shd w:val="clear" w:color="auto" w:fill="F9FCF9"/>
          </w:tcPr>
          <w:p>
            <w:pPr>
              <w:pStyle w:val="TableParagraph"/>
              <w:spacing w:line="159" w:lineRule="exact"/>
              <w:ind w:left="167" w:right="257"/>
              <w:rPr>
                <w:sz w:val="14"/>
              </w:rPr>
            </w:pPr>
            <w:r>
              <w:rPr>
                <w:sz w:val="14"/>
              </w:rPr>
              <w:t>15</w:t>
            </w:r>
          </w:p>
        </w:tc>
        <w:tc>
          <w:tcPr>
            <w:tcW w:w="759" w:type="dxa"/>
            <w:tcBorders>
              <w:top w:val="single" w:sz="4" w:space="0" w:color="000000"/>
            </w:tcBorders>
            <w:shd w:val="clear" w:color="auto" w:fill="F9FCF9"/>
          </w:tcPr>
          <w:p>
            <w:pPr>
              <w:pStyle w:val="TableParagraph"/>
              <w:spacing w:line="159" w:lineRule="exact"/>
              <w:ind w:right="277"/>
              <w:jc w:val="right"/>
              <w:rPr>
                <w:sz w:val="14"/>
              </w:rPr>
            </w:pPr>
            <w:r>
              <w:rPr>
                <w:sz w:val="14"/>
              </w:rPr>
              <w:t>15</w:t>
            </w:r>
          </w:p>
        </w:tc>
        <w:tc>
          <w:tcPr>
            <w:tcW w:w="586" w:type="dxa"/>
            <w:tcBorders>
              <w:top w:val="single" w:sz="4" w:space="0" w:color="000000"/>
            </w:tcBorders>
            <w:shd w:val="clear" w:color="auto" w:fill="F9FCF9"/>
          </w:tcPr>
          <w:p>
            <w:pPr>
              <w:pStyle w:val="TableParagraph"/>
              <w:spacing w:line="159" w:lineRule="exact"/>
              <w:ind w:right="138"/>
              <w:jc w:val="right"/>
              <w:rPr>
                <w:b/>
                <w:sz w:val="14"/>
              </w:rPr>
            </w:pPr>
            <w:r>
              <w:rPr>
                <w:b/>
                <w:sz w:val="14"/>
              </w:rPr>
              <w:t>13.4</w:t>
            </w:r>
          </w:p>
        </w:tc>
        <w:tc>
          <w:tcPr>
            <w:tcW w:w="597" w:type="dxa"/>
            <w:tcBorders>
              <w:top w:val="single" w:sz="4" w:space="0" w:color="000000"/>
            </w:tcBorders>
            <w:shd w:val="clear" w:color="auto" w:fill="F9FCF9"/>
          </w:tcPr>
          <w:p>
            <w:pPr>
              <w:pStyle w:val="TableParagraph"/>
              <w:spacing w:line="159" w:lineRule="exact"/>
              <w:ind w:right="184"/>
              <w:jc w:val="right"/>
              <w:rPr>
                <w:b/>
                <w:sz w:val="14"/>
              </w:rPr>
            </w:pPr>
            <w:r>
              <w:rPr>
                <w:b/>
                <w:sz w:val="14"/>
              </w:rPr>
              <w:t>20.0</w:t>
            </w:r>
          </w:p>
        </w:tc>
      </w:tr>
      <w:tr>
        <w:trPr>
          <w:trHeight w:val="149" w:hRule="atLeast"/>
        </w:trPr>
        <w:tc>
          <w:tcPr>
            <w:tcW w:w="2750" w:type="dxa"/>
            <w:shd w:val="clear" w:color="auto" w:fill="F9FCF9"/>
          </w:tcPr>
          <w:p>
            <w:pPr>
              <w:pStyle w:val="TableParagraph"/>
              <w:spacing w:line="129" w:lineRule="exact"/>
              <w:ind w:left="28"/>
              <w:jc w:val="left"/>
              <w:rPr>
                <w:sz w:val="14"/>
              </w:rPr>
            </w:pPr>
            <w:r>
              <w:rPr>
                <w:sz w:val="14"/>
              </w:rPr>
              <w:t>CCS energy requirement (% more input/GJ</w:t>
            </w:r>
          </w:p>
        </w:tc>
        <w:tc>
          <w:tcPr>
            <w:tcW w:w="672" w:type="dxa"/>
            <w:shd w:val="clear" w:color="auto" w:fill="F9FCF9"/>
          </w:tcPr>
          <w:p>
            <w:pPr>
              <w:pStyle w:val="TableParagraph"/>
              <w:spacing w:line="129" w:lineRule="exact"/>
              <w:ind w:left="229" w:right="1"/>
              <w:rPr>
                <w:sz w:val="14"/>
              </w:rPr>
            </w:pPr>
            <w:r>
              <w:rPr>
                <w:sz w:val="14"/>
              </w:rPr>
              <w:t>21.8</w:t>
            </w:r>
          </w:p>
        </w:tc>
        <w:tc>
          <w:tcPr>
            <w:tcW w:w="1083" w:type="dxa"/>
            <w:gridSpan w:val="2"/>
            <w:shd w:val="clear" w:color="auto" w:fill="F9FCF9"/>
          </w:tcPr>
          <w:p>
            <w:pPr>
              <w:pStyle w:val="TableParagraph"/>
              <w:spacing w:line="129" w:lineRule="exact"/>
              <w:ind w:left="595"/>
              <w:jc w:val="left"/>
              <w:rPr>
                <w:sz w:val="14"/>
              </w:rPr>
            </w:pPr>
            <w:r>
              <w:rPr>
                <w:sz w:val="14"/>
              </w:rPr>
              <w:t>9.5</w:t>
            </w:r>
          </w:p>
        </w:tc>
        <w:tc>
          <w:tcPr>
            <w:tcW w:w="806" w:type="dxa"/>
            <w:shd w:val="clear" w:color="auto" w:fill="F9FCF9"/>
          </w:tcPr>
          <w:p>
            <w:pPr>
              <w:pStyle w:val="TableParagraph"/>
              <w:spacing w:line="129" w:lineRule="exact"/>
              <w:ind w:left="219" w:right="266"/>
              <w:rPr>
                <w:sz w:val="14"/>
              </w:rPr>
            </w:pPr>
            <w:r>
              <w:rPr>
                <w:sz w:val="14"/>
              </w:rPr>
              <w:t>4.5</w:t>
            </w:r>
          </w:p>
        </w:tc>
        <w:tc>
          <w:tcPr>
            <w:tcW w:w="1029" w:type="dxa"/>
            <w:shd w:val="clear" w:color="auto" w:fill="F9FCF9"/>
          </w:tcPr>
          <w:p>
            <w:pPr>
              <w:pStyle w:val="TableParagraph"/>
              <w:spacing w:line="129" w:lineRule="exact"/>
              <w:ind w:right="517"/>
              <w:jc w:val="right"/>
              <w:rPr>
                <w:sz w:val="14"/>
              </w:rPr>
            </w:pPr>
            <w:r>
              <w:rPr>
                <w:sz w:val="14"/>
              </w:rPr>
              <w:t>4.7</w:t>
            </w:r>
          </w:p>
        </w:tc>
        <w:tc>
          <w:tcPr>
            <w:tcW w:w="1342" w:type="dxa"/>
            <w:shd w:val="clear" w:color="auto" w:fill="F9FCF9"/>
          </w:tcPr>
          <w:p>
            <w:pPr>
              <w:pStyle w:val="TableParagraph"/>
              <w:spacing w:line="129" w:lineRule="exact"/>
              <w:ind w:right="652"/>
              <w:jc w:val="right"/>
              <w:rPr>
                <w:sz w:val="14"/>
              </w:rPr>
            </w:pPr>
            <w:r>
              <w:rPr>
                <w:sz w:val="14"/>
              </w:rPr>
              <w:t>7.9</w:t>
            </w:r>
          </w:p>
        </w:tc>
        <w:tc>
          <w:tcPr>
            <w:tcW w:w="744" w:type="dxa"/>
            <w:shd w:val="clear" w:color="auto" w:fill="F9FCF9"/>
          </w:tcPr>
          <w:p>
            <w:pPr>
              <w:pStyle w:val="TableParagraph"/>
              <w:spacing w:line="129" w:lineRule="exact"/>
              <w:ind w:left="167" w:right="257"/>
              <w:rPr>
                <w:sz w:val="14"/>
              </w:rPr>
            </w:pPr>
            <w:r>
              <w:rPr>
                <w:sz w:val="14"/>
              </w:rPr>
              <w:t>3.6</w:t>
            </w:r>
          </w:p>
        </w:tc>
        <w:tc>
          <w:tcPr>
            <w:tcW w:w="759" w:type="dxa"/>
            <w:shd w:val="clear" w:color="auto" w:fill="F9FCF9"/>
          </w:tcPr>
          <w:p>
            <w:pPr>
              <w:pStyle w:val="TableParagraph"/>
              <w:spacing w:line="129" w:lineRule="exact"/>
              <w:ind w:right="259"/>
              <w:jc w:val="right"/>
              <w:rPr>
                <w:sz w:val="14"/>
              </w:rPr>
            </w:pPr>
            <w:r>
              <w:rPr>
                <w:sz w:val="14"/>
              </w:rPr>
              <w:t>3.9</w:t>
            </w:r>
          </w:p>
        </w:tc>
        <w:tc>
          <w:tcPr>
            <w:tcW w:w="586" w:type="dxa"/>
            <w:shd w:val="clear" w:color="auto" w:fill="F9FCF9"/>
          </w:tcPr>
          <w:p>
            <w:pPr>
              <w:pStyle w:val="TableParagraph"/>
              <w:spacing w:line="129" w:lineRule="exact"/>
              <w:ind w:right="173"/>
              <w:jc w:val="right"/>
              <w:rPr>
                <w:b/>
                <w:sz w:val="14"/>
              </w:rPr>
            </w:pPr>
            <w:r>
              <w:rPr>
                <w:b/>
                <w:sz w:val="14"/>
              </w:rPr>
              <w:t>3.6</w:t>
            </w:r>
          </w:p>
        </w:tc>
        <w:tc>
          <w:tcPr>
            <w:tcW w:w="597" w:type="dxa"/>
            <w:shd w:val="clear" w:color="auto" w:fill="F9FCF9"/>
          </w:tcPr>
          <w:p>
            <w:pPr>
              <w:pStyle w:val="TableParagraph"/>
              <w:spacing w:line="129" w:lineRule="exact"/>
              <w:ind w:right="184"/>
              <w:jc w:val="right"/>
              <w:rPr>
                <w:b/>
                <w:sz w:val="14"/>
              </w:rPr>
            </w:pPr>
            <w:r>
              <w:rPr>
                <w:b/>
                <w:sz w:val="14"/>
              </w:rPr>
              <w:t>21.8</w:t>
            </w:r>
          </w:p>
        </w:tc>
      </w:tr>
      <w:tr>
        <w:trPr>
          <w:trHeight w:val="148" w:hRule="atLeast"/>
        </w:trPr>
        <w:tc>
          <w:tcPr>
            <w:tcW w:w="2750" w:type="dxa"/>
            <w:tcBorders>
              <w:bottom w:val="single" w:sz="4" w:space="0" w:color="000000"/>
            </w:tcBorders>
            <w:shd w:val="clear" w:color="auto" w:fill="F9FCF9"/>
          </w:tcPr>
          <w:p>
            <w:pPr>
              <w:pStyle w:val="TableParagraph"/>
              <w:spacing w:line="122" w:lineRule="exact"/>
              <w:ind w:left="28"/>
              <w:jc w:val="left"/>
              <w:rPr>
                <w:sz w:val="14"/>
              </w:rPr>
            </w:pPr>
            <w:r>
              <w:rPr>
                <w:sz w:val="14"/>
              </w:rPr>
              <w:t>plant output)</w:t>
            </w:r>
          </w:p>
        </w:tc>
        <w:tc>
          <w:tcPr>
            <w:tcW w:w="672" w:type="dxa"/>
            <w:tcBorders>
              <w:bottom w:val="single" w:sz="4" w:space="0" w:color="000000"/>
            </w:tcBorders>
            <w:shd w:val="clear" w:color="auto" w:fill="F9FCF9"/>
          </w:tcPr>
          <w:p>
            <w:pPr>
              <w:pStyle w:val="TableParagraph"/>
              <w:jc w:val="left"/>
              <w:rPr>
                <w:sz w:val="8"/>
              </w:rPr>
            </w:pPr>
          </w:p>
        </w:tc>
        <w:tc>
          <w:tcPr>
            <w:tcW w:w="1083" w:type="dxa"/>
            <w:gridSpan w:val="2"/>
            <w:tcBorders>
              <w:bottom w:val="single" w:sz="4" w:space="0" w:color="000000"/>
            </w:tcBorders>
            <w:shd w:val="clear" w:color="auto" w:fill="F9FCF9"/>
          </w:tcPr>
          <w:p>
            <w:pPr>
              <w:pStyle w:val="TableParagraph"/>
              <w:jc w:val="left"/>
              <w:rPr>
                <w:sz w:val="8"/>
              </w:rPr>
            </w:pPr>
          </w:p>
        </w:tc>
        <w:tc>
          <w:tcPr>
            <w:tcW w:w="806" w:type="dxa"/>
            <w:tcBorders>
              <w:bottom w:val="single" w:sz="4" w:space="0" w:color="000000"/>
            </w:tcBorders>
            <w:shd w:val="clear" w:color="auto" w:fill="F9FCF9"/>
          </w:tcPr>
          <w:p>
            <w:pPr>
              <w:pStyle w:val="TableParagraph"/>
              <w:jc w:val="left"/>
              <w:rPr>
                <w:sz w:val="8"/>
              </w:rPr>
            </w:pPr>
          </w:p>
        </w:tc>
        <w:tc>
          <w:tcPr>
            <w:tcW w:w="1029" w:type="dxa"/>
            <w:tcBorders>
              <w:bottom w:val="single" w:sz="4" w:space="0" w:color="000000"/>
            </w:tcBorders>
            <w:shd w:val="clear" w:color="auto" w:fill="F9FCF9"/>
          </w:tcPr>
          <w:p>
            <w:pPr>
              <w:pStyle w:val="TableParagraph"/>
              <w:jc w:val="left"/>
              <w:rPr>
                <w:sz w:val="8"/>
              </w:rPr>
            </w:pPr>
          </w:p>
        </w:tc>
        <w:tc>
          <w:tcPr>
            <w:tcW w:w="1342" w:type="dxa"/>
            <w:tcBorders>
              <w:bottom w:val="single" w:sz="4" w:space="0" w:color="000000"/>
            </w:tcBorders>
            <w:shd w:val="clear" w:color="auto" w:fill="F9FCF9"/>
          </w:tcPr>
          <w:p>
            <w:pPr>
              <w:pStyle w:val="TableParagraph"/>
              <w:jc w:val="left"/>
              <w:rPr>
                <w:sz w:val="8"/>
              </w:rPr>
            </w:pPr>
          </w:p>
        </w:tc>
        <w:tc>
          <w:tcPr>
            <w:tcW w:w="744" w:type="dxa"/>
            <w:tcBorders>
              <w:bottom w:val="single" w:sz="4" w:space="0" w:color="000000"/>
            </w:tcBorders>
            <w:shd w:val="clear" w:color="auto" w:fill="F9FCF9"/>
          </w:tcPr>
          <w:p>
            <w:pPr>
              <w:pStyle w:val="TableParagraph"/>
              <w:jc w:val="left"/>
              <w:rPr>
                <w:sz w:val="8"/>
              </w:rPr>
            </w:pPr>
          </w:p>
        </w:tc>
        <w:tc>
          <w:tcPr>
            <w:tcW w:w="759" w:type="dxa"/>
            <w:tcBorders>
              <w:bottom w:val="single" w:sz="4" w:space="0" w:color="000000"/>
            </w:tcBorders>
            <w:shd w:val="clear" w:color="auto" w:fill="F9FCF9"/>
          </w:tcPr>
          <w:p>
            <w:pPr>
              <w:pStyle w:val="TableParagraph"/>
              <w:jc w:val="left"/>
              <w:rPr>
                <w:sz w:val="8"/>
              </w:rPr>
            </w:pPr>
          </w:p>
        </w:tc>
        <w:tc>
          <w:tcPr>
            <w:tcW w:w="586" w:type="dxa"/>
            <w:tcBorders>
              <w:bottom w:val="single" w:sz="4" w:space="0" w:color="000000"/>
            </w:tcBorders>
            <w:shd w:val="clear" w:color="auto" w:fill="F9FCF9"/>
          </w:tcPr>
          <w:p>
            <w:pPr>
              <w:pStyle w:val="TableParagraph"/>
              <w:jc w:val="left"/>
              <w:rPr>
                <w:sz w:val="8"/>
              </w:rPr>
            </w:pPr>
          </w:p>
        </w:tc>
        <w:tc>
          <w:tcPr>
            <w:tcW w:w="597" w:type="dxa"/>
            <w:tcBorders>
              <w:bottom w:val="single" w:sz="4" w:space="0" w:color="000000"/>
            </w:tcBorders>
            <w:shd w:val="clear" w:color="auto" w:fill="F9FCF9"/>
          </w:tcPr>
          <w:p>
            <w:pPr>
              <w:pStyle w:val="TableParagraph"/>
              <w:jc w:val="left"/>
              <w:rPr>
                <w:sz w:val="8"/>
              </w:rPr>
            </w:pPr>
          </w:p>
        </w:tc>
      </w:tr>
      <w:tr>
        <w:trPr>
          <w:trHeight w:val="306" w:hRule="atLeast"/>
        </w:trPr>
        <w:tc>
          <w:tcPr>
            <w:tcW w:w="2750" w:type="dxa"/>
            <w:tcBorders>
              <w:top w:val="single" w:sz="4" w:space="0" w:color="000000"/>
              <w:bottom w:val="single" w:sz="4" w:space="0" w:color="000000"/>
            </w:tcBorders>
            <w:shd w:val="clear" w:color="auto" w:fill="F9FCF9"/>
          </w:tcPr>
          <w:p>
            <w:pPr>
              <w:pStyle w:val="TableParagraph"/>
              <w:spacing w:line="178" w:lineRule="exact"/>
              <w:ind w:left="28"/>
              <w:jc w:val="left"/>
              <w:rPr>
                <w:b/>
                <w:sz w:val="14"/>
              </w:rPr>
            </w:pPr>
            <w:r>
              <w:rPr>
                <w:b/>
                <w:sz w:val="14"/>
              </w:rPr>
              <w:t>CO</w:t>
            </w:r>
            <w:r>
              <w:rPr>
                <w:b/>
                <w:position w:val="-4"/>
                <w:sz w:val="8"/>
              </w:rPr>
              <w:t>2 </w:t>
            </w:r>
            <w:r>
              <w:rPr>
                <w:b/>
                <w:sz w:val="14"/>
              </w:rPr>
              <w:t>reduction per unit product (%)</w:t>
            </w:r>
          </w:p>
          <w:p>
            <w:pPr>
              <w:pStyle w:val="TableParagraph"/>
              <w:spacing w:line="116" w:lineRule="exact"/>
              <w:ind w:left="203"/>
              <w:jc w:val="left"/>
              <w:rPr>
                <w:b/>
                <w:i/>
                <w:sz w:val="14"/>
              </w:rPr>
            </w:pPr>
            <w:r>
              <w:rPr>
                <w:b/>
                <w:i/>
                <w:sz w:val="14"/>
              </w:rPr>
              <w:t>Cost Results</w:t>
            </w:r>
          </w:p>
        </w:tc>
        <w:tc>
          <w:tcPr>
            <w:tcW w:w="672" w:type="dxa"/>
            <w:tcBorders>
              <w:top w:val="single" w:sz="4" w:space="0" w:color="000000"/>
              <w:bottom w:val="single" w:sz="4" w:space="0" w:color="000000"/>
            </w:tcBorders>
            <w:shd w:val="clear" w:color="auto" w:fill="F9FCF9"/>
          </w:tcPr>
          <w:p>
            <w:pPr>
              <w:pStyle w:val="TableParagraph"/>
              <w:spacing w:line="159" w:lineRule="exact"/>
              <w:ind w:left="229" w:right="1"/>
              <w:rPr>
                <w:sz w:val="14"/>
              </w:rPr>
            </w:pPr>
            <w:r>
              <w:rPr>
                <w:sz w:val="14"/>
              </w:rPr>
              <w:t>72</w:t>
            </w:r>
          </w:p>
        </w:tc>
        <w:tc>
          <w:tcPr>
            <w:tcW w:w="1083" w:type="dxa"/>
            <w:gridSpan w:val="2"/>
            <w:tcBorders>
              <w:top w:val="single" w:sz="4" w:space="0" w:color="000000"/>
              <w:bottom w:val="single" w:sz="4" w:space="0" w:color="000000"/>
            </w:tcBorders>
            <w:shd w:val="clear" w:color="auto" w:fill="F9FCF9"/>
          </w:tcPr>
          <w:p>
            <w:pPr>
              <w:pStyle w:val="TableParagraph"/>
              <w:spacing w:line="159" w:lineRule="exact"/>
              <w:ind w:left="612"/>
              <w:jc w:val="left"/>
              <w:rPr>
                <w:sz w:val="14"/>
              </w:rPr>
            </w:pPr>
            <w:r>
              <w:rPr>
                <w:sz w:val="14"/>
              </w:rPr>
              <w:t>83</w:t>
            </w:r>
          </w:p>
        </w:tc>
        <w:tc>
          <w:tcPr>
            <w:tcW w:w="806" w:type="dxa"/>
            <w:tcBorders>
              <w:top w:val="single" w:sz="4" w:space="0" w:color="000000"/>
              <w:bottom w:val="single" w:sz="4" w:space="0" w:color="000000"/>
            </w:tcBorders>
            <w:shd w:val="clear" w:color="auto" w:fill="F9FCF9"/>
          </w:tcPr>
          <w:p>
            <w:pPr>
              <w:pStyle w:val="TableParagraph"/>
              <w:spacing w:line="159" w:lineRule="exact"/>
              <w:ind w:left="219" w:right="266"/>
              <w:rPr>
                <w:sz w:val="14"/>
              </w:rPr>
            </w:pPr>
            <w:r>
              <w:rPr>
                <w:sz w:val="14"/>
              </w:rPr>
              <w:t>83</w:t>
            </w:r>
          </w:p>
        </w:tc>
        <w:tc>
          <w:tcPr>
            <w:tcW w:w="1029" w:type="dxa"/>
            <w:tcBorders>
              <w:top w:val="single" w:sz="4" w:space="0" w:color="000000"/>
              <w:bottom w:val="single" w:sz="4" w:space="0" w:color="000000"/>
            </w:tcBorders>
            <w:shd w:val="clear" w:color="auto" w:fill="F9FCF9"/>
          </w:tcPr>
          <w:p>
            <w:pPr>
              <w:pStyle w:val="TableParagraph"/>
              <w:spacing w:line="159" w:lineRule="exact"/>
              <w:ind w:right="534"/>
              <w:jc w:val="right"/>
              <w:rPr>
                <w:sz w:val="14"/>
              </w:rPr>
            </w:pPr>
            <w:r>
              <w:rPr>
                <w:sz w:val="14"/>
              </w:rPr>
              <w:t>92</w:t>
            </w:r>
          </w:p>
        </w:tc>
        <w:tc>
          <w:tcPr>
            <w:tcW w:w="1342" w:type="dxa"/>
            <w:tcBorders>
              <w:top w:val="single" w:sz="4" w:space="0" w:color="000000"/>
              <w:bottom w:val="single" w:sz="4" w:space="0" w:color="000000"/>
            </w:tcBorders>
            <w:shd w:val="clear" w:color="auto" w:fill="F9FCF9"/>
          </w:tcPr>
          <w:p>
            <w:pPr>
              <w:pStyle w:val="TableParagraph"/>
              <w:spacing w:line="159" w:lineRule="exact"/>
              <w:ind w:right="669"/>
              <w:jc w:val="right"/>
              <w:rPr>
                <w:sz w:val="14"/>
              </w:rPr>
            </w:pPr>
            <w:r>
              <w:rPr>
                <w:sz w:val="14"/>
              </w:rPr>
              <w:t>86</w:t>
            </w:r>
          </w:p>
        </w:tc>
        <w:tc>
          <w:tcPr>
            <w:tcW w:w="744" w:type="dxa"/>
            <w:tcBorders>
              <w:top w:val="single" w:sz="4" w:space="0" w:color="000000"/>
              <w:bottom w:val="single" w:sz="4" w:space="0" w:color="000000"/>
            </w:tcBorders>
            <w:shd w:val="clear" w:color="auto" w:fill="F9FCF9"/>
          </w:tcPr>
          <w:p>
            <w:pPr>
              <w:pStyle w:val="TableParagraph"/>
              <w:spacing w:line="159" w:lineRule="exact"/>
              <w:ind w:left="167" w:right="257"/>
              <w:rPr>
                <w:sz w:val="14"/>
              </w:rPr>
            </w:pPr>
            <w:r>
              <w:rPr>
                <w:sz w:val="14"/>
              </w:rPr>
              <w:t>92</w:t>
            </w:r>
          </w:p>
        </w:tc>
        <w:tc>
          <w:tcPr>
            <w:tcW w:w="759" w:type="dxa"/>
            <w:tcBorders>
              <w:top w:val="single" w:sz="4" w:space="0" w:color="000000"/>
              <w:bottom w:val="single" w:sz="4" w:space="0" w:color="000000"/>
            </w:tcBorders>
            <w:shd w:val="clear" w:color="auto" w:fill="F9FCF9"/>
          </w:tcPr>
          <w:p>
            <w:pPr>
              <w:pStyle w:val="TableParagraph"/>
              <w:spacing w:line="159" w:lineRule="exact"/>
              <w:ind w:right="277"/>
              <w:jc w:val="right"/>
              <w:rPr>
                <w:sz w:val="14"/>
              </w:rPr>
            </w:pPr>
            <w:r>
              <w:rPr>
                <w:sz w:val="14"/>
              </w:rPr>
              <w:t>96</w:t>
            </w:r>
          </w:p>
        </w:tc>
        <w:tc>
          <w:tcPr>
            <w:tcW w:w="586" w:type="dxa"/>
            <w:tcBorders>
              <w:top w:val="single" w:sz="4" w:space="0" w:color="000000"/>
              <w:bottom w:val="single" w:sz="4" w:space="0" w:color="000000"/>
            </w:tcBorders>
            <w:shd w:val="clear" w:color="auto" w:fill="F9FCF9"/>
          </w:tcPr>
          <w:p>
            <w:pPr>
              <w:pStyle w:val="TableParagraph"/>
              <w:spacing w:line="159" w:lineRule="exact"/>
              <w:ind w:right="191"/>
              <w:jc w:val="right"/>
              <w:rPr>
                <w:b/>
                <w:sz w:val="14"/>
              </w:rPr>
            </w:pPr>
            <w:r>
              <w:rPr>
                <w:b/>
                <w:sz w:val="14"/>
              </w:rPr>
              <w:t>72</w:t>
            </w:r>
          </w:p>
        </w:tc>
        <w:tc>
          <w:tcPr>
            <w:tcW w:w="597" w:type="dxa"/>
            <w:tcBorders>
              <w:top w:val="single" w:sz="4" w:space="0" w:color="000000"/>
              <w:bottom w:val="single" w:sz="4" w:space="0" w:color="000000"/>
            </w:tcBorders>
            <w:shd w:val="clear" w:color="auto" w:fill="F9FCF9"/>
          </w:tcPr>
          <w:p>
            <w:pPr>
              <w:pStyle w:val="TableParagraph"/>
              <w:spacing w:line="159" w:lineRule="exact"/>
              <w:ind w:right="236"/>
              <w:jc w:val="right"/>
              <w:rPr>
                <w:b/>
                <w:sz w:val="14"/>
              </w:rPr>
            </w:pPr>
            <w:r>
              <w:rPr>
                <w:b/>
                <w:sz w:val="14"/>
              </w:rPr>
              <w:t>96</w:t>
            </w:r>
          </w:p>
        </w:tc>
      </w:tr>
      <w:tr>
        <w:trPr>
          <w:trHeight w:val="158" w:hRule="atLeast"/>
        </w:trPr>
        <w:tc>
          <w:tcPr>
            <w:tcW w:w="2750" w:type="dxa"/>
            <w:tcBorders>
              <w:bottom w:val="single" w:sz="4" w:space="0" w:color="000000"/>
            </w:tcBorders>
            <w:shd w:val="clear" w:color="auto" w:fill="F9FCF9"/>
          </w:tcPr>
          <w:p>
            <w:pPr>
              <w:pStyle w:val="TableParagraph"/>
              <w:spacing w:line="132" w:lineRule="exact"/>
              <w:ind w:left="28"/>
              <w:jc w:val="left"/>
              <w:rPr>
                <w:sz w:val="14"/>
              </w:rPr>
            </w:pPr>
            <w:r>
              <w:rPr>
                <w:sz w:val="14"/>
              </w:rPr>
              <w:t>Cost year basis (constant dollars)</w:t>
            </w:r>
          </w:p>
        </w:tc>
        <w:tc>
          <w:tcPr>
            <w:tcW w:w="672" w:type="dxa"/>
            <w:tcBorders>
              <w:bottom w:val="single" w:sz="4" w:space="0" w:color="000000"/>
            </w:tcBorders>
            <w:shd w:val="clear" w:color="auto" w:fill="F9FCF9"/>
          </w:tcPr>
          <w:p>
            <w:pPr>
              <w:pStyle w:val="TableParagraph"/>
              <w:spacing w:line="132" w:lineRule="exact"/>
              <w:ind w:left="229" w:right="1"/>
              <w:rPr>
                <w:sz w:val="14"/>
              </w:rPr>
            </w:pPr>
            <w:r>
              <w:rPr>
                <w:sz w:val="14"/>
              </w:rPr>
              <w:t>2003</w:t>
            </w:r>
          </w:p>
        </w:tc>
        <w:tc>
          <w:tcPr>
            <w:tcW w:w="420" w:type="dxa"/>
            <w:tcBorders>
              <w:bottom w:val="single" w:sz="4" w:space="0" w:color="000000"/>
            </w:tcBorders>
            <w:shd w:val="clear" w:color="auto" w:fill="F9FCF9"/>
          </w:tcPr>
          <w:p>
            <w:pPr>
              <w:pStyle w:val="TableParagraph"/>
              <w:jc w:val="left"/>
              <w:rPr>
                <w:sz w:val="8"/>
              </w:rPr>
            </w:pPr>
          </w:p>
        </w:tc>
        <w:tc>
          <w:tcPr>
            <w:tcW w:w="663" w:type="dxa"/>
            <w:tcBorders>
              <w:bottom w:val="single" w:sz="4" w:space="0" w:color="000000"/>
            </w:tcBorders>
            <w:shd w:val="clear" w:color="auto" w:fill="F9FCF9"/>
          </w:tcPr>
          <w:p>
            <w:pPr>
              <w:pStyle w:val="TableParagraph"/>
              <w:spacing w:line="132" w:lineRule="exact"/>
              <w:ind w:left="122"/>
              <w:jc w:val="left"/>
              <w:rPr>
                <w:sz w:val="14"/>
              </w:rPr>
            </w:pPr>
            <w:r>
              <w:rPr>
                <w:sz w:val="14"/>
              </w:rPr>
              <w:t>2000</w:t>
            </w:r>
          </w:p>
        </w:tc>
        <w:tc>
          <w:tcPr>
            <w:tcW w:w="806" w:type="dxa"/>
            <w:tcBorders>
              <w:bottom w:val="single" w:sz="4" w:space="0" w:color="000000"/>
            </w:tcBorders>
            <w:shd w:val="clear" w:color="auto" w:fill="F9FCF9"/>
          </w:tcPr>
          <w:p>
            <w:pPr>
              <w:pStyle w:val="TableParagraph"/>
              <w:spacing w:line="132" w:lineRule="exact"/>
              <w:ind w:left="219" w:right="266"/>
              <w:rPr>
                <w:sz w:val="14"/>
              </w:rPr>
            </w:pPr>
            <w:r>
              <w:rPr>
                <w:sz w:val="14"/>
              </w:rPr>
              <w:t>2000</w:t>
            </w:r>
          </w:p>
        </w:tc>
        <w:tc>
          <w:tcPr>
            <w:tcW w:w="1029" w:type="dxa"/>
            <w:tcBorders>
              <w:bottom w:val="single" w:sz="4" w:space="0" w:color="000000"/>
            </w:tcBorders>
            <w:shd w:val="clear" w:color="auto" w:fill="F9FCF9"/>
          </w:tcPr>
          <w:p>
            <w:pPr>
              <w:pStyle w:val="TableParagraph"/>
              <w:spacing w:line="132" w:lineRule="exact"/>
              <w:ind w:right="464"/>
              <w:jc w:val="right"/>
              <w:rPr>
                <w:sz w:val="14"/>
              </w:rPr>
            </w:pPr>
            <w:r>
              <w:rPr>
                <w:sz w:val="14"/>
              </w:rPr>
              <w:t>2000</w:t>
            </w:r>
          </w:p>
        </w:tc>
        <w:tc>
          <w:tcPr>
            <w:tcW w:w="1342" w:type="dxa"/>
            <w:tcBorders>
              <w:bottom w:val="single" w:sz="4" w:space="0" w:color="000000"/>
            </w:tcBorders>
            <w:shd w:val="clear" w:color="auto" w:fill="F9FCF9"/>
          </w:tcPr>
          <w:p>
            <w:pPr>
              <w:pStyle w:val="TableParagraph"/>
              <w:spacing w:line="132" w:lineRule="exact"/>
              <w:ind w:right="599"/>
              <w:jc w:val="right"/>
              <w:rPr>
                <w:sz w:val="14"/>
              </w:rPr>
            </w:pPr>
            <w:r>
              <w:rPr>
                <w:sz w:val="14"/>
              </w:rPr>
              <w:t>2000</w:t>
            </w:r>
          </w:p>
        </w:tc>
        <w:tc>
          <w:tcPr>
            <w:tcW w:w="744" w:type="dxa"/>
            <w:tcBorders>
              <w:bottom w:val="single" w:sz="4" w:space="0" w:color="000000"/>
            </w:tcBorders>
            <w:shd w:val="clear" w:color="auto" w:fill="F9FCF9"/>
          </w:tcPr>
          <w:p>
            <w:pPr>
              <w:pStyle w:val="TableParagraph"/>
              <w:spacing w:line="132" w:lineRule="exact"/>
              <w:ind w:left="167" w:right="257"/>
              <w:rPr>
                <w:sz w:val="14"/>
              </w:rPr>
            </w:pPr>
            <w:r>
              <w:rPr>
                <w:sz w:val="14"/>
              </w:rPr>
              <w:t>2002</w:t>
            </w:r>
          </w:p>
        </w:tc>
        <w:tc>
          <w:tcPr>
            <w:tcW w:w="759" w:type="dxa"/>
            <w:tcBorders>
              <w:bottom w:val="single" w:sz="4" w:space="0" w:color="000000"/>
            </w:tcBorders>
            <w:shd w:val="clear" w:color="auto" w:fill="F9FCF9"/>
          </w:tcPr>
          <w:p>
            <w:pPr>
              <w:pStyle w:val="TableParagraph"/>
              <w:spacing w:line="132" w:lineRule="exact"/>
              <w:ind w:right="207"/>
              <w:jc w:val="right"/>
              <w:rPr>
                <w:sz w:val="14"/>
              </w:rPr>
            </w:pPr>
            <w:r>
              <w:rPr>
                <w:sz w:val="14"/>
              </w:rPr>
              <w:t>2002</w:t>
            </w:r>
          </w:p>
        </w:tc>
        <w:tc>
          <w:tcPr>
            <w:tcW w:w="586" w:type="dxa"/>
            <w:tcBorders>
              <w:bottom w:val="single" w:sz="4" w:space="0" w:color="000000"/>
            </w:tcBorders>
            <w:shd w:val="clear" w:color="auto" w:fill="F9FCF9"/>
          </w:tcPr>
          <w:p>
            <w:pPr>
              <w:pStyle w:val="TableParagraph"/>
              <w:jc w:val="left"/>
              <w:rPr>
                <w:sz w:val="8"/>
              </w:rPr>
            </w:pPr>
          </w:p>
        </w:tc>
        <w:tc>
          <w:tcPr>
            <w:tcW w:w="597" w:type="dxa"/>
            <w:tcBorders>
              <w:bottom w:val="single" w:sz="4" w:space="0" w:color="000000"/>
            </w:tcBorders>
            <w:shd w:val="clear" w:color="auto" w:fill="F9FCF9"/>
          </w:tcPr>
          <w:p>
            <w:pPr>
              <w:pStyle w:val="TableParagraph"/>
              <w:jc w:val="left"/>
              <w:rPr>
                <w:sz w:val="8"/>
              </w:rPr>
            </w:pPr>
          </w:p>
        </w:tc>
      </w:tr>
      <w:tr>
        <w:trPr>
          <w:trHeight w:val="151" w:hRule="atLeast"/>
        </w:trPr>
        <w:tc>
          <w:tcPr>
            <w:tcW w:w="2750" w:type="dxa"/>
            <w:tcBorders>
              <w:top w:val="single" w:sz="4" w:space="0" w:color="000000"/>
              <w:bottom w:val="single" w:sz="4" w:space="0" w:color="000000"/>
            </w:tcBorders>
            <w:shd w:val="clear" w:color="auto" w:fill="F9FCF9"/>
          </w:tcPr>
          <w:p>
            <w:pPr>
              <w:pStyle w:val="TableParagraph"/>
              <w:spacing w:line="132" w:lineRule="exact"/>
              <w:ind w:left="28"/>
              <w:jc w:val="left"/>
              <w:rPr>
                <w:sz w:val="14"/>
              </w:rPr>
            </w:pPr>
            <w:r>
              <w:rPr>
                <w:sz w:val="14"/>
              </w:rPr>
              <w:t>Fixed charge rate (%)</w:t>
            </w:r>
          </w:p>
        </w:tc>
        <w:tc>
          <w:tcPr>
            <w:tcW w:w="672" w:type="dxa"/>
            <w:tcBorders>
              <w:top w:val="single" w:sz="4" w:space="0" w:color="000000"/>
              <w:bottom w:val="single" w:sz="4" w:space="0" w:color="000000"/>
            </w:tcBorders>
            <w:shd w:val="clear" w:color="auto" w:fill="F9FCF9"/>
          </w:tcPr>
          <w:p>
            <w:pPr>
              <w:pStyle w:val="TableParagraph"/>
              <w:spacing w:line="132" w:lineRule="exact"/>
              <w:ind w:left="229" w:right="1"/>
              <w:rPr>
                <w:sz w:val="14"/>
              </w:rPr>
            </w:pPr>
            <w:r>
              <w:rPr>
                <w:sz w:val="14"/>
              </w:rPr>
              <w:t>20.0</w:t>
            </w:r>
          </w:p>
        </w:tc>
        <w:tc>
          <w:tcPr>
            <w:tcW w:w="420" w:type="dxa"/>
            <w:tcBorders>
              <w:top w:val="single" w:sz="4" w:space="0" w:color="000000"/>
              <w:bottom w:val="single" w:sz="4" w:space="0" w:color="000000"/>
            </w:tcBorders>
            <w:shd w:val="clear" w:color="auto" w:fill="F9FCF9"/>
          </w:tcPr>
          <w:p>
            <w:pPr>
              <w:pStyle w:val="TableParagraph"/>
              <w:jc w:val="left"/>
              <w:rPr>
                <w:sz w:val="8"/>
              </w:rPr>
            </w:pPr>
          </w:p>
        </w:tc>
        <w:tc>
          <w:tcPr>
            <w:tcW w:w="663" w:type="dxa"/>
            <w:tcBorders>
              <w:top w:val="single" w:sz="4" w:space="0" w:color="000000"/>
              <w:bottom w:val="single" w:sz="4" w:space="0" w:color="000000"/>
            </w:tcBorders>
            <w:shd w:val="clear" w:color="auto" w:fill="F9FCF9"/>
          </w:tcPr>
          <w:p>
            <w:pPr>
              <w:pStyle w:val="TableParagraph"/>
              <w:spacing w:line="132" w:lineRule="exact"/>
              <w:ind w:left="140"/>
              <w:jc w:val="left"/>
              <w:rPr>
                <w:sz w:val="14"/>
              </w:rPr>
            </w:pPr>
            <w:r>
              <w:rPr>
                <w:sz w:val="14"/>
              </w:rPr>
              <w:t>16.0</w:t>
            </w:r>
          </w:p>
        </w:tc>
        <w:tc>
          <w:tcPr>
            <w:tcW w:w="806" w:type="dxa"/>
            <w:tcBorders>
              <w:top w:val="single" w:sz="4" w:space="0" w:color="000000"/>
              <w:bottom w:val="single" w:sz="4" w:space="0" w:color="000000"/>
            </w:tcBorders>
            <w:shd w:val="clear" w:color="auto" w:fill="F9FCF9"/>
          </w:tcPr>
          <w:p>
            <w:pPr>
              <w:pStyle w:val="TableParagraph"/>
              <w:spacing w:line="132" w:lineRule="exact"/>
              <w:ind w:left="219" w:right="266"/>
              <w:rPr>
                <w:sz w:val="14"/>
              </w:rPr>
            </w:pPr>
            <w:r>
              <w:rPr>
                <w:sz w:val="14"/>
              </w:rPr>
              <w:t>16.0</w:t>
            </w:r>
          </w:p>
        </w:tc>
        <w:tc>
          <w:tcPr>
            <w:tcW w:w="1029" w:type="dxa"/>
            <w:tcBorders>
              <w:top w:val="single" w:sz="4" w:space="0" w:color="000000"/>
              <w:bottom w:val="single" w:sz="4" w:space="0" w:color="000000"/>
            </w:tcBorders>
            <w:shd w:val="clear" w:color="auto" w:fill="F9FCF9"/>
          </w:tcPr>
          <w:p>
            <w:pPr>
              <w:pStyle w:val="TableParagraph"/>
              <w:spacing w:line="132" w:lineRule="exact"/>
              <w:ind w:right="482"/>
              <w:jc w:val="right"/>
              <w:rPr>
                <w:sz w:val="14"/>
              </w:rPr>
            </w:pPr>
            <w:r>
              <w:rPr>
                <w:sz w:val="14"/>
              </w:rPr>
              <w:t>14.3</w:t>
            </w:r>
          </w:p>
        </w:tc>
        <w:tc>
          <w:tcPr>
            <w:tcW w:w="1342" w:type="dxa"/>
            <w:tcBorders>
              <w:top w:val="single" w:sz="4" w:space="0" w:color="000000"/>
              <w:bottom w:val="single" w:sz="4" w:space="0" w:color="000000"/>
            </w:tcBorders>
            <w:shd w:val="clear" w:color="auto" w:fill="F9FCF9"/>
          </w:tcPr>
          <w:p>
            <w:pPr>
              <w:pStyle w:val="TableParagraph"/>
              <w:spacing w:line="132" w:lineRule="exact"/>
              <w:ind w:right="617"/>
              <w:jc w:val="right"/>
              <w:rPr>
                <w:sz w:val="14"/>
              </w:rPr>
            </w:pPr>
            <w:r>
              <w:rPr>
                <w:sz w:val="14"/>
              </w:rPr>
              <w:t>13.0</w:t>
            </w:r>
          </w:p>
        </w:tc>
        <w:tc>
          <w:tcPr>
            <w:tcW w:w="744" w:type="dxa"/>
            <w:tcBorders>
              <w:top w:val="single" w:sz="4" w:space="0" w:color="000000"/>
              <w:bottom w:val="single" w:sz="4" w:space="0" w:color="000000"/>
            </w:tcBorders>
            <w:shd w:val="clear" w:color="auto" w:fill="F9FCF9"/>
          </w:tcPr>
          <w:p>
            <w:pPr>
              <w:pStyle w:val="TableParagraph"/>
              <w:spacing w:line="132" w:lineRule="exact"/>
              <w:ind w:left="167" w:right="257"/>
              <w:rPr>
                <w:sz w:val="14"/>
              </w:rPr>
            </w:pPr>
            <w:r>
              <w:rPr>
                <w:sz w:val="14"/>
              </w:rPr>
              <w:t>15.0</w:t>
            </w:r>
          </w:p>
        </w:tc>
        <w:tc>
          <w:tcPr>
            <w:tcW w:w="759" w:type="dxa"/>
            <w:tcBorders>
              <w:top w:val="single" w:sz="4" w:space="0" w:color="000000"/>
              <w:bottom w:val="single" w:sz="4" w:space="0" w:color="000000"/>
            </w:tcBorders>
            <w:shd w:val="clear" w:color="auto" w:fill="F9FCF9"/>
          </w:tcPr>
          <w:p>
            <w:pPr>
              <w:pStyle w:val="TableParagraph"/>
              <w:spacing w:line="132" w:lineRule="exact"/>
              <w:ind w:right="224"/>
              <w:jc w:val="right"/>
              <w:rPr>
                <w:sz w:val="14"/>
              </w:rPr>
            </w:pPr>
            <w:r>
              <w:rPr>
                <w:sz w:val="14"/>
              </w:rPr>
              <w:t>15.0</w:t>
            </w:r>
          </w:p>
        </w:tc>
        <w:tc>
          <w:tcPr>
            <w:tcW w:w="586" w:type="dxa"/>
            <w:tcBorders>
              <w:top w:val="single" w:sz="4" w:space="0" w:color="000000"/>
              <w:bottom w:val="single" w:sz="4" w:space="0" w:color="000000"/>
            </w:tcBorders>
            <w:shd w:val="clear" w:color="auto" w:fill="F9FCF9"/>
          </w:tcPr>
          <w:p>
            <w:pPr>
              <w:pStyle w:val="TableParagraph"/>
              <w:spacing w:line="132" w:lineRule="exact"/>
              <w:ind w:right="138"/>
              <w:jc w:val="right"/>
              <w:rPr>
                <w:b/>
                <w:sz w:val="14"/>
              </w:rPr>
            </w:pPr>
            <w:r>
              <w:rPr>
                <w:b/>
                <w:sz w:val="14"/>
              </w:rPr>
              <w:t>13.0</w:t>
            </w:r>
          </w:p>
        </w:tc>
        <w:tc>
          <w:tcPr>
            <w:tcW w:w="597" w:type="dxa"/>
            <w:tcBorders>
              <w:top w:val="single" w:sz="4" w:space="0" w:color="000000"/>
              <w:bottom w:val="single" w:sz="4" w:space="0" w:color="000000"/>
            </w:tcBorders>
            <w:shd w:val="clear" w:color="auto" w:fill="F9FCF9"/>
          </w:tcPr>
          <w:p>
            <w:pPr>
              <w:pStyle w:val="TableParagraph"/>
              <w:spacing w:line="132" w:lineRule="exact"/>
              <w:ind w:right="184"/>
              <w:jc w:val="right"/>
              <w:rPr>
                <w:b/>
                <w:sz w:val="14"/>
              </w:rPr>
            </w:pPr>
            <w:r>
              <w:rPr>
                <w:b/>
                <w:sz w:val="14"/>
              </w:rPr>
              <w:t>20.0</w:t>
            </w:r>
          </w:p>
        </w:tc>
      </w:tr>
      <w:tr>
        <w:trPr>
          <w:trHeight w:val="151" w:hRule="atLeast"/>
        </w:trPr>
        <w:tc>
          <w:tcPr>
            <w:tcW w:w="2750" w:type="dxa"/>
            <w:tcBorders>
              <w:top w:val="single" w:sz="4" w:space="0" w:color="000000"/>
              <w:bottom w:val="single" w:sz="4" w:space="0" w:color="000000"/>
            </w:tcBorders>
            <w:shd w:val="clear" w:color="auto" w:fill="F9FCF9"/>
          </w:tcPr>
          <w:p>
            <w:pPr>
              <w:pStyle w:val="TableParagraph"/>
              <w:spacing w:line="132" w:lineRule="exact"/>
              <w:ind w:left="28"/>
              <w:jc w:val="left"/>
              <w:rPr>
                <w:sz w:val="14"/>
              </w:rPr>
            </w:pPr>
            <w:r>
              <w:rPr>
                <w:sz w:val="14"/>
              </w:rPr>
              <w:t>Reference plant TCR (million US$)****</w:t>
            </w:r>
          </w:p>
        </w:tc>
        <w:tc>
          <w:tcPr>
            <w:tcW w:w="672" w:type="dxa"/>
            <w:tcBorders>
              <w:top w:val="single" w:sz="4" w:space="0" w:color="000000"/>
              <w:bottom w:val="single" w:sz="4" w:space="0" w:color="000000"/>
            </w:tcBorders>
            <w:shd w:val="clear" w:color="auto" w:fill="F9FCF9"/>
          </w:tcPr>
          <w:p>
            <w:pPr>
              <w:pStyle w:val="TableParagraph"/>
              <w:spacing w:line="132" w:lineRule="exact"/>
              <w:ind w:left="229" w:right="1"/>
              <w:rPr>
                <w:sz w:val="14"/>
              </w:rPr>
            </w:pPr>
            <w:r>
              <w:rPr>
                <w:sz w:val="14"/>
              </w:rPr>
              <w:t>668</w:t>
            </w:r>
          </w:p>
        </w:tc>
        <w:tc>
          <w:tcPr>
            <w:tcW w:w="420" w:type="dxa"/>
            <w:tcBorders>
              <w:top w:val="single" w:sz="4" w:space="0" w:color="000000"/>
              <w:bottom w:val="single" w:sz="4" w:space="0" w:color="000000"/>
            </w:tcBorders>
            <w:shd w:val="clear" w:color="auto" w:fill="F9FCF9"/>
          </w:tcPr>
          <w:p>
            <w:pPr>
              <w:pStyle w:val="TableParagraph"/>
              <w:jc w:val="left"/>
              <w:rPr>
                <w:sz w:val="8"/>
              </w:rPr>
            </w:pPr>
          </w:p>
        </w:tc>
        <w:tc>
          <w:tcPr>
            <w:tcW w:w="663" w:type="dxa"/>
            <w:tcBorders>
              <w:top w:val="single" w:sz="4" w:space="0" w:color="000000"/>
              <w:bottom w:val="single" w:sz="4" w:space="0" w:color="000000"/>
            </w:tcBorders>
            <w:shd w:val="clear" w:color="auto" w:fill="F9FCF9"/>
          </w:tcPr>
          <w:p>
            <w:pPr>
              <w:pStyle w:val="TableParagraph"/>
              <w:spacing w:line="132" w:lineRule="exact"/>
              <w:ind w:left="157"/>
              <w:jc w:val="left"/>
              <w:rPr>
                <w:sz w:val="14"/>
              </w:rPr>
            </w:pPr>
            <w:r>
              <w:rPr>
                <w:sz w:val="14"/>
              </w:rPr>
              <w:t>469</w:t>
            </w:r>
          </w:p>
        </w:tc>
        <w:tc>
          <w:tcPr>
            <w:tcW w:w="806" w:type="dxa"/>
            <w:tcBorders>
              <w:top w:val="single" w:sz="4" w:space="0" w:color="000000"/>
              <w:bottom w:val="single" w:sz="4" w:space="0" w:color="000000"/>
            </w:tcBorders>
            <w:shd w:val="clear" w:color="auto" w:fill="F9FCF9"/>
          </w:tcPr>
          <w:p>
            <w:pPr>
              <w:pStyle w:val="TableParagraph"/>
              <w:spacing w:line="132" w:lineRule="exact"/>
              <w:ind w:left="219" w:right="266"/>
              <w:rPr>
                <w:sz w:val="14"/>
              </w:rPr>
            </w:pPr>
            <w:r>
              <w:rPr>
                <w:sz w:val="14"/>
              </w:rPr>
              <w:t>1192</w:t>
            </w:r>
          </w:p>
        </w:tc>
        <w:tc>
          <w:tcPr>
            <w:tcW w:w="1029" w:type="dxa"/>
            <w:tcBorders>
              <w:top w:val="single" w:sz="4" w:space="0" w:color="000000"/>
              <w:bottom w:val="single" w:sz="4" w:space="0" w:color="000000"/>
            </w:tcBorders>
            <w:shd w:val="clear" w:color="auto" w:fill="F9FCF9"/>
          </w:tcPr>
          <w:p>
            <w:pPr>
              <w:pStyle w:val="TableParagraph"/>
              <w:spacing w:line="132" w:lineRule="exact"/>
              <w:ind w:right="499"/>
              <w:jc w:val="right"/>
              <w:rPr>
                <w:sz w:val="14"/>
              </w:rPr>
            </w:pPr>
            <w:r>
              <w:rPr>
                <w:sz w:val="14"/>
              </w:rPr>
              <w:t>357</w:t>
            </w:r>
          </w:p>
        </w:tc>
        <w:tc>
          <w:tcPr>
            <w:tcW w:w="1342" w:type="dxa"/>
            <w:tcBorders>
              <w:top w:val="single" w:sz="4" w:space="0" w:color="000000"/>
              <w:bottom w:val="single" w:sz="4" w:space="0" w:color="000000"/>
            </w:tcBorders>
            <w:shd w:val="clear" w:color="auto" w:fill="F9FCF9"/>
          </w:tcPr>
          <w:p>
            <w:pPr>
              <w:pStyle w:val="TableParagraph"/>
              <w:spacing w:line="132" w:lineRule="exact"/>
              <w:ind w:right="634"/>
              <w:jc w:val="right"/>
              <w:rPr>
                <w:sz w:val="14"/>
              </w:rPr>
            </w:pPr>
            <w:r>
              <w:rPr>
                <w:sz w:val="14"/>
              </w:rPr>
              <w:t>365</w:t>
            </w:r>
          </w:p>
        </w:tc>
        <w:tc>
          <w:tcPr>
            <w:tcW w:w="744" w:type="dxa"/>
            <w:tcBorders>
              <w:top w:val="single" w:sz="4" w:space="0" w:color="000000"/>
              <w:bottom w:val="single" w:sz="4" w:space="0" w:color="000000"/>
            </w:tcBorders>
            <w:shd w:val="clear" w:color="auto" w:fill="F9FCF9"/>
          </w:tcPr>
          <w:p>
            <w:pPr>
              <w:pStyle w:val="TableParagraph"/>
              <w:spacing w:line="132" w:lineRule="exact"/>
              <w:ind w:left="167" w:right="257"/>
              <w:rPr>
                <w:sz w:val="14"/>
              </w:rPr>
            </w:pPr>
            <w:r>
              <w:rPr>
                <w:sz w:val="14"/>
              </w:rPr>
              <w:t>887</w:t>
            </w:r>
          </w:p>
        </w:tc>
        <w:tc>
          <w:tcPr>
            <w:tcW w:w="759" w:type="dxa"/>
            <w:tcBorders>
              <w:top w:val="single" w:sz="4" w:space="0" w:color="000000"/>
              <w:bottom w:val="single" w:sz="4" w:space="0" w:color="000000"/>
            </w:tcBorders>
            <w:shd w:val="clear" w:color="auto" w:fill="F9FCF9"/>
          </w:tcPr>
          <w:p>
            <w:pPr>
              <w:pStyle w:val="TableParagraph"/>
              <w:spacing w:line="132" w:lineRule="exact"/>
              <w:ind w:right="242"/>
              <w:jc w:val="right"/>
              <w:rPr>
                <w:sz w:val="14"/>
              </w:rPr>
            </w:pPr>
            <w:r>
              <w:rPr>
                <w:sz w:val="14"/>
              </w:rPr>
              <w:t>887</w:t>
            </w:r>
          </w:p>
        </w:tc>
        <w:tc>
          <w:tcPr>
            <w:tcW w:w="586" w:type="dxa"/>
            <w:tcBorders>
              <w:top w:val="single" w:sz="4" w:space="0" w:color="000000"/>
              <w:bottom w:val="single" w:sz="4" w:space="0" w:color="000000"/>
            </w:tcBorders>
            <w:shd w:val="clear" w:color="auto" w:fill="F9FCF9"/>
          </w:tcPr>
          <w:p>
            <w:pPr>
              <w:pStyle w:val="TableParagraph"/>
              <w:spacing w:line="132" w:lineRule="exact"/>
              <w:ind w:right="156"/>
              <w:jc w:val="right"/>
              <w:rPr>
                <w:b/>
                <w:sz w:val="14"/>
              </w:rPr>
            </w:pPr>
            <w:r>
              <w:rPr>
                <w:b/>
                <w:sz w:val="14"/>
              </w:rPr>
              <w:t>357</w:t>
            </w:r>
          </w:p>
        </w:tc>
        <w:tc>
          <w:tcPr>
            <w:tcW w:w="597" w:type="dxa"/>
            <w:tcBorders>
              <w:top w:val="single" w:sz="4" w:space="0" w:color="000000"/>
              <w:bottom w:val="single" w:sz="4" w:space="0" w:color="000000"/>
            </w:tcBorders>
            <w:shd w:val="clear" w:color="auto" w:fill="F9FCF9"/>
          </w:tcPr>
          <w:p>
            <w:pPr>
              <w:pStyle w:val="TableParagraph"/>
              <w:spacing w:line="132" w:lineRule="exact"/>
              <w:ind w:right="170"/>
              <w:jc w:val="right"/>
              <w:rPr>
                <w:b/>
                <w:sz w:val="14"/>
              </w:rPr>
            </w:pPr>
            <w:r>
              <w:rPr>
                <w:b/>
                <w:sz w:val="14"/>
              </w:rPr>
              <w:t>1192</w:t>
            </w:r>
          </w:p>
        </w:tc>
      </w:tr>
      <w:tr>
        <w:trPr>
          <w:trHeight w:val="151" w:hRule="atLeast"/>
        </w:trPr>
        <w:tc>
          <w:tcPr>
            <w:tcW w:w="2750" w:type="dxa"/>
            <w:tcBorders>
              <w:top w:val="single" w:sz="4" w:space="0" w:color="000000"/>
              <w:bottom w:val="single" w:sz="4" w:space="0" w:color="000000"/>
            </w:tcBorders>
            <w:shd w:val="clear" w:color="auto" w:fill="F9FCF9"/>
          </w:tcPr>
          <w:p>
            <w:pPr>
              <w:pStyle w:val="TableParagraph"/>
              <w:spacing w:line="132" w:lineRule="exact"/>
              <w:ind w:left="28"/>
              <w:jc w:val="left"/>
              <w:rPr>
                <w:sz w:val="14"/>
              </w:rPr>
            </w:pPr>
            <w:r>
              <w:rPr>
                <w:sz w:val="14"/>
              </w:rPr>
              <w:t>Capture plant TCR (million US$)****</w:t>
            </w:r>
          </w:p>
        </w:tc>
        <w:tc>
          <w:tcPr>
            <w:tcW w:w="672" w:type="dxa"/>
            <w:tcBorders>
              <w:top w:val="single" w:sz="4" w:space="0" w:color="000000"/>
              <w:bottom w:val="single" w:sz="4" w:space="0" w:color="000000"/>
            </w:tcBorders>
            <w:shd w:val="clear" w:color="auto" w:fill="F9FCF9"/>
          </w:tcPr>
          <w:p>
            <w:pPr>
              <w:pStyle w:val="TableParagraph"/>
              <w:spacing w:line="132" w:lineRule="exact"/>
              <w:ind w:left="229" w:right="1"/>
              <w:rPr>
                <w:sz w:val="14"/>
              </w:rPr>
            </w:pPr>
            <w:r>
              <w:rPr>
                <w:sz w:val="14"/>
              </w:rPr>
              <w:t>1029</w:t>
            </w:r>
          </w:p>
        </w:tc>
        <w:tc>
          <w:tcPr>
            <w:tcW w:w="420" w:type="dxa"/>
            <w:tcBorders>
              <w:top w:val="single" w:sz="4" w:space="0" w:color="000000"/>
              <w:bottom w:val="single" w:sz="4" w:space="0" w:color="000000"/>
            </w:tcBorders>
            <w:shd w:val="clear" w:color="auto" w:fill="F9FCF9"/>
          </w:tcPr>
          <w:p>
            <w:pPr>
              <w:pStyle w:val="TableParagraph"/>
              <w:jc w:val="left"/>
              <w:rPr>
                <w:sz w:val="8"/>
              </w:rPr>
            </w:pPr>
          </w:p>
        </w:tc>
        <w:tc>
          <w:tcPr>
            <w:tcW w:w="663" w:type="dxa"/>
            <w:tcBorders>
              <w:top w:val="single" w:sz="4" w:space="0" w:color="000000"/>
              <w:bottom w:val="single" w:sz="4" w:space="0" w:color="000000"/>
            </w:tcBorders>
            <w:shd w:val="clear" w:color="auto" w:fill="F9FCF9"/>
          </w:tcPr>
          <w:p>
            <w:pPr>
              <w:pStyle w:val="TableParagraph"/>
              <w:spacing w:line="132" w:lineRule="exact"/>
              <w:ind w:left="157"/>
              <w:jc w:val="left"/>
              <w:rPr>
                <w:sz w:val="14"/>
              </w:rPr>
            </w:pPr>
            <w:r>
              <w:rPr>
                <w:sz w:val="14"/>
              </w:rPr>
              <w:t>646</w:t>
            </w:r>
          </w:p>
        </w:tc>
        <w:tc>
          <w:tcPr>
            <w:tcW w:w="806" w:type="dxa"/>
            <w:tcBorders>
              <w:top w:val="single" w:sz="4" w:space="0" w:color="000000"/>
              <w:bottom w:val="single" w:sz="4" w:space="0" w:color="000000"/>
            </w:tcBorders>
            <w:shd w:val="clear" w:color="auto" w:fill="F9FCF9"/>
          </w:tcPr>
          <w:p>
            <w:pPr>
              <w:pStyle w:val="TableParagraph"/>
              <w:spacing w:line="132" w:lineRule="exact"/>
              <w:ind w:left="219" w:right="266"/>
              <w:rPr>
                <w:sz w:val="14"/>
              </w:rPr>
            </w:pPr>
            <w:r>
              <w:rPr>
                <w:sz w:val="14"/>
              </w:rPr>
              <w:t>1218</w:t>
            </w:r>
          </w:p>
        </w:tc>
        <w:tc>
          <w:tcPr>
            <w:tcW w:w="1029" w:type="dxa"/>
            <w:tcBorders>
              <w:top w:val="single" w:sz="4" w:space="0" w:color="000000"/>
              <w:bottom w:val="single" w:sz="4" w:space="0" w:color="000000"/>
            </w:tcBorders>
            <w:shd w:val="clear" w:color="auto" w:fill="F9FCF9"/>
          </w:tcPr>
          <w:p>
            <w:pPr>
              <w:pStyle w:val="TableParagraph"/>
              <w:spacing w:line="132" w:lineRule="exact"/>
              <w:ind w:right="499"/>
              <w:jc w:val="right"/>
              <w:rPr>
                <w:sz w:val="14"/>
              </w:rPr>
            </w:pPr>
            <w:r>
              <w:rPr>
                <w:sz w:val="14"/>
              </w:rPr>
              <w:t>415</w:t>
            </w:r>
          </w:p>
        </w:tc>
        <w:tc>
          <w:tcPr>
            <w:tcW w:w="1342" w:type="dxa"/>
            <w:tcBorders>
              <w:top w:val="single" w:sz="4" w:space="0" w:color="000000"/>
              <w:bottom w:val="single" w:sz="4" w:space="0" w:color="000000"/>
            </w:tcBorders>
            <w:shd w:val="clear" w:color="auto" w:fill="F9FCF9"/>
          </w:tcPr>
          <w:p>
            <w:pPr>
              <w:pStyle w:val="TableParagraph"/>
              <w:spacing w:line="132" w:lineRule="exact"/>
              <w:ind w:right="634"/>
              <w:jc w:val="right"/>
              <w:rPr>
                <w:sz w:val="14"/>
              </w:rPr>
            </w:pPr>
            <w:r>
              <w:rPr>
                <w:sz w:val="14"/>
              </w:rPr>
              <w:t>409</w:t>
            </w:r>
          </w:p>
        </w:tc>
        <w:tc>
          <w:tcPr>
            <w:tcW w:w="744" w:type="dxa"/>
            <w:tcBorders>
              <w:top w:val="single" w:sz="4" w:space="0" w:color="000000"/>
              <w:bottom w:val="single" w:sz="4" w:space="0" w:color="000000"/>
            </w:tcBorders>
            <w:shd w:val="clear" w:color="auto" w:fill="F9FCF9"/>
          </w:tcPr>
          <w:p>
            <w:pPr>
              <w:pStyle w:val="TableParagraph"/>
              <w:spacing w:line="132" w:lineRule="exact"/>
              <w:ind w:left="167" w:right="257"/>
              <w:rPr>
                <w:sz w:val="14"/>
              </w:rPr>
            </w:pPr>
            <w:r>
              <w:rPr>
                <w:sz w:val="14"/>
              </w:rPr>
              <w:t>935</w:t>
            </w:r>
          </w:p>
        </w:tc>
        <w:tc>
          <w:tcPr>
            <w:tcW w:w="759" w:type="dxa"/>
            <w:tcBorders>
              <w:top w:val="single" w:sz="4" w:space="0" w:color="000000"/>
              <w:bottom w:val="single" w:sz="4" w:space="0" w:color="000000"/>
            </w:tcBorders>
            <w:shd w:val="clear" w:color="auto" w:fill="F9FCF9"/>
          </w:tcPr>
          <w:p>
            <w:pPr>
              <w:pStyle w:val="TableParagraph"/>
              <w:spacing w:line="132" w:lineRule="exact"/>
              <w:ind w:right="242"/>
              <w:jc w:val="right"/>
              <w:rPr>
                <w:sz w:val="14"/>
              </w:rPr>
            </w:pPr>
            <w:r>
              <w:rPr>
                <w:sz w:val="14"/>
              </w:rPr>
              <w:t>872</w:t>
            </w:r>
          </w:p>
        </w:tc>
        <w:tc>
          <w:tcPr>
            <w:tcW w:w="586" w:type="dxa"/>
            <w:tcBorders>
              <w:top w:val="single" w:sz="4" w:space="0" w:color="000000"/>
              <w:bottom w:val="single" w:sz="4" w:space="0" w:color="000000"/>
            </w:tcBorders>
            <w:shd w:val="clear" w:color="auto" w:fill="F9FCF9"/>
          </w:tcPr>
          <w:p>
            <w:pPr>
              <w:pStyle w:val="TableParagraph"/>
              <w:spacing w:line="132" w:lineRule="exact"/>
              <w:ind w:right="156"/>
              <w:jc w:val="right"/>
              <w:rPr>
                <w:b/>
                <w:sz w:val="14"/>
              </w:rPr>
            </w:pPr>
            <w:r>
              <w:rPr>
                <w:b/>
                <w:sz w:val="14"/>
              </w:rPr>
              <w:t>409</w:t>
            </w:r>
          </w:p>
        </w:tc>
        <w:tc>
          <w:tcPr>
            <w:tcW w:w="597" w:type="dxa"/>
            <w:tcBorders>
              <w:top w:val="single" w:sz="4" w:space="0" w:color="000000"/>
              <w:bottom w:val="single" w:sz="4" w:space="0" w:color="000000"/>
            </w:tcBorders>
            <w:shd w:val="clear" w:color="auto" w:fill="F9FCF9"/>
          </w:tcPr>
          <w:p>
            <w:pPr>
              <w:pStyle w:val="TableParagraph"/>
              <w:spacing w:line="132" w:lineRule="exact"/>
              <w:ind w:right="166"/>
              <w:jc w:val="right"/>
              <w:rPr>
                <w:b/>
                <w:sz w:val="14"/>
              </w:rPr>
            </w:pPr>
            <w:r>
              <w:rPr>
                <w:b/>
                <w:sz w:val="14"/>
              </w:rPr>
              <w:t>1218</w:t>
            </w:r>
          </w:p>
        </w:tc>
      </w:tr>
      <w:tr>
        <w:trPr>
          <w:trHeight w:val="151" w:hRule="atLeast"/>
        </w:trPr>
        <w:tc>
          <w:tcPr>
            <w:tcW w:w="2750" w:type="dxa"/>
            <w:tcBorders>
              <w:top w:val="single" w:sz="4" w:space="0" w:color="000000"/>
              <w:bottom w:val="single" w:sz="4" w:space="0" w:color="000000"/>
            </w:tcBorders>
            <w:shd w:val="clear" w:color="auto" w:fill="F9FCF9"/>
          </w:tcPr>
          <w:p>
            <w:pPr>
              <w:pStyle w:val="TableParagraph"/>
              <w:spacing w:line="132" w:lineRule="exact"/>
              <w:ind w:left="28"/>
              <w:jc w:val="left"/>
              <w:rPr>
                <w:sz w:val="14"/>
              </w:rPr>
            </w:pPr>
            <w:r>
              <w:rPr>
                <w:sz w:val="14"/>
              </w:rPr>
              <w:t>% increase in capital cost (%)</w:t>
            </w:r>
          </w:p>
        </w:tc>
        <w:tc>
          <w:tcPr>
            <w:tcW w:w="672" w:type="dxa"/>
            <w:tcBorders>
              <w:top w:val="single" w:sz="4" w:space="0" w:color="000000"/>
              <w:bottom w:val="single" w:sz="4" w:space="0" w:color="000000"/>
            </w:tcBorders>
            <w:shd w:val="clear" w:color="auto" w:fill="F9FCF9"/>
          </w:tcPr>
          <w:p>
            <w:pPr>
              <w:pStyle w:val="TableParagraph"/>
              <w:spacing w:line="132" w:lineRule="exact"/>
              <w:ind w:left="229" w:right="1"/>
              <w:rPr>
                <w:sz w:val="14"/>
              </w:rPr>
            </w:pPr>
            <w:r>
              <w:rPr>
                <w:sz w:val="14"/>
              </w:rPr>
              <w:t>54.1</w:t>
            </w:r>
          </w:p>
        </w:tc>
        <w:tc>
          <w:tcPr>
            <w:tcW w:w="420" w:type="dxa"/>
            <w:tcBorders>
              <w:top w:val="single" w:sz="4" w:space="0" w:color="000000"/>
              <w:bottom w:val="single" w:sz="4" w:space="0" w:color="000000"/>
            </w:tcBorders>
            <w:shd w:val="clear" w:color="auto" w:fill="F9FCF9"/>
          </w:tcPr>
          <w:p>
            <w:pPr>
              <w:pStyle w:val="TableParagraph"/>
              <w:jc w:val="left"/>
              <w:rPr>
                <w:sz w:val="8"/>
              </w:rPr>
            </w:pPr>
          </w:p>
        </w:tc>
        <w:tc>
          <w:tcPr>
            <w:tcW w:w="663" w:type="dxa"/>
            <w:tcBorders>
              <w:top w:val="single" w:sz="4" w:space="0" w:color="000000"/>
              <w:bottom w:val="single" w:sz="4" w:space="0" w:color="000000"/>
            </w:tcBorders>
            <w:shd w:val="clear" w:color="auto" w:fill="F9FCF9"/>
          </w:tcPr>
          <w:p>
            <w:pPr>
              <w:pStyle w:val="TableParagraph"/>
              <w:spacing w:line="132" w:lineRule="exact"/>
              <w:ind w:left="140"/>
              <w:jc w:val="left"/>
              <w:rPr>
                <w:sz w:val="14"/>
              </w:rPr>
            </w:pPr>
            <w:r>
              <w:rPr>
                <w:sz w:val="14"/>
              </w:rPr>
              <w:t>37.7</w:t>
            </w:r>
          </w:p>
        </w:tc>
        <w:tc>
          <w:tcPr>
            <w:tcW w:w="806" w:type="dxa"/>
            <w:tcBorders>
              <w:top w:val="single" w:sz="4" w:space="0" w:color="000000"/>
              <w:bottom w:val="single" w:sz="4" w:space="0" w:color="000000"/>
            </w:tcBorders>
            <w:shd w:val="clear" w:color="auto" w:fill="F9FCF9"/>
          </w:tcPr>
          <w:p>
            <w:pPr>
              <w:pStyle w:val="TableParagraph"/>
              <w:spacing w:line="132" w:lineRule="exact"/>
              <w:ind w:left="219" w:right="266"/>
              <w:rPr>
                <w:sz w:val="14"/>
              </w:rPr>
            </w:pPr>
            <w:r>
              <w:rPr>
                <w:sz w:val="14"/>
              </w:rPr>
              <w:t>2.2</w:t>
            </w:r>
          </w:p>
        </w:tc>
        <w:tc>
          <w:tcPr>
            <w:tcW w:w="1029" w:type="dxa"/>
            <w:tcBorders>
              <w:top w:val="single" w:sz="4" w:space="0" w:color="000000"/>
              <w:bottom w:val="single" w:sz="4" w:space="0" w:color="000000"/>
            </w:tcBorders>
            <w:shd w:val="clear" w:color="auto" w:fill="F9FCF9"/>
          </w:tcPr>
          <w:p>
            <w:pPr>
              <w:pStyle w:val="TableParagraph"/>
              <w:spacing w:line="132" w:lineRule="exact"/>
              <w:ind w:right="482"/>
              <w:jc w:val="right"/>
              <w:rPr>
                <w:sz w:val="14"/>
              </w:rPr>
            </w:pPr>
            <w:r>
              <w:rPr>
                <w:sz w:val="14"/>
              </w:rPr>
              <w:t>16.5</w:t>
            </w:r>
          </w:p>
        </w:tc>
        <w:tc>
          <w:tcPr>
            <w:tcW w:w="1342" w:type="dxa"/>
            <w:tcBorders>
              <w:top w:val="single" w:sz="4" w:space="0" w:color="000000"/>
              <w:bottom w:val="single" w:sz="4" w:space="0" w:color="000000"/>
            </w:tcBorders>
            <w:shd w:val="clear" w:color="auto" w:fill="F9FCF9"/>
          </w:tcPr>
          <w:p>
            <w:pPr>
              <w:pStyle w:val="TableParagraph"/>
              <w:spacing w:line="132" w:lineRule="exact"/>
              <w:ind w:right="619"/>
              <w:jc w:val="right"/>
              <w:rPr>
                <w:sz w:val="14"/>
              </w:rPr>
            </w:pPr>
            <w:r>
              <w:rPr>
                <w:sz w:val="14"/>
              </w:rPr>
              <w:t>11.9</w:t>
            </w:r>
          </w:p>
        </w:tc>
        <w:tc>
          <w:tcPr>
            <w:tcW w:w="744" w:type="dxa"/>
            <w:tcBorders>
              <w:top w:val="single" w:sz="4" w:space="0" w:color="000000"/>
              <w:bottom w:val="single" w:sz="4" w:space="0" w:color="000000"/>
            </w:tcBorders>
            <w:shd w:val="clear" w:color="auto" w:fill="F9FCF9"/>
          </w:tcPr>
          <w:p>
            <w:pPr>
              <w:pStyle w:val="TableParagraph"/>
              <w:spacing w:line="132" w:lineRule="exact"/>
              <w:ind w:left="167" w:right="257"/>
              <w:rPr>
                <w:sz w:val="14"/>
              </w:rPr>
            </w:pPr>
            <w:r>
              <w:rPr>
                <w:sz w:val="14"/>
              </w:rPr>
              <w:t>5.4</w:t>
            </w:r>
          </w:p>
        </w:tc>
        <w:tc>
          <w:tcPr>
            <w:tcW w:w="759" w:type="dxa"/>
            <w:tcBorders>
              <w:top w:val="single" w:sz="4" w:space="0" w:color="000000"/>
              <w:bottom w:val="single" w:sz="4" w:space="0" w:color="000000"/>
            </w:tcBorders>
            <w:shd w:val="clear" w:color="auto" w:fill="F9FCF9"/>
          </w:tcPr>
          <w:p>
            <w:pPr>
              <w:pStyle w:val="TableParagraph"/>
              <w:spacing w:line="132" w:lineRule="exact"/>
              <w:ind w:right="236"/>
              <w:jc w:val="right"/>
              <w:rPr>
                <w:sz w:val="14"/>
              </w:rPr>
            </w:pPr>
            <w:r>
              <w:rPr>
                <w:sz w:val="14"/>
              </w:rPr>
              <w:t>-1.7</w:t>
            </w:r>
          </w:p>
        </w:tc>
        <w:tc>
          <w:tcPr>
            <w:tcW w:w="586" w:type="dxa"/>
            <w:tcBorders>
              <w:top w:val="single" w:sz="4" w:space="0" w:color="000000"/>
              <w:bottom w:val="single" w:sz="4" w:space="0" w:color="000000"/>
            </w:tcBorders>
            <w:shd w:val="clear" w:color="auto" w:fill="F9FCF9"/>
          </w:tcPr>
          <w:p>
            <w:pPr>
              <w:pStyle w:val="TableParagraph"/>
              <w:spacing w:line="132" w:lineRule="exact"/>
              <w:ind w:right="150"/>
              <w:jc w:val="right"/>
              <w:rPr>
                <w:b/>
                <w:sz w:val="14"/>
              </w:rPr>
            </w:pPr>
            <w:r>
              <w:rPr>
                <w:b/>
                <w:sz w:val="14"/>
              </w:rPr>
              <w:t>-1.7</w:t>
            </w:r>
          </w:p>
        </w:tc>
        <w:tc>
          <w:tcPr>
            <w:tcW w:w="597" w:type="dxa"/>
            <w:tcBorders>
              <w:top w:val="single" w:sz="4" w:space="0" w:color="000000"/>
              <w:bottom w:val="single" w:sz="4" w:space="0" w:color="000000"/>
            </w:tcBorders>
            <w:shd w:val="clear" w:color="auto" w:fill="F9FCF9"/>
          </w:tcPr>
          <w:p>
            <w:pPr>
              <w:pStyle w:val="TableParagraph"/>
              <w:spacing w:line="132" w:lineRule="exact"/>
              <w:ind w:right="184"/>
              <w:jc w:val="right"/>
              <w:rPr>
                <w:b/>
                <w:sz w:val="14"/>
              </w:rPr>
            </w:pPr>
            <w:r>
              <w:rPr>
                <w:b/>
                <w:sz w:val="14"/>
              </w:rPr>
              <w:t>54.1</w:t>
            </w:r>
          </w:p>
        </w:tc>
      </w:tr>
      <w:tr>
        <w:trPr>
          <w:trHeight w:val="151" w:hRule="atLeast"/>
        </w:trPr>
        <w:tc>
          <w:tcPr>
            <w:tcW w:w="2750" w:type="dxa"/>
            <w:tcBorders>
              <w:top w:val="single" w:sz="4" w:space="0" w:color="000000"/>
              <w:bottom w:val="single" w:sz="4" w:space="0" w:color="000000"/>
            </w:tcBorders>
            <w:shd w:val="clear" w:color="auto" w:fill="F9FCF9"/>
          </w:tcPr>
          <w:p>
            <w:pPr>
              <w:pStyle w:val="TableParagraph"/>
              <w:spacing w:line="132" w:lineRule="exact"/>
              <w:ind w:left="28"/>
              <w:jc w:val="left"/>
              <w:rPr>
                <w:sz w:val="14"/>
              </w:rPr>
            </w:pPr>
            <w:r>
              <w:rPr>
                <w:sz w:val="14"/>
              </w:rPr>
              <w:t>Ref. plant electricity price (US$ MWh</w:t>
            </w:r>
            <w:r>
              <w:rPr>
                <w:position w:val="5"/>
                <w:sz w:val="8"/>
              </w:rPr>
              <w:t>−1</w:t>
            </w:r>
            <w:r>
              <w:rPr>
                <w:sz w:val="14"/>
              </w:rPr>
              <w:t>)</w:t>
            </w:r>
          </w:p>
        </w:tc>
        <w:tc>
          <w:tcPr>
            <w:tcW w:w="672" w:type="dxa"/>
            <w:tcBorders>
              <w:top w:val="single" w:sz="4" w:space="0" w:color="000000"/>
              <w:bottom w:val="single" w:sz="4" w:space="0" w:color="000000"/>
            </w:tcBorders>
            <w:shd w:val="clear" w:color="auto" w:fill="F9FCF9"/>
          </w:tcPr>
          <w:p>
            <w:pPr>
              <w:pStyle w:val="TableParagraph"/>
              <w:spacing w:line="132" w:lineRule="exact"/>
              <w:ind w:left="229" w:right="1"/>
              <w:rPr>
                <w:sz w:val="14"/>
              </w:rPr>
            </w:pPr>
            <w:r>
              <w:rPr>
                <w:sz w:val="14"/>
              </w:rPr>
              <w:t>50.0</w:t>
            </w:r>
          </w:p>
        </w:tc>
        <w:tc>
          <w:tcPr>
            <w:tcW w:w="420" w:type="dxa"/>
            <w:tcBorders>
              <w:top w:val="single" w:sz="4" w:space="0" w:color="000000"/>
              <w:bottom w:val="single" w:sz="4" w:space="0" w:color="000000"/>
            </w:tcBorders>
            <w:shd w:val="clear" w:color="auto" w:fill="F9FCF9"/>
          </w:tcPr>
          <w:p>
            <w:pPr>
              <w:pStyle w:val="TableParagraph"/>
              <w:jc w:val="left"/>
              <w:rPr>
                <w:sz w:val="8"/>
              </w:rPr>
            </w:pPr>
          </w:p>
        </w:tc>
        <w:tc>
          <w:tcPr>
            <w:tcW w:w="663" w:type="dxa"/>
            <w:tcBorders>
              <w:top w:val="single" w:sz="4" w:space="0" w:color="000000"/>
              <w:bottom w:val="single" w:sz="4" w:space="0" w:color="000000"/>
            </w:tcBorders>
            <w:shd w:val="clear" w:color="auto" w:fill="F9FCF9"/>
          </w:tcPr>
          <w:p>
            <w:pPr>
              <w:pStyle w:val="TableParagraph"/>
              <w:spacing w:line="132" w:lineRule="exact"/>
              <w:ind w:left="140"/>
              <w:jc w:val="left"/>
              <w:rPr>
                <w:sz w:val="14"/>
              </w:rPr>
            </w:pPr>
            <w:r>
              <w:rPr>
                <w:sz w:val="14"/>
              </w:rPr>
              <w:t>45.0</w:t>
            </w:r>
          </w:p>
        </w:tc>
        <w:tc>
          <w:tcPr>
            <w:tcW w:w="806" w:type="dxa"/>
            <w:tcBorders>
              <w:top w:val="single" w:sz="4" w:space="0" w:color="000000"/>
              <w:bottom w:val="single" w:sz="4" w:space="0" w:color="000000"/>
            </w:tcBorders>
            <w:shd w:val="clear" w:color="auto" w:fill="F9FCF9"/>
          </w:tcPr>
          <w:p>
            <w:pPr>
              <w:pStyle w:val="TableParagraph"/>
              <w:spacing w:line="132" w:lineRule="exact"/>
              <w:ind w:left="219" w:right="266"/>
              <w:rPr>
                <w:sz w:val="14"/>
              </w:rPr>
            </w:pPr>
            <w:r>
              <w:rPr>
                <w:sz w:val="14"/>
              </w:rPr>
              <w:t>45.0</w:t>
            </w:r>
          </w:p>
        </w:tc>
        <w:tc>
          <w:tcPr>
            <w:tcW w:w="1029" w:type="dxa"/>
            <w:tcBorders>
              <w:top w:val="single" w:sz="4" w:space="0" w:color="000000"/>
              <w:bottom w:val="single" w:sz="4" w:space="0" w:color="000000"/>
            </w:tcBorders>
            <w:shd w:val="clear" w:color="auto" w:fill="F9FCF9"/>
          </w:tcPr>
          <w:p>
            <w:pPr>
              <w:pStyle w:val="TableParagraph"/>
              <w:spacing w:line="132" w:lineRule="exact"/>
              <w:ind w:right="482"/>
              <w:jc w:val="right"/>
              <w:rPr>
                <w:sz w:val="14"/>
              </w:rPr>
            </w:pPr>
            <w:r>
              <w:rPr>
                <w:sz w:val="14"/>
              </w:rPr>
              <w:t>30.8</w:t>
            </w:r>
          </w:p>
        </w:tc>
        <w:tc>
          <w:tcPr>
            <w:tcW w:w="1342" w:type="dxa"/>
            <w:tcBorders>
              <w:top w:val="single" w:sz="4" w:space="0" w:color="000000"/>
              <w:bottom w:val="single" w:sz="4" w:space="0" w:color="000000"/>
            </w:tcBorders>
            <w:shd w:val="clear" w:color="auto" w:fill="F9FCF9"/>
          </w:tcPr>
          <w:p>
            <w:pPr>
              <w:pStyle w:val="TableParagraph"/>
              <w:spacing w:line="132" w:lineRule="exact"/>
              <w:ind w:right="617"/>
              <w:jc w:val="right"/>
              <w:rPr>
                <w:sz w:val="14"/>
              </w:rPr>
            </w:pPr>
            <w:r>
              <w:rPr>
                <w:sz w:val="14"/>
              </w:rPr>
              <w:t>35.6</w:t>
            </w:r>
          </w:p>
        </w:tc>
        <w:tc>
          <w:tcPr>
            <w:tcW w:w="744" w:type="dxa"/>
            <w:tcBorders>
              <w:top w:val="single" w:sz="4" w:space="0" w:color="000000"/>
              <w:bottom w:val="single" w:sz="4" w:space="0" w:color="000000"/>
            </w:tcBorders>
            <w:shd w:val="clear" w:color="auto" w:fill="F9FCF9"/>
          </w:tcPr>
          <w:p>
            <w:pPr>
              <w:pStyle w:val="TableParagraph"/>
              <w:spacing w:line="132" w:lineRule="exact"/>
              <w:ind w:left="167" w:right="257"/>
              <w:rPr>
                <w:sz w:val="14"/>
              </w:rPr>
            </w:pPr>
            <w:r>
              <w:rPr>
                <w:sz w:val="14"/>
              </w:rPr>
              <w:t>46.2</w:t>
            </w:r>
          </w:p>
        </w:tc>
        <w:tc>
          <w:tcPr>
            <w:tcW w:w="759" w:type="dxa"/>
            <w:tcBorders>
              <w:top w:val="single" w:sz="4" w:space="0" w:color="000000"/>
              <w:bottom w:val="single" w:sz="4" w:space="0" w:color="000000"/>
            </w:tcBorders>
            <w:shd w:val="clear" w:color="auto" w:fill="F9FCF9"/>
          </w:tcPr>
          <w:p>
            <w:pPr>
              <w:pStyle w:val="TableParagraph"/>
              <w:spacing w:line="132" w:lineRule="exact"/>
              <w:ind w:right="224"/>
              <w:jc w:val="right"/>
              <w:rPr>
                <w:sz w:val="14"/>
              </w:rPr>
            </w:pPr>
            <w:r>
              <w:rPr>
                <w:sz w:val="14"/>
              </w:rPr>
              <w:t>46.2</w:t>
            </w:r>
          </w:p>
        </w:tc>
        <w:tc>
          <w:tcPr>
            <w:tcW w:w="586" w:type="dxa"/>
            <w:tcBorders>
              <w:top w:val="single" w:sz="4" w:space="0" w:color="000000"/>
              <w:bottom w:val="single" w:sz="4" w:space="0" w:color="000000"/>
            </w:tcBorders>
            <w:shd w:val="clear" w:color="auto" w:fill="F9FCF9"/>
          </w:tcPr>
          <w:p>
            <w:pPr>
              <w:pStyle w:val="TableParagraph"/>
              <w:spacing w:line="132" w:lineRule="exact"/>
              <w:ind w:right="138"/>
              <w:jc w:val="right"/>
              <w:rPr>
                <w:b/>
                <w:sz w:val="14"/>
              </w:rPr>
            </w:pPr>
            <w:r>
              <w:rPr>
                <w:b/>
                <w:sz w:val="14"/>
              </w:rPr>
              <w:t>30.8</w:t>
            </w:r>
          </w:p>
        </w:tc>
        <w:tc>
          <w:tcPr>
            <w:tcW w:w="597" w:type="dxa"/>
            <w:tcBorders>
              <w:top w:val="single" w:sz="4" w:space="0" w:color="000000"/>
              <w:bottom w:val="single" w:sz="4" w:space="0" w:color="000000"/>
            </w:tcBorders>
            <w:shd w:val="clear" w:color="auto" w:fill="F9FCF9"/>
          </w:tcPr>
          <w:p>
            <w:pPr>
              <w:pStyle w:val="TableParagraph"/>
              <w:spacing w:line="132" w:lineRule="exact"/>
              <w:ind w:right="184"/>
              <w:jc w:val="right"/>
              <w:rPr>
                <w:b/>
                <w:sz w:val="14"/>
              </w:rPr>
            </w:pPr>
            <w:r>
              <w:rPr>
                <w:b/>
                <w:sz w:val="14"/>
              </w:rPr>
              <w:t>50.0</w:t>
            </w:r>
          </w:p>
        </w:tc>
      </w:tr>
      <w:tr>
        <w:trPr>
          <w:trHeight w:val="169" w:hRule="atLeast"/>
        </w:trPr>
        <w:tc>
          <w:tcPr>
            <w:tcW w:w="2750" w:type="dxa"/>
            <w:tcBorders>
              <w:top w:val="single" w:sz="4" w:space="0" w:color="000000"/>
            </w:tcBorders>
            <w:shd w:val="clear" w:color="auto" w:fill="F9FCF9"/>
          </w:tcPr>
          <w:p>
            <w:pPr>
              <w:pStyle w:val="TableParagraph"/>
              <w:spacing w:line="156" w:lineRule="exact"/>
              <w:ind w:left="28"/>
              <w:jc w:val="left"/>
              <w:rPr>
                <w:sz w:val="14"/>
              </w:rPr>
            </w:pPr>
            <w:r>
              <w:rPr>
                <w:sz w:val="14"/>
              </w:rPr>
              <w:t>Capture plant electricity price</w:t>
            </w:r>
          </w:p>
        </w:tc>
        <w:tc>
          <w:tcPr>
            <w:tcW w:w="672" w:type="dxa"/>
            <w:tcBorders>
              <w:top w:val="single" w:sz="4" w:space="0" w:color="000000"/>
            </w:tcBorders>
            <w:shd w:val="clear" w:color="auto" w:fill="F9FCF9"/>
          </w:tcPr>
          <w:p>
            <w:pPr>
              <w:pStyle w:val="TableParagraph"/>
              <w:spacing w:line="156" w:lineRule="exact"/>
              <w:ind w:left="229" w:right="1"/>
              <w:rPr>
                <w:sz w:val="14"/>
              </w:rPr>
            </w:pPr>
            <w:r>
              <w:rPr>
                <w:sz w:val="14"/>
              </w:rPr>
              <w:t>50.0</w:t>
            </w:r>
          </w:p>
        </w:tc>
        <w:tc>
          <w:tcPr>
            <w:tcW w:w="420" w:type="dxa"/>
            <w:tcBorders>
              <w:top w:val="single" w:sz="4" w:space="0" w:color="000000"/>
            </w:tcBorders>
            <w:shd w:val="clear" w:color="auto" w:fill="F9FCF9"/>
          </w:tcPr>
          <w:p>
            <w:pPr>
              <w:pStyle w:val="TableParagraph"/>
              <w:jc w:val="left"/>
              <w:rPr>
                <w:sz w:val="10"/>
              </w:rPr>
            </w:pPr>
          </w:p>
        </w:tc>
        <w:tc>
          <w:tcPr>
            <w:tcW w:w="663" w:type="dxa"/>
            <w:tcBorders>
              <w:top w:val="single" w:sz="4" w:space="0" w:color="000000"/>
            </w:tcBorders>
            <w:shd w:val="clear" w:color="auto" w:fill="F9FCF9"/>
          </w:tcPr>
          <w:p>
            <w:pPr>
              <w:pStyle w:val="TableParagraph"/>
              <w:spacing w:line="156" w:lineRule="exact"/>
              <w:ind w:left="140"/>
              <w:jc w:val="left"/>
              <w:rPr>
                <w:sz w:val="14"/>
              </w:rPr>
            </w:pPr>
            <w:r>
              <w:rPr>
                <w:sz w:val="14"/>
              </w:rPr>
              <w:t>45.0</w:t>
            </w:r>
          </w:p>
        </w:tc>
        <w:tc>
          <w:tcPr>
            <w:tcW w:w="806" w:type="dxa"/>
            <w:tcBorders>
              <w:top w:val="single" w:sz="4" w:space="0" w:color="000000"/>
            </w:tcBorders>
            <w:shd w:val="clear" w:color="auto" w:fill="F9FCF9"/>
          </w:tcPr>
          <w:p>
            <w:pPr>
              <w:pStyle w:val="TableParagraph"/>
              <w:spacing w:line="156" w:lineRule="exact"/>
              <w:ind w:left="219" w:right="266"/>
              <w:rPr>
                <w:sz w:val="14"/>
              </w:rPr>
            </w:pPr>
            <w:r>
              <w:rPr>
                <w:sz w:val="14"/>
              </w:rPr>
              <w:t>45.0</w:t>
            </w:r>
          </w:p>
        </w:tc>
        <w:tc>
          <w:tcPr>
            <w:tcW w:w="1029" w:type="dxa"/>
            <w:tcBorders>
              <w:top w:val="single" w:sz="4" w:space="0" w:color="000000"/>
            </w:tcBorders>
            <w:shd w:val="clear" w:color="auto" w:fill="F9FCF9"/>
          </w:tcPr>
          <w:p>
            <w:pPr>
              <w:pStyle w:val="TableParagraph"/>
              <w:spacing w:line="156" w:lineRule="exact"/>
              <w:ind w:right="482"/>
              <w:jc w:val="right"/>
              <w:rPr>
                <w:sz w:val="14"/>
              </w:rPr>
            </w:pPr>
            <w:r>
              <w:rPr>
                <w:sz w:val="14"/>
              </w:rPr>
              <w:t>30.8</w:t>
            </w:r>
          </w:p>
        </w:tc>
        <w:tc>
          <w:tcPr>
            <w:tcW w:w="1342" w:type="dxa"/>
            <w:tcBorders>
              <w:top w:val="single" w:sz="4" w:space="0" w:color="000000"/>
            </w:tcBorders>
            <w:shd w:val="clear" w:color="auto" w:fill="F9FCF9"/>
          </w:tcPr>
          <w:p>
            <w:pPr>
              <w:pStyle w:val="TableParagraph"/>
              <w:spacing w:line="156" w:lineRule="exact"/>
              <w:ind w:right="617"/>
              <w:jc w:val="right"/>
              <w:rPr>
                <w:sz w:val="14"/>
              </w:rPr>
            </w:pPr>
            <w:r>
              <w:rPr>
                <w:sz w:val="14"/>
              </w:rPr>
              <w:t>53.6</w:t>
            </w:r>
          </w:p>
        </w:tc>
        <w:tc>
          <w:tcPr>
            <w:tcW w:w="744" w:type="dxa"/>
            <w:tcBorders>
              <w:top w:val="single" w:sz="4" w:space="0" w:color="000000"/>
            </w:tcBorders>
            <w:shd w:val="clear" w:color="auto" w:fill="F9FCF9"/>
          </w:tcPr>
          <w:p>
            <w:pPr>
              <w:pStyle w:val="TableParagraph"/>
              <w:spacing w:line="156" w:lineRule="exact"/>
              <w:ind w:left="167" w:right="257"/>
              <w:rPr>
                <w:sz w:val="14"/>
              </w:rPr>
            </w:pPr>
            <w:r>
              <w:rPr>
                <w:sz w:val="14"/>
              </w:rPr>
              <w:t>62.3</w:t>
            </w:r>
          </w:p>
        </w:tc>
        <w:tc>
          <w:tcPr>
            <w:tcW w:w="759" w:type="dxa"/>
            <w:tcBorders>
              <w:top w:val="single" w:sz="4" w:space="0" w:color="000000"/>
            </w:tcBorders>
            <w:shd w:val="clear" w:color="auto" w:fill="F9FCF9"/>
          </w:tcPr>
          <w:p>
            <w:pPr>
              <w:pStyle w:val="TableParagraph"/>
              <w:spacing w:line="156" w:lineRule="exact"/>
              <w:ind w:right="224"/>
              <w:jc w:val="right"/>
              <w:rPr>
                <w:sz w:val="14"/>
              </w:rPr>
            </w:pPr>
            <w:r>
              <w:rPr>
                <w:sz w:val="14"/>
              </w:rPr>
              <w:t>60.5</w:t>
            </w:r>
          </w:p>
        </w:tc>
        <w:tc>
          <w:tcPr>
            <w:tcW w:w="586" w:type="dxa"/>
            <w:tcBorders>
              <w:top w:val="single" w:sz="4" w:space="0" w:color="000000"/>
            </w:tcBorders>
            <w:shd w:val="clear" w:color="auto" w:fill="F9FCF9"/>
          </w:tcPr>
          <w:p>
            <w:pPr>
              <w:pStyle w:val="TableParagraph"/>
              <w:spacing w:line="156" w:lineRule="exact"/>
              <w:ind w:right="138"/>
              <w:jc w:val="right"/>
              <w:rPr>
                <w:b/>
                <w:sz w:val="14"/>
              </w:rPr>
            </w:pPr>
            <w:r>
              <w:rPr>
                <w:b/>
                <w:sz w:val="14"/>
              </w:rPr>
              <w:t>30.8</w:t>
            </w:r>
          </w:p>
        </w:tc>
        <w:tc>
          <w:tcPr>
            <w:tcW w:w="597" w:type="dxa"/>
            <w:tcBorders>
              <w:top w:val="single" w:sz="4" w:space="0" w:color="000000"/>
            </w:tcBorders>
            <w:shd w:val="clear" w:color="auto" w:fill="F9FCF9"/>
          </w:tcPr>
          <w:p>
            <w:pPr>
              <w:pStyle w:val="TableParagraph"/>
              <w:spacing w:line="156" w:lineRule="exact"/>
              <w:ind w:right="184"/>
              <w:jc w:val="right"/>
              <w:rPr>
                <w:b/>
                <w:sz w:val="14"/>
              </w:rPr>
            </w:pPr>
            <w:r>
              <w:rPr>
                <w:b/>
                <w:sz w:val="14"/>
              </w:rPr>
              <w:t>62.3</w:t>
            </w:r>
          </w:p>
        </w:tc>
      </w:tr>
      <w:tr>
        <w:trPr>
          <w:trHeight w:val="150" w:hRule="atLeast"/>
        </w:trPr>
        <w:tc>
          <w:tcPr>
            <w:tcW w:w="2750" w:type="dxa"/>
            <w:tcBorders>
              <w:bottom w:val="single" w:sz="4" w:space="0" w:color="000000"/>
            </w:tcBorders>
            <w:shd w:val="clear" w:color="auto" w:fill="F9FCF9"/>
          </w:tcPr>
          <w:p>
            <w:pPr>
              <w:pStyle w:val="TableParagraph"/>
              <w:spacing w:line="123" w:lineRule="exact"/>
              <w:ind w:left="28"/>
              <w:jc w:val="left"/>
              <w:rPr>
                <w:sz w:val="14"/>
              </w:rPr>
            </w:pPr>
            <w:r>
              <w:rPr>
                <w:sz w:val="14"/>
              </w:rPr>
              <w:t>(US$ MWh</w:t>
            </w:r>
            <w:r>
              <w:rPr>
                <w:position w:val="5"/>
                <w:sz w:val="8"/>
              </w:rPr>
              <w:t>−1</w:t>
            </w:r>
            <w:r>
              <w:rPr>
                <w:sz w:val="14"/>
              </w:rPr>
              <w:t>)</w:t>
            </w:r>
          </w:p>
        </w:tc>
        <w:tc>
          <w:tcPr>
            <w:tcW w:w="672" w:type="dxa"/>
            <w:tcBorders>
              <w:bottom w:val="single" w:sz="4" w:space="0" w:color="000000"/>
            </w:tcBorders>
            <w:shd w:val="clear" w:color="auto" w:fill="F9FCF9"/>
          </w:tcPr>
          <w:p>
            <w:pPr>
              <w:pStyle w:val="TableParagraph"/>
              <w:jc w:val="left"/>
              <w:rPr>
                <w:sz w:val="8"/>
              </w:rPr>
            </w:pPr>
          </w:p>
        </w:tc>
        <w:tc>
          <w:tcPr>
            <w:tcW w:w="420" w:type="dxa"/>
            <w:tcBorders>
              <w:bottom w:val="single" w:sz="4" w:space="0" w:color="000000"/>
            </w:tcBorders>
            <w:shd w:val="clear" w:color="auto" w:fill="F9FCF9"/>
          </w:tcPr>
          <w:p>
            <w:pPr>
              <w:pStyle w:val="TableParagraph"/>
              <w:jc w:val="left"/>
              <w:rPr>
                <w:sz w:val="8"/>
              </w:rPr>
            </w:pPr>
          </w:p>
        </w:tc>
        <w:tc>
          <w:tcPr>
            <w:tcW w:w="663" w:type="dxa"/>
            <w:tcBorders>
              <w:bottom w:val="single" w:sz="4" w:space="0" w:color="000000"/>
            </w:tcBorders>
            <w:shd w:val="clear" w:color="auto" w:fill="F9FCF9"/>
          </w:tcPr>
          <w:p>
            <w:pPr>
              <w:pStyle w:val="TableParagraph"/>
              <w:jc w:val="left"/>
              <w:rPr>
                <w:sz w:val="8"/>
              </w:rPr>
            </w:pPr>
          </w:p>
        </w:tc>
        <w:tc>
          <w:tcPr>
            <w:tcW w:w="806" w:type="dxa"/>
            <w:tcBorders>
              <w:bottom w:val="single" w:sz="4" w:space="0" w:color="000000"/>
            </w:tcBorders>
            <w:shd w:val="clear" w:color="auto" w:fill="F9FCF9"/>
          </w:tcPr>
          <w:p>
            <w:pPr>
              <w:pStyle w:val="TableParagraph"/>
              <w:jc w:val="left"/>
              <w:rPr>
                <w:sz w:val="8"/>
              </w:rPr>
            </w:pPr>
          </w:p>
        </w:tc>
        <w:tc>
          <w:tcPr>
            <w:tcW w:w="1029" w:type="dxa"/>
            <w:tcBorders>
              <w:bottom w:val="single" w:sz="4" w:space="0" w:color="000000"/>
            </w:tcBorders>
            <w:shd w:val="clear" w:color="auto" w:fill="F9FCF9"/>
          </w:tcPr>
          <w:p>
            <w:pPr>
              <w:pStyle w:val="TableParagraph"/>
              <w:jc w:val="left"/>
              <w:rPr>
                <w:sz w:val="8"/>
              </w:rPr>
            </w:pPr>
          </w:p>
        </w:tc>
        <w:tc>
          <w:tcPr>
            <w:tcW w:w="1342" w:type="dxa"/>
            <w:tcBorders>
              <w:bottom w:val="single" w:sz="4" w:space="0" w:color="000000"/>
            </w:tcBorders>
            <w:shd w:val="clear" w:color="auto" w:fill="F9FCF9"/>
          </w:tcPr>
          <w:p>
            <w:pPr>
              <w:pStyle w:val="TableParagraph"/>
              <w:jc w:val="left"/>
              <w:rPr>
                <w:sz w:val="8"/>
              </w:rPr>
            </w:pPr>
          </w:p>
        </w:tc>
        <w:tc>
          <w:tcPr>
            <w:tcW w:w="744" w:type="dxa"/>
            <w:tcBorders>
              <w:bottom w:val="single" w:sz="4" w:space="0" w:color="000000"/>
            </w:tcBorders>
            <w:shd w:val="clear" w:color="auto" w:fill="F9FCF9"/>
          </w:tcPr>
          <w:p>
            <w:pPr>
              <w:pStyle w:val="TableParagraph"/>
              <w:jc w:val="left"/>
              <w:rPr>
                <w:sz w:val="8"/>
              </w:rPr>
            </w:pPr>
          </w:p>
        </w:tc>
        <w:tc>
          <w:tcPr>
            <w:tcW w:w="759" w:type="dxa"/>
            <w:tcBorders>
              <w:bottom w:val="single" w:sz="4" w:space="0" w:color="000000"/>
            </w:tcBorders>
            <w:shd w:val="clear" w:color="auto" w:fill="F9FCF9"/>
          </w:tcPr>
          <w:p>
            <w:pPr>
              <w:pStyle w:val="TableParagraph"/>
              <w:jc w:val="left"/>
              <w:rPr>
                <w:sz w:val="8"/>
              </w:rPr>
            </w:pPr>
          </w:p>
        </w:tc>
        <w:tc>
          <w:tcPr>
            <w:tcW w:w="586" w:type="dxa"/>
            <w:tcBorders>
              <w:bottom w:val="single" w:sz="4" w:space="0" w:color="000000"/>
            </w:tcBorders>
            <w:shd w:val="clear" w:color="auto" w:fill="F9FCF9"/>
          </w:tcPr>
          <w:p>
            <w:pPr>
              <w:pStyle w:val="TableParagraph"/>
              <w:jc w:val="left"/>
              <w:rPr>
                <w:sz w:val="8"/>
              </w:rPr>
            </w:pPr>
          </w:p>
        </w:tc>
        <w:tc>
          <w:tcPr>
            <w:tcW w:w="597" w:type="dxa"/>
            <w:tcBorders>
              <w:bottom w:val="single" w:sz="4" w:space="0" w:color="000000"/>
            </w:tcBorders>
            <w:shd w:val="clear" w:color="auto" w:fill="F9FCF9"/>
          </w:tcPr>
          <w:p>
            <w:pPr>
              <w:pStyle w:val="TableParagraph"/>
              <w:jc w:val="left"/>
              <w:rPr>
                <w:sz w:val="8"/>
              </w:rPr>
            </w:pPr>
          </w:p>
        </w:tc>
      </w:tr>
      <w:tr>
        <w:trPr>
          <w:trHeight w:val="151" w:hRule="atLeast"/>
        </w:trPr>
        <w:tc>
          <w:tcPr>
            <w:tcW w:w="2750" w:type="dxa"/>
            <w:tcBorders>
              <w:top w:val="single" w:sz="4" w:space="0" w:color="000000"/>
              <w:bottom w:val="single" w:sz="4" w:space="0" w:color="000000"/>
            </w:tcBorders>
            <w:shd w:val="clear" w:color="auto" w:fill="F9FCF9"/>
          </w:tcPr>
          <w:p>
            <w:pPr>
              <w:pStyle w:val="TableParagraph"/>
              <w:spacing w:line="132" w:lineRule="exact"/>
              <w:ind w:left="28"/>
              <w:jc w:val="left"/>
              <w:rPr>
                <w:sz w:val="14"/>
              </w:rPr>
            </w:pPr>
            <w:r>
              <w:rPr>
                <w:sz w:val="14"/>
              </w:rPr>
              <w:t>% increase in assumed electricity price</w:t>
            </w:r>
          </w:p>
        </w:tc>
        <w:tc>
          <w:tcPr>
            <w:tcW w:w="672" w:type="dxa"/>
            <w:tcBorders>
              <w:top w:val="single" w:sz="4" w:space="0" w:color="000000"/>
              <w:bottom w:val="single" w:sz="4" w:space="0" w:color="000000"/>
            </w:tcBorders>
            <w:shd w:val="clear" w:color="auto" w:fill="F9FCF9"/>
          </w:tcPr>
          <w:p>
            <w:pPr>
              <w:pStyle w:val="TableParagraph"/>
              <w:spacing w:line="132" w:lineRule="exact"/>
              <w:ind w:left="229" w:right="1"/>
              <w:rPr>
                <w:sz w:val="14"/>
              </w:rPr>
            </w:pPr>
            <w:r>
              <w:rPr>
                <w:sz w:val="14"/>
              </w:rPr>
              <w:t>0.0</w:t>
            </w:r>
          </w:p>
        </w:tc>
        <w:tc>
          <w:tcPr>
            <w:tcW w:w="420" w:type="dxa"/>
            <w:tcBorders>
              <w:top w:val="single" w:sz="4" w:space="0" w:color="000000"/>
              <w:bottom w:val="single" w:sz="4" w:space="0" w:color="000000"/>
            </w:tcBorders>
            <w:shd w:val="clear" w:color="auto" w:fill="F9FCF9"/>
          </w:tcPr>
          <w:p>
            <w:pPr>
              <w:pStyle w:val="TableParagraph"/>
              <w:jc w:val="left"/>
              <w:rPr>
                <w:sz w:val="8"/>
              </w:rPr>
            </w:pPr>
          </w:p>
        </w:tc>
        <w:tc>
          <w:tcPr>
            <w:tcW w:w="663" w:type="dxa"/>
            <w:tcBorders>
              <w:top w:val="single" w:sz="4" w:space="0" w:color="000000"/>
              <w:bottom w:val="single" w:sz="4" w:space="0" w:color="000000"/>
            </w:tcBorders>
            <w:shd w:val="clear" w:color="auto" w:fill="F9FCF9"/>
          </w:tcPr>
          <w:p>
            <w:pPr>
              <w:pStyle w:val="TableParagraph"/>
              <w:spacing w:line="132" w:lineRule="exact"/>
              <w:ind w:left="175"/>
              <w:jc w:val="left"/>
              <w:rPr>
                <w:sz w:val="14"/>
              </w:rPr>
            </w:pPr>
            <w:r>
              <w:rPr>
                <w:sz w:val="14"/>
              </w:rPr>
              <w:t>0.0</w:t>
            </w:r>
          </w:p>
        </w:tc>
        <w:tc>
          <w:tcPr>
            <w:tcW w:w="806" w:type="dxa"/>
            <w:tcBorders>
              <w:top w:val="single" w:sz="4" w:space="0" w:color="000000"/>
              <w:bottom w:val="single" w:sz="4" w:space="0" w:color="000000"/>
            </w:tcBorders>
            <w:shd w:val="clear" w:color="auto" w:fill="F9FCF9"/>
          </w:tcPr>
          <w:p>
            <w:pPr>
              <w:pStyle w:val="TableParagraph"/>
              <w:spacing w:line="132" w:lineRule="exact"/>
              <w:ind w:left="219" w:right="266"/>
              <w:rPr>
                <w:sz w:val="14"/>
              </w:rPr>
            </w:pPr>
            <w:r>
              <w:rPr>
                <w:sz w:val="14"/>
              </w:rPr>
              <w:t>0.0</w:t>
            </w:r>
          </w:p>
        </w:tc>
        <w:tc>
          <w:tcPr>
            <w:tcW w:w="1029" w:type="dxa"/>
            <w:tcBorders>
              <w:top w:val="single" w:sz="4" w:space="0" w:color="000000"/>
              <w:bottom w:val="single" w:sz="4" w:space="0" w:color="000000"/>
            </w:tcBorders>
            <w:shd w:val="clear" w:color="auto" w:fill="F9FCF9"/>
          </w:tcPr>
          <w:p>
            <w:pPr>
              <w:pStyle w:val="TableParagraph"/>
              <w:spacing w:line="132" w:lineRule="exact"/>
              <w:ind w:right="517"/>
              <w:jc w:val="right"/>
              <w:rPr>
                <w:sz w:val="14"/>
              </w:rPr>
            </w:pPr>
            <w:r>
              <w:rPr>
                <w:sz w:val="14"/>
              </w:rPr>
              <w:t>0.0</w:t>
            </w:r>
          </w:p>
        </w:tc>
        <w:tc>
          <w:tcPr>
            <w:tcW w:w="1342" w:type="dxa"/>
            <w:tcBorders>
              <w:top w:val="single" w:sz="4" w:space="0" w:color="000000"/>
              <w:bottom w:val="single" w:sz="4" w:space="0" w:color="000000"/>
            </w:tcBorders>
            <w:shd w:val="clear" w:color="auto" w:fill="F9FCF9"/>
          </w:tcPr>
          <w:p>
            <w:pPr>
              <w:pStyle w:val="TableParagraph"/>
              <w:spacing w:line="132" w:lineRule="exact"/>
              <w:ind w:right="617"/>
              <w:jc w:val="right"/>
              <w:rPr>
                <w:sz w:val="14"/>
              </w:rPr>
            </w:pPr>
            <w:r>
              <w:rPr>
                <w:sz w:val="14"/>
              </w:rPr>
              <w:t>50.6</w:t>
            </w:r>
          </w:p>
        </w:tc>
        <w:tc>
          <w:tcPr>
            <w:tcW w:w="744" w:type="dxa"/>
            <w:tcBorders>
              <w:top w:val="single" w:sz="4" w:space="0" w:color="000000"/>
              <w:bottom w:val="single" w:sz="4" w:space="0" w:color="000000"/>
            </w:tcBorders>
            <w:shd w:val="clear" w:color="auto" w:fill="F9FCF9"/>
          </w:tcPr>
          <w:p>
            <w:pPr>
              <w:pStyle w:val="TableParagraph"/>
              <w:spacing w:line="132" w:lineRule="exact"/>
              <w:ind w:left="167" w:right="257"/>
              <w:rPr>
                <w:sz w:val="14"/>
              </w:rPr>
            </w:pPr>
            <w:r>
              <w:rPr>
                <w:sz w:val="14"/>
              </w:rPr>
              <w:t>34.8</w:t>
            </w:r>
          </w:p>
        </w:tc>
        <w:tc>
          <w:tcPr>
            <w:tcW w:w="759" w:type="dxa"/>
            <w:tcBorders>
              <w:top w:val="single" w:sz="4" w:space="0" w:color="000000"/>
              <w:bottom w:val="single" w:sz="4" w:space="0" w:color="000000"/>
            </w:tcBorders>
            <w:shd w:val="clear" w:color="auto" w:fill="F9FCF9"/>
          </w:tcPr>
          <w:p>
            <w:pPr>
              <w:pStyle w:val="TableParagraph"/>
              <w:spacing w:line="132" w:lineRule="exact"/>
              <w:ind w:right="224"/>
              <w:jc w:val="right"/>
              <w:rPr>
                <w:sz w:val="14"/>
              </w:rPr>
            </w:pPr>
            <w:r>
              <w:rPr>
                <w:sz w:val="14"/>
              </w:rPr>
              <w:t>31.0</w:t>
            </w:r>
          </w:p>
        </w:tc>
        <w:tc>
          <w:tcPr>
            <w:tcW w:w="586" w:type="dxa"/>
            <w:tcBorders>
              <w:top w:val="single" w:sz="4" w:space="0" w:color="000000"/>
              <w:bottom w:val="single" w:sz="4" w:space="0" w:color="000000"/>
            </w:tcBorders>
            <w:shd w:val="clear" w:color="auto" w:fill="F9FCF9"/>
          </w:tcPr>
          <w:p>
            <w:pPr>
              <w:pStyle w:val="TableParagraph"/>
              <w:spacing w:line="132" w:lineRule="exact"/>
              <w:ind w:right="173"/>
              <w:jc w:val="right"/>
              <w:rPr>
                <w:b/>
                <w:sz w:val="14"/>
              </w:rPr>
            </w:pPr>
            <w:r>
              <w:rPr>
                <w:b/>
                <w:sz w:val="14"/>
              </w:rPr>
              <w:t>0.0</w:t>
            </w:r>
          </w:p>
        </w:tc>
        <w:tc>
          <w:tcPr>
            <w:tcW w:w="597" w:type="dxa"/>
            <w:tcBorders>
              <w:top w:val="single" w:sz="4" w:space="0" w:color="000000"/>
              <w:bottom w:val="single" w:sz="4" w:space="0" w:color="000000"/>
            </w:tcBorders>
            <w:shd w:val="clear" w:color="auto" w:fill="F9FCF9"/>
          </w:tcPr>
          <w:p>
            <w:pPr>
              <w:pStyle w:val="TableParagraph"/>
              <w:spacing w:line="132" w:lineRule="exact"/>
              <w:ind w:right="184"/>
              <w:jc w:val="right"/>
              <w:rPr>
                <w:b/>
                <w:sz w:val="14"/>
              </w:rPr>
            </w:pPr>
            <w:r>
              <w:rPr>
                <w:b/>
                <w:sz w:val="14"/>
              </w:rPr>
              <w:t>50.6</w:t>
            </w:r>
          </w:p>
        </w:tc>
      </w:tr>
      <w:tr>
        <w:trPr>
          <w:trHeight w:val="169" w:hRule="atLeast"/>
        </w:trPr>
        <w:tc>
          <w:tcPr>
            <w:tcW w:w="2750" w:type="dxa"/>
            <w:tcBorders>
              <w:top w:val="single" w:sz="4" w:space="0" w:color="000000"/>
            </w:tcBorders>
            <w:shd w:val="clear" w:color="auto" w:fill="F9FCF9"/>
          </w:tcPr>
          <w:p>
            <w:pPr>
              <w:pStyle w:val="TableParagraph"/>
              <w:spacing w:line="156" w:lineRule="exact"/>
              <w:ind w:left="28"/>
              <w:jc w:val="left"/>
              <w:rPr>
                <w:b/>
                <w:sz w:val="14"/>
              </w:rPr>
            </w:pPr>
            <w:r>
              <w:rPr>
                <w:b/>
                <w:sz w:val="14"/>
              </w:rPr>
              <w:t>Ref. plant fuel product cost, LHv</w:t>
            </w:r>
          </w:p>
        </w:tc>
        <w:tc>
          <w:tcPr>
            <w:tcW w:w="672" w:type="dxa"/>
            <w:tcBorders>
              <w:top w:val="single" w:sz="4" w:space="0" w:color="000000"/>
            </w:tcBorders>
            <w:shd w:val="clear" w:color="auto" w:fill="F9FCF9"/>
          </w:tcPr>
          <w:p>
            <w:pPr>
              <w:pStyle w:val="TableParagraph"/>
              <w:spacing w:line="156" w:lineRule="exact"/>
              <w:ind w:left="229" w:right="1"/>
              <w:rPr>
                <w:b/>
                <w:sz w:val="14"/>
              </w:rPr>
            </w:pPr>
            <w:r>
              <w:rPr>
                <w:b/>
                <w:sz w:val="14"/>
              </w:rPr>
              <w:t>10.03</w:t>
            </w:r>
          </w:p>
        </w:tc>
        <w:tc>
          <w:tcPr>
            <w:tcW w:w="420" w:type="dxa"/>
            <w:tcBorders>
              <w:top w:val="single" w:sz="4" w:space="0" w:color="000000"/>
            </w:tcBorders>
            <w:shd w:val="clear" w:color="auto" w:fill="F9FCF9"/>
          </w:tcPr>
          <w:p>
            <w:pPr>
              <w:pStyle w:val="TableParagraph"/>
              <w:jc w:val="left"/>
              <w:rPr>
                <w:sz w:val="10"/>
              </w:rPr>
            </w:pPr>
          </w:p>
        </w:tc>
        <w:tc>
          <w:tcPr>
            <w:tcW w:w="663" w:type="dxa"/>
            <w:tcBorders>
              <w:top w:val="single" w:sz="4" w:space="0" w:color="000000"/>
            </w:tcBorders>
            <w:shd w:val="clear" w:color="auto" w:fill="F9FCF9"/>
          </w:tcPr>
          <w:p>
            <w:pPr>
              <w:pStyle w:val="TableParagraph"/>
              <w:spacing w:line="156" w:lineRule="exact"/>
              <w:ind w:left="140"/>
              <w:jc w:val="left"/>
              <w:rPr>
                <w:b/>
                <w:sz w:val="14"/>
              </w:rPr>
            </w:pPr>
            <w:r>
              <w:rPr>
                <w:b/>
                <w:sz w:val="14"/>
              </w:rPr>
              <w:t>8.58</w:t>
            </w:r>
          </w:p>
        </w:tc>
        <w:tc>
          <w:tcPr>
            <w:tcW w:w="806" w:type="dxa"/>
            <w:tcBorders>
              <w:top w:val="single" w:sz="4" w:space="0" w:color="000000"/>
            </w:tcBorders>
            <w:shd w:val="clear" w:color="auto" w:fill="F9FCF9"/>
          </w:tcPr>
          <w:p>
            <w:pPr>
              <w:pStyle w:val="TableParagraph"/>
              <w:spacing w:line="156" w:lineRule="exact"/>
              <w:ind w:left="219" w:right="266"/>
              <w:rPr>
                <w:b/>
                <w:sz w:val="14"/>
              </w:rPr>
            </w:pPr>
            <w:r>
              <w:rPr>
                <w:b/>
                <w:sz w:val="14"/>
              </w:rPr>
              <w:t>7.99</w:t>
            </w:r>
          </w:p>
        </w:tc>
        <w:tc>
          <w:tcPr>
            <w:tcW w:w="1029" w:type="dxa"/>
            <w:tcBorders>
              <w:top w:val="single" w:sz="4" w:space="0" w:color="000000"/>
            </w:tcBorders>
            <w:shd w:val="clear" w:color="auto" w:fill="F9FCF9"/>
          </w:tcPr>
          <w:p>
            <w:pPr>
              <w:pStyle w:val="TableParagraph"/>
              <w:spacing w:line="156" w:lineRule="exact"/>
              <w:ind w:right="482"/>
              <w:jc w:val="right"/>
              <w:rPr>
                <w:b/>
                <w:sz w:val="14"/>
              </w:rPr>
            </w:pPr>
            <w:r>
              <w:rPr>
                <w:b/>
                <w:sz w:val="14"/>
              </w:rPr>
              <w:t>6.51</w:t>
            </w:r>
          </w:p>
        </w:tc>
        <w:tc>
          <w:tcPr>
            <w:tcW w:w="1342" w:type="dxa"/>
            <w:tcBorders>
              <w:top w:val="single" w:sz="4" w:space="0" w:color="000000"/>
            </w:tcBorders>
            <w:shd w:val="clear" w:color="auto" w:fill="F9FCF9"/>
          </w:tcPr>
          <w:p>
            <w:pPr>
              <w:pStyle w:val="TableParagraph"/>
              <w:spacing w:line="156" w:lineRule="exact"/>
              <w:ind w:right="617"/>
              <w:jc w:val="right"/>
              <w:rPr>
                <w:b/>
                <w:sz w:val="14"/>
              </w:rPr>
            </w:pPr>
            <w:r>
              <w:rPr>
                <w:b/>
                <w:sz w:val="14"/>
              </w:rPr>
              <w:t>7.29</w:t>
            </w:r>
          </w:p>
        </w:tc>
        <w:tc>
          <w:tcPr>
            <w:tcW w:w="744" w:type="dxa"/>
            <w:tcBorders>
              <w:top w:val="single" w:sz="4" w:space="0" w:color="000000"/>
            </w:tcBorders>
            <w:shd w:val="clear" w:color="auto" w:fill="F9FCF9"/>
          </w:tcPr>
          <w:p>
            <w:pPr>
              <w:pStyle w:val="TableParagraph"/>
              <w:spacing w:line="156" w:lineRule="exact"/>
              <w:ind w:left="167" w:right="257"/>
              <w:rPr>
                <w:b/>
                <w:sz w:val="14"/>
              </w:rPr>
            </w:pPr>
            <w:r>
              <w:rPr>
                <w:b/>
                <w:sz w:val="14"/>
              </w:rPr>
              <w:t>7.19</w:t>
            </w:r>
          </w:p>
        </w:tc>
        <w:tc>
          <w:tcPr>
            <w:tcW w:w="759" w:type="dxa"/>
            <w:tcBorders>
              <w:top w:val="single" w:sz="4" w:space="0" w:color="000000"/>
            </w:tcBorders>
            <w:shd w:val="clear" w:color="auto" w:fill="F9FCF9"/>
          </w:tcPr>
          <w:p>
            <w:pPr>
              <w:pStyle w:val="TableParagraph"/>
              <w:spacing w:line="156" w:lineRule="exact"/>
              <w:ind w:right="224"/>
              <w:jc w:val="right"/>
              <w:rPr>
                <w:b/>
                <w:sz w:val="14"/>
              </w:rPr>
            </w:pPr>
            <w:r>
              <w:rPr>
                <w:b/>
                <w:sz w:val="14"/>
              </w:rPr>
              <w:t>7.19</w:t>
            </w:r>
          </w:p>
        </w:tc>
        <w:tc>
          <w:tcPr>
            <w:tcW w:w="586" w:type="dxa"/>
            <w:tcBorders>
              <w:top w:val="single" w:sz="4" w:space="0" w:color="000000"/>
            </w:tcBorders>
            <w:shd w:val="clear" w:color="auto" w:fill="F9FCF9"/>
          </w:tcPr>
          <w:p>
            <w:pPr>
              <w:pStyle w:val="TableParagraph"/>
              <w:spacing w:line="156" w:lineRule="exact"/>
              <w:ind w:right="138"/>
              <w:jc w:val="right"/>
              <w:rPr>
                <w:b/>
                <w:sz w:val="14"/>
              </w:rPr>
            </w:pPr>
            <w:r>
              <w:rPr>
                <w:b/>
                <w:sz w:val="14"/>
              </w:rPr>
              <w:t>6.51</w:t>
            </w:r>
          </w:p>
        </w:tc>
        <w:tc>
          <w:tcPr>
            <w:tcW w:w="597" w:type="dxa"/>
            <w:tcBorders>
              <w:top w:val="single" w:sz="4" w:space="0" w:color="000000"/>
            </w:tcBorders>
            <w:shd w:val="clear" w:color="auto" w:fill="F9FCF9"/>
          </w:tcPr>
          <w:p>
            <w:pPr>
              <w:pStyle w:val="TableParagraph"/>
              <w:spacing w:line="156" w:lineRule="exact"/>
              <w:ind w:right="149"/>
              <w:jc w:val="right"/>
              <w:rPr>
                <w:b/>
                <w:sz w:val="14"/>
              </w:rPr>
            </w:pPr>
            <w:r>
              <w:rPr>
                <w:b/>
                <w:sz w:val="14"/>
              </w:rPr>
              <w:t>10.03</w:t>
            </w:r>
          </w:p>
        </w:tc>
      </w:tr>
      <w:tr>
        <w:trPr>
          <w:trHeight w:val="150" w:hRule="atLeast"/>
        </w:trPr>
        <w:tc>
          <w:tcPr>
            <w:tcW w:w="2750" w:type="dxa"/>
            <w:tcBorders>
              <w:bottom w:val="single" w:sz="4" w:space="0" w:color="000000"/>
            </w:tcBorders>
            <w:shd w:val="clear" w:color="auto" w:fill="F9FCF9"/>
          </w:tcPr>
          <w:p>
            <w:pPr>
              <w:pStyle w:val="TableParagraph"/>
              <w:spacing w:line="123" w:lineRule="exact"/>
              <w:ind w:left="28"/>
              <w:jc w:val="left"/>
              <w:rPr>
                <w:b/>
                <w:sz w:val="14"/>
              </w:rPr>
            </w:pPr>
            <w:r>
              <w:rPr>
                <w:b/>
                <w:w w:val="105"/>
                <w:sz w:val="14"/>
              </w:rPr>
              <w:t>(uS$ GJ</w:t>
            </w:r>
            <w:r>
              <w:rPr>
                <w:b/>
                <w:w w:val="105"/>
                <w:position w:val="5"/>
                <w:sz w:val="8"/>
              </w:rPr>
              <w:t>−1</w:t>
            </w:r>
            <w:r>
              <w:rPr>
                <w:b/>
                <w:w w:val="105"/>
                <w:sz w:val="14"/>
              </w:rPr>
              <w:t>)</w:t>
            </w:r>
          </w:p>
        </w:tc>
        <w:tc>
          <w:tcPr>
            <w:tcW w:w="672" w:type="dxa"/>
            <w:tcBorders>
              <w:bottom w:val="single" w:sz="4" w:space="0" w:color="000000"/>
            </w:tcBorders>
            <w:shd w:val="clear" w:color="auto" w:fill="F9FCF9"/>
          </w:tcPr>
          <w:p>
            <w:pPr>
              <w:pStyle w:val="TableParagraph"/>
              <w:jc w:val="left"/>
              <w:rPr>
                <w:sz w:val="8"/>
              </w:rPr>
            </w:pPr>
          </w:p>
        </w:tc>
        <w:tc>
          <w:tcPr>
            <w:tcW w:w="420" w:type="dxa"/>
            <w:tcBorders>
              <w:bottom w:val="single" w:sz="4" w:space="0" w:color="000000"/>
            </w:tcBorders>
            <w:shd w:val="clear" w:color="auto" w:fill="F9FCF9"/>
          </w:tcPr>
          <w:p>
            <w:pPr>
              <w:pStyle w:val="TableParagraph"/>
              <w:jc w:val="left"/>
              <w:rPr>
                <w:sz w:val="8"/>
              </w:rPr>
            </w:pPr>
          </w:p>
        </w:tc>
        <w:tc>
          <w:tcPr>
            <w:tcW w:w="663" w:type="dxa"/>
            <w:tcBorders>
              <w:bottom w:val="single" w:sz="4" w:space="0" w:color="000000"/>
            </w:tcBorders>
            <w:shd w:val="clear" w:color="auto" w:fill="F9FCF9"/>
          </w:tcPr>
          <w:p>
            <w:pPr>
              <w:pStyle w:val="TableParagraph"/>
              <w:jc w:val="left"/>
              <w:rPr>
                <w:sz w:val="8"/>
              </w:rPr>
            </w:pPr>
          </w:p>
        </w:tc>
        <w:tc>
          <w:tcPr>
            <w:tcW w:w="806" w:type="dxa"/>
            <w:tcBorders>
              <w:bottom w:val="single" w:sz="4" w:space="0" w:color="000000"/>
            </w:tcBorders>
            <w:shd w:val="clear" w:color="auto" w:fill="F9FCF9"/>
          </w:tcPr>
          <w:p>
            <w:pPr>
              <w:pStyle w:val="TableParagraph"/>
              <w:jc w:val="left"/>
              <w:rPr>
                <w:sz w:val="8"/>
              </w:rPr>
            </w:pPr>
          </w:p>
        </w:tc>
        <w:tc>
          <w:tcPr>
            <w:tcW w:w="1029" w:type="dxa"/>
            <w:tcBorders>
              <w:bottom w:val="single" w:sz="4" w:space="0" w:color="000000"/>
            </w:tcBorders>
            <w:shd w:val="clear" w:color="auto" w:fill="F9FCF9"/>
          </w:tcPr>
          <w:p>
            <w:pPr>
              <w:pStyle w:val="TableParagraph"/>
              <w:jc w:val="left"/>
              <w:rPr>
                <w:sz w:val="8"/>
              </w:rPr>
            </w:pPr>
          </w:p>
        </w:tc>
        <w:tc>
          <w:tcPr>
            <w:tcW w:w="1342" w:type="dxa"/>
            <w:tcBorders>
              <w:bottom w:val="single" w:sz="4" w:space="0" w:color="000000"/>
            </w:tcBorders>
            <w:shd w:val="clear" w:color="auto" w:fill="F9FCF9"/>
          </w:tcPr>
          <w:p>
            <w:pPr>
              <w:pStyle w:val="TableParagraph"/>
              <w:jc w:val="left"/>
              <w:rPr>
                <w:sz w:val="8"/>
              </w:rPr>
            </w:pPr>
          </w:p>
        </w:tc>
        <w:tc>
          <w:tcPr>
            <w:tcW w:w="744" w:type="dxa"/>
            <w:tcBorders>
              <w:bottom w:val="single" w:sz="4" w:space="0" w:color="000000"/>
            </w:tcBorders>
            <w:shd w:val="clear" w:color="auto" w:fill="F9FCF9"/>
          </w:tcPr>
          <w:p>
            <w:pPr>
              <w:pStyle w:val="TableParagraph"/>
              <w:jc w:val="left"/>
              <w:rPr>
                <w:sz w:val="8"/>
              </w:rPr>
            </w:pPr>
          </w:p>
        </w:tc>
        <w:tc>
          <w:tcPr>
            <w:tcW w:w="759" w:type="dxa"/>
            <w:tcBorders>
              <w:bottom w:val="single" w:sz="4" w:space="0" w:color="000000"/>
            </w:tcBorders>
            <w:shd w:val="clear" w:color="auto" w:fill="F9FCF9"/>
          </w:tcPr>
          <w:p>
            <w:pPr>
              <w:pStyle w:val="TableParagraph"/>
              <w:jc w:val="left"/>
              <w:rPr>
                <w:sz w:val="8"/>
              </w:rPr>
            </w:pPr>
          </w:p>
        </w:tc>
        <w:tc>
          <w:tcPr>
            <w:tcW w:w="586" w:type="dxa"/>
            <w:tcBorders>
              <w:bottom w:val="single" w:sz="4" w:space="0" w:color="000000"/>
            </w:tcBorders>
            <w:shd w:val="clear" w:color="auto" w:fill="F9FCF9"/>
          </w:tcPr>
          <w:p>
            <w:pPr>
              <w:pStyle w:val="TableParagraph"/>
              <w:jc w:val="left"/>
              <w:rPr>
                <w:sz w:val="8"/>
              </w:rPr>
            </w:pPr>
          </w:p>
        </w:tc>
        <w:tc>
          <w:tcPr>
            <w:tcW w:w="597" w:type="dxa"/>
            <w:tcBorders>
              <w:bottom w:val="single" w:sz="4" w:space="0" w:color="000000"/>
            </w:tcBorders>
            <w:shd w:val="clear" w:color="auto" w:fill="F9FCF9"/>
          </w:tcPr>
          <w:p>
            <w:pPr>
              <w:pStyle w:val="TableParagraph"/>
              <w:jc w:val="left"/>
              <w:rPr>
                <w:sz w:val="8"/>
              </w:rPr>
            </w:pPr>
          </w:p>
        </w:tc>
      </w:tr>
      <w:tr>
        <w:trPr>
          <w:trHeight w:val="169" w:hRule="atLeast"/>
        </w:trPr>
        <w:tc>
          <w:tcPr>
            <w:tcW w:w="2750" w:type="dxa"/>
            <w:tcBorders>
              <w:top w:val="single" w:sz="4" w:space="0" w:color="000000"/>
            </w:tcBorders>
            <w:shd w:val="clear" w:color="auto" w:fill="F9FCF9"/>
          </w:tcPr>
          <w:p>
            <w:pPr>
              <w:pStyle w:val="TableParagraph"/>
              <w:spacing w:line="156" w:lineRule="exact"/>
              <w:ind w:left="28"/>
              <w:jc w:val="left"/>
              <w:rPr>
                <w:b/>
                <w:sz w:val="14"/>
              </w:rPr>
            </w:pPr>
            <w:r>
              <w:rPr>
                <w:b/>
                <w:sz w:val="14"/>
              </w:rPr>
              <w:t>Capture plant fuel product cost, LHv</w:t>
            </w:r>
          </w:p>
        </w:tc>
        <w:tc>
          <w:tcPr>
            <w:tcW w:w="672" w:type="dxa"/>
            <w:tcBorders>
              <w:top w:val="single" w:sz="4" w:space="0" w:color="000000"/>
            </w:tcBorders>
            <w:shd w:val="clear" w:color="auto" w:fill="F9FCF9"/>
          </w:tcPr>
          <w:p>
            <w:pPr>
              <w:pStyle w:val="TableParagraph"/>
              <w:spacing w:line="156" w:lineRule="exact"/>
              <w:ind w:left="229" w:right="1"/>
              <w:rPr>
                <w:b/>
                <w:sz w:val="14"/>
              </w:rPr>
            </w:pPr>
            <w:r>
              <w:rPr>
                <w:b/>
                <w:sz w:val="14"/>
              </w:rPr>
              <w:t>13.29</w:t>
            </w:r>
          </w:p>
        </w:tc>
        <w:tc>
          <w:tcPr>
            <w:tcW w:w="420" w:type="dxa"/>
            <w:tcBorders>
              <w:top w:val="single" w:sz="4" w:space="0" w:color="000000"/>
            </w:tcBorders>
            <w:shd w:val="clear" w:color="auto" w:fill="F9FCF9"/>
          </w:tcPr>
          <w:p>
            <w:pPr>
              <w:pStyle w:val="TableParagraph"/>
              <w:jc w:val="left"/>
              <w:rPr>
                <w:sz w:val="10"/>
              </w:rPr>
            </w:pPr>
          </w:p>
        </w:tc>
        <w:tc>
          <w:tcPr>
            <w:tcW w:w="663" w:type="dxa"/>
            <w:tcBorders>
              <w:top w:val="single" w:sz="4" w:space="0" w:color="000000"/>
            </w:tcBorders>
            <w:shd w:val="clear" w:color="auto" w:fill="F9FCF9"/>
          </w:tcPr>
          <w:p>
            <w:pPr>
              <w:pStyle w:val="TableParagraph"/>
              <w:spacing w:line="156" w:lineRule="exact"/>
              <w:ind w:left="105"/>
              <w:jc w:val="left"/>
              <w:rPr>
                <w:b/>
                <w:sz w:val="14"/>
              </w:rPr>
            </w:pPr>
            <w:r>
              <w:rPr>
                <w:b/>
                <w:sz w:val="14"/>
              </w:rPr>
              <w:t>10.14</w:t>
            </w:r>
          </w:p>
        </w:tc>
        <w:tc>
          <w:tcPr>
            <w:tcW w:w="806" w:type="dxa"/>
            <w:tcBorders>
              <w:top w:val="single" w:sz="4" w:space="0" w:color="000000"/>
            </w:tcBorders>
            <w:shd w:val="clear" w:color="auto" w:fill="F9FCF9"/>
          </w:tcPr>
          <w:p>
            <w:pPr>
              <w:pStyle w:val="TableParagraph"/>
              <w:spacing w:line="156" w:lineRule="exact"/>
              <w:ind w:left="219" w:right="266"/>
              <w:rPr>
                <w:b/>
                <w:sz w:val="14"/>
              </w:rPr>
            </w:pPr>
            <w:r>
              <w:rPr>
                <w:b/>
                <w:sz w:val="14"/>
              </w:rPr>
              <w:t>8.61</w:t>
            </w:r>
          </w:p>
        </w:tc>
        <w:tc>
          <w:tcPr>
            <w:tcW w:w="1029" w:type="dxa"/>
            <w:tcBorders>
              <w:top w:val="single" w:sz="4" w:space="0" w:color="000000"/>
            </w:tcBorders>
            <w:shd w:val="clear" w:color="auto" w:fill="F9FCF9"/>
          </w:tcPr>
          <w:p>
            <w:pPr>
              <w:pStyle w:val="TableParagraph"/>
              <w:spacing w:line="156" w:lineRule="exact"/>
              <w:ind w:right="482"/>
              <w:jc w:val="right"/>
              <w:rPr>
                <w:b/>
                <w:sz w:val="14"/>
              </w:rPr>
            </w:pPr>
            <w:r>
              <w:rPr>
                <w:b/>
                <w:sz w:val="14"/>
              </w:rPr>
              <w:t>7.90</w:t>
            </w:r>
          </w:p>
        </w:tc>
        <w:tc>
          <w:tcPr>
            <w:tcW w:w="1342" w:type="dxa"/>
            <w:tcBorders>
              <w:top w:val="single" w:sz="4" w:space="0" w:color="000000"/>
            </w:tcBorders>
            <w:shd w:val="clear" w:color="auto" w:fill="F9FCF9"/>
          </w:tcPr>
          <w:p>
            <w:pPr>
              <w:pStyle w:val="TableParagraph"/>
              <w:spacing w:line="156" w:lineRule="exact"/>
              <w:ind w:right="617"/>
              <w:jc w:val="right"/>
              <w:rPr>
                <w:b/>
                <w:sz w:val="14"/>
              </w:rPr>
            </w:pPr>
            <w:r>
              <w:rPr>
                <w:b/>
                <w:sz w:val="14"/>
              </w:rPr>
              <w:t>8.27</w:t>
            </w:r>
          </w:p>
        </w:tc>
        <w:tc>
          <w:tcPr>
            <w:tcW w:w="744" w:type="dxa"/>
            <w:tcBorders>
              <w:top w:val="single" w:sz="4" w:space="0" w:color="000000"/>
            </w:tcBorders>
            <w:shd w:val="clear" w:color="auto" w:fill="F9FCF9"/>
          </w:tcPr>
          <w:p>
            <w:pPr>
              <w:pStyle w:val="TableParagraph"/>
              <w:spacing w:line="156" w:lineRule="exact"/>
              <w:ind w:left="167" w:right="257"/>
              <w:rPr>
                <w:b/>
                <w:sz w:val="14"/>
              </w:rPr>
            </w:pPr>
            <w:r>
              <w:rPr>
                <w:b/>
                <w:sz w:val="14"/>
              </w:rPr>
              <w:t>7.86</w:t>
            </w:r>
          </w:p>
        </w:tc>
        <w:tc>
          <w:tcPr>
            <w:tcW w:w="759" w:type="dxa"/>
            <w:tcBorders>
              <w:top w:val="single" w:sz="4" w:space="0" w:color="000000"/>
            </w:tcBorders>
            <w:shd w:val="clear" w:color="auto" w:fill="F9FCF9"/>
          </w:tcPr>
          <w:p>
            <w:pPr>
              <w:pStyle w:val="TableParagraph"/>
              <w:spacing w:line="156" w:lineRule="exact"/>
              <w:ind w:right="224"/>
              <w:jc w:val="right"/>
              <w:rPr>
                <w:b/>
                <w:sz w:val="14"/>
              </w:rPr>
            </w:pPr>
            <w:r>
              <w:rPr>
                <w:b/>
                <w:sz w:val="14"/>
              </w:rPr>
              <w:t>7.52</w:t>
            </w:r>
          </w:p>
        </w:tc>
        <w:tc>
          <w:tcPr>
            <w:tcW w:w="586" w:type="dxa"/>
            <w:tcBorders>
              <w:top w:val="single" w:sz="4" w:space="0" w:color="000000"/>
            </w:tcBorders>
            <w:shd w:val="clear" w:color="auto" w:fill="F9FCF9"/>
          </w:tcPr>
          <w:p>
            <w:pPr>
              <w:pStyle w:val="TableParagraph"/>
              <w:spacing w:line="156" w:lineRule="exact"/>
              <w:ind w:right="138"/>
              <w:jc w:val="right"/>
              <w:rPr>
                <w:b/>
                <w:sz w:val="14"/>
              </w:rPr>
            </w:pPr>
            <w:r>
              <w:rPr>
                <w:b/>
                <w:sz w:val="14"/>
              </w:rPr>
              <w:t>7.52</w:t>
            </w:r>
          </w:p>
        </w:tc>
        <w:tc>
          <w:tcPr>
            <w:tcW w:w="597" w:type="dxa"/>
            <w:tcBorders>
              <w:top w:val="single" w:sz="4" w:space="0" w:color="000000"/>
            </w:tcBorders>
            <w:shd w:val="clear" w:color="auto" w:fill="F9FCF9"/>
          </w:tcPr>
          <w:p>
            <w:pPr>
              <w:pStyle w:val="TableParagraph"/>
              <w:spacing w:line="156" w:lineRule="exact"/>
              <w:ind w:right="149"/>
              <w:jc w:val="right"/>
              <w:rPr>
                <w:b/>
                <w:sz w:val="14"/>
              </w:rPr>
            </w:pPr>
            <w:r>
              <w:rPr>
                <w:b/>
                <w:sz w:val="14"/>
              </w:rPr>
              <w:t>13.29</w:t>
            </w:r>
          </w:p>
        </w:tc>
      </w:tr>
      <w:tr>
        <w:trPr>
          <w:trHeight w:val="150" w:hRule="atLeast"/>
        </w:trPr>
        <w:tc>
          <w:tcPr>
            <w:tcW w:w="2750" w:type="dxa"/>
            <w:tcBorders>
              <w:bottom w:val="single" w:sz="4" w:space="0" w:color="000000"/>
            </w:tcBorders>
            <w:shd w:val="clear" w:color="auto" w:fill="F9FCF9"/>
          </w:tcPr>
          <w:p>
            <w:pPr>
              <w:pStyle w:val="TableParagraph"/>
              <w:spacing w:line="123" w:lineRule="exact"/>
              <w:ind w:left="28"/>
              <w:jc w:val="left"/>
              <w:rPr>
                <w:b/>
                <w:sz w:val="14"/>
              </w:rPr>
            </w:pPr>
            <w:r>
              <w:rPr>
                <w:b/>
                <w:w w:val="105"/>
                <w:sz w:val="14"/>
              </w:rPr>
              <w:t>(uS$ GJ</w:t>
            </w:r>
            <w:r>
              <w:rPr>
                <w:b/>
                <w:w w:val="105"/>
                <w:position w:val="5"/>
                <w:sz w:val="8"/>
              </w:rPr>
              <w:t>−1</w:t>
            </w:r>
            <w:r>
              <w:rPr>
                <w:b/>
                <w:w w:val="105"/>
                <w:sz w:val="14"/>
              </w:rPr>
              <w:t>)</w:t>
            </w:r>
          </w:p>
        </w:tc>
        <w:tc>
          <w:tcPr>
            <w:tcW w:w="672" w:type="dxa"/>
            <w:tcBorders>
              <w:bottom w:val="single" w:sz="4" w:space="0" w:color="000000"/>
            </w:tcBorders>
            <w:shd w:val="clear" w:color="auto" w:fill="F9FCF9"/>
          </w:tcPr>
          <w:p>
            <w:pPr>
              <w:pStyle w:val="TableParagraph"/>
              <w:jc w:val="left"/>
              <w:rPr>
                <w:sz w:val="8"/>
              </w:rPr>
            </w:pPr>
          </w:p>
        </w:tc>
        <w:tc>
          <w:tcPr>
            <w:tcW w:w="420" w:type="dxa"/>
            <w:tcBorders>
              <w:bottom w:val="single" w:sz="4" w:space="0" w:color="000000"/>
            </w:tcBorders>
            <w:shd w:val="clear" w:color="auto" w:fill="F9FCF9"/>
          </w:tcPr>
          <w:p>
            <w:pPr>
              <w:pStyle w:val="TableParagraph"/>
              <w:jc w:val="left"/>
              <w:rPr>
                <w:sz w:val="8"/>
              </w:rPr>
            </w:pPr>
          </w:p>
        </w:tc>
        <w:tc>
          <w:tcPr>
            <w:tcW w:w="663" w:type="dxa"/>
            <w:tcBorders>
              <w:bottom w:val="single" w:sz="4" w:space="0" w:color="000000"/>
            </w:tcBorders>
            <w:shd w:val="clear" w:color="auto" w:fill="F9FCF9"/>
          </w:tcPr>
          <w:p>
            <w:pPr>
              <w:pStyle w:val="TableParagraph"/>
              <w:jc w:val="left"/>
              <w:rPr>
                <w:sz w:val="8"/>
              </w:rPr>
            </w:pPr>
          </w:p>
        </w:tc>
        <w:tc>
          <w:tcPr>
            <w:tcW w:w="806" w:type="dxa"/>
            <w:tcBorders>
              <w:bottom w:val="single" w:sz="4" w:space="0" w:color="000000"/>
            </w:tcBorders>
            <w:shd w:val="clear" w:color="auto" w:fill="F9FCF9"/>
          </w:tcPr>
          <w:p>
            <w:pPr>
              <w:pStyle w:val="TableParagraph"/>
              <w:jc w:val="left"/>
              <w:rPr>
                <w:sz w:val="8"/>
              </w:rPr>
            </w:pPr>
          </w:p>
        </w:tc>
        <w:tc>
          <w:tcPr>
            <w:tcW w:w="1029" w:type="dxa"/>
            <w:tcBorders>
              <w:bottom w:val="single" w:sz="4" w:space="0" w:color="000000"/>
            </w:tcBorders>
            <w:shd w:val="clear" w:color="auto" w:fill="F9FCF9"/>
          </w:tcPr>
          <w:p>
            <w:pPr>
              <w:pStyle w:val="TableParagraph"/>
              <w:jc w:val="left"/>
              <w:rPr>
                <w:sz w:val="8"/>
              </w:rPr>
            </w:pPr>
          </w:p>
        </w:tc>
        <w:tc>
          <w:tcPr>
            <w:tcW w:w="1342" w:type="dxa"/>
            <w:tcBorders>
              <w:bottom w:val="single" w:sz="4" w:space="0" w:color="000000"/>
            </w:tcBorders>
            <w:shd w:val="clear" w:color="auto" w:fill="F9FCF9"/>
          </w:tcPr>
          <w:p>
            <w:pPr>
              <w:pStyle w:val="TableParagraph"/>
              <w:jc w:val="left"/>
              <w:rPr>
                <w:sz w:val="8"/>
              </w:rPr>
            </w:pPr>
          </w:p>
        </w:tc>
        <w:tc>
          <w:tcPr>
            <w:tcW w:w="744" w:type="dxa"/>
            <w:tcBorders>
              <w:bottom w:val="single" w:sz="4" w:space="0" w:color="000000"/>
            </w:tcBorders>
            <w:shd w:val="clear" w:color="auto" w:fill="F9FCF9"/>
          </w:tcPr>
          <w:p>
            <w:pPr>
              <w:pStyle w:val="TableParagraph"/>
              <w:jc w:val="left"/>
              <w:rPr>
                <w:sz w:val="8"/>
              </w:rPr>
            </w:pPr>
          </w:p>
        </w:tc>
        <w:tc>
          <w:tcPr>
            <w:tcW w:w="759" w:type="dxa"/>
            <w:tcBorders>
              <w:bottom w:val="single" w:sz="4" w:space="0" w:color="000000"/>
            </w:tcBorders>
            <w:shd w:val="clear" w:color="auto" w:fill="F9FCF9"/>
          </w:tcPr>
          <w:p>
            <w:pPr>
              <w:pStyle w:val="TableParagraph"/>
              <w:jc w:val="left"/>
              <w:rPr>
                <w:sz w:val="8"/>
              </w:rPr>
            </w:pPr>
          </w:p>
        </w:tc>
        <w:tc>
          <w:tcPr>
            <w:tcW w:w="586" w:type="dxa"/>
            <w:tcBorders>
              <w:bottom w:val="single" w:sz="4" w:space="0" w:color="000000"/>
            </w:tcBorders>
            <w:shd w:val="clear" w:color="auto" w:fill="F9FCF9"/>
          </w:tcPr>
          <w:p>
            <w:pPr>
              <w:pStyle w:val="TableParagraph"/>
              <w:jc w:val="left"/>
              <w:rPr>
                <w:sz w:val="8"/>
              </w:rPr>
            </w:pPr>
          </w:p>
        </w:tc>
        <w:tc>
          <w:tcPr>
            <w:tcW w:w="597" w:type="dxa"/>
            <w:tcBorders>
              <w:bottom w:val="single" w:sz="4" w:space="0" w:color="000000"/>
            </w:tcBorders>
            <w:shd w:val="clear" w:color="auto" w:fill="F9FCF9"/>
          </w:tcPr>
          <w:p>
            <w:pPr>
              <w:pStyle w:val="TableParagraph"/>
              <w:jc w:val="left"/>
              <w:rPr>
                <w:sz w:val="8"/>
              </w:rPr>
            </w:pPr>
          </w:p>
        </w:tc>
      </w:tr>
      <w:tr>
        <w:trPr>
          <w:trHeight w:val="169" w:hRule="atLeast"/>
        </w:trPr>
        <w:tc>
          <w:tcPr>
            <w:tcW w:w="2750" w:type="dxa"/>
            <w:tcBorders>
              <w:top w:val="single" w:sz="4" w:space="0" w:color="000000"/>
            </w:tcBorders>
            <w:shd w:val="clear" w:color="auto" w:fill="F9FCF9"/>
          </w:tcPr>
          <w:p>
            <w:pPr>
              <w:pStyle w:val="TableParagraph"/>
              <w:spacing w:line="156" w:lineRule="exact"/>
              <w:ind w:left="28"/>
              <w:jc w:val="left"/>
              <w:rPr>
                <w:b/>
                <w:sz w:val="14"/>
              </w:rPr>
            </w:pPr>
            <w:r>
              <w:rPr>
                <w:b/>
                <w:sz w:val="14"/>
              </w:rPr>
              <w:t>increase in fuel product cost</w:t>
            </w:r>
          </w:p>
        </w:tc>
        <w:tc>
          <w:tcPr>
            <w:tcW w:w="672" w:type="dxa"/>
            <w:tcBorders>
              <w:top w:val="single" w:sz="4" w:space="0" w:color="000000"/>
            </w:tcBorders>
            <w:shd w:val="clear" w:color="auto" w:fill="F9FCF9"/>
          </w:tcPr>
          <w:p>
            <w:pPr>
              <w:pStyle w:val="TableParagraph"/>
              <w:spacing w:line="156" w:lineRule="exact"/>
              <w:ind w:left="229" w:right="1"/>
              <w:rPr>
                <w:b/>
                <w:sz w:val="14"/>
              </w:rPr>
            </w:pPr>
            <w:r>
              <w:rPr>
                <w:b/>
                <w:sz w:val="14"/>
              </w:rPr>
              <w:t>3.26</w:t>
            </w:r>
          </w:p>
        </w:tc>
        <w:tc>
          <w:tcPr>
            <w:tcW w:w="420" w:type="dxa"/>
            <w:tcBorders>
              <w:top w:val="single" w:sz="4" w:space="0" w:color="000000"/>
            </w:tcBorders>
            <w:shd w:val="clear" w:color="auto" w:fill="F9FCF9"/>
          </w:tcPr>
          <w:p>
            <w:pPr>
              <w:pStyle w:val="TableParagraph"/>
              <w:jc w:val="left"/>
              <w:rPr>
                <w:sz w:val="10"/>
              </w:rPr>
            </w:pPr>
          </w:p>
        </w:tc>
        <w:tc>
          <w:tcPr>
            <w:tcW w:w="663" w:type="dxa"/>
            <w:tcBorders>
              <w:top w:val="single" w:sz="4" w:space="0" w:color="000000"/>
            </w:tcBorders>
            <w:shd w:val="clear" w:color="auto" w:fill="F9FCF9"/>
          </w:tcPr>
          <w:p>
            <w:pPr>
              <w:pStyle w:val="TableParagraph"/>
              <w:spacing w:line="156" w:lineRule="exact"/>
              <w:ind w:left="140"/>
              <w:jc w:val="left"/>
              <w:rPr>
                <w:b/>
                <w:sz w:val="14"/>
              </w:rPr>
            </w:pPr>
            <w:r>
              <w:rPr>
                <w:b/>
                <w:sz w:val="14"/>
              </w:rPr>
              <w:t>1.56</w:t>
            </w:r>
          </w:p>
        </w:tc>
        <w:tc>
          <w:tcPr>
            <w:tcW w:w="806" w:type="dxa"/>
            <w:tcBorders>
              <w:top w:val="single" w:sz="4" w:space="0" w:color="000000"/>
            </w:tcBorders>
            <w:shd w:val="clear" w:color="auto" w:fill="F9FCF9"/>
          </w:tcPr>
          <w:p>
            <w:pPr>
              <w:pStyle w:val="TableParagraph"/>
              <w:spacing w:line="156" w:lineRule="exact"/>
              <w:ind w:left="219" w:right="266"/>
              <w:rPr>
                <w:b/>
                <w:sz w:val="14"/>
              </w:rPr>
            </w:pPr>
            <w:r>
              <w:rPr>
                <w:b/>
                <w:sz w:val="14"/>
              </w:rPr>
              <w:t>0.62</w:t>
            </w:r>
          </w:p>
        </w:tc>
        <w:tc>
          <w:tcPr>
            <w:tcW w:w="1029" w:type="dxa"/>
            <w:tcBorders>
              <w:top w:val="single" w:sz="4" w:space="0" w:color="000000"/>
            </w:tcBorders>
            <w:shd w:val="clear" w:color="auto" w:fill="F9FCF9"/>
          </w:tcPr>
          <w:p>
            <w:pPr>
              <w:pStyle w:val="TableParagraph"/>
              <w:spacing w:line="156" w:lineRule="exact"/>
              <w:ind w:right="482"/>
              <w:jc w:val="right"/>
              <w:rPr>
                <w:b/>
                <w:sz w:val="14"/>
              </w:rPr>
            </w:pPr>
            <w:r>
              <w:rPr>
                <w:b/>
                <w:sz w:val="14"/>
              </w:rPr>
              <w:t>1.38</w:t>
            </w:r>
          </w:p>
        </w:tc>
        <w:tc>
          <w:tcPr>
            <w:tcW w:w="1342" w:type="dxa"/>
            <w:tcBorders>
              <w:top w:val="single" w:sz="4" w:space="0" w:color="000000"/>
            </w:tcBorders>
            <w:shd w:val="clear" w:color="auto" w:fill="F9FCF9"/>
          </w:tcPr>
          <w:p>
            <w:pPr>
              <w:pStyle w:val="TableParagraph"/>
              <w:spacing w:line="156" w:lineRule="exact"/>
              <w:ind w:right="617"/>
              <w:jc w:val="right"/>
              <w:rPr>
                <w:b/>
                <w:sz w:val="14"/>
              </w:rPr>
            </w:pPr>
            <w:r>
              <w:rPr>
                <w:b/>
                <w:sz w:val="14"/>
              </w:rPr>
              <w:t>0.98</w:t>
            </w:r>
          </w:p>
        </w:tc>
        <w:tc>
          <w:tcPr>
            <w:tcW w:w="744" w:type="dxa"/>
            <w:tcBorders>
              <w:top w:val="single" w:sz="4" w:space="0" w:color="000000"/>
            </w:tcBorders>
            <w:shd w:val="clear" w:color="auto" w:fill="F9FCF9"/>
          </w:tcPr>
          <w:p>
            <w:pPr>
              <w:pStyle w:val="TableParagraph"/>
              <w:spacing w:line="156" w:lineRule="exact"/>
              <w:ind w:left="167" w:right="257"/>
              <w:rPr>
                <w:b/>
                <w:sz w:val="14"/>
              </w:rPr>
            </w:pPr>
            <w:r>
              <w:rPr>
                <w:b/>
                <w:sz w:val="14"/>
              </w:rPr>
              <w:t>0.67</w:t>
            </w:r>
          </w:p>
        </w:tc>
        <w:tc>
          <w:tcPr>
            <w:tcW w:w="759" w:type="dxa"/>
            <w:tcBorders>
              <w:top w:val="single" w:sz="4" w:space="0" w:color="000000"/>
            </w:tcBorders>
            <w:shd w:val="clear" w:color="auto" w:fill="F9FCF9"/>
          </w:tcPr>
          <w:p>
            <w:pPr>
              <w:pStyle w:val="TableParagraph"/>
              <w:spacing w:line="156" w:lineRule="exact"/>
              <w:ind w:right="224"/>
              <w:jc w:val="right"/>
              <w:rPr>
                <w:b/>
                <w:sz w:val="14"/>
              </w:rPr>
            </w:pPr>
            <w:r>
              <w:rPr>
                <w:b/>
                <w:sz w:val="14"/>
              </w:rPr>
              <w:t>0.32</w:t>
            </w:r>
          </w:p>
        </w:tc>
        <w:tc>
          <w:tcPr>
            <w:tcW w:w="586" w:type="dxa"/>
            <w:tcBorders>
              <w:top w:val="single" w:sz="4" w:space="0" w:color="000000"/>
            </w:tcBorders>
            <w:shd w:val="clear" w:color="auto" w:fill="F9FCF9"/>
          </w:tcPr>
          <w:p>
            <w:pPr>
              <w:pStyle w:val="TableParagraph"/>
              <w:spacing w:line="156" w:lineRule="exact"/>
              <w:ind w:right="138"/>
              <w:jc w:val="right"/>
              <w:rPr>
                <w:b/>
                <w:sz w:val="14"/>
              </w:rPr>
            </w:pPr>
            <w:r>
              <w:rPr>
                <w:b/>
                <w:sz w:val="14"/>
              </w:rPr>
              <w:t>0.32</w:t>
            </w:r>
          </w:p>
        </w:tc>
        <w:tc>
          <w:tcPr>
            <w:tcW w:w="597" w:type="dxa"/>
            <w:tcBorders>
              <w:top w:val="single" w:sz="4" w:space="0" w:color="000000"/>
            </w:tcBorders>
            <w:shd w:val="clear" w:color="auto" w:fill="F9FCF9"/>
          </w:tcPr>
          <w:p>
            <w:pPr>
              <w:pStyle w:val="TableParagraph"/>
              <w:spacing w:line="156" w:lineRule="exact"/>
              <w:ind w:right="184"/>
              <w:jc w:val="right"/>
              <w:rPr>
                <w:b/>
                <w:sz w:val="14"/>
              </w:rPr>
            </w:pPr>
            <w:r>
              <w:rPr>
                <w:b/>
                <w:sz w:val="14"/>
              </w:rPr>
              <w:t>3.26</w:t>
            </w:r>
          </w:p>
        </w:tc>
      </w:tr>
      <w:tr>
        <w:trPr>
          <w:trHeight w:val="150" w:hRule="atLeast"/>
        </w:trPr>
        <w:tc>
          <w:tcPr>
            <w:tcW w:w="2750" w:type="dxa"/>
            <w:tcBorders>
              <w:bottom w:val="single" w:sz="4" w:space="0" w:color="000000"/>
            </w:tcBorders>
            <w:shd w:val="clear" w:color="auto" w:fill="F9FCF9"/>
          </w:tcPr>
          <w:p>
            <w:pPr>
              <w:pStyle w:val="TableParagraph"/>
              <w:spacing w:line="123" w:lineRule="exact"/>
              <w:ind w:left="28"/>
              <w:jc w:val="left"/>
              <w:rPr>
                <w:b/>
                <w:sz w:val="14"/>
              </w:rPr>
            </w:pPr>
            <w:r>
              <w:rPr>
                <w:b/>
                <w:w w:val="105"/>
                <w:sz w:val="14"/>
              </w:rPr>
              <w:t>(uS$ GJ</w:t>
            </w:r>
            <w:r>
              <w:rPr>
                <w:b/>
                <w:w w:val="105"/>
                <w:position w:val="5"/>
                <w:sz w:val="8"/>
              </w:rPr>
              <w:t>−1</w:t>
            </w:r>
            <w:r>
              <w:rPr>
                <w:b/>
                <w:w w:val="105"/>
                <w:sz w:val="14"/>
              </w:rPr>
              <w:t>)</w:t>
            </w:r>
          </w:p>
        </w:tc>
        <w:tc>
          <w:tcPr>
            <w:tcW w:w="672" w:type="dxa"/>
            <w:tcBorders>
              <w:bottom w:val="single" w:sz="4" w:space="0" w:color="000000"/>
            </w:tcBorders>
            <w:shd w:val="clear" w:color="auto" w:fill="F9FCF9"/>
          </w:tcPr>
          <w:p>
            <w:pPr>
              <w:pStyle w:val="TableParagraph"/>
              <w:jc w:val="left"/>
              <w:rPr>
                <w:sz w:val="8"/>
              </w:rPr>
            </w:pPr>
          </w:p>
        </w:tc>
        <w:tc>
          <w:tcPr>
            <w:tcW w:w="420" w:type="dxa"/>
            <w:tcBorders>
              <w:bottom w:val="single" w:sz="4" w:space="0" w:color="000000"/>
            </w:tcBorders>
            <w:shd w:val="clear" w:color="auto" w:fill="F9FCF9"/>
          </w:tcPr>
          <w:p>
            <w:pPr>
              <w:pStyle w:val="TableParagraph"/>
              <w:jc w:val="left"/>
              <w:rPr>
                <w:sz w:val="8"/>
              </w:rPr>
            </w:pPr>
          </w:p>
        </w:tc>
        <w:tc>
          <w:tcPr>
            <w:tcW w:w="663" w:type="dxa"/>
            <w:tcBorders>
              <w:bottom w:val="single" w:sz="4" w:space="0" w:color="000000"/>
            </w:tcBorders>
            <w:shd w:val="clear" w:color="auto" w:fill="F9FCF9"/>
          </w:tcPr>
          <w:p>
            <w:pPr>
              <w:pStyle w:val="TableParagraph"/>
              <w:jc w:val="left"/>
              <w:rPr>
                <w:sz w:val="8"/>
              </w:rPr>
            </w:pPr>
          </w:p>
        </w:tc>
        <w:tc>
          <w:tcPr>
            <w:tcW w:w="806" w:type="dxa"/>
            <w:tcBorders>
              <w:bottom w:val="single" w:sz="4" w:space="0" w:color="000000"/>
            </w:tcBorders>
            <w:shd w:val="clear" w:color="auto" w:fill="F9FCF9"/>
          </w:tcPr>
          <w:p>
            <w:pPr>
              <w:pStyle w:val="TableParagraph"/>
              <w:jc w:val="left"/>
              <w:rPr>
                <w:sz w:val="8"/>
              </w:rPr>
            </w:pPr>
          </w:p>
        </w:tc>
        <w:tc>
          <w:tcPr>
            <w:tcW w:w="1029" w:type="dxa"/>
            <w:tcBorders>
              <w:bottom w:val="single" w:sz="4" w:space="0" w:color="000000"/>
            </w:tcBorders>
            <w:shd w:val="clear" w:color="auto" w:fill="F9FCF9"/>
          </w:tcPr>
          <w:p>
            <w:pPr>
              <w:pStyle w:val="TableParagraph"/>
              <w:jc w:val="left"/>
              <w:rPr>
                <w:sz w:val="8"/>
              </w:rPr>
            </w:pPr>
          </w:p>
        </w:tc>
        <w:tc>
          <w:tcPr>
            <w:tcW w:w="1342" w:type="dxa"/>
            <w:tcBorders>
              <w:bottom w:val="single" w:sz="4" w:space="0" w:color="000000"/>
            </w:tcBorders>
            <w:shd w:val="clear" w:color="auto" w:fill="F9FCF9"/>
          </w:tcPr>
          <w:p>
            <w:pPr>
              <w:pStyle w:val="TableParagraph"/>
              <w:jc w:val="left"/>
              <w:rPr>
                <w:sz w:val="8"/>
              </w:rPr>
            </w:pPr>
          </w:p>
        </w:tc>
        <w:tc>
          <w:tcPr>
            <w:tcW w:w="744" w:type="dxa"/>
            <w:tcBorders>
              <w:bottom w:val="single" w:sz="4" w:space="0" w:color="000000"/>
            </w:tcBorders>
            <w:shd w:val="clear" w:color="auto" w:fill="F9FCF9"/>
          </w:tcPr>
          <w:p>
            <w:pPr>
              <w:pStyle w:val="TableParagraph"/>
              <w:jc w:val="left"/>
              <w:rPr>
                <w:sz w:val="8"/>
              </w:rPr>
            </w:pPr>
          </w:p>
        </w:tc>
        <w:tc>
          <w:tcPr>
            <w:tcW w:w="759" w:type="dxa"/>
            <w:tcBorders>
              <w:bottom w:val="single" w:sz="4" w:space="0" w:color="000000"/>
            </w:tcBorders>
            <w:shd w:val="clear" w:color="auto" w:fill="F9FCF9"/>
          </w:tcPr>
          <w:p>
            <w:pPr>
              <w:pStyle w:val="TableParagraph"/>
              <w:jc w:val="left"/>
              <w:rPr>
                <w:sz w:val="8"/>
              </w:rPr>
            </w:pPr>
          </w:p>
        </w:tc>
        <w:tc>
          <w:tcPr>
            <w:tcW w:w="586" w:type="dxa"/>
            <w:tcBorders>
              <w:bottom w:val="single" w:sz="4" w:space="0" w:color="000000"/>
            </w:tcBorders>
            <w:shd w:val="clear" w:color="auto" w:fill="F9FCF9"/>
          </w:tcPr>
          <w:p>
            <w:pPr>
              <w:pStyle w:val="TableParagraph"/>
              <w:jc w:val="left"/>
              <w:rPr>
                <w:sz w:val="8"/>
              </w:rPr>
            </w:pPr>
          </w:p>
        </w:tc>
        <w:tc>
          <w:tcPr>
            <w:tcW w:w="597" w:type="dxa"/>
            <w:tcBorders>
              <w:bottom w:val="single" w:sz="4" w:space="0" w:color="000000"/>
            </w:tcBorders>
            <w:shd w:val="clear" w:color="auto" w:fill="F9FCF9"/>
          </w:tcPr>
          <w:p>
            <w:pPr>
              <w:pStyle w:val="TableParagraph"/>
              <w:jc w:val="left"/>
              <w:rPr>
                <w:sz w:val="8"/>
              </w:rPr>
            </w:pPr>
          </w:p>
        </w:tc>
      </w:tr>
      <w:tr>
        <w:trPr>
          <w:trHeight w:val="151" w:hRule="atLeast"/>
        </w:trPr>
        <w:tc>
          <w:tcPr>
            <w:tcW w:w="2750" w:type="dxa"/>
            <w:tcBorders>
              <w:top w:val="single" w:sz="4" w:space="0" w:color="000000"/>
              <w:bottom w:val="single" w:sz="4" w:space="0" w:color="000000"/>
            </w:tcBorders>
            <w:shd w:val="clear" w:color="auto" w:fill="F9FCF9"/>
          </w:tcPr>
          <w:p>
            <w:pPr>
              <w:pStyle w:val="TableParagraph"/>
              <w:spacing w:line="132" w:lineRule="exact"/>
              <w:ind w:left="28"/>
              <w:jc w:val="left"/>
              <w:rPr>
                <w:b/>
                <w:sz w:val="14"/>
              </w:rPr>
            </w:pPr>
            <w:r>
              <w:rPr>
                <w:b/>
                <w:sz w:val="14"/>
              </w:rPr>
              <w:t>% increase in fuel product cost</w:t>
            </w:r>
          </w:p>
        </w:tc>
        <w:tc>
          <w:tcPr>
            <w:tcW w:w="672" w:type="dxa"/>
            <w:tcBorders>
              <w:top w:val="single" w:sz="4" w:space="0" w:color="000000"/>
              <w:bottom w:val="single" w:sz="4" w:space="0" w:color="000000"/>
            </w:tcBorders>
            <w:shd w:val="clear" w:color="auto" w:fill="F9FCF9"/>
          </w:tcPr>
          <w:p>
            <w:pPr>
              <w:pStyle w:val="TableParagraph"/>
              <w:spacing w:line="132" w:lineRule="exact"/>
              <w:ind w:left="229" w:right="1"/>
              <w:rPr>
                <w:b/>
                <w:sz w:val="14"/>
              </w:rPr>
            </w:pPr>
            <w:r>
              <w:rPr>
                <w:b/>
                <w:sz w:val="14"/>
              </w:rPr>
              <w:t>32.5</w:t>
            </w:r>
          </w:p>
        </w:tc>
        <w:tc>
          <w:tcPr>
            <w:tcW w:w="420" w:type="dxa"/>
            <w:tcBorders>
              <w:top w:val="single" w:sz="4" w:space="0" w:color="000000"/>
              <w:bottom w:val="single" w:sz="4" w:space="0" w:color="000000"/>
            </w:tcBorders>
            <w:shd w:val="clear" w:color="auto" w:fill="F9FCF9"/>
          </w:tcPr>
          <w:p>
            <w:pPr>
              <w:pStyle w:val="TableParagraph"/>
              <w:jc w:val="left"/>
              <w:rPr>
                <w:sz w:val="8"/>
              </w:rPr>
            </w:pPr>
          </w:p>
        </w:tc>
        <w:tc>
          <w:tcPr>
            <w:tcW w:w="663" w:type="dxa"/>
            <w:tcBorders>
              <w:top w:val="single" w:sz="4" w:space="0" w:color="000000"/>
              <w:bottom w:val="single" w:sz="4" w:space="0" w:color="000000"/>
            </w:tcBorders>
            <w:shd w:val="clear" w:color="auto" w:fill="F9FCF9"/>
          </w:tcPr>
          <w:p>
            <w:pPr>
              <w:pStyle w:val="TableParagraph"/>
              <w:spacing w:line="132" w:lineRule="exact"/>
              <w:ind w:left="140"/>
              <w:jc w:val="left"/>
              <w:rPr>
                <w:b/>
                <w:sz w:val="14"/>
              </w:rPr>
            </w:pPr>
            <w:r>
              <w:rPr>
                <w:b/>
                <w:sz w:val="14"/>
              </w:rPr>
              <w:t>18.2</w:t>
            </w:r>
          </w:p>
        </w:tc>
        <w:tc>
          <w:tcPr>
            <w:tcW w:w="806" w:type="dxa"/>
            <w:tcBorders>
              <w:top w:val="single" w:sz="4" w:space="0" w:color="000000"/>
              <w:bottom w:val="single" w:sz="4" w:space="0" w:color="000000"/>
            </w:tcBorders>
            <w:shd w:val="clear" w:color="auto" w:fill="F9FCF9"/>
          </w:tcPr>
          <w:p>
            <w:pPr>
              <w:pStyle w:val="TableParagraph"/>
              <w:spacing w:line="132" w:lineRule="exact"/>
              <w:ind w:left="219" w:right="266"/>
              <w:rPr>
                <w:b/>
                <w:sz w:val="14"/>
              </w:rPr>
            </w:pPr>
            <w:r>
              <w:rPr>
                <w:b/>
                <w:sz w:val="14"/>
              </w:rPr>
              <w:t>7.7</w:t>
            </w:r>
          </w:p>
        </w:tc>
        <w:tc>
          <w:tcPr>
            <w:tcW w:w="1029" w:type="dxa"/>
            <w:tcBorders>
              <w:top w:val="single" w:sz="4" w:space="0" w:color="000000"/>
              <w:bottom w:val="single" w:sz="4" w:space="0" w:color="000000"/>
            </w:tcBorders>
            <w:shd w:val="clear" w:color="auto" w:fill="F9FCF9"/>
          </w:tcPr>
          <w:p>
            <w:pPr>
              <w:pStyle w:val="TableParagraph"/>
              <w:spacing w:line="132" w:lineRule="exact"/>
              <w:ind w:right="482"/>
              <w:jc w:val="right"/>
              <w:rPr>
                <w:b/>
                <w:sz w:val="14"/>
              </w:rPr>
            </w:pPr>
            <w:r>
              <w:rPr>
                <w:b/>
                <w:sz w:val="14"/>
              </w:rPr>
              <w:t>21.1</w:t>
            </w:r>
          </w:p>
        </w:tc>
        <w:tc>
          <w:tcPr>
            <w:tcW w:w="1342" w:type="dxa"/>
            <w:tcBorders>
              <w:top w:val="single" w:sz="4" w:space="0" w:color="000000"/>
              <w:bottom w:val="single" w:sz="4" w:space="0" w:color="000000"/>
            </w:tcBorders>
            <w:shd w:val="clear" w:color="auto" w:fill="F9FCF9"/>
          </w:tcPr>
          <w:p>
            <w:pPr>
              <w:pStyle w:val="TableParagraph"/>
              <w:spacing w:line="132" w:lineRule="exact"/>
              <w:ind w:right="617"/>
              <w:jc w:val="right"/>
              <w:rPr>
                <w:b/>
                <w:sz w:val="14"/>
              </w:rPr>
            </w:pPr>
            <w:r>
              <w:rPr>
                <w:b/>
                <w:sz w:val="14"/>
              </w:rPr>
              <w:t>13.4</w:t>
            </w:r>
          </w:p>
        </w:tc>
        <w:tc>
          <w:tcPr>
            <w:tcW w:w="744" w:type="dxa"/>
            <w:tcBorders>
              <w:top w:val="single" w:sz="4" w:space="0" w:color="000000"/>
              <w:bottom w:val="single" w:sz="4" w:space="0" w:color="000000"/>
            </w:tcBorders>
            <w:shd w:val="clear" w:color="auto" w:fill="F9FCF9"/>
          </w:tcPr>
          <w:p>
            <w:pPr>
              <w:pStyle w:val="TableParagraph"/>
              <w:spacing w:line="132" w:lineRule="exact"/>
              <w:ind w:left="167" w:right="257"/>
              <w:rPr>
                <w:b/>
                <w:sz w:val="14"/>
              </w:rPr>
            </w:pPr>
            <w:r>
              <w:rPr>
                <w:b/>
                <w:sz w:val="14"/>
              </w:rPr>
              <w:t>9.3</w:t>
            </w:r>
          </w:p>
        </w:tc>
        <w:tc>
          <w:tcPr>
            <w:tcW w:w="759" w:type="dxa"/>
            <w:tcBorders>
              <w:top w:val="single" w:sz="4" w:space="0" w:color="000000"/>
              <w:bottom w:val="single" w:sz="4" w:space="0" w:color="000000"/>
            </w:tcBorders>
            <w:shd w:val="clear" w:color="auto" w:fill="F9FCF9"/>
          </w:tcPr>
          <w:p>
            <w:pPr>
              <w:pStyle w:val="TableParagraph"/>
              <w:spacing w:line="132" w:lineRule="exact"/>
              <w:ind w:right="259"/>
              <w:jc w:val="right"/>
              <w:rPr>
                <w:b/>
                <w:sz w:val="14"/>
              </w:rPr>
            </w:pPr>
            <w:r>
              <w:rPr>
                <w:b/>
                <w:sz w:val="14"/>
              </w:rPr>
              <w:t>4.5</w:t>
            </w:r>
          </w:p>
        </w:tc>
        <w:tc>
          <w:tcPr>
            <w:tcW w:w="586" w:type="dxa"/>
            <w:tcBorders>
              <w:top w:val="single" w:sz="4" w:space="0" w:color="000000"/>
              <w:bottom w:val="single" w:sz="4" w:space="0" w:color="000000"/>
            </w:tcBorders>
            <w:shd w:val="clear" w:color="auto" w:fill="F9FCF9"/>
          </w:tcPr>
          <w:p>
            <w:pPr>
              <w:pStyle w:val="TableParagraph"/>
              <w:spacing w:line="132" w:lineRule="exact"/>
              <w:ind w:right="173"/>
              <w:jc w:val="right"/>
              <w:rPr>
                <w:b/>
                <w:sz w:val="14"/>
              </w:rPr>
            </w:pPr>
            <w:r>
              <w:rPr>
                <w:b/>
                <w:sz w:val="14"/>
              </w:rPr>
              <w:t>4.5</w:t>
            </w:r>
          </w:p>
        </w:tc>
        <w:tc>
          <w:tcPr>
            <w:tcW w:w="597" w:type="dxa"/>
            <w:tcBorders>
              <w:top w:val="single" w:sz="4" w:space="0" w:color="000000"/>
              <w:bottom w:val="single" w:sz="4" w:space="0" w:color="000000"/>
            </w:tcBorders>
            <w:shd w:val="clear" w:color="auto" w:fill="F9FCF9"/>
          </w:tcPr>
          <w:p>
            <w:pPr>
              <w:pStyle w:val="TableParagraph"/>
              <w:spacing w:line="132" w:lineRule="exact"/>
              <w:ind w:right="184"/>
              <w:jc w:val="right"/>
              <w:rPr>
                <w:b/>
                <w:sz w:val="14"/>
              </w:rPr>
            </w:pPr>
            <w:r>
              <w:rPr>
                <w:b/>
                <w:sz w:val="14"/>
              </w:rPr>
              <w:t>32.5</w:t>
            </w:r>
          </w:p>
        </w:tc>
      </w:tr>
      <w:tr>
        <w:trPr>
          <w:trHeight w:val="183" w:hRule="atLeast"/>
        </w:trPr>
        <w:tc>
          <w:tcPr>
            <w:tcW w:w="2750" w:type="dxa"/>
            <w:tcBorders>
              <w:top w:val="single" w:sz="4" w:space="0" w:color="000000"/>
            </w:tcBorders>
            <w:shd w:val="clear" w:color="auto" w:fill="F9FCF9"/>
          </w:tcPr>
          <w:p>
            <w:pPr>
              <w:pStyle w:val="TableParagraph"/>
              <w:spacing w:line="170" w:lineRule="exact"/>
              <w:ind w:left="28"/>
              <w:jc w:val="left"/>
              <w:rPr>
                <w:sz w:val="14"/>
              </w:rPr>
            </w:pPr>
            <w:r>
              <w:rPr>
                <w:sz w:val="14"/>
              </w:rPr>
              <w:t>Cost of CO</w:t>
            </w:r>
            <w:r>
              <w:rPr>
                <w:position w:val="-4"/>
                <w:sz w:val="8"/>
              </w:rPr>
              <w:t>2 </w:t>
            </w:r>
            <w:r>
              <w:rPr>
                <w:sz w:val="14"/>
              </w:rPr>
              <w:t>captured (US$/tCO</w:t>
            </w:r>
            <w:r>
              <w:rPr>
                <w:position w:val="-4"/>
                <w:sz w:val="8"/>
              </w:rPr>
              <w:t>2</w:t>
            </w:r>
            <w:r>
              <w:rPr>
                <w:sz w:val="14"/>
              </w:rPr>
              <w:t>)</w:t>
            </w:r>
          </w:p>
        </w:tc>
        <w:tc>
          <w:tcPr>
            <w:tcW w:w="672" w:type="dxa"/>
            <w:tcBorders>
              <w:top w:val="single" w:sz="4" w:space="0" w:color="000000"/>
            </w:tcBorders>
            <w:shd w:val="clear" w:color="auto" w:fill="F9FCF9"/>
          </w:tcPr>
          <w:p>
            <w:pPr>
              <w:pStyle w:val="TableParagraph"/>
              <w:spacing w:line="159" w:lineRule="exact"/>
              <w:ind w:left="229" w:right="1"/>
              <w:rPr>
                <w:sz w:val="14"/>
              </w:rPr>
            </w:pPr>
            <w:r>
              <w:rPr>
                <w:sz w:val="14"/>
              </w:rPr>
              <w:t>38.9</w:t>
            </w:r>
          </w:p>
        </w:tc>
        <w:tc>
          <w:tcPr>
            <w:tcW w:w="420" w:type="dxa"/>
            <w:tcBorders>
              <w:top w:val="single" w:sz="4" w:space="0" w:color="000000"/>
            </w:tcBorders>
            <w:shd w:val="clear" w:color="auto" w:fill="F9FCF9"/>
          </w:tcPr>
          <w:p>
            <w:pPr>
              <w:pStyle w:val="TableParagraph"/>
              <w:jc w:val="left"/>
              <w:rPr>
                <w:sz w:val="12"/>
              </w:rPr>
            </w:pPr>
          </w:p>
        </w:tc>
        <w:tc>
          <w:tcPr>
            <w:tcW w:w="663" w:type="dxa"/>
            <w:tcBorders>
              <w:top w:val="single" w:sz="4" w:space="0" w:color="000000"/>
            </w:tcBorders>
            <w:shd w:val="clear" w:color="auto" w:fill="F9FCF9"/>
          </w:tcPr>
          <w:p>
            <w:pPr>
              <w:pStyle w:val="TableParagraph"/>
              <w:spacing w:line="159" w:lineRule="exact"/>
              <w:ind w:left="140"/>
              <w:jc w:val="left"/>
              <w:rPr>
                <w:sz w:val="14"/>
              </w:rPr>
            </w:pPr>
            <w:r>
              <w:rPr>
                <w:sz w:val="14"/>
              </w:rPr>
              <w:t>20.7</w:t>
            </w:r>
          </w:p>
        </w:tc>
        <w:tc>
          <w:tcPr>
            <w:tcW w:w="806" w:type="dxa"/>
            <w:tcBorders>
              <w:top w:val="single" w:sz="4" w:space="0" w:color="000000"/>
            </w:tcBorders>
            <w:shd w:val="clear" w:color="auto" w:fill="F9FCF9"/>
          </w:tcPr>
          <w:p>
            <w:pPr>
              <w:pStyle w:val="TableParagraph"/>
              <w:spacing w:line="159" w:lineRule="exact"/>
              <w:ind w:left="219" w:right="266"/>
              <w:rPr>
                <w:sz w:val="14"/>
              </w:rPr>
            </w:pPr>
            <w:r>
              <w:rPr>
                <w:sz w:val="14"/>
              </w:rPr>
              <w:t>4.1</w:t>
            </w:r>
          </w:p>
        </w:tc>
        <w:tc>
          <w:tcPr>
            <w:tcW w:w="1029" w:type="dxa"/>
            <w:tcBorders>
              <w:top w:val="single" w:sz="4" w:space="0" w:color="000000"/>
            </w:tcBorders>
            <w:shd w:val="clear" w:color="auto" w:fill="F9FCF9"/>
          </w:tcPr>
          <w:p>
            <w:pPr>
              <w:pStyle w:val="TableParagraph"/>
              <w:spacing w:line="159" w:lineRule="exact"/>
              <w:ind w:right="517"/>
              <w:jc w:val="right"/>
              <w:rPr>
                <w:sz w:val="14"/>
              </w:rPr>
            </w:pPr>
            <w:r>
              <w:rPr>
                <w:sz w:val="14"/>
              </w:rPr>
              <w:t>8.7</w:t>
            </w:r>
          </w:p>
        </w:tc>
        <w:tc>
          <w:tcPr>
            <w:tcW w:w="1342" w:type="dxa"/>
            <w:tcBorders>
              <w:top w:val="single" w:sz="4" w:space="0" w:color="000000"/>
            </w:tcBorders>
            <w:shd w:val="clear" w:color="auto" w:fill="F9FCF9"/>
          </w:tcPr>
          <w:p>
            <w:pPr>
              <w:pStyle w:val="TableParagraph"/>
              <w:spacing w:line="159" w:lineRule="exact"/>
              <w:ind w:right="652"/>
              <w:jc w:val="right"/>
              <w:rPr>
                <w:sz w:val="14"/>
              </w:rPr>
            </w:pPr>
            <w:r>
              <w:rPr>
                <w:sz w:val="14"/>
              </w:rPr>
              <w:t>6.0</w:t>
            </w:r>
          </w:p>
        </w:tc>
        <w:tc>
          <w:tcPr>
            <w:tcW w:w="744" w:type="dxa"/>
            <w:tcBorders>
              <w:top w:val="single" w:sz="4" w:space="0" w:color="000000"/>
            </w:tcBorders>
            <w:shd w:val="clear" w:color="auto" w:fill="F9FCF9"/>
          </w:tcPr>
          <w:p>
            <w:pPr>
              <w:pStyle w:val="TableParagraph"/>
              <w:spacing w:line="159" w:lineRule="exact"/>
              <w:ind w:left="167" w:right="257"/>
              <w:rPr>
                <w:sz w:val="14"/>
              </w:rPr>
            </w:pPr>
            <w:r>
              <w:rPr>
                <w:sz w:val="14"/>
              </w:rPr>
              <w:t>4.8</w:t>
            </w:r>
          </w:p>
        </w:tc>
        <w:tc>
          <w:tcPr>
            <w:tcW w:w="759" w:type="dxa"/>
            <w:tcBorders>
              <w:top w:val="single" w:sz="4" w:space="0" w:color="000000"/>
            </w:tcBorders>
            <w:shd w:val="clear" w:color="auto" w:fill="F9FCF9"/>
          </w:tcPr>
          <w:p>
            <w:pPr>
              <w:pStyle w:val="TableParagraph"/>
              <w:spacing w:line="159" w:lineRule="exact"/>
              <w:ind w:right="259"/>
              <w:jc w:val="right"/>
              <w:rPr>
                <w:sz w:val="14"/>
              </w:rPr>
            </w:pPr>
            <w:r>
              <w:rPr>
                <w:sz w:val="14"/>
              </w:rPr>
              <w:t>2.2</w:t>
            </w:r>
          </w:p>
        </w:tc>
        <w:tc>
          <w:tcPr>
            <w:tcW w:w="586" w:type="dxa"/>
            <w:tcBorders>
              <w:top w:val="single" w:sz="4" w:space="0" w:color="000000"/>
            </w:tcBorders>
            <w:shd w:val="clear" w:color="auto" w:fill="F9FCF9"/>
          </w:tcPr>
          <w:p>
            <w:pPr>
              <w:pStyle w:val="TableParagraph"/>
              <w:spacing w:line="159" w:lineRule="exact"/>
              <w:ind w:right="173"/>
              <w:jc w:val="right"/>
              <w:rPr>
                <w:b/>
                <w:sz w:val="14"/>
              </w:rPr>
            </w:pPr>
            <w:r>
              <w:rPr>
                <w:b/>
                <w:sz w:val="14"/>
              </w:rPr>
              <w:t>2.2</w:t>
            </w:r>
          </w:p>
        </w:tc>
        <w:tc>
          <w:tcPr>
            <w:tcW w:w="597" w:type="dxa"/>
            <w:tcBorders>
              <w:top w:val="single" w:sz="4" w:space="0" w:color="000000"/>
            </w:tcBorders>
            <w:shd w:val="clear" w:color="auto" w:fill="F9FCF9"/>
          </w:tcPr>
          <w:p>
            <w:pPr>
              <w:pStyle w:val="TableParagraph"/>
              <w:spacing w:line="159" w:lineRule="exact"/>
              <w:ind w:right="184"/>
              <w:jc w:val="right"/>
              <w:rPr>
                <w:b/>
                <w:sz w:val="14"/>
              </w:rPr>
            </w:pPr>
            <w:r>
              <w:rPr>
                <w:b/>
                <w:sz w:val="14"/>
              </w:rPr>
              <w:t>38.9</w:t>
            </w:r>
          </w:p>
        </w:tc>
      </w:tr>
      <w:tr>
        <w:trPr>
          <w:trHeight w:val="300" w:hRule="atLeast"/>
        </w:trPr>
        <w:tc>
          <w:tcPr>
            <w:tcW w:w="2750" w:type="dxa"/>
            <w:tcBorders>
              <w:bottom w:val="single" w:sz="4" w:space="0" w:color="000000"/>
            </w:tcBorders>
            <w:shd w:val="clear" w:color="auto" w:fill="F9FCF9"/>
          </w:tcPr>
          <w:p>
            <w:pPr>
              <w:pStyle w:val="TableParagraph"/>
              <w:spacing w:line="175" w:lineRule="auto"/>
              <w:ind w:left="28"/>
              <w:jc w:val="left"/>
              <w:rPr>
                <w:sz w:val="14"/>
              </w:rPr>
            </w:pPr>
            <w:r>
              <w:rPr>
                <w:sz w:val="14"/>
              </w:rPr>
              <w:t>Cost of CO</w:t>
            </w:r>
            <w:r>
              <w:rPr>
                <w:position w:val="-4"/>
                <w:sz w:val="8"/>
              </w:rPr>
              <w:t>2  </w:t>
            </w:r>
            <w:r>
              <w:rPr>
                <w:sz w:val="14"/>
              </w:rPr>
              <w:t>avoided</w:t>
            </w:r>
            <w:r>
              <w:rPr>
                <w:spacing w:val="-5"/>
                <w:sz w:val="14"/>
              </w:rPr>
              <w:t> </w:t>
            </w:r>
            <w:r>
              <w:rPr>
                <w:sz w:val="14"/>
              </w:rPr>
              <w:t>(US$/tCO</w:t>
            </w:r>
            <w:hyperlink w:history="true" w:anchor="_bookmark27">
              <w:r>
                <w:rPr>
                  <w:position w:val="-4"/>
                  <w:sz w:val="8"/>
                </w:rPr>
                <w:t>2</w:t>
              </w:r>
            </w:hyperlink>
            <w:r>
              <w:rPr>
                <w:sz w:val="14"/>
              </w:rPr>
              <w:t>)</w:t>
            </w:r>
          </w:p>
          <w:p>
            <w:pPr>
              <w:pStyle w:val="TableParagraph"/>
              <w:spacing w:line="131" w:lineRule="exact"/>
              <w:ind w:left="28"/>
              <w:jc w:val="left"/>
              <w:rPr>
                <w:sz w:val="14"/>
              </w:rPr>
            </w:pPr>
            <w:r>
              <w:rPr>
                <w:sz w:val="14"/>
              </w:rPr>
              <w:t>Confidence level (see </w:t>
            </w:r>
            <w:hyperlink w:history="true" w:anchor="_bookmark27">
              <w:r>
                <w:rPr>
                  <w:sz w:val="14"/>
                </w:rPr>
                <w:t>Table</w:t>
              </w:r>
              <w:r>
                <w:rPr>
                  <w:spacing w:val="-21"/>
                  <w:sz w:val="14"/>
                </w:rPr>
                <w:t> </w:t>
              </w:r>
              <w:r>
                <w:rPr>
                  <w:sz w:val="14"/>
                </w:rPr>
                <w:t>3.6)</w:t>
              </w:r>
            </w:hyperlink>
          </w:p>
        </w:tc>
        <w:tc>
          <w:tcPr>
            <w:tcW w:w="672" w:type="dxa"/>
            <w:tcBorders>
              <w:bottom w:val="single" w:sz="4" w:space="0" w:color="000000"/>
            </w:tcBorders>
            <w:shd w:val="clear" w:color="auto" w:fill="F9FCF9"/>
          </w:tcPr>
          <w:p>
            <w:pPr>
              <w:pStyle w:val="TableParagraph"/>
              <w:spacing w:line="130" w:lineRule="exact"/>
              <w:ind w:left="229" w:right="1"/>
              <w:rPr>
                <w:sz w:val="14"/>
              </w:rPr>
            </w:pPr>
            <w:r>
              <w:rPr>
                <w:sz w:val="14"/>
              </w:rPr>
              <w:t>56.3</w:t>
            </w:r>
          </w:p>
        </w:tc>
        <w:tc>
          <w:tcPr>
            <w:tcW w:w="420" w:type="dxa"/>
            <w:tcBorders>
              <w:bottom w:val="single" w:sz="4" w:space="0" w:color="000000"/>
            </w:tcBorders>
            <w:shd w:val="clear" w:color="auto" w:fill="F9FCF9"/>
          </w:tcPr>
          <w:p>
            <w:pPr>
              <w:pStyle w:val="TableParagraph"/>
              <w:spacing w:before="4"/>
              <w:jc w:val="left"/>
              <w:rPr>
                <w:sz w:val="11"/>
              </w:rPr>
            </w:pPr>
          </w:p>
          <w:p>
            <w:pPr>
              <w:pStyle w:val="TableParagraph"/>
              <w:spacing w:line="149" w:lineRule="exact"/>
              <w:ind w:left="62"/>
              <w:jc w:val="left"/>
              <w:rPr>
                <w:sz w:val="14"/>
              </w:rPr>
            </w:pPr>
            <w:r>
              <w:rPr>
                <w:sz w:val="14"/>
              </w:rPr>
              <w:t>high</w:t>
            </w:r>
          </w:p>
        </w:tc>
        <w:tc>
          <w:tcPr>
            <w:tcW w:w="663" w:type="dxa"/>
            <w:tcBorders>
              <w:bottom w:val="single" w:sz="4" w:space="0" w:color="000000"/>
            </w:tcBorders>
            <w:shd w:val="clear" w:color="auto" w:fill="F9FCF9"/>
          </w:tcPr>
          <w:p>
            <w:pPr>
              <w:pStyle w:val="TableParagraph"/>
              <w:spacing w:line="130" w:lineRule="exact"/>
              <w:ind w:left="140"/>
              <w:jc w:val="left"/>
              <w:rPr>
                <w:sz w:val="14"/>
              </w:rPr>
            </w:pPr>
            <w:r>
              <w:rPr>
                <w:sz w:val="14"/>
              </w:rPr>
              <w:t>24.1</w:t>
            </w:r>
          </w:p>
        </w:tc>
        <w:tc>
          <w:tcPr>
            <w:tcW w:w="806" w:type="dxa"/>
            <w:tcBorders>
              <w:bottom w:val="single" w:sz="4" w:space="0" w:color="000000"/>
            </w:tcBorders>
            <w:shd w:val="clear" w:color="auto" w:fill="F9FCF9"/>
          </w:tcPr>
          <w:p>
            <w:pPr>
              <w:pStyle w:val="TableParagraph"/>
              <w:spacing w:line="130" w:lineRule="exact"/>
              <w:ind w:left="219" w:right="266"/>
              <w:rPr>
                <w:sz w:val="14"/>
              </w:rPr>
            </w:pPr>
            <w:r>
              <w:rPr>
                <w:sz w:val="14"/>
              </w:rPr>
              <w:t>4.4</w:t>
            </w:r>
          </w:p>
          <w:p>
            <w:pPr>
              <w:pStyle w:val="TableParagraph"/>
              <w:spacing w:line="149" w:lineRule="exact"/>
              <w:ind w:left="219" w:right="266"/>
              <w:rPr>
                <w:sz w:val="14"/>
              </w:rPr>
            </w:pPr>
            <w:r>
              <w:rPr>
                <w:sz w:val="14"/>
              </w:rPr>
              <w:t>high</w:t>
            </w:r>
          </w:p>
        </w:tc>
        <w:tc>
          <w:tcPr>
            <w:tcW w:w="1029" w:type="dxa"/>
            <w:tcBorders>
              <w:bottom w:val="single" w:sz="4" w:space="0" w:color="000000"/>
            </w:tcBorders>
            <w:shd w:val="clear" w:color="auto" w:fill="F9FCF9"/>
          </w:tcPr>
          <w:p>
            <w:pPr>
              <w:pStyle w:val="TableParagraph"/>
              <w:spacing w:line="130" w:lineRule="exact"/>
              <w:ind w:right="517"/>
              <w:jc w:val="right"/>
              <w:rPr>
                <w:sz w:val="14"/>
              </w:rPr>
            </w:pPr>
            <w:r>
              <w:rPr>
                <w:sz w:val="14"/>
              </w:rPr>
              <w:t>9.2</w:t>
            </w:r>
          </w:p>
        </w:tc>
        <w:tc>
          <w:tcPr>
            <w:tcW w:w="1342" w:type="dxa"/>
            <w:tcBorders>
              <w:bottom w:val="single" w:sz="4" w:space="0" w:color="000000"/>
            </w:tcBorders>
            <w:shd w:val="clear" w:color="auto" w:fill="F9FCF9"/>
          </w:tcPr>
          <w:p>
            <w:pPr>
              <w:pStyle w:val="TableParagraph"/>
              <w:spacing w:line="130" w:lineRule="exact"/>
              <w:ind w:left="34" w:right="173"/>
              <w:rPr>
                <w:sz w:val="14"/>
              </w:rPr>
            </w:pPr>
            <w:r>
              <w:rPr>
                <w:sz w:val="14"/>
              </w:rPr>
              <w:t>6.5</w:t>
            </w:r>
          </w:p>
          <w:p>
            <w:pPr>
              <w:pStyle w:val="TableParagraph"/>
              <w:spacing w:line="149" w:lineRule="exact"/>
              <w:ind w:left="494" w:right="60"/>
              <w:rPr>
                <w:sz w:val="14"/>
              </w:rPr>
            </w:pPr>
            <w:r>
              <w:rPr>
                <w:sz w:val="14"/>
              </w:rPr>
              <w:t>moderate</w:t>
            </w:r>
          </w:p>
        </w:tc>
        <w:tc>
          <w:tcPr>
            <w:tcW w:w="744" w:type="dxa"/>
            <w:tcBorders>
              <w:bottom w:val="single" w:sz="4" w:space="0" w:color="000000"/>
            </w:tcBorders>
            <w:shd w:val="clear" w:color="auto" w:fill="F9FCF9"/>
          </w:tcPr>
          <w:p>
            <w:pPr>
              <w:pStyle w:val="TableParagraph"/>
              <w:spacing w:line="130" w:lineRule="exact"/>
              <w:ind w:left="167" w:right="257"/>
              <w:rPr>
                <w:sz w:val="14"/>
              </w:rPr>
            </w:pPr>
            <w:r>
              <w:rPr>
                <w:sz w:val="14"/>
              </w:rPr>
              <w:t>5.0</w:t>
            </w:r>
          </w:p>
        </w:tc>
        <w:tc>
          <w:tcPr>
            <w:tcW w:w="759" w:type="dxa"/>
            <w:tcBorders>
              <w:bottom w:val="single" w:sz="4" w:space="0" w:color="000000"/>
            </w:tcBorders>
            <w:shd w:val="clear" w:color="auto" w:fill="F9FCF9"/>
          </w:tcPr>
          <w:p>
            <w:pPr>
              <w:pStyle w:val="TableParagraph"/>
              <w:spacing w:line="130" w:lineRule="exact"/>
              <w:ind w:right="259"/>
              <w:jc w:val="right"/>
              <w:rPr>
                <w:sz w:val="14"/>
              </w:rPr>
            </w:pPr>
            <w:r>
              <w:rPr>
                <w:sz w:val="14"/>
              </w:rPr>
              <w:t>2.3</w:t>
            </w:r>
          </w:p>
        </w:tc>
        <w:tc>
          <w:tcPr>
            <w:tcW w:w="586" w:type="dxa"/>
            <w:tcBorders>
              <w:bottom w:val="single" w:sz="4" w:space="0" w:color="000000"/>
            </w:tcBorders>
            <w:shd w:val="clear" w:color="auto" w:fill="F9FCF9"/>
          </w:tcPr>
          <w:p>
            <w:pPr>
              <w:pStyle w:val="TableParagraph"/>
              <w:spacing w:line="130" w:lineRule="exact"/>
              <w:ind w:right="173"/>
              <w:jc w:val="right"/>
              <w:rPr>
                <w:b/>
                <w:sz w:val="14"/>
              </w:rPr>
            </w:pPr>
            <w:r>
              <w:rPr>
                <w:b/>
                <w:sz w:val="14"/>
              </w:rPr>
              <w:t>2.3</w:t>
            </w:r>
          </w:p>
        </w:tc>
        <w:tc>
          <w:tcPr>
            <w:tcW w:w="597" w:type="dxa"/>
            <w:tcBorders>
              <w:bottom w:val="single" w:sz="4" w:space="0" w:color="000000"/>
            </w:tcBorders>
            <w:shd w:val="clear" w:color="auto" w:fill="F9FCF9"/>
          </w:tcPr>
          <w:p>
            <w:pPr>
              <w:pStyle w:val="TableParagraph"/>
              <w:spacing w:line="130" w:lineRule="exact"/>
              <w:ind w:right="184"/>
              <w:jc w:val="right"/>
              <w:rPr>
                <w:b/>
                <w:sz w:val="14"/>
              </w:rPr>
            </w:pPr>
            <w:r>
              <w:rPr>
                <w:b/>
                <w:sz w:val="14"/>
              </w:rPr>
              <w:t>56.3</w:t>
            </w:r>
          </w:p>
        </w:tc>
      </w:tr>
    </w:tbl>
    <w:p>
      <w:pPr>
        <w:spacing w:line="211" w:lineRule="auto" w:before="53"/>
        <w:ind w:left="513" w:right="312" w:firstLine="0"/>
        <w:jc w:val="left"/>
        <w:rPr>
          <w:sz w:val="16"/>
        </w:rPr>
      </w:pPr>
      <w:r>
        <w:rPr/>
        <w:pict>
          <v:shape style="position:absolute;margin-left:56.693001pt;margin-top:-196.526459pt;width:518.5pt;height:196.1pt;mso-position-horizontal-relative:page;mso-position-vertical-relative:paragraph;z-index:-272360448" coordorigin="1134,-3931" coordsize="10370,3922" path="m1137,-3775l1137,-3931m3839,-3775l3839,-3931m1134,-3772l3839,-3772m1137,-3445l1137,-3769m4830,-3775l4830,-3931m3839,-3772l4830,-3772m3839,-3445l3839,-3769m5647,-3775l5647,-3931m5707,-3775l5707,-3931m4830,-3772l5647,-3772m4830,-3445l4830,-3769m5647,-3772l5707,-3772m5647,-3445l5647,-3769m6327,-3775l6327,-3931m5707,-3772l6327,-3772m5707,-3445l5707,-3769m7408,-3775l7408,-3931m6327,-3772l7408,-3772m6327,-3445l6327,-3769m8741,-3775l8741,-3931m7408,-3772l8741,-3772m7408,-3445l7408,-3769m9542,-3775l9542,-3931m8741,-3772l9542,-3772m8741,-3445l8741,-3769m10397,-3775l10397,-3931m9542,-3772l10397,-3772m9542,-3445l9542,-3769m10887,-3775l10887,-3931m10397,-3772l10887,-3772m10397,-3445l10397,-3769m11500,-3775l11500,-3931m10887,-3772l11503,-3772m10887,-3445l10887,-3769m11500,-3445l11500,-3769m1137,-3283l1137,-3439m3839,-3283l3839,-3439m4830,-3283l4830,-3439m5647,-3283l5647,-3439m5707,-3283l5707,-3439m6327,-3283l6327,-3439m7408,-3283l7408,-3439m8741,-3283l8741,-3439m9542,-3283l9542,-3439m10397,-3283l10397,-3439m10887,-3283l10887,-3439m11500,-3283l11500,-3439m1134,-3280l3839,-3280m1137,-3122l1137,-3277m3839,-3280l4830,-3280m3839,-3122l3839,-3277m4830,-3280l5647,-3280m4830,-3122l4830,-3277m5647,-3280l5707,-3280m5647,-3122l5647,-3277m5707,-3280l6327,-3280m5707,-3122l5707,-3277m6327,-3280l7408,-3280m6327,-3122l6327,-3277m7408,-3280l8741,-3280m7408,-3122l7408,-3277m8741,-3280l9542,-3280m8741,-3122l8741,-3277m9542,-3280l10397,-3280m9542,-3122l9542,-3277m10397,-3280l10887,-3280m10397,-3122l10397,-3277m10887,-3280l11503,-3280m10887,-3122l10887,-3277m11500,-3122l11500,-3277m1137,-2960l1137,-3116m3839,-2960l3839,-3116m4830,-2960l4830,-3116m5647,-2960l5647,-3116m5707,-2960l5707,-3116m6327,-2960l6327,-3116m7408,-2960l7408,-3116m8741,-2960l8741,-3116m9542,-2960l9542,-3116m10397,-2960l10397,-3116m10887,-2960l10887,-3116m11500,-2960l11500,-3116m1137,-2798l1137,-2954m3839,-2798l3839,-2954m4830,-2798l4830,-2954m5647,-2798l5647,-2954m5707,-2798l5707,-2954m6327,-2798l6327,-2954m7408,-2798l7408,-2954m8741,-2798l8741,-2954m9542,-2798l9542,-2954m10397,-2798l10397,-2954m10887,-2798l10887,-2954m11500,-2798l11500,-2954m1137,-2637l1137,-2792m3839,-2637l3839,-2792m4830,-2637l4830,-2792m5647,-2637l5647,-2792m5707,-2637l5707,-2792m6327,-2637l6327,-2792m7408,-2637l7408,-2792m8741,-2637l8741,-2792m9542,-2637l9542,-2792m10397,-2637l10397,-2792m10887,-2637l10887,-2792m11500,-2637l11500,-2792m1137,-2475l1137,-2631m3839,-2475l3839,-2631m4830,-2475l4830,-2631m5647,-2475l5647,-2631m5707,-2475l5707,-2631m6327,-2475l6327,-2631m7408,-2475l7408,-2631m8741,-2475l8741,-2631m9542,-2475l9542,-2631m10397,-2475l10397,-2631m10887,-2475l10887,-2631m11500,-2475l11500,-2631m1137,-2313l1137,-2469m3839,-2313l3839,-2469m4830,-2313l4830,-2469m5647,-2313l5647,-2469m5707,-2313l5707,-2469m6327,-2313l6327,-2469m7408,-2313l7408,-2469m8741,-2313l8741,-2469m9542,-2313l9542,-2469m10397,-2313l10397,-2469m10887,-2313l10887,-2469m11500,-2313l11500,-2469m1137,-2152l1137,-2307m3839,-2152l3839,-2307m4830,-2152l4830,-2307m5647,-2152l5647,-2307m5707,-2152l5707,-2307m6327,-2152l6327,-2307m7408,-2152l7408,-2307m8741,-2152l8741,-2307m9542,-2152l9542,-2307m10397,-2152l10397,-2307m10887,-2152l10887,-2307m11500,-2152l11500,-2307m1137,-1822l1137,-2146m3839,-1822l3839,-2146m4830,-1822l4830,-2146m5647,-1822l5647,-2146m5707,-1822l5707,-2146m6327,-1822l6327,-2146m7408,-1822l7408,-2146m8741,-1822l8741,-2146m9542,-1822l9542,-2146m10397,-1822l10397,-2146m10887,-1822l10887,-2146m11500,-1822l11500,-2146m1137,-1660l1137,-1816m3839,-1660l3839,-1816m4830,-1660l4830,-1816m5647,-1660l5647,-1816m5707,-1660l5707,-1816m6327,-1660l6327,-1816m7408,-1660l7408,-1816m8741,-1660l8741,-1816m9542,-1660l9542,-1816m10397,-1660l10397,-1816m10887,-1660l10887,-1816m11500,-1660l11500,-1816m1137,-1331l1137,-1654m3839,-1331l3839,-1654m4830,-1331l4830,-1654m5647,-1331l5647,-1654m5707,-1331l5707,-1654m6327,-1331l6327,-1654m7408,-1331l7408,-1654m8741,-1331l8741,-1654m9542,-1331l9542,-1654m10397,-1331l10397,-1654m10887,-1331l10887,-1654m11500,-1331l11500,-1654m1137,-1001l1137,-1325m3839,-1001l3839,-1325m4830,-1001l4830,-1325m5647,-1001l5647,-1325m5707,-1001l5707,-1325m6327,-1001l6327,-1325m7408,-1001l7408,-1325m8741,-1001l8741,-1325m9542,-1001l9542,-1325m10397,-1001l10397,-1325m10887,-1001l10887,-1325m11500,-1001l11500,-1325m1137,-671l1137,-995m3839,-671l3839,-995m4830,-671l4830,-995m5647,-671l5647,-995m5707,-671l5707,-995m6327,-671l6327,-995m7408,-671l7408,-995m8741,-671l8741,-995m9542,-671l9542,-995m10397,-671l10397,-995m10887,-671l10887,-995m11500,-671l11500,-995m1137,-509l1137,-665m3839,-509l3839,-665m4830,-509l4830,-665m5647,-509l5647,-665m5707,-509l5707,-665m6327,-509l6327,-665m7408,-509l7408,-665m8741,-509l8741,-665m9542,-509l9542,-665m10397,-509l10397,-665m10887,-509l10887,-665m11500,-509l11500,-665m1137,-348l1137,-503m3839,-348l3839,-503m4830,-348l4830,-503m5647,-348l5647,-503m5707,-348l5707,-503m6327,-348l6327,-503m7408,-348l7408,-503m8741,-348l8741,-503m9542,-348l9542,-503m10397,-348l10397,-503m10887,-348l10887,-503m11500,-348l11500,-503m1134,-345l3839,-345m1137,-186l1137,-342m3839,-345l4830,-345m3839,-186l3839,-342m4830,-345l5647,-345m4830,-186l4830,-342m5647,-345l5707,-345m5647,-186l5647,-342m5707,-345l6327,-345m5707,-186l5707,-342m6327,-345l7408,-345m6327,-186l6327,-342m7408,-345l8741,-345m7408,-186l7408,-342m8741,-345l9542,-345m8741,-186l8741,-342m9542,-345l10397,-345m9542,-186l9542,-342m10397,-345l10887,-345m10397,-186l10397,-342m10887,-345l11503,-345m10887,-186l10887,-342m11500,-186l11500,-342m1134,-183l3839,-183m1137,-9l1137,-180m3839,-183l4830,-183m3839,-9l3839,-180m4830,-183l5647,-183m5647,-183l5707,-183m5647,-9l5647,-180m5707,-183l6327,-183m5707,-9l5707,-180m6327,-183l7408,-183m6327,-9l6327,-180m7408,-183l8741,-183m8741,-183l9542,-183m9542,-183l10397,-183m10397,-183l10887,-183m10397,-9l10397,-180m10887,-183l11503,-183m10887,-9l10887,-180m11500,-9l11500,-180e" filled="false" stroked="true" strokeweight=".3pt" strokecolor="#000000">
            <v:path arrowok="t"/>
            <v:stroke dashstyle="solid"/>
            <w10:wrap type="none"/>
          </v:shape>
        </w:pict>
      </w:r>
      <w:r>
        <w:rPr>
          <w:sz w:val="16"/>
        </w:rPr>
        <w:t>Notes: All costs in this table are for capture only and do not include the costs of CO</w:t>
      </w:r>
      <w:r>
        <w:rPr>
          <w:position w:val="-4"/>
          <w:sz w:val="9"/>
        </w:rPr>
        <w:t>2 </w:t>
      </w:r>
      <w:r>
        <w:rPr>
          <w:sz w:val="16"/>
        </w:rPr>
        <w:t>transport and storage; see Chapter 8 for total CCS costs. * Reported HHV values converted to LHV assuming LHV/HHV = 0.96 for coal, 0.846 for hydrogen, and 0.93 for F-T liquids. ** CO</w:t>
      </w:r>
      <w:r>
        <w:rPr>
          <w:position w:val="-4"/>
          <w:sz w:val="9"/>
        </w:rPr>
        <w:t>2 </w:t>
      </w:r>
      <w:r>
        <w:rPr>
          <w:sz w:val="16"/>
        </w:rPr>
        <w:t>capture efficiency = (C in CO</w:t>
      </w:r>
      <w:r>
        <w:rPr>
          <w:position w:val="-4"/>
          <w:sz w:val="9"/>
        </w:rPr>
        <w:t>2 </w:t>
      </w:r>
      <w:r>
        <w:rPr>
          <w:sz w:val="16"/>
        </w:rPr>
        <w:t>captured)</w:t>
      </w:r>
    </w:p>
    <w:p>
      <w:pPr>
        <w:spacing w:line="211" w:lineRule="auto" w:before="0"/>
        <w:ind w:left="513" w:right="139" w:firstLine="0"/>
        <w:jc w:val="left"/>
        <w:rPr>
          <w:sz w:val="16"/>
        </w:rPr>
      </w:pPr>
      <w:r>
        <w:rPr>
          <w:sz w:val="16"/>
        </w:rPr>
        <w:t>/(C in fossil fuel input to plant - C in carbonaceous fuel products of plant) x100; C associated with imported electricity is not included. ***Includes CO</w:t>
      </w:r>
      <w:r>
        <w:rPr>
          <w:position w:val="-4"/>
          <w:sz w:val="9"/>
        </w:rPr>
        <w:t>2 </w:t>
      </w:r>
      <w:r>
        <w:rPr>
          <w:sz w:val="16"/>
        </w:rPr>
        <w:t>emitted in the production of electricity imported by the plant. ****Reported total plant investment values increased by 3.5% to estimate total capital requirement.</w:t>
      </w:r>
    </w:p>
    <w:p>
      <w:pPr>
        <w:pStyle w:val="BodyText"/>
        <w:spacing w:before="10"/>
        <w:rPr>
          <w:sz w:val="23"/>
        </w:rPr>
      </w:pPr>
    </w:p>
    <w:p>
      <w:pPr>
        <w:spacing w:after="0"/>
        <w:rPr>
          <w:sz w:val="23"/>
        </w:rPr>
        <w:sectPr>
          <w:pgSz w:w="12240" w:h="15840"/>
          <w:pgMar w:header="567" w:footer="0" w:top="1040" w:bottom="280" w:left="620" w:right="620"/>
        </w:sectPr>
      </w:pPr>
    </w:p>
    <w:p>
      <w:pPr>
        <w:pStyle w:val="BodyText"/>
        <w:spacing w:line="249" w:lineRule="auto" w:before="63"/>
        <w:ind w:left="513"/>
        <w:jc w:val="both"/>
      </w:pPr>
      <w:r>
        <w:rPr/>
        <w:t>those discussed earlier, can significantly affect the outcome of cost calculations when there is not one dominant product at the facility.</w:t>
      </w:r>
    </w:p>
    <w:p>
      <w:pPr>
        <w:pStyle w:val="BodyText"/>
        <w:spacing w:line="249" w:lineRule="auto" w:before="3"/>
        <w:ind w:left="513" w:firstLine="283"/>
        <w:jc w:val="both"/>
      </w:pPr>
      <w:r>
        <w:rPr/>
        <w:t>Several of the coal-based hydrogen production plants </w:t>
      </w:r>
      <w:r>
        <w:rPr>
          <w:spacing w:val="-6"/>
        </w:rPr>
        <w:t>in </w:t>
      </w:r>
      <w:r>
        <w:rPr>
          <w:spacing w:val="-3"/>
        </w:rPr>
        <w:t>Table  </w:t>
      </w:r>
      <w:r>
        <w:rPr/>
        <w:t>3.11 also produce electricity, albeit in small amounts  (in fact, smaller than the electricity quantities purchased by  the stand-alone plants). Most of  these  studies  assume  that the value of the electricity product is higher under a </w:t>
      </w:r>
      <w:r>
        <w:rPr>
          <w:spacing w:val="-3"/>
        </w:rPr>
        <w:t>carbon  </w:t>
      </w:r>
      <w:r>
        <w:rPr/>
        <w:t>capture regime than without CO</w:t>
      </w:r>
      <w:r>
        <w:rPr>
          <w:position w:val="-6"/>
          <w:sz w:val="11"/>
        </w:rPr>
        <w:t>2 </w:t>
      </w:r>
      <w:r>
        <w:rPr/>
        <w:t>capture. The result is a</w:t>
      </w:r>
      <w:r>
        <w:rPr>
          <w:spacing w:val="-25"/>
        </w:rPr>
        <w:t> </w:t>
      </w:r>
      <w:r>
        <w:rPr/>
        <w:t>5-33%</w:t>
      </w:r>
    </w:p>
    <w:p>
      <w:pPr>
        <w:pStyle w:val="BodyText"/>
        <w:spacing w:line="240" w:lineRule="exact" w:before="58"/>
        <w:ind w:left="242" w:right="113"/>
        <w:jc w:val="both"/>
      </w:pPr>
      <w:r>
        <w:rPr/>
        <w:br w:type="column"/>
      </w:r>
      <w:r>
        <w:rPr/>
        <w:t>increase in hydrogen production cost for CO</w:t>
      </w:r>
      <w:r>
        <w:rPr>
          <w:position w:val="-6"/>
          <w:sz w:val="11"/>
        </w:rPr>
        <w:t>2 </w:t>
      </w:r>
      <w:r>
        <w:rPr/>
        <w:t>reductions of </w:t>
      </w:r>
      <w:r>
        <w:rPr>
          <w:spacing w:val="-4"/>
        </w:rPr>
        <w:t>72- </w:t>
      </w:r>
      <w:r>
        <w:rPr/>
        <w:t>96% per unit of product. The case with the lowest incremental product cost and highest CO</w:t>
      </w:r>
      <w:r>
        <w:rPr>
          <w:position w:val="-6"/>
          <w:sz w:val="11"/>
        </w:rPr>
        <w:t>2 </w:t>
      </w:r>
      <w:r>
        <w:rPr/>
        <w:t>reduction assumes co-disposal </w:t>
      </w:r>
      <w:r>
        <w:rPr>
          <w:spacing w:val="-7"/>
        </w:rPr>
        <w:t>of </w:t>
      </w:r>
      <w:r>
        <w:rPr/>
        <w:t>H</w:t>
      </w:r>
      <w:r>
        <w:rPr>
          <w:position w:val="-6"/>
          <w:sz w:val="11"/>
        </w:rPr>
        <w:t>2</w:t>
      </w:r>
      <w:r>
        <w:rPr/>
        <w:t>S</w:t>
      </w:r>
      <w:r>
        <w:rPr>
          <w:spacing w:val="-6"/>
        </w:rPr>
        <w:t> </w:t>
      </w:r>
      <w:r>
        <w:rPr/>
        <w:t>with</w:t>
      </w:r>
      <w:r>
        <w:rPr>
          <w:spacing w:val="-5"/>
        </w:rPr>
        <w:t> </w:t>
      </w:r>
      <w:r>
        <w:rPr/>
        <w:t>CO</w:t>
      </w:r>
      <w:r>
        <w:rPr>
          <w:position w:val="-6"/>
          <w:sz w:val="11"/>
        </w:rPr>
        <w:t>2</w:t>
      </w:r>
      <w:r>
        <w:rPr/>
        <w:t>,</w:t>
      </w:r>
      <w:r>
        <w:rPr>
          <w:spacing w:val="-5"/>
        </w:rPr>
        <w:t> </w:t>
      </w:r>
      <w:r>
        <w:rPr/>
        <w:t>thus</w:t>
      </w:r>
      <w:r>
        <w:rPr>
          <w:spacing w:val="-6"/>
        </w:rPr>
        <w:t> </w:t>
      </w:r>
      <w:r>
        <w:rPr/>
        <w:t>eliminating</w:t>
      </w:r>
      <w:r>
        <w:rPr>
          <w:spacing w:val="-5"/>
        </w:rPr>
        <w:t> </w:t>
      </w:r>
      <w:r>
        <w:rPr/>
        <w:t>the</w:t>
      </w:r>
      <w:r>
        <w:rPr>
          <w:spacing w:val="-5"/>
        </w:rPr>
        <w:t> </w:t>
      </w:r>
      <w:r>
        <w:rPr/>
        <w:t>costs</w:t>
      </w:r>
      <w:r>
        <w:rPr>
          <w:spacing w:val="-6"/>
        </w:rPr>
        <w:t> </w:t>
      </w:r>
      <w:r>
        <w:rPr/>
        <w:t>of</w:t>
      </w:r>
      <w:r>
        <w:rPr>
          <w:spacing w:val="-5"/>
        </w:rPr>
        <w:t> </w:t>
      </w:r>
      <w:r>
        <w:rPr/>
        <w:t>sulphur</w:t>
      </w:r>
      <w:r>
        <w:rPr>
          <w:spacing w:val="-5"/>
        </w:rPr>
        <w:t> </w:t>
      </w:r>
      <w:r>
        <w:rPr/>
        <w:t>capture</w:t>
      </w:r>
      <w:r>
        <w:rPr>
          <w:spacing w:val="-5"/>
        </w:rPr>
        <w:t> </w:t>
      </w:r>
      <w:r>
        <w:rPr/>
        <w:t>and recovery. As noted earlier (Section 3.7.6.1), the feasibility </w:t>
      </w:r>
      <w:r>
        <w:rPr>
          <w:spacing w:val="-6"/>
        </w:rPr>
        <w:t>of </w:t>
      </w:r>
      <w:r>
        <w:rPr/>
        <w:t>this option depends strongly on local regulatory requirements; nor are higher costs for transport and storage reflected in the </w:t>
      </w:r>
      <w:r>
        <w:rPr>
          <w:spacing w:val="-3"/>
        </w:rPr>
        <w:t>Table </w:t>
      </w:r>
      <w:r>
        <w:rPr/>
        <w:t>3.11 cost estimate for this</w:t>
      </w:r>
      <w:r>
        <w:rPr>
          <w:spacing w:val="2"/>
        </w:rPr>
        <w:t> </w:t>
      </w:r>
      <w:r>
        <w:rPr/>
        <w:t>case.</w:t>
      </w:r>
    </w:p>
    <w:p>
      <w:pPr>
        <w:pStyle w:val="BodyText"/>
        <w:spacing w:before="5"/>
        <w:ind w:left="525"/>
        <w:jc w:val="both"/>
      </w:pPr>
      <w:r>
        <w:rPr/>
        <w:t>Table 3.11 also presents examples of multi-product plants</w:t>
      </w:r>
    </w:p>
    <w:p>
      <w:pPr>
        <w:spacing w:after="0"/>
        <w:jc w:val="both"/>
        <w:sectPr>
          <w:type w:val="continuous"/>
          <w:pgSz w:w="12240" w:h="15840"/>
          <w:pgMar w:top="480" w:bottom="280" w:left="620" w:right="620"/>
          <w:cols w:num="2" w:equalWidth="0">
            <w:col w:w="5558" w:space="40"/>
            <w:col w:w="5402"/>
          </w:cols>
        </w:sectPr>
      </w:pPr>
    </w:p>
    <w:p>
      <w:pPr>
        <w:spacing w:before="140"/>
        <w:ind w:left="174" w:right="0" w:hanging="9"/>
        <w:jc w:val="left"/>
        <w:rPr>
          <w:i/>
          <w:sz w:val="16"/>
        </w:rPr>
      </w:pPr>
      <w:r>
        <w:rPr/>
        <w:drawing>
          <wp:anchor distT="0" distB="0" distL="0" distR="0" allowOverlap="1" layoutInCell="1" locked="0" behindDoc="1" simplePos="0" relativeHeight="230957056">
            <wp:simplePos x="0" y="0"/>
            <wp:positionH relativeFrom="page">
              <wp:posOffset>498703</wp:posOffset>
            </wp:positionH>
            <wp:positionV relativeFrom="paragraph">
              <wp:posOffset>234551</wp:posOffset>
            </wp:positionV>
            <wp:extent cx="6552895" cy="7847101"/>
            <wp:effectExtent l="0" t="0" r="0" b="0"/>
            <wp:wrapNone/>
            <wp:docPr id="45" name="image172.png"/>
            <wp:cNvGraphicFramePr>
              <a:graphicFrameLocks noChangeAspect="1"/>
            </wp:cNvGraphicFramePr>
            <a:graphic>
              <a:graphicData uri="http://schemas.openxmlformats.org/drawingml/2006/picture">
                <pic:pic>
                  <pic:nvPicPr>
                    <pic:cNvPr id="46" name="image172.png"/>
                    <pic:cNvPicPr/>
                  </pic:nvPicPr>
                  <pic:blipFill>
                    <a:blip r:embed="rId189" cstate="print"/>
                    <a:stretch>
                      <a:fillRect/>
                    </a:stretch>
                  </pic:blipFill>
                  <pic:spPr>
                    <a:xfrm>
                      <a:off x="0" y="0"/>
                      <a:ext cx="6552895" cy="7847101"/>
                    </a:xfrm>
                    <a:prstGeom prst="rect">
                      <a:avLst/>
                    </a:prstGeom>
                  </pic:spPr>
                </pic:pic>
              </a:graphicData>
            </a:graphic>
          </wp:anchor>
        </w:drawing>
      </w:r>
      <w:r>
        <w:rPr>
          <w:b/>
          <w:spacing w:val="-15"/>
          <w:w w:val="200"/>
          <w:sz w:val="16"/>
        </w:rPr>
        <w:t>t</w:t>
      </w:r>
      <w:r>
        <w:rPr>
          <w:b/>
          <w:sz w:val="16"/>
        </w:rPr>
        <w:t>able 3.</w:t>
      </w:r>
      <w:r>
        <w:rPr>
          <w:b/>
          <w:spacing w:val="-9"/>
          <w:sz w:val="16"/>
        </w:rPr>
        <w:t>1</w:t>
      </w:r>
      <w:r>
        <w:rPr>
          <w:b/>
          <w:sz w:val="16"/>
        </w:rPr>
        <w:t>1. </w:t>
      </w:r>
      <w:r>
        <w:rPr>
          <w:i/>
          <w:sz w:val="16"/>
        </w:rPr>
        <w:t>Continued.</w:t>
      </w:r>
    </w:p>
    <w:p>
      <w:pPr>
        <w:spacing w:line="249" w:lineRule="auto" w:before="112"/>
        <w:ind w:left="174" w:right="0" w:firstLine="0"/>
        <w:jc w:val="left"/>
        <w:rPr>
          <w:b/>
          <w:sz w:val="14"/>
        </w:rPr>
      </w:pPr>
      <w:r>
        <w:rPr>
          <w:b/>
          <w:sz w:val="14"/>
        </w:rPr>
        <w:t>Study Assumptions and Results</w:t>
      </w:r>
    </w:p>
    <w:p>
      <w:pPr>
        <w:spacing w:line="249" w:lineRule="auto" w:before="50"/>
        <w:ind w:left="174" w:right="486" w:firstLine="0"/>
        <w:jc w:val="left"/>
        <w:rPr>
          <w:b/>
          <w:i/>
          <w:sz w:val="14"/>
        </w:rPr>
      </w:pPr>
      <w:r>
        <w:rPr>
          <w:b/>
          <w:i/>
          <w:sz w:val="14"/>
        </w:rPr>
        <w:t>Reference Plant </w:t>
      </w:r>
      <w:r>
        <w:rPr>
          <w:b/>
          <w:i/>
          <w:sz w:val="14"/>
        </w:rPr>
        <w:t>(without capture)</w:t>
      </w:r>
    </w:p>
    <w:p>
      <w:pPr>
        <w:pStyle w:val="BodyText"/>
        <w:rPr>
          <w:b/>
          <w:i/>
          <w:sz w:val="14"/>
        </w:rPr>
      </w:pPr>
      <w:r>
        <w:rPr/>
        <w:br w:type="column"/>
      </w:r>
      <w:r>
        <w:rPr>
          <w:b/>
          <w:i/>
          <w:sz w:val="14"/>
        </w:rPr>
      </w:r>
    </w:p>
    <w:p>
      <w:pPr>
        <w:pStyle w:val="BodyText"/>
        <w:spacing w:before="1"/>
        <w:rPr>
          <w:b/>
          <w:i/>
          <w:sz w:val="18"/>
        </w:rPr>
      </w:pPr>
    </w:p>
    <w:p>
      <w:pPr>
        <w:spacing w:line="156" w:lineRule="exact" w:before="1"/>
        <w:ind w:left="2750" w:right="0" w:firstLine="0"/>
        <w:jc w:val="left"/>
        <w:rPr>
          <w:b/>
          <w:sz w:val="14"/>
        </w:rPr>
      </w:pPr>
      <w:r>
        <w:rPr>
          <w:b/>
          <w:sz w:val="14"/>
        </w:rPr>
        <w:t>L</w:t>
      </w:r>
      <w:r>
        <w:rPr>
          <w:b/>
          <w:spacing w:val="-1"/>
          <w:w w:val="140"/>
          <w:sz w:val="14"/>
        </w:rPr>
        <w:t>i</w:t>
      </w:r>
      <w:r>
        <w:rPr>
          <w:b/>
          <w:sz w:val="14"/>
        </w:rPr>
        <w:t>Q</w:t>
      </w:r>
      <w:r>
        <w:rPr>
          <w:b/>
          <w:spacing w:val="-1"/>
          <w:w w:val="133"/>
          <w:sz w:val="14"/>
        </w:rPr>
        <w:t>ui</w:t>
      </w:r>
      <w:r>
        <w:rPr>
          <w:b/>
          <w:sz w:val="14"/>
        </w:rPr>
        <w:t>D</w:t>
      </w:r>
      <w:r>
        <w:rPr>
          <w:b/>
          <w:spacing w:val="-1"/>
          <w:sz w:val="14"/>
        </w:rPr>
        <w:t> </w:t>
      </w:r>
      <w:r>
        <w:rPr>
          <w:b/>
          <w:sz w:val="14"/>
        </w:rPr>
        <w:t>F</w:t>
      </w:r>
      <w:r>
        <w:rPr>
          <w:b/>
          <w:spacing w:val="-1"/>
          <w:w w:val="129"/>
          <w:sz w:val="14"/>
        </w:rPr>
        <w:t>u</w:t>
      </w:r>
      <w:r>
        <w:rPr>
          <w:b/>
          <w:sz w:val="14"/>
        </w:rPr>
        <w:t>EL</w:t>
      </w:r>
      <w:r>
        <w:rPr>
          <w:b/>
          <w:spacing w:val="-16"/>
          <w:sz w:val="14"/>
        </w:rPr>
        <w:t> </w:t>
      </w:r>
      <w:r>
        <w:rPr>
          <w:b/>
          <w:spacing w:val="-1"/>
          <w:sz w:val="14"/>
        </w:rPr>
        <w:t>AN</w:t>
      </w:r>
      <w:r>
        <w:rPr>
          <w:b/>
          <w:sz w:val="14"/>
        </w:rPr>
        <w:t>D</w:t>
      </w:r>
      <w:r>
        <w:rPr>
          <w:b/>
          <w:spacing w:val="-1"/>
          <w:sz w:val="14"/>
        </w:rPr>
        <w:t> </w:t>
      </w:r>
      <w:r>
        <w:rPr>
          <w:b/>
          <w:sz w:val="14"/>
        </w:rPr>
        <w:t>ELEC</w:t>
      </w:r>
      <w:r>
        <w:rPr>
          <w:b/>
          <w:w w:val="200"/>
          <w:sz w:val="14"/>
        </w:rPr>
        <w:t>t</w:t>
      </w:r>
      <w:r>
        <w:rPr>
          <w:b/>
          <w:spacing w:val="-1"/>
          <w:sz w:val="14"/>
        </w:rPr>
        <w:t>R</w:t>
      </w:r>
      <w:r>
        <w:rPr>
          <w:b/>
          <w:spacing w:val="-1"/>
          <w:w w:val="140"/>
          <w:sz w:val="14"/>
        </w:rPr>
        <w:t>i</w:t>
      </w:r>
      <w:r>
        <w:rPr>
          <w:b/>
          <w:spacing w:val="-1"/>
          <w:sz w:val="14"/>
        </w:rPr>
        <w:t>C</w:t>
      </w:r>
      <w:r>
        <w:rPr>
          <w:b/>
          <w:spacing w:val="-1"/>
          <w:w w:val="160"/>
          <w:sz w:val="14"/>
        </w:rPr>
        <w:t>it</w:t>
      </w:r>
      <w:r>
        <w:rPr>
          <w:b/>
          <w:w w:val="160"/>
          <w:sz w:val="14"/>
        </w:rPr>
        <w:t>y</w:t>
      </w:r>
      <w:r>
        <w:rPr>
          <w:b/>
          <w:spacing w:val="-5"/>
          <w:sz w:val="14"/>
        </w:rPr>
        <w:t> </w:t>
      </w:r>
      <w:r>
        <w:rPr>
          <w:b/>
          <w:sz w:val="14"/>
        </w:rPr>
        <w:t>PROD</w:t>
      </w:r>
      <w:r>
        <w:rPr>
          <w:b/>
          <w:spacing w:val="-1"/>
          <w:w w:val="129"/>
          <w:sz w:val="14"/>
        </w:rPr>
        <w:t>u</w:t>
      </w:r>
      <w:r>
        <w:rPr>
          <w:b/>
          <w:spacing w:val="-1"/>
          <w:sz w:val="14"/>
        </w:rPr>
        <w:t>C</w:t>
      </w:r>
      <w:r>
        <w:rPr>
          <w:b/>
          <w:w w:val="200"/>
          <w:sz w:val="14"/>
        </w:rPr>
        <w:t>t</w:t>
      </w:r>
      <w:r>
        <w:rPr>
          <w:b/>
          <w:sz w:val="14"/>
        </w:rPr>
        <w:t>S</w:t>
      </w:r>
    </w:p>
    <w:p>
      <w:pPr>
        <w:tabs>
          <w:tab w:pos="1097" w:val="left" w:leader="none"/>
          <w:tab w:pos="1948" w:val="left" w:leader="none"/>
          <w:tab w:pos="2798" w:val="left" w:leader="none"/>
          <w:tab w:pos="3648" w:val="left" w:leader="none"/>
          <w:tab w:pos="4499" w:val="left" w:leader="none"/>
          <w:tab w:pos="5172" w:val="left" w:leader="none"/>
          <w:tab w:pos="5349" w:val="left" w:leader="none"/>
          <w:tab w:pos="6022" w:val="left" w:leader="none"/>
          <w:tab w:pos="6199" w:val="left" w:leader="none"/>
          <w:tab w:pos="6873" w:val="left" w:leader="none"/>
          <w:tab w:pos="7050" w:val="left" w:leader="none"/>
          <w:tab w:pos="7684" w:val="left" w:leader="none"/>
          <w:tab w:pos="7875" w:val="left" w:leader="none"/>
          <w:tab w:pos="8124" w:val="left" w:leader="none"/>
        </w:tabs>
        <w:spacing w:line="223" w:lineRule="auto" w:before="3"/>
        <w:ind w:left="288" w:right="652" w:hanging="123"/>
        <w:jc w:val="left"/>
        <w:rPr>
          <w:b/>
          <w:sz w:val="14"/>
        </w:rPr>
      </w:pPr>
      <w:r>
        <w:rPr>
          <w:b/>
          <w:sz w:val="14"/>
        </w:rPr>
        <w:t>mitretek      Larson/Ren    Larson/Ren    Larson/Ren    Larson/Ren     Celik</w:t>
      </w:r>
      <w:r>
        <w:rPr>
          <w:b/>
          <w:spacing w:val="-1"/>
          <w:sz w:val="14"/>
        </w:rPr>
        <w:t> </w:t>
      </w:r>
      <w:r>
        <w:rPr>
          <w:b/>
          <w:i/>
          <w:sz w:val="14"/>
        </w:rPr>
        <w:t>et al.</w:t>
        <w:tab/>
      </w:r>
      <w:r>
        <w:rPr>
          <w:b/>
          <w:sz w:val="14"/>
        </w:rPr>
        <w:t>Celik</w:t>
      </w:r>
      <w:r>
        <w:rPr>
          <w:b/>
          <w:spacing w:val="-1"/>
          <w:sz w:val="14"/>
        </w:rPr>
        <w:t> </w:t>
      </w:r>
      <w:r>
        <w:rPr>
          <w:b/>
          <w:i/>
          <w:sz w:val="14"/>
        </w:rPr>
        <w:t>et</w:t>
      </w:r>
      <w:r>
        <w:rPr>
          <w:b/>
          <w:i/>
          <w:spacing w:val="-1"/>
          <w:sz w:val="14"/>
        </w:rPr>
        <w:t> </w:t>
      </w:r>
      <w:r>
        <w:rPr>
          <w:b/>
          <w:i/>
          <w:sz w:val="14"/>
        </w:rPr>
        <w:t>al.</w:t>
        <w:tab/>
      </w:r>
      <w:r>
        <w:rPr>
          <w:b/>
          <w:sz w:val="14"/>
        </w:rPr>
        <w:t>Celik </w:t>
      </w:r>
      <w:r>
        <w:rPr>
          <w:b/>
          <w:i/>
          <w:sz w:val="14"/>
        </w:rPr>
        <w:t>et</w:t>
      </w:r>
      <w:r>
        <w:rPr>
          <w:b/>
          <w:i/>
          <w:spacing w:val="-1"/>
          <w:sz w:val="14"/>
        </w:rPr>
        <w:t> </w:t>
      </w:r>
      <w:r>
        <w:rPr>
          <w:b/>
          <w:i/>
          <w:sz w:val="14"/>
        </w:rPr>
        <w:t>al.</w:t>
        <w:tab/>
      </w:r>
      <w:r>
        <w:rPr>
          <w:b/>
          <w:sz w:val="14"/>
        </w:rPr>
        <w:t>Celik</w:t>
      </w:r>
      <w:r>
        <w:rPr>
          <w:b/>
          <w:spacing w:val="-1"/>
          <w:sz w:val="14"/>
        </w:rPr>
        <w:t> </w:t>
      </w:r>
      <w:r>
        <w:rPr>
          <w:b/>
          <w:i/>
          <w:sz w:val="14"/>
        </w:rPr>
        <w:t>et</w:t>
      </w:r>
      <w:r>
        <w:rPr>
          <w:b/>
          <w:i/>
          <w:spacing w:val="-1"/>
          <w:sz w:val="14"/>
        </w:rPr>
        <w:t> </w:t>
      </w:r>
      <w:r>
        <w:rPr>
          <w:b/>
          <w:i/>
          <w:sz w:val="14"/>
        </w:rPr>
        <w:t>al.</w:t>
        <w:tab/>
        <w:tab/>
      </w:r>
      <w:r>
        <w:rPr>
          <w:b/>
          <w:sz w:val="14"/>
        </w:rPr>
        <w:t>Range 2003</w:t>
        <w:tab/>
        <w:t>2003</w:t>
        <w:tab/>
        <w:t>2003</w:t>
        <w:tab/>
        <w:t>2003</w:t>
        <w:tab/>
        <w:t>2003</w:t>
        <w:tab/>
        <w:t>2005</w:t>
        <w:tab/>
        <w:tab/>
        <w:t>2005</w:t>
        <w:tab/>
        <w:tab/>
        <w:t>2005</w:t>
        <w:tab/>
        <w:tab/>
        <w:t>2005</w:t>
        <w:tab/>
        <w:t>min</w:t>
        <w:tab/>
      </w:r>
      <w:r>
        <w:rPr>
          <w:b/>
          <w:spacing w:val="-6"/>
          <w:sz w:val="14"/>
        </w:rPr>
        <w:t>max</w:t>
      </w:r>
    </w:p>
    <w:p>
      <w:pPr>
        <w:spacing w:line="153" w:lineRule="exact" w:before="0"/>
        <w:ind w:left="393" w:right="0" w:firstLine="0"/>
        <w:jc w:val="left"/>
        <w:rPr>
          <w:b/>
          <w:i/>
          <w:sz w:val="14"/>
        </w:rPr>
      </w:pPr>
      <w:r>
        <w:rPr>
          <w:b/>
          <w:i/>
          <w:sz w:val="14"/>
        </w:rPr>
        <w:t>*</w:t>
      </w:r>
    </w:p>
    <w:p>
      <w:pPr>
        <w:spacing w:after="0" w:line="153" w:lineRule="exact"/>
        <w:jc w:val="left"/>
        <w:rPr>
          <w:sz w:val="14"/>
        </w:rPr>
        <w:sectPr>
          <w:pgSz w:w="12240" w:h="15840"/>
          <w:pgMar w:header="567" w:footer="0" w:top="1040" w:bottom="280" w:left="620" w:right="620"/>
          <w:cols w:num="2" w:equalWidth="0">
            <w:col w:w="1680" w:space="284"/>
            <w:col w:w="9036"/>
          </w:cols>
        </w:sectPr>
      </w:pPr>
    </w:p>
    <w:p>
      <w:pPr>
        <w:spacing w:line="145" w:lineRule="exact" w:before="0"/>
        <w:ind w:left="174" w:right="0" w:firstLine="0"/>
        <w:jc w:val="left"/>
        <w:rPr>
          <w:sz w:val="14"/>
        </w:rPr>
      </w:pPr>
      <w:r>
        <w:rPr>
          <w:sz w:val="14"/>
        </w:rPr>
        <w:t>Plant products</w:t>
      </w:r>
    </w:p>
    <w:p>
      <w:pPr>
        <w:spacing w:line="223" w:lineRule="auto" w:before="16"/>
        <w:ind w:left="174" w:right="20" w:firstLine="0"/>
        <w:jc w:val="left"/>
        <w:rPr>
          <w:sz w:val="14"/>
        </w:rPr>
      </w:pPr>
      <w:r>
        <w:rPr>
          <w:sz w:val="14"/>
        </w:rPr>
        <w:t>(primary/secondary) Production process or type</w:t>
      </w:r>
    </w:p>
    <w:p>
      <w:pPr>
        <w:spacing w:line="145" w:lineRule="exact" w:before="0"/>
        <w:ind w:left="198" w:right="0" w:firstLine="0"/>
        <w:jc w:val="both"/>
        <w:rPr>
          <w:sz w:val="14"/>
        </w:rPr>
      </w:pPr>
      <w:r>
        <w:rPr/>
        <w:br w:type="column"/>
      </w:r>
      <w:r>
        <w:rPr>
          <w:sz w:val="14"/>
        </w:rPr>
        <w:t>F-T liquids</w:t>
      </w:r>
    </w:p>
    <w:p>
      <w:pPr>
        <w:spacing w:line="237" w:lineRule="auto" w:before="8"/>
        <w:ind w:left="176" w:right="0" w:hanging="3"/>
        <w:jc w:val="both"/>
        <w:rPr>
          <w:sz w:val="14"/>
        </w:rPr>
      </w:pPr>
      <w:r>
        <w:rPr>
          <w:sz w:val="14"/>
        </w:rPr>
        <w:t>+</w:t>
      </w:r>
      <w:r>
        <w:rPr>
          <w:spacing w:val="-12"/>
          <w:sz w:val="14"/>
        </w:rPr>
        <w:t> </w:t>
      </w:r>
      <w:r>
        <w:rPr>
          <w:sz w:val="14"/>
        </w:rPr>
        <w:t>electricity </w:t>
      </w:r>
      <w:r>
        <w:rPr>
          <w:spacing w:val="-1"/>
          <w:sz w:val="14"/>
        </w:rPr>
        <w:t>Unspecified </w:t>
      </w:r>
      <w:r>
        <w:rPr>
          <w:sz w:val="14"/>
        </w:rPr>
        <w:t>O</w:t>
      </w:r>
      <w:r>
        <w:rPr>
          <w:position w:val="-4"/>
          <w:sz w:val="8"/>
        </w:rPr>
        <w:t>2</w:t>
      </w:r>
      <w:r>
        <w:rPr>
          <w:sz w:val="14"/>
        </w:rPr>
        <w:t>-blown</w:t>
      </w:r>
    </w:p>
    <w:p>
      <w:pPr>
        <w:spacing w:line="131" w:lineRule="exact" w:before="0"/>
        <w:ind w:left="289" w:right="0" w:firstLine="0"/>
        <w:jc w:val="left"/>
        <w:rPr>
          <w:sz w:val="14"/>
        </w:rPr>
      </w:pPr>
      <w:r>
        <w:rPr>
          <w:sz w:val="14"/>
        </w:rPr>
        <w:t>gasifier,</w:t>
      </w:r>
    </w:p>
    <w:p>
      <w:pPr>
        <w:spacing w:before="7"/>
        <w:ind w:left="191" w:right="0" w:firstLine="0"/>
        <w:jc w:val="left"/>
        <w:rPr>
          <w:sz w:val="14"/>
        </w:rPr>
      </w:pPr>
      <w:r>
        <w:rPr>
          <w:sz w:val="14"/>
        </w:rPr>
        <w:t>unspecified</w:t>
      </w:r>
    </w:p>
    <w:p>
      <w:pPr>
        <w:spacing w:line="145" w:lineRule="exact" w:before="0"/>
        <w:ind w:left="218" w:right="150" w:firstLine="0"/>
        <w:jc w:val="center"/>
        <w:rPr>
          <w:sz w:val="14"/>
        </w:rPr>
      </w:pPr>
      <w:r>
        <w:rPr/>
        <w:br w:type="column"/>
      </w:r>
      <w:r>
        <w:rPr>
          <w:sz w:val="14"/>
        </w:rPr>
        <w:t>MeOH</w:t>
      </w:r>
    </w:p>
    <w:p>
      <w:pPr>
        <w:spacing w:line="244" w:lineRule="auto" w:before="7"/>
        <w:ind w:left="68" w:right="0" w:hanging="1"/>
        <w:jc w:val="center"/>
        <w:rPr>
          <w:sz w:val="14"/>
        </w:rPr>
      </w:pPr>
      <w:r>
        <w:rPr>
          <w:sz w:val="14"/>
        </w:rPr>
        <w:t>+electricity Texaco quench, Liquid </w:t>
      </w:r>
      <w:r>
        <w:rPr>
          <w:spacing w:val="-4"/>
          <w:sz w:val="14"/>
        </w:rPr>
        <w:t>phase </w:t>
      </w:r>
      <w:r>
        <w:rPr>
          <w:sz w:val="14"/>
        </w:rPr>
        <w:t>reactor,</w:t>
      </w:r>
    </w:p>
    <w:p>
      <w:pPr>
        <w:spacing w:line="145" w:lineRule="exact" w:before="0"/>
        <w:ind w:left="215" w:right="133" w:firstLine="0"/>
        <w:jc w:val="center"/>
        <w:rPr>
          <w:sz w:val="14"/>
        </w:rPr>
      </w:pPr>
      <w:r>
        <w:rPr/>
        <w:br w:type="column"/>
      </w:r>
      <w:r>
        <w:rPr>
          <w:sz w:val="14"/>
        </w:rPr>
        <w:t>MeOH</w:t>
      </w:r>
    </w:p>
    <w:p>
      <w:pPr>
        <w:spacing w:line="244" w:lineRule="auto" w:before="7"/>
        <w:ind w:left="82" w:right="0" w:hanging="1"/>
        <w:jc w:val="center"/>
        <w:rPr>
          <w:sz w:val="14"/>
        </w:rPr>
      </w:pPr>
      <w:r>
        <w:rPr>
          <w:sz w:val="14"/>
        </w:rPr>
        <w:t>+electricity Texaco quench, Liquid </w:t>
      </w:r>
      <w:r>
        <w:rPr>
          <w:spacing w:val="-4"/>
          <w:sz w:val="14"/>
        </w:rPr>
        <w:t>phase </w:t>
      </w:r>
      <w:r>
        <w:rPr>
          <w:sz w:val="14"/>
        </w:rPr>
        <w:t>reactor,</w:t>
      </w:r>
    </w:p>
    <w:p>
      <w:pPr>
        <w:spacing w:line="145" w:lineRule="exact" w:before="0"/>
        <w:ind w:left="215" w:right="133" w:firstLine="0"/>
        <w:jc w:val="center"/>
        <w:rPr>
          <w:sz w:val="14"/>
        </w:rPr>
      </w:pPr>
      <w:r>
        <w:rPr/>
        <w:br w:type="column"/>
      </w:r>
      <w:r>
        <w:rPr>
          <w:sz w:val="14"/>
        </w:rPr>
        <w:t>DME</w:t>
      </w:r>
    </w:p>
    <w:p>
      <w:pPr>
        <w:spacing w:line="244" w:lineRule="auto" w:before="7"/>
        <w:ind w:left="82" w:right="0" w:hanging="1"/>
        <w:jc w:val="center"/>
        <w:rPr>
          <w:sz w:val="14"/>
        </w:rPr>
      </w:pPr>
      <w:r>
        <w:rPr>
          <w:sz w:val="14"/>
        </w:rPr>
        <w:t>+electricity Texaco quench, Liquid </w:t>
      </w:r>
      <w:r>
        <w:rPr>
          <w:spacing w:val="-4"/>
          <w:sz w:val="14"/>
        </w:rPr>
        <w:t>phase </w:t>
      </w:r>
      <w:r>
        <w:rPr>
          <w:sz w:val="14"/>
        </w:rPr>
        <w:t>reactor,</w:t>
      </w:r>
    </w:p>
    <w:p>
      <w:pPr>
        <w:spacing w:line="145" w:lineRule="exact" w:before="0"/>
        <w:ind w:left="215" w:right="133" w:firstLine="0"/>
        <w:jc w:val="center"/>
        <w:rPr>
          <w:sz w:val="14"/>
        </w:rPr>
      </w:pPr>
      <w:r>
        <w:rPr/>
        <w:br w:type="column"/>
      </w:r>
      <w:r>
        <w:rPr>
          <w:sz w:val="14"/>
        </w:rPr>
        <w:t>DME</w:t>
      </w:r>
    </w:p>
    <w:p>
      <w:pPr>
        <w:spacing w:line="244" w:lineRule="auto" w:before="7"/>
        <w:ind w:left="82" w:right="0" w:hanging="1"/>
        <w:jc w:val="center"/>
        <w:rPr>
          <w:sz w:val="14"/>
        </w:rPr>
      </w:pPr>
      <w:r>
        <w:rPr>
          <w:sz w:val="14"/>
        </w:rPr>
        <w:t>+electricity Texaco quench, Liquid </w:t>
      </w:r>
      <w:r>
        <w:rPr>
          <w:spacing w:val="-4"/>
          <w:sz w:val="14"/>
        </w:rPr>
        <w:t>phase </w:t>
      </w:r>
      <w:r>
        <w:rPr>
          <w:sz w:val="14"/>
        </w:rPr>
        <w:t>reactor,</w:t>
      </w:r>
    </w:p>
    <w:p>
      <w:pPr>
        <w:spacing w:line="145" w:lineRule="exact" w:before="0"/>
        <w:ind w:left="215" w:right="133" w:firstLine="0"/>
        <w:jc w:val="center"/>
        <w:rPr>
          <w:sz w:val="14"/>
        </w:rPr>
      </w:pPr>
      <w:r>
        <w:rPr/>
        <w:br w:type="column"/>
      </w:r>
      <w:r>
        <w:rPr>
          <w:sz w:val="14"/>
        </w:rPr>
        <w:t>DME</w:t>
      </w:r>
      <w:r>
        <w:rPr>
          <w:spacing w:val="-3"/>
          <w:sz w:val="14"/>
        </w:rPr>
        <w:t> </w:t>
      </w:r>
      <w:r>
        <w:rPr>
          <w:sz w:val="14"/>
        </w:rPr>
        <w:t>+</w:t>
      </w:r>
    </w:p>
    <w:p>
      <w:pPr>
        <w:spacing w:line="244" w:lineRule="auto" w:before="7"/>
        <w:ind w:left="82" w:right="0" w:hanging="1"/>
        <w:jc w:val="center"/>
        <w:rPr>
          <w:sz w:val="14"/>
        </w:rPr>
      </w:pPr>
      <w:r>
        <w:rPr>
          <w:sz w:val="14"/>
        </w:rPr>
        <w:t>electricity Texaco quench, Liquid </w:t>
      </w:r>
      <w:r>
        <w:rPr>
          <w:spacing w:val="-4"/>
          <w:sz w:val="14"/>
        </w:rPr>
        <w:t>phase </w:t>
      </w:r>
      <w:r>
        <w:rPr>
          <w:sz w:val="14"/>
        </w:rPr>
        <w:t>reactor,</w:t>
      </w:r>
    </w:p>
    <w:p>
      <w:pPr>
        <w:spacing w:line="145" w:lineRule="exact" w:before="0"/>
        <w:ind w:left="215" w:right="133" w:firstLine="0"/>
        <w:jc w:val="center"/>
        <w:rPr>
          <w:sz w:val="14"/>
        </w:rPr>
      </w:pPr>
      <w:r>
        <w:rPr/>
        <w:br w:type="column"/>
      </w:r>
      <w:r>
        <w:rPr>
          <w:sz w:val="14"/>
        </w:rPr>
        <w:t>DME</w:t>
      </w:r>
      <w:r>
        <w:rPr>
          <w:spacing w:val="-3"/>
          <w:sz w:val="14"/>
        </w:rPr>
        <w:t> </w:t>
      </w:r>
      <w:r>
        <w:rPr>
          <w:sz w:val="14"/>
        </w:rPr>
        <w:t>+</w:t>
      </w:r>
    </w:p>
    <w:p>
      <w:pPr>
        <w:spacing w:line="244" w:lineRule="auto" w:before="7"/>
        <w:ind w:left="82" w:right="0" w:hanging="1"/>
        <w:jc w:val="center"/>
        <w:rPr>
          <w:sz w:val="14"/>
        </w:rPr>
      </w:pPr>
      <w:r>
        <w:rPr>
          <w:sz w:val="14"/>
        </w:rPr>
        <w:t>electricity Texaco quench, Liquid </w:t>
      </w:r>
      <w:r>
        <w:rPr>
          <w:spacing w:val="-4"/>
          <w:sz w:val="14"/>
        </w:rPr>
        <w:t>phase </w:t>
      </w:r>
      <w:r>
        <w:rPr>
          <w:sz w:val="14"/>
        </w:rPr>
        <w:t>reactor,</w:t>
      </w:r>
    </w:p>
    <w:p>
      <w:pPr>
        <w:spacing w:line="145" w:lineRule="exact" w:before="0"/>
        <w:ind w:left="215" w:right="133" w:firstLine="0"/>
        <w:jc w:val="center"/>
        <w:rPr>
          <w:sz w:val="14"/>
        </w:rPr>
      </w:pPr>
      <w:r>
        <w:rPr/>
        <w:br w:type="column"/>
      </w:r>
      <w:r>
        <w:rPr>
          <w:sz w:val="14"/>
        </w:rPr>
        <w:t>DME</w:t>
      </w:r>
      <w:r>
        <w:rPr>
          <w:spacing w:val="-3"/>
          <w:sz w:val="14"/>
        </w:rPr>
        <w:t> </w:t>
      </w:r>
      <w:r>
        <w:rPr>
          <w:sz w:val="14"/>
        </w:rPr>
        <w:t>+</w:t>
      </w:r>
    </w:p>
    <w:p>
      <w:pPr>
        <w:spacing w:line="244" w:lineRule="auto" w:before="7"/>
        <w:ind w:left="82" w:right="0" w:hanging="1"/>
        <w:jc w:val="center"/>
        <w:rPr>
          <w:sz w:val="14"/>
        </w:rPr>
      </w:pPr>
      <w:r>
        <w:rPr>
          <w:sz w:val="14"/>
        </w:rPr>
        <w:t>electricity Texaco quench, Liquid </w:t>
      </w:r>
      <w:r>
        <w:rPr>
          <w:spacing w:val="-4"/>
          <w:sz w:val="14"/>
        </w:rPr>
        <w:t>phase </w:t>
      </w:r>
      <w:r>
        <w:rPr>
          <w:sz w:val="14"/>
        </w:rPr>
        <w:t>reactor,</w:t>
      </w:r>
    </w:p>
    <w:p>
      <w:pPr>
        <w:spacing w:line="145" w:lineRule="exact" w:before="0"/>
        <w:ind w:left="216" w:right="1613" w:firstLine="0"/>
        <w:jc w:val="center"/>
        <w:rPr>
          <w:sz w:val="14"/>
        </w:rPr>
      </w:pPr>
      <w:r>
        <w:rPr/>
        <w:br w:type="column"/>
      </w:r>
      <w:r>
        <w:rPr>
          <w:sz w:val="14"/>
        </w:rPr>
        <w:t>DME</w:t>
      </w:r>
      <w:r>
        <w:rPr>
          <w:spacing w:val="-3"/>
          <w:sz w:val="14"/>
        </w:rPr>
        <w:t> </w:t>
      </w:r>
      <w:r>
        <w:rPr>
          <w:sz w:val="14"/>
        </w:rPr>
        <w:t>+</w:t>
      </w:r>
    </w:p>
    <w:p>
      <w:pPr>
        <w:spacing w:line="244" w:lineRule="auto" w:before="7"/>
        <w:ind w:left="82" w:right="1480" w:hanging="1"/>
        <w:jc w:val="center"/>
        <w:rPr>
          <w:sz w:val="14"/>
        </w:rPr>
      </w:pPr>
      <w:r>
        <w:rPr>
          <w:sz w:val="14"/>
        </w:rPr>
        <w:t>electricity Texaco quench, Liquid </w:t>
      </w:r>
      <w:r>
        <w:rPr>
          <w:spacing w:val="-4"/>
          <w:sz w:val="14"/>
        </w:rPr>
        <w:t>phase </w:t>
      </w:r>
      <w:r>
        <w:rPr>
          <w:sz w:val="14"/>
        </w:rPr>
        <w:t>reactor,</w:t>
      </w:r>
    </w:p>
    <w:p>
      <w:pPr>
        <w:spacing w:after="0" w:line="244" w:lineRule="auto"/>
        <w:jc w:val="center"/>
        <w:rPr>
          <w:sz w:val="14"/>
        </w:rPr>
        <w:sectPr>
          <w:type w:val="continuous"/>
          <w:pgSz w:w="12240" w:h="15840"/>
          <w:pgMar w:top="480" w:bottom="280" w:left="620" w:right="620"/>
          <w:cols w:num="10" w:equalWidth="0">
            <w:col w:w="1711" w:space="170"/>
            <w:col w:w="848" w:space="40"/>
            <w:col w:w="797" w:space="40"/>
            <w:col w:w="811" w:space="39"/>
            <w:col w:w="811" w:space="40"/>
            <w:col w:w="811" w:space="39"/>
            <w:col w:w="811" w:space="39"/>
            <w:col w:w="811" w:space="40"/>
            <w:col w:w="811" w:space="39"/>
            <w:col w:w="2292"/>
          </w:cols>
        </w:sectPr>
      </w:pPr>
    </w:p>
    <w:p>
      <w:pPr>
        <w:spacing w:before="1"/>
        <w:ind w:left="2135" w:right="0" w:firstLine="0"/>
        <w:jc w:val="left"/>
        <w:rPr>
          <w:sz w:val="14"/>
        </w:rPr>
      </w:pPr>
      <w:r>
        <w:rPr>
          <w:sz w:val="14"/>
        </w:rPr>
        <w:t>synthesis Once-through Once-through Once-through Once-through Once-through Once-through Once-through Once-through</w:t>
      </w:r>
    </w:p>
    <w:p>
      <w:pPr>
        <w:spacing w:after="0"/>
        <w:jc w:val="left"/>
        <w:rPr>
          <w:sz w:val="14"/>
        </w:rPr>
        <w:sectPr>
          <w:type w:val="continuous"/>
          <w:pgSz w:w="12240" w:h="15840"/>
          <w:pgMar w:top="480" w:bottom="280" w:left="620" w:right="620"/>
        </w:sectPr>
      </w:pPr>
    </w:p>
    <w:p>
      <w:pPr>
        <w:pStyle w:val="BodyText"/>
        <w:spacing w:before="8"/>
        <w:rPr>
          <w:sz w:val="13"/>
        </w:rPr>
      </w:pPr>
    </w:p>
    <w:p>
      <w:pPr>
        <w:spacing w:line="156" w:lineRule="exact" w:before="0"/>
        <w:ind w:left="174" w:right="0" w:firstLine="0"/>
        <w:jc w:val="left"/>
        <w:rPr>
          <w:sz w:val="14"/>
        </w:rPr>
      </w:pPr>
      <w:r>
        <w:rPr>
          <w:sz w:val="14"/>
        </w:rPr>
        <w:t>Feedstock</w:t>
      </w:r>
    </w:p>
    <w:p>
      <w:pPr>
        <w:spacing w:line="249" w:lineRule="auto" w:before="0"/>
        <w:ind w:left="174" w:right="249" w:firstLine="0"/>
        <w:jc w:val="left"/>
        <w:rPr>
          <w:sz w:val="14"/>
        </w:rPr>
      </w:pPr>
      <w:r>
        <w:rPr>
          <w:sz w:val="14"/>
        </w:rPr>
        <w:t>Feedstock cost, LHV (US$ GJ</w:t>
      </w:r>
      <w:r>
        <w:rPr>
          <w:position w:val="5"/>
          <w:sz w:val="8"/>
        </w:rPr>
        <w:t>−1</w:t>
      </w:r>
      <w:r>
        <w:rPr>
          <w:sz w:val="14"/>
        </w:rPr>
        <w:t>)</w:t>
      </w:r>
    </w:p>
    <w:p>
      <w:pPr>
        <w:spacing w:line="144" w:lineRule="exact" w:before="0"/>
        <w:ind w:left="174" w:right="0" w:firstLine="0"/>
        <w:jc w:val="left"/>
        <w:rPr>
          <w:sz w:val="14"/>
        </w:rPr>
      </w:pPr>
      <w:r>
        <w:rPr>
          <w:sz w:val="14"/>
        </w:rPr>
        <w:t>Ref. plant input capacity, LHV</w:t>
      </w:r>
    </w:p>
    <w:p>
      <w:pPr>
        <w:spacing w:line="156" w:lineRule="exact" w:before="2"/>
        <w:ind w:left="174" w:right="0" w:firstLine="0"/>
        <w:jc w:val="left"/>
        <w:rPr>
          <w:sz w:val="14"/>
        </w:rPr>
      </w:pPr>
      <w:r>
        <w:rPr>
          <w:sz w:val="14"/>
        </w:rPr>
        <w:t>(GJ h</w:t>
      </w:r>
      <w:r>
        <w:rPr>
          <w:position w:val="5"/>
          <w:sz w:val="8"/>
        </w:rPr>
        <w:t>−1</w:t>
      </w:r>
      <w:r>
        <w:rPr>
          <w:sz w:val="14"/>
        </w:rPr>
        <w:t>)</w:t>
      </w:r>
    </w:p>
    <w:p>
      <w:pPr>
        <w:spacing w:line="237" w:lineRule="auto" w:before="0"/>
        <w:ind w:left="174" w:right="249" w:firstLine="0"/>
        <w:jc w:val="left"/>
        <w:rPr>
          <w:sz w:val="14"/>
        </w:rPr>
      </w:pPr>
      <w:r>
        <w:rPr>
          <w:sz w:val="14"/>
        </w:rPr>
        <w:t>Ref plant output capacity, LHV: Fuels (GJ h</w:t>
      </w:r>
      <w:r>
        <w:rPr>
          <w:position w:val="5"/>
          <w:sz w:val="8"/>
        </w:rPr>
        <w:t>−1</w:t>
      </w:r>
      <w:r>
        <w:rPr>
          <w:sz w:val="14"/>
        </w:rPr>
        <w:t>) Electricity (MW)</w:t>
      </w:r>
    </w:p>
    <w:p>
      <w:pPr>
        <w:spacing w:line="145" w:lineRule="exact" w:before="0"/>
        <w:ind w:left="173" w:right="0" w:firstLine="0"/>
        <w:jc w:val="left"/>
        <w:rPr>
          <w:sz w:val="14"/>
        </w:rPr>
      </w:pPr>
      <w:r>
        <w:rPr>
          <w:sz w:val="14"/>
        </w:rPr>
        <w:t>Net plant efficiency, LHV (%)</w:t>
      </w:r>
    </w:p>
    <w:p>
      <w:pPr>
        <w:spacing w:line="232" w:lineRule="auto" w:before="0"/>
        <w:ind w:left="174" w:right="249" w:firstLine="0"/>
        <w:jc w:val="left"/>
        <w:rPr>
          <w:sz w:val="14"/>
        </w:rPr>
      </w:pPr>
      <w:r>
        <w:rPr/>
        <w:pict>
          <v:shape style="position:absolute;margin-left:49.425201pt;margin-top:13.121783pt;width:48.8pt;height:4.1pt;mso-position-horizontal-relative:page;mso-position-vertical-relative:paragraph;z-index:-272358400" type="#_x0000_t202" filled="false" stroked="false">
            <v:textbox inset="0,0,0,0">
              <w:txbxContent>
                <w:p>
                  <w:pPr>
                    <w:tabs>
                      <w:tab w:pos="934" w:val="left" w:leader="none"/>
                    </w:tabs>
                    <w:spacing w:line="78" w:lineRule="exact" w:before="0"/>
                    <w:ind w:left="0" w:right="0" w:firstLine="0"/>
                    <w:jc w:val="left"/>
                    <w:rPr>
                      <w:sz w:val="8"/>
                    </w:rPr>
                  </w:pPr>
                  <w:r>
                    <w:rPr>
                      <w:sz w:val="8"/>
                    </w:rPr>
                    <w:t>2</w:t>
                    <w:tab/>
                  </w:r>
                  <w:r>
                    <w:rPr>
                      <w:spacing w:val="-20"/>
                      <w:sz w:val="8"/>
                    </w:rPr>
                    <w:t>2</w:t>
                  </w:r>
                </w:p>
              </w:txbxContent>
            </v:textbox>
            <w10:wrap type="none"/>
          </v:shape>
        </w:pict>
      </w:r>
      <w:r>
        <w:rPr>
          <w:sz w:val="14"/>
        </w:rPr>
        <w:t>Plant capacity factor (%) CO emitted (MtCO yr</w:t>
      </w:r>
      <w:r>
        <w:rPr>
          <w:position w:val="5"/>
          <w:sz w:val="8"/>
        </w:rPr>
        <w:t>−1</w:t>
      </w:r>
      <w:r>
        <w:rPr>
          <w:sz w:val="14"/>
        </w:rPr>
        <w:t>) Carbon exported in fuels (MtC yr</w:t>
      </w:r>
      <w:r>
        <w:rPr>
          <w:position w:val="5"/>
          <w:sz w:val="8"/>
        </w:rPr>
        <w:t>−1</w:t>
      </w:r>
      <w:r>
        <w:rPr>
          <w:sz w:val="14"/>
        </w:rPr>
        <w:t>)</w:t>
      </w:r>
    </w:p>
    <w:p>
      <w:pPr>
        <w:spacing w:line="152" w:lineRule="exact" w:before="0"/>
        <w:ind w:left="174" w:right="0" w:firstLine="0"/>
        <w:jc w:val="left"/>
        <w:rPr>
          <w:sz w:val="14"/>
        </w:rPr>
      </w:pPr>
      <w:r>
        <w:rPr>
          <w:sz w:val="14"/>
        </w:rPr>
        <w:t>Total carbon released</w:t>
      </w:r>
    </w:p>
    <w:p>
      <w:pPr>
        <w:spacing w:line="16" w:lineRule="exact" w:before="11"/>
        <w:ind w:left="768" w:right="1046" w:firstLine="0"/>
        <w:jc w:val="center"/>
        <w:rPr>
          <w:sz w:val="8"/>
        </w:rPr>
      </w:pPr>
      <w:r>
        <w:rPr>
          <w:sz w:val="8"/>
        </w:rPr>
        <w:t>−1</w:t>
      </w:r>
    </w:p>
    <w:p>
      <w:pPr>
        <w:spacing w:line="223" w:lineRule="auto" w:before="16"/>
        <w:ind w:left="236" w:right="21" w:hanging="63"/>
        <w:jc w:val="left"/>
        <w:rPr>
          <w:sz w:val="14"/>
        </w:rPr>
      </w:pPr>
      <w:r>
        <w:rPr/>
        <w:br w:type="column"/>
      </w:r>
      <w:r>
        <w:rPr>
          <w:sz w:val="14"/>
        </w:rPr>
        <w:t>reactor Coal 1,09</w:t>
      </w:r>
    </w:p>
    <w:p>
      <w:pPr>
        <w:pStyle w:val="BodyText"/>
        <w:rPr>
          <w:sz w:val="14"/>
        </w:rPr>
      </w:pPr>
    </w:p>
    <w:p>
      <w:pPr>
        <w:spacing w:before="0"/>
        <w:ind w:left="193" w:right="0" w:firstLine="0"/>
        <w:jc w:val="left"/>
        <w:rPr>
          <w:sz w:val="14"/>
        </w:rPr>
      </w:pPr>
      <w:r>
        <w:rPr>
          <w:sz w:val="14"/>
        </w:rPr>
        <w:t>16136</w:t>
      </w:r>
    </w:p>
    <w:p>
      <w:pPr>
        <w:pStyle w:val="BodyText"/>
        <w:spacing w:before="8"/>
        <w:rPr>
          <w:sz w:val="13"/>
        </w:rPr>
      </w:pPr>
    </w:p>
    <w:p>
      <w:pPr>
        <w:spacing w:before="0"/>
        <w:ind w:left="228" w:right="0" w:firstLine="0"/>
        <w:jc w:val="left"/>
        <w:rPr>
          <w:sz w:val="14"/>
        </w:rPr>
      </w:pPr>
      <w:r>
        <w:rPr>
          <w:sz w:val="14"/>
        </w:rPr>
        <w:t>7161</w:t>
      </w:r>
    </w:p>
    <w:p>
      <w:pPr>
        <w:pStyle w:val="BodyText"/>
        <w:spacing w:before="8"/>
        <w:rPr>
          <w:sz w:val="13"/>
        </w:rPr>
      </w:pPr>
    </w:p>
    <w:p>
      <w:pPr>
        <w:spacing w:line="156" w:lineRule="exact" w:before="0"/>
        <w:ind w:left="263" w:right="0" w:firstLine="0"/>
        <w:jc w:val="left"/>
        <w:rPr>
          <w:sz w:val="14"/>
        </w:rPr>
      </w:pPr>
      <w:r>
        <w:rPr>
          <w:sz w:val="14"/>
        </w:rPr>
        <w:t>697</w:t>
      </w:r>
    </w:p>
    <w:p>
      <w:pPr>
        <w:spacing w:line="150" w:lineRule="exact" w:before="0"/>
        <w:ind w:left="245" w:right="0" w:firstLine="0"/>
        <w:jc w:val="left"/>
        <w:rPr>
          <w:sz w:val="14"/>
        </w:rPr>
      </w:pPr>
      <w:r>
        <w:rPr>
          <w:sz w:val="14"/>
        </w:rPr>
        <w:t>59.9</w:t>
      </w:r>
    </w:p>
    <w:p>
      <w:pPr>
        <w:spacing w:line="150" w:lineRule="exact" w:before="0"/>
        <w:ind w:left="298" w:right="0" w:firstLine="0"/>
        <w:jc w:val="left"/>
        <w:rPr>
          <w:sz w:val="14"/>
        </w:rPr>
      </w:pPr>
      <w:r>
        <w:rPr>
          <w:sz w:val="14"/>
        </w:rPr>
        <w:t>90</w:t>
      </w:r>
    </w:p>
    <w:p>
      <w:pPr>
        <w:spacing w:line="150" w:lineRule="exact" w:before="0"/>
        <w:ind w:left="210" w:right="0" w:firstLine="0"/>
        <w:jc w:val="left"/>
        <w:rPr>
          <w:sz w:val="14"/>
        </w:rPr>
      </w:pPr>
      <w:r>
        <w:rPr>
          <w:sz w:val="14"/>
        </w:rPr>
        <w:t>8.067</w:t>
      </w:r>
    </w:p>
    <w:p>
      <w:pPr>
        <w:spacing w:line="156" w:lineRule="exact" w:before="0"/>
        <w:ind w:left="210" w:right="0" w:firstLine="0"/>
        <w:jc w:val="left"/>
        <w:rPr>
          <w:sz w:val="14"/>
        </w:rPr>
      </w:pPr>
      <w:r>
        <w:rPr>
          <w:sz w:val="14"/>
        </w:rPr>
        <w:t>1.190</w:t>
      </w:r>
    </w:p>
    <w:p>
      <w:pPr>
        <w:pStyle w:val="BodyText"/>
        <w:spacing w:before="7"/>
        <w:rPr>
          <w:sz w:val="13"/>
        </w:rPr>
      </w:pPr>
    </w:p>
    <w:p>
      <w:pPr>
        <w:spacing w:before="1"/>
        <w:ind w:left="263" w:right="0" w:firstLine="0"/>
        <w:jc w:val="left"/>
        <w:rPr>
          <w:sz w:val="14"/>
        </w:rPr>
      </w:pPr>
      <w:r>
        <w:rPr>
          <w:sz w:val="14"/>
        </w:rPr>
        <w:t>163</w:t>
      </w:r>
    </w:p>
    <w:p>
      <w:pPr>
        <w:spacing w:line="223" w:lineRule="auto" w:before="16"/>
        <w:ind w:left="234" w:right="33" w:hanging="61"/>
        <w:jc w:val="left"/>
        <w:rPr>
          <w:sz w:val="14"/>
        </w:rPr>
      </w:pPr>
      <w:r>
        <w:rPr/>
        <w:br w:type="column"/>
      </w:r>
      <w:r>
        <w:rPr>
          <w:w w:val="95"/>
          <w:sz w:val="14"/>
        </w:rPr>
        <w:t>config, </w:t>
      </w:r>
      <w:r>
        <w:rPr>
          <w:sz w:val="14"/>
        </w:rPr>
        <w:t>Coal 1.00</w:t>
      </w:r>
    </w:p>
    <w:p>
      <w:pPr>
        <w:pStyle w:val="BodyText"/>
        <w:rPr>
          <w:sz w:val="14"/>
        </w:rPr>
      </w:pPr>
    </w:p>
    <w:p>
      <w:pPr>
        <w:spacing w:before="0"/>
        <w:ind w:left="226" w:right="0" w:firstLine="0"/>
        <w:jc w:val="left"/>
        <w:rPr>
          <w:sz w:val="14"/>
        </w:rPr>
      </w:pPr>
      <w:r>
        <w:rPr>
          <w:sz w:val="14"/>
        </w:rPr>
        <w:t>9893</w:t>
      </w:r>
    </w:p>
    <w:p>
      <w:pPr>
        <w:pStyle w:val="BodyText"/>
        <w:spacing w:before="8"/>
        <w:rPr>
          <w:sz w:val="13"/>
        </w:rPr>
      </w:pPr>
    </w:p>
    <w:p>
      <w:pPr>
        <w:spacing w:before="0"/>
        <w:ind w:left="226" w:right="0" w:firstLine="0"/>
        <w:jc w:val="left"/>
        <w:rPr>
          <w:sz w:val="14"/>
        </w:rPr>
      </w:pPr>
      <w:r>
        <w:rPr>
          <w:sz w:val="14"/>
        </w:rPr>
        <w:t>2254</w:t>
      </w:r>
    </w:p>
    <w:p>
      <w:pPr>
        <w:pStyle w:val="BodyText"/>
        <w:spacing w:before="8"/>
        <w:rPr>
          <w:sz w:val="13"/>
        </w:rPr>
      </w:pPr>
    </w:p>
    <w:p>
      <w:pPr>
        <w:spacing w:line="156" w:lineRule="exact" w:before="0"/>
        <w:ind w:left="261" w:right="0" w:firstLine="0"/>
        <w:jc w:val="left"/>
        <w:rPr>
          <w:sz w:val="14"/>
        </w:rPr>
      </w:pPr>
      <w:r>
        <w:rPr>
          <w:sz w:val="14"/>
        </w:rPr>
        <w:t>625</w:t>
      </w:r>
    </w:p>
    <w:p>
      <w:pPr>
        <w:spacing w:line="150" w:lineRule="exact" w:before="0"/>
        <w:ind w:left="243" w:right="0" w:firstLine="0"/>
        <w:jc w:val="left"/>
        <w:rPr>
          <w:sz w:val="14"/>
        </w:rPr>
      </w:pPr>
      <w:r>
        <w:rPr>
          <w:sz w:val="14"/>
        </w:rPr>
        <w:t>45.5</w:t>
      </w:r>
    </w:p>
    <w:p>
      <w:pPr>
        <w:spacing w:line="150" w:lineRule="exact" w:before="0"/>
        <w:ind w:left="296" w:right="0" w:firstLine="0"/>
        <w:jc w:val="left"/>
        <w:rPr>
          <w:sz w:val="14"/>
        </w:rPr>
      </w:pPr>
      <w:r>
        <w:rPr>
          <w:sz w:val="14"/>
        </w:rPr>
        <w:t>85</w:t>
      </w:r>
    </w:p>
    <w:p>
      <w:pPr>
        <w:spacing w:line="150" w:lineRule="exact" w:before="0"/>
        <w:ind w:left="208" w:right="0" w:firstLine="0"/>
        <w:jc w:val="left"/>
        <w:rPr>
          <w:sz w:val="14"/>
        </w:rPr>
      </w:pPr>
      <w:r>
        <w:rPr>
          <w:sz w:val="14"/>
        </w:rPr>
        <w:t>5.646</w:t>
      </w:r>
    </w:p>
    <w:p>
      <w:pPr>
        <w:spacing w:line="156" w:lineRule="exact" w:before="0"/>
        <w:ind w:left="208" w:right="0" w:firstLine="0"/>
        <w:jc w:val="left"/>
        <w:rPr>
          <w:sz w:val="14"/>
        </w:rPr>
      </w:pPr>
      <w:r>
        <w:rPr>
          <w:sz w:val="14"/>
        </w:rPr>
        <w:t>0.317</w:t>
      </w:r>
    </w:p>
    <w:p>
      <w:pPr>
        <w:pStyle w:val="BodyText"/>
        <w:spacing w:before="7"/>
        <w:rPr>
          <w:sz w:val="13"/>
        </w:rPr>
      </w:pPr>
    </w:p>
    <w:p>
      <w:pPr>
        <w:spacing w:before="1"/>
        <w:ind w:left="261" w:right="0" w:firstLine="0"/>
        <w:jc w:val="left"/>
        <w:rPr>
          <w:sz w:val="14"/>
        </w:rPr>
      </w:pPr>
      <w:r>
        <w:rPr>
          <w:sz w:val="14"/>
        </w:rPr>
        <w:t>203</w:t>
      </w:r>
    </w:p>
    <w:p>
      <w:pPr>
        <w:spacing w:line="223" w:lineRule="auto" w:before="16"/>
        <w:ind w:left="234" w:right="33" w:hanging="61"/>
        <w:jc w:val="left"/>
        <w:rPr>
          <w:sz w:val="14"/>
        </w:rPr>
      </w:pPr>
      <w:r>
        <w:rPr/>
        <w:br w:type="column"/>
      </w:r>
      <w:r>
        <w:rPr>
          <w:w w:val="95"/>
          <w:sz w:val="14"/>
        </w:rPr>
        <w:t>config, </w:t>
      </w:r>
      <w:r>
        <w:rPr>
          <w:sz w:val="14"/>
        </w:rPr>
        <w:t>Coal 1.00</w:t>
      </w:r>
    </w:p>
    <w:p>
      <w:pPr>
        <w:pStyle w:val="BodyText"/>
        <w:rPr>
          <w:sz w:val="14"/>
        </w:rPr>
      </w:pPr>
    </w:p>
    <w:p>
      <w:pPr>
        <w:spacing w:before="0"/>
        <w:ind w:left="226" w:right="0" w:firstLine="0"/>
        <w:jc w:val="left"/>
        <w:rPr>
          <w:sz w:val="14"/>
        </w:rPr>
      </w:pPr>
      <w:r>
        <w:rPr>
          <w:sz w:val="14"/>
        </w:rPr>
        <w:t>9893</w:t>
      </w:r>
    </w:p>
    <w:p>
      <w:pPr>
        <w:pStyle w:val="BodyText"/>
        <w:spacing w:before="8"/>
        <w:rPr>
          <w:sz w:val="13"/>
        </w:rPr>
      </w:pPr>
    </w:p>
    <w:p>
      <w:pPr>
        <w:spacing w:before="0"/>
        <w:ind w:left="226" w:right="0" w:firstLine="0"/>
        <w:jc w:val="left"/>
        <w:rPr>
          <w:sz w:val="14"/>
        </w:rPr>
      </w:pPr>
      <w:r>
        <w:rPr>
          <w:sz w:val="14"/>
        </w:rPr>
        <w:t>2254</w:t>
      </w:r>
    </w:p>
    <w:p>
      <w:pPr>
        <w:pStyle w:val="BodyText"/>
        <w:spacing w:before="8"/>
        <w:rPr>
          <w:sz w:val="13"/>
        </w:rPr>
      </w:pPr>
    </w:p>
    <w:p>
      <w:pPr>
        <w:spacing w:line="156" w:lineRule="exact" w:before="0"/>
        <w:ind w:left="261" w:right="0" w:firstLine="0"/>
        <w:jc w:val="left"/>
        <w:rPr>
          <w:sz w:val="14"/>
        </w:rPr>
      </w:pPr>
      <w:r>
        <w:rPr>
          <w:sz w:val="14"/>
        </w:rPr>
        <w:t>625</w:t>
      </w:r>
    </w:p>
    <w:p>
      <w:pPr>
        <w:spacing w:line="150" w:lineRule="exact" w:before="0"/>
        <w:ind w:left="243" w:right="0" w:firstLine="0"/>
        <w:jc w:val="left"/>
        <w:rPr>
          <w:sz w:val="14"/>
        </w:rPr>
      </w:pPr>
      <w:r>
        <w:rPr>
          <w:sz w:val="14"/>
        </w:rPr>
        <w:t>45.5</w:t>
      </w:r>
    </w:p>
    <w:p>
      <w:pPr>
        <w:spacing w:line="150" w:lineRule="exact" w:before="0"/>
        <w:ind w:left="296" w:right="0" w:firstLine="0"/>
        <w:jc w:val="left"/>
        <w:rPr>
          <w:sz w:val="14"/>
        </w:rPr>
      </w:pPr>
      <w:r>
        <w:rPr>
          <w:sz w:val="14"/>
        </w:rPr>
        <w:t>85</w:t>
      </w:r>
    </w:p>
    <w:p>
      <w:pPr>
        <w:spacing w:line="150" w:lineRule="exact" w:before="0"/>
        <w:ind w:left="208" w:right="0" w:firstLine="0"/>
        <w:jc w:val="left"/>
        <w:rPr>
          <w:sz w:val="14"/>
        </w:rPr>
      </w:pPr>
      <w:r>
        <w:rPr>
          <w:sz w:val="14"/>
        </w:rPr>
        <w:t>5.646</w:t>
      </w:r>
    </w:p>
    <w:p>
      <w:pPr>
        <w:spacing w:line="156" w:lineRule="exact" w:before="0"/>
        <w:ind w:left="208" w:right="0" w:firstLine="0"/>
        <w:jc w:val="left"/>
        <w:rPr>
          <w:sz w:val="14"/>
        </w:rPr>
      </w:pPr>
      <w:r>
        <w:rPr>
          <w:sz w:val="14"/>
        </w:rPr>
        <w:t>0.317</w:t>
      </w:r>
    </w:p>
    <w:p>
      <w:pPr>
        <w:pStyle w:val="BodyText"/>
        <w:spacing w:before="7"/>
        <w:rPr>
          <w:sz w:val="13"/>
        </w:rPr>
      </w:pPr>
    </w:p>
    <w:p>
      <w:pPr>
        <w:spacing w:before="1"/>
        <w:ind w:left="261" w:right="0" w:firstLine="0"/>
        <w:jc w:val="left"/>
        <w:rPr>
          <w:sz w:val="14"/>
        </w:rPr>
      </w:pPr>
      <w:r>
        <w:rPr>
          <w:sz w:val="14"/>
        </w:rPr>
        <w:t>203</w:t>
      </w:r>
    </w:p>
    <w:p>
      <w:pPr>
        <w:spacing w:line="223" w:lineRule="auto" w:before="16"/>
        <w:ind w:left="234" w:right="33" w:hanging="61"/>
        <w:jc w:val="left"/>
        <w:rPr>
          <w:sz w:val="14"/>
        </w:rPr>
      </w:pPr>
      <w:r>
        <w:rPr/>
        <w:br w:type="column"/>
      </w:r>
      <w:r>
        <w:rPr>
          <w:w w:val="95"/>
          <w:sz w:val="14"/>
        </w:rPr>
        <w:t>config, </w:t>
      </w:r>
      <w:r>
        <w:rPr>
          <w:sz w:val="14"/>
        </w:rPr>
        <w:t>Coal 1.00</w:t>
      </w:r>
    </w:p>
    <w:p>
      <w:pPr>
        <w:pStyle w:val="BodyText"/>
        <w:rPr>
          <w:sz w:val="14"/>
        </w:rPr>
      </w:pPr>
    </w:p>
    <w:p>
      <w:pPr>
        <w:spacing w:before="0"/>
        <w:ind w:left="226" w:right="0" w:firstLine="0"/>
        <w:jc w:val="left"/>
        <w:rPr>
          <w:sz w:val="14"/>
        </w:rPr>
      </w:pPr>
      <w:r>
        <w:rPr>
          <w:sz w:val="14"/>
        </w:rPr>
        <w:t>8690</w:t>
      </w:r>
    </w:p>
    <w:p>
      <w:pPr>
        <w:pStyle w:val="BodyText"/>
        <w:spacing w:before="8"/>
        <w:rPr>
          <w:sz w:val="13"/>
        </w:rPr>
      </w:pPr>
    </w:p>
    <w:p>
      <w:pPr>
        <w:spacing w:before="0"/>
        <w:ind w:left="226" w:right="0" w:firstLine="0"/>
        <w:jc w:val="left"/>
        <w:rPr>
          <w:sz w:val="14"/>
        </w:rPr>
      </w:pPr>
      <w:r>
        <w:rPr>
          <w:sz w:val="14"/>
        </w:rPr>
        <w:t>2160</w:t>
      </w:r>
    </w:p>
    <w:p>
      <w:pPr>
        <w:pStyle w:val="BodyText"/>
        <w:spacing w:before="8"/>
        <w:rPr>
          <w:sz w:val="13"/>
        </w:rPr>
      </w:pPr>
    </w:p>
    <w:p>
      <w:pPr>
        <w:spacing w:line="156" w:lineRule="exact" w:before="0"/>
        <w:ind w:left="261" w:right="0" w:firstLine="0"/>
        <w:jc w:val="left"/>
        <w:rPr>
          <w:sz w:val="14"/>
        </w:rPr>
      </w:pPr>
      <w:r>
        <w:rPr>
          <w:sz w:val="14"/>
        </w:rPr>
        <w:t>552</w:t>
      </w:r>
    </w:p>
    <w:p>
      <w:pPr>
        <w:spacing w:line="150" w:lineRule="exact" w:before="0"/>
        <w:ind w:left="243" w:right="0" w:firstLine="0"/>
        <w:jc w:val="left"/>
        <w:rPr>
          <w:sz w:val="14"/>
        </w:rPr>
      </w:pPr>
      <w:r>
        <w:rPr>
          <w:sz w:val="14"/>
        </w:rPr>
        <w:t>47.7</w:t>
      </w:r>
    </w:p>
    <w:p>
      <w:pPr>
        <w:spacing w:line="150" w:lineRule="exact" w:before="0"/>
        <w:ind w:left="296" w:right="0" w:firstLine="0"/>
        <w:jc w:val="left"/>
        <w:rPr>
          <w:sz w:val="14"/>
        </w:rPr>
      </w:pPr>
      <w:r>
        <w:rPr>
          <w:sz w:val="14"/>
        </w:rPr>
        <w:t>85</w:t>
      </w:r>
    </w:p>
    <w:p>
      <w:pPr>
        <w:spacing w:line="150" w:lineRule="exact" w:before="0"/>
        <w:ind w:left="208" w:right="0" w:firstLine="0"/>
        <w:jc w:val="left"/>
        <w:rPr>
          <w:sz w:val="14"/>
        </w:rPr>
      </w:pPr>
      <w:r>
        <w:rPr>
          <w:sz w:val="14"/>
        </w:rPr>
        <w:t>4.895</w:t>
      </w:r>
    </w:p>
    <w:p>
      <w:pPr>
        <w:spacing w:line="156" w:lineRule="exact" w:before="0"/>
        <w:ind w:left="208" w:right="0" w:firstLine="0"/>
        <w:jc w:val="left"/>
        <w:rPr>
          <w:sz w:val="14"/>
        </w:rPr>
      </w:pPr>
      <w:r>
        <w:rPr>
          <w:sz w:val="14"/>
        </w:rPr>
        <w:t>0.334</w:t>
      </w:r>
    </w:p>
    <w:p>
      <w:pPr>
        <w:pStyle w:val="BodyText"/>
        <w:spacing w:before="7"/>
        <w:rPr>
          <w:sz w:val="13"/>
        </w:rPr>
      </w:pPr>
    </w:p>
    <w:p>
      <w:pPr>
        <w:spacing w:before="1"/>
        <w:ind w:left="261" w:right="0" w:firstLine="0"/>
        <w:jc w:val="left"/>
        <w:rPr>
          <w:sz w:val="14"/>
        </w:rPr>
      </w:pPr>
      <w:r>
        <w:rPr>
          <w:sz w:val="14"/>
        </w:rPr>
        <w:t>198</w:t>
      </w:r>
    </w:p>
    <w:p>
      <w:pPr>
        <w:spacing w:line="223" w:lineRule="auto" w:before="16"/>
        <w:ind w:left="234" w:right="33" w:hanging="61"/>
        <w:jc w:val="left"/>
        <w:rPr>
          <w:sz w:val="14"/>
        </w:rPr>
      </w:pPr>
      <w:r>
        <w:rPr/>
        <w:br w:type="column"/>
      </w:r>
      <w:r>
        <w:rPr>
          <w:w w:val="95"/>
          <w:sz w:val="14"/>
        </w:rPr>
        <w:t>config, </w:t>
      </w:r>
      <w:r>
        <w:rPr>
          <w:sz w:val="14"/>
        </w:rPr>
        <w:t>Coal 1.00</w:t>
      </w:r>
    </w:p>
    <w:p>
      <w:pPr>
        <w:pStyle w:val="BodyText"/>
        <w:rPr>
          <w:sz w:val="14"/>
        </w:rPr>
      </w:pPr>
    </w:p>
    <w:p>
      <w:pPr>
        <w:spacing w:before="0"/>
        <w:ind w:left="226" w:right="0" w:firstLine="0"/>
        <w:jc w:val="left"/>
        <w:rPr>
          <w:sz w:val="14"/>
        </w:rPr>
      </w:pPr>
      <w:r>
        <w:rPr>
          <w:sz w:val="14"/>
        </w:rPr>
        <w:t>8690</w:t>
      </w:r>
    </w:p>
    <w:p>
      <w:pPr>
        <w:pStyle w:val="BodyText"/>
        <w:spacing w:before="8"/>
        <w:rPr>
          <w:sz w:val="13"/>
        </w:rPr>
      </w:pPr>
    </w:p>
    <w:p>
      <w:pPr>
        <w:spacing w:before="0"/>
        <w:ind w:left="226" w:right="0" w:firstLine="0"/>
        <w:jc w:val="left"/>
        <w:rPr>
          <w:sz w:val="14"/>
        </w:rPr>
      </w:pPr>
      <w:r>
        <w:rPr>
          <w:sz w:val="14"/>
        </w:rPr>
        <w:t>2160</w:t>
      </w:r>
    </w:p>
    <w:p>
      <w:pPr>
        <w:pStyle w:val="BodyText"/>
        <w:spacing w:before="8"/>
        <w:rPr>
          <w:sz w:val="13"/>
        </w:rPr>
      </w:pPr>
    </w:p>
    <w:p>
      <w:pPr>
        <w:spacing w:line="156" w:lineRule="exact" w:before="0"/>
        <w:ind w:left="261" w:right="0" w:firstLine="0"/>
        <w:jc w:val="left"/>
        <w:rPr>
          <w:sz w:val="14"/>
        </w:rPr>
      </w:pPr>
      <w:r>
        <w:rPr>
          <w:sz w:val="14"/>
        </w:rPr>
        <w:t>552</w:t>
      </w:r>
    </w:p>
    <w:p>
      <w:pPr>
        <w:spacing w:line="150" w:lineRule="exact" w:before="0"/>
        <w:ind w:left="243" w:right="0" w:firstLine="0"/>
        <w:jc w:val="left"/>
        <w:rPr>
          <w:sz w:val="14"/>
        </w:rPr>
      </w:pPr>
      <w:r>
        <w:rPr>
          <w:sz w:val="14"/>
        </w:rPr>
        <w:t>47.7</w:t>
      </w:r>
    </w:p>
    <w:p>
      <w:pPr>
        <w:spacing w:line="150" w:lineRule="exact" w:before="0"/>
        <w:ind w:left="296" w:right="0" w:firstLine="0"/>
        <w:jc w:val="left"/>
        <w:rPr>
          <w:sz w:val="14"/>
        </w:rPr>
      </w:pPr>
      <w:r>
        <w:rPr>
          <w:sz w:val="14"/>
        </w:rPr>
        <w:t>85</w:t>
      </w:r>
    </w:p>
    <w:p>
      <w:pPr>
        <w:spacing w:line="150" w:lineRule="exact" w:before="0"/>
        <w:ind w:left="208" w:right="0" w:firstLine="0"/>
        <w:jc w:val="left"/>
        <w:rPr>
          <w:sz w:val="14"/>
        </w:rPr>
      </w:pPr>
      <w:r>
        <w:rPr>
          <w:sz w:val="14"/>
        </w:rPr>
        <w:t>4.895</w:t>
      </w:r>
    </w:p>
    <w:p>
      <w:pPr>
        <w:spacing w:line="156" w:lineRule="exact" w:before="0"/>
        <w:ind w:left="208" w:right="0" w:firstLine="0"/>
        <w:jc w:val="left"/>
        <w:rPr>
          <w:sz w:val="14"/>
        </w:rPr>
      </w:pPr>
      <w:r>
        <w:rPr>
          <w:sz w:val="14"/>
        </w:rPr>
        <w:t>0.334</w:t>
      </w:r>
    </w:p>
    <w:p>
      <w:pPr>
        <w:pStyle w:val="BodyText"/>
        <w:spacing w:before="7"/>
        <w:rPr>
          <w:sz w:val="13"/>
        </w:rPr>
      </w:pPr>
    </w:p>
    <w:p>
      <w:pPr>
        <w:spacing w:before="1"/>
        <w:ind w:left="261" w:right="0" w:firstLine="0"/>
        <w:jc w:val="left"/>
        <w:rPr>
          <w:sz w:val="14"/>
        </w:rPr>
      </w:pPr>
      <w:r>
        <w:rPr>
          <w:sz w:val="14"/>
        </w:rPr>
        <w:t>198</w:t>
      </w:r>
    </w:p>
    <w:p>
      <w:pPr>
        <w:spacing w:line="223" w:lineRule="auto" w:before="16"/>
        <w:ind w:left="234" w:right="33" w:hanging="61"/>
        <w:jc w:val="left"/>
        <w:rPr>
          <w:sz w:val="14"/>
        </w:rPr>
      </w:pPr>
      <w:r>
        <w:rPr/>
        <w:br w:type="column"/>
      </w:r>
      <w:r>
        <w:rPr>
          <w:w w:val="95"/>
          <w:sz w:val="14"/>
        </w:rPr>
        <w:t>config, </w:t>
      </w:r>
      <w:r>
        <w:rPr>
          <w:sz w:val="14"/>
        </w:rPr>
        <w:t>Coal 1.00</w:t>
      </w:r>
    </w:p>
    <w:p>
      <w:pPr>
        <w:pStyle w:val="BodyText"/>
        <w:rPr>
          <w:sz w:val="14"/>
        </w:rPr>
      </w:pPr>
    </w:p>
    <w:p>
      <w:pPr>
        <w:spacing w:before="0"/>
        <w:ind w:left="226" w:right="0" w:firstLine="0"/>
        <w:jc w:val="left"/>
        <w:rPr>
          <w:sz w:val="14"/>
        </w:rPr>
      </w:pPr>
      <w:r>
        <w:rPr>
          <w:sz w:val="14"/>
        </w:rPr>
        <w:t>7931</w:t>
      </w:r>
    </w:p>
    <w:p>
      <w:pPr>
        <w:pStyle w:val="BodyText"/>
        <w:spacing w:before="8"/>
        <w:rPr>
          <w:sz w:val="13"/>
        </w:rPr>
      </w:pPr>
    </w:p>
    <w:p>
      <w:pPr>
        <w:spacing w:before="0"/>
        <w:ind w:left="226" w:right="0" w:firstLine="0"/>
        <w:jc w:val="left"/>
        <w:rPr>
          <w:sz w:val="14"/>
        </w:rPr>
      </w:pPr>
      <w:r>
        <w:rPr>
          <w:sz w:val="14"/>
        </w:rPr>
        <w:t>2161</w:t>
      </w:r>
    </w:p>
    <w:p>
      <w:pPr>
        <w:pStyle w:val="BodyText"/>
        <w:spacing w:before="8"/>
        <w:rPr>
          <w:sz w:val="13"/>
        </w:rPr>
      </w:pPr>
    </w:p>
    <w:p>
      <w:pPr>
        <w:spacing w:line="156" w:lineRule="exact" w:before="0"/>
        <w:ind w:left="261" w:right="0" w:firstLine="0"/>
        <w:jc w:val="left"/>
        <w:rPr>
          <w:sz w:val="14"/>
        </w:rPr>
      </w:pPr>
      <w:r>
        <w:rPr>
          <w:sz w:val="14"/>
        </w:rPr>
        <w:t>490</w:t>
      </w:r>
    </w:p>
    <w:p>
      <w:pPr>
        <w:spacing w:line="150" w:lineRule="exact" w:before="0"/>
        <w:ind w:left="243" w:right="0" w:firstLine="0"/>
        <w:jc w:val="left"/>
        <w:rPr>
          <w:sz w:val="14"/>
        </w:rPr>
      </w:pPr>
      <w:r>
        <w:rPr>
          <w:sz w:val="14"/>
        </w:rPr>
        <w:t>49.5</w:t>
      </w:r>
    </w:p>
    <w:p>
      <w:pPr>
        <w:spacing w:line="150" w:lineRule="exact" w:before="0"/>
        <w:ind w:left="296" w:right="0" w:firstLine="0"/>
        <w:jc w:val="left"/>
        <w:rPr>
          <w:sz w:val="14"/>
        </w:rPr>
      </w:pPr>
      <w:r>
        <w:rPr>
          <w:sz w:val="14"/>
        </w:rPr>
        <w:t>80</w:t>
      </w:r>
    </w:p>
    <w:p>
      <w:pPr>
        <w:spacing w:line="150" w:lineRule="exact" w:before="0"/>
        <w:ind w:left="208" w:right="0" w:firstLine="0"/>
        <w:jc w:val="left"/>
        <w:rPr>
          <w:sz w:val="14"/>
        </w:rPr>
      </w:pPr>
      <w:r>
        <w:rPr>
          <w:sz w:val="14"/>
        </w:rPr>
        <w:t>4.077</w:t>
      </w:r>
    </w:p>
    <w:p>
      <w:pPr>
        <w:spacing w:line="156" w:lineRule="exact" w:before="0"/>
        <w:ind w:left="208" w:right="0" w:firstLine="0"/>
        <w:jc w:val="left"/>
        <w:rPr>
          <w:sz w:val="14"/>
        </w:rPr>
      </w:pPr>
      <w:r>
        <w:rPr>
          <w:sz w:val="14"/>
        </w:rPr>
        <w:t>0.274</w:t>
      </w:r>
    </w:p>
    <w:p>
      <w:pPr>
        <w:pStyle w:val="BodyText"/>
        <w:spacing w:before="7"/>
        <w:rPr>
          <w:sz w:val="13"/>
        </w:rPr>
      </w:pPr>
    </w:p>
    <w:p>
      <w:pPr>
        <w:spacing w:before="1"/>
        <w:ind w:left="261" w:right="0" w:firstLine="0"/>
        <w:jc w:val="left"/>
        <w:rPr>
          <w:sz w:val="14"/>
        </w:rPr>
      </w:pPr>
      <w:r>
        <w:rPr>
          <w:sz w:val="14"/>
        </w:rPr>
        <w:t>185</w:t>
      </w:r>
    </w:p>
    <w:p>
      <w:pPr>
        <w:spacing w:line="223" w:lineRule="auto" w:before="16"/>
        <w:ind w:left="234" w:right="33" w:hanging="61"/>
        <w:jc w:val="left"/>
        <w:rPr>
          <w:sz w:val="14"/>
        </w:rPr>
      </w:pPr>
      <w:r>
        <w:rPr/>
        <w:br w:type="column"/>
      </w:r>
      <w:r>
        <w:rPr>
          <w:w w:val="95"/>
          <w:sz w:val="14"/>
        </w:rPr>
        <w:t>config, </w:t>
      </w:r>
      <w:r>
        <w:rPr>
          <w:sz w:val="14"/>
        </w:rPr>
        <w:t>Coal 1.00</w:t>
      </w:r>
    </w:p>
    <w:p>
      <w:pPr>
        <w:pStyle w:val="BodyText"/>
        <w:rPr>
          <w:sz w:val="14"/>
        </w:rPr>
      </w:pPr>
    </w:p>
    <w:p>
      <w:pPr>
        <w:spacing w:before="0"/>
        <w:ind w:left="226" w:right="0" w:firstLine="0"/>
        <w:jc w:val="left"/>
        <w:rPr>
          <w:sz w:val="14"/>
        </w:rPr>
      </w:pPr>
      <w:r>
        <w:rPr>
          <w:sz w:val="14"/>
        </w:rPr>
        <w:t>7931</w:t>
      </w:r>
    </w:p>
    <w:p>
      <w:pPr>
        <w:pStyle w:val="BodyText"/>
        <w:spacing w:before="8"/>
        <w:rPr>
          <w:sz w:val="13"/>
        </w:rPr>
      </w:pPr>
    </w:p>
    <w:p>
      <w:pPr>
        <w:spacing w:before="0"/>
        <w:ind w:left="226" w:right="0" w:firstLine="0"/>
        <w:jc w:val="left"/>
        <w:rPr>
          <w:sz w:val="14"/>
        </w:rPr>
      </w:pPr>
      <w:r>
        <w:rPr>
          <w:sz w:val="14"/>
        </w:rPr>
        <w:t>2161</w:t>
      </w:r>
    </w:p>
    <w:p>
      <w:pPr>
        <w:pStyle w:val="BodyText"/>
        <w:spacing w:before="8"/>
        <w:rPr>
          <w:sz w:val="13"/>
        </w:rPr>
      </w:pPr>
    </w:p>
    <w:p>
      <w:pPr>
        <w:spacing w:line="156" w:lineRule="exact" w:before="0"/>
        <w:ind w:left="261" w:right="0" w:firstLine="0"/>
        <w:jc w:val="left"/>
        <w:rPr>
          <w:sz w:val="14"/>
        </w:rPr>
      </w:pPr>
      <w:r>
        <w:rPr>
          <w:sz w:val="14"/>
        </w:rPr>
        <w:t>490</w:t>
      </w:r>
    </w:p>
    <w:p>
      <w:pPr>
        <w:spacing w:line="150" w:lineRule="exact" w:before="0"/>
        <w:ind w:left="243" w:right="0" w:firstLine="0"/>
        <w:jc w:val="left"/>
        <w:rPr>
          <w:sz w:val="14"/>
        </w:rPr>
      </w:pPr>
      <w:r>
        <w:rPr>
          <w:sz w:val="14"/>
        </w:rPr>
        <w:t>49.5</w:t>
      </w:r>
    </w:p>
    <w:p>
      <w:pPr>
        <w:spacing w:line="150" w:lineRule="exact" w:before="0"/>
        <w:ind w:left="296" w:right="0" w:firstLine="0"/>
        <w:jc w:val="left"/>
        <w:rPr>
          <w:sz w:val="14"/>
        </w:rPr>
      </w:pPr>
      <w:r>
        <w:rPr>
          <w:sz w:val="14"/>
        </w:rPr>
        <w:t>80</w:t>
      </w:r>
    </w:p>
    <w:p>
      <w:pPr>
        <w:spacing w:line="150" w:lineRule="exact" w:before="0"/>
        <w:ind w:left="208" w:right="0" w:firstLine="0"/>
        <w:jc w:val="left"/>
        <w:rPr>
          <w:sz w:val="14"/>
        </w:rPr>
      </w:pPr>
      <w:r>
        <w:rPr>
          <w:sz w:val="14"/>
        </w:rPr>
        <w:t>4.077</w:t>
      </w:r>
    </w:p>
    <w:p>
      <w:pPr>
        <w:spacing w:line="156" w:lineRule="exact" w:before="0"/>
        <w:ind w:left="208" w:right="0" w:firstLine="0"/>
        <w:jc w:val="left"/>
        <w:rPr>
          <w:sz w:val="14"/>
        </w:rPr>
      </w:pPr>
      <w:r>
        <w:rPr>
          <w:sz w:val="14"/>
        </w:rPr>
        <w:t>0.274</w:t>
      </w:r>
    </w:p>
    <w:p>
      <w:pPr>
        <w:pStyle w:val="BodyText"/>
        <w:spacing w:before="7"/>
        <w:rPr>
          <w:sz w:val="13"/>
        </w:rPr>
      </w:pPr>
    </w:p>
    <w:p>
      <w:pPr>
        <w:spacing w:before="1"/>
        <w:ind w:left="261" w:right="0" w:firstLine="0"/>
        <w:jc w:val="left"/>
        <w:rPr>
          <w:sz w:val="14"/>
        </w:rPr>
      </w:pPr>
      <w:r>
        <w:rPr>
          <w:sz w:val="14"/>
        </w:rPr>
        <w:t>185</w:t>
      </w:r>
    </w:p>
    <w:p>
      <w:pPr>
        <w:spacing w:line="223" w:lineRule="auto" w:before="16"/>
        <w:ind w:left="234" w:right="33" w:hanging="61"/>
        <w:jc w:val="left"/>
        <w:rPr>
          <w:sz w:val="14"/>
        </w:rPr>
      </w:pPr>
      <w:r>
        <w:rPr/>
        <w:br w:type="column"/>
      </w:r>
      <w:r>
        <w:rPr>
          <w:w w:val="95"/>
          <w:sz w:val="14"/>
        </w:rPr>
        <w:t>config, </w:t>
      </w:r>
      <w:r>
        <w:rPr>
          <w:sz w:val="14"/>
        </w:rPr>
        <w:t>Coal 1.00</w:t>
      </w:r>
    </w:p>
    <w:p>
      <w:pPr>
        <w:pStyle w:val="BodyText"/>
        <w:rPr>
          <w:sz w:val="14"/>
        </w:rPr>
      </w:pPr>
    </w:p>
    <w:p>
      <w:pPr>
        <w:spacing w:before="0"/>
        <w:ind w:left="226" w:right="0" w:firstLine="0"/>
        <w:jc w:val="left"/>
        <w:rPr>
          <w:sz w:val="14"/>
        </w:rPr>
      </w:pPr>
      <w:r>
        <w:rPr>
          <w:sz w:val="14"/>
        </w:rPr>
        <w:t>7931</w:t>
      </w:r>
    </w:p>
    <w:p>
      <w:pPr>
        <w:pStyle w:val="BodyText"/>
        <w:spacing w:before="8"/>
        <w:rPr>
          <w:sz w:val="13"/>
        </w:rPr>
      </w:pPr>
    </w:p>
    <w:p>
      <w:pPr>
        <w:spacing w:before="0"/>
        <w:ind w:left="226" w:right="0" w:firstLine="0"/>
        <w:jc w:val="left"/>
        <w:rPr>
          <w:sz w:val="14"/>
        </w:rPr>
      </w:pPr>
      <w:r>
        <w:rPr>
          <w:sz w:val="14"/>
        </w:rPr>
        <w:t>2161</w:t>
      </w:r>
    </w:p>
    <w:p>
      <w:pPr>
        <w:pStyle w:val="BodyText"/>
        <w:spacing w:before="8"/>
        <w:rPr>
          <w:sz w:val="13"/>
        </w:rPr>
      </w:pPr>
    </w:p>
    <w:p>
      <w:pPr>
        <w:spacing w:line="156" w:lineRule="exact" w:before="0"/>
        <w:ind w:left="261" w:right="0" w:firstLine="0"/>
        <w:jc w:val="left"/>
        <w:rPr>
          <w:sz w:val="14"/>
        </w:rPr>
      </w:pPr>
      <w:r>
        <w:rPr>
          <w:sz w:val="14"/>
        </w:rPr>
        <w:t>490</w:t>
      </w:r>
    </w:p>
    <w:p>
      <w:pPr>
        <w:spacing w:line="150" w:lineRule="exact" w:before="0"/>
        <w:ind w:left="243" w:right="0" w:firstLine="0"/>
        <w:jc w:val="left"/>
        <w:rPr>
          <w:sz w:val="14"/>
        </w:rPr>
      </w:pPr>
      <w:r>
        <w:rPr>
          <w:sz w:val="14"/>
        </w:rPr>
        <w:t>49.5</w:t>
      </w:r>
    </w:p>
    <w:p>
      <w:pPr>
        <w:spacing w:line="150" w:lineRule="exact" w:before="0"/>
        <w:ind w:left="296" w:right="0" w:firstLine="0"/>
        <w:jc w:val="left"/>
        <w:rPr>
          <w:sz w:val="14"/>
        </w:rPr>
      </w:pPr>
      <w:r>
        <w:rPr>
          <w:sz w:val="14"/>
        </w:rPr>
        <w:t>80</w:t>
      </w:r>
    </w:p>
    <w:p>
      <w:pPr>
        <w:spacing w:line="150" w:lineRule="exact" w:before="0"/>
        <w:ind w:left="208" w:right="0" w:firstLine="0"/>
        <w:jc w:val="left"/>
        <w:rPr>
          <w:sz w:val="14"/>
        </w:rPr>
      </w:pPr>
      <w:r>
        <w:rPr>
          <w:sz w:val="14"/>
        </w:rPr>
        <w:t>4.077</w:t>
      </w:r>
    </w:p>
    <w:p>
      <w:pPr>
        <w:spacing w:line="156" w:lineRule="exact" w:before="0"/>
        <w:ind w:left="208" w:right="0" w:firstLine="0"/>
        <w:jc w:val="left"/>
        <w:rPr>
          <w:sz w:val="14"/>
        </w:rPr>
      </w:pPr>
      <w:r>
        <w:rPr>
          <w:sz w:val="14"/>
        </w:rPr>
        <w:t>0.274</w:t>
      </w:r>
    </w:p>
    <w:p>
      <w:pPr>
        <w:pStyle w:val="BodyText"/>
        <w:spacing w:before="7"/>
        <w:rPr>
          <w:sz w:val="13"/>
        </w:rPr>
      </w:pPr>
    </w:p>
    <w:p>
      <w:pPr>
        <w:spacing w:before="1"/>
        <w:ind w:left="261" w:right="0" w:firstLine="0"/>
        <w:jc w:val="left"/>
        <w:rPr>
          <w:sz w:val="14"/>
        </w:rPr>
      </w:pPr>
      <w:r>
        <w:rPr>
          <w:sz w:val="14"/>
        </w:rPr>
        <w:t>185</w:t>
      </w:r>
    </w:p>
    <w:p>
      <w:pPr>
        <w:spacing w:line="223" w:lineRule="auto" w:before="16"/>
        <w:ind w:left="234" w:right="33" w:hanging="61"/>
        <w:jc w:val="left"/>
        <w:rPr>
          <w:sz w:val="14"/>
        </w:rPr>
      </w:pPr>
      <w:r>
        <w:rPr/>
        <w:br w:type="column"/>
      </w:r>
      <w:r>
        <w:rPr>
          <w:w w:val="95"/>
          <w:sz w:val="14"/>
        </w:rPr>
        <w:t>config, </w:t>
      </w:r>
      <w:r>
        <w:rPr>
          <w:sz w:val="14"/>
        </w:rPr>
        <w:t>Coal 1.00</w:t>
      </w:r>
    </w:p>
    <w:p>
      <w:pPr>
        <w:pStyle w:val="BodyText"/>
        <w:rPr>
          <w:sz w:val="14"/>
        </w:rPr>
      </w:pPr>
    </w:p>
    <w:p>
      <w:pPr>
        <w:spacing w:before="0"/>
        <w:ind w:left="226" w:right="0" w:firstLine="0"/>
        <w:jc w:val="left"/>
        <w:rPr>
          <w:sz w:val="14"/>
        </w:rPr>
      </w:pPr>
      <w:r>
        <w:rPr>
          <w:sz w:val="14"/>
        </w:rPr>
        <w:t>7931</w:t>
      </w:r>
    </w:p>
    <w:p>
      <w:pPr>
        <w:pStyle w:val="BodyText"/>
        <w:spacing w:before="8"/>
        <w:rPr>
          <w:sz w:val="13"/>
        </w:rPr>
      </w:pPr>
    </w:p>
    <w:p>
      <w:pPr>
        <w:spacing w:before="0"/>
        <w:ind w:left="226" w:right="0" w:firstLine="0"/>
        <w:jc w:val="left"/>
        <w:rPr>
          <w:sz w:val="14"/>
        </w:rPr>
      </w:pPr>
      <w:r>
        <w:rPr>
          <w:sz w:val="14"/>
        </w:rPr>
        <w:t>2161</w:t>
      </w:r>
    </w:p>
    <w:p>
      <w:pPr>
        <w:pStyle w:val="BodyText"/>
        <w:spacing w:before="8"/>
        <w:rPr>
          <w:sz w:val="13"/>
        </w:rPr>
      </w:pPr>
    </w:p>
    <w:p>
      <w:pPr>
        <w:spacing w:line="156" w:lineRule="exact" w:before="0"/>
        <w:ind w:left="261" w:right="0" w:firstLine="0"/>
        <w:jc w:val="left"/>
        <w:rPr>
          <w:sz w:val="14"/>
        </w:rPr>
      </w:pPr>
      <w:r>
        <w:rPr>
          <w:sz w:val="14"/>
        </w:rPr>
        <w:t>490</w:t>
      </w:r>
    </w:p>
    <w:p>
      <w:pPr>
        <w:spacing w:line="150" w:lineRule="exact" w:before="0"/>
        <w:ind w:left="243" w:right="0" w:firstLine="0"/>
        <w:jc w:val="left"/>
        <w:rPr>
          <w:sz w:val="14"/>
        </w:rPr>
      </w:pPr>
      <w:r>
        <w:rPr>
          <w:sz w:val="14"/>
        </w:rPr>
        <w:t>49.5</w:t>
      </w:r>
    </w:p>
    <w:p>
      <w:pPr>
        <w:spacing w:line="150" w:lineRule="exact" w:before="0"/>
        <w:ind w:left="296" w:right="0" w:firstLine="0"/>
        <w:jc w:val="left"/>
        <w:rPr>
          <w:sz w:val="14"/>
        </w:rPr>
      </w:pPr>
      <w:r>
        <w:rPr>
          <w:sz w:val="14"/>
        </w:rPr>
        <w:t>80</w:t>
      </w:r>
    </w:p>
    <w:p>
      <w:pPr>
        <w:spacing w:line="150" w:lineRule="exact" w:before="0"/>
        <w:ind w:left="208" w:right="0" w:firstLine="0"/>
        <w:jc w:val="left"/>
        <w:rPr>
          <w:sz w:val="14"/>
        </w:rPr>
      </w:pPr>
      <w:r>
        <w:rPr>
          <w:sz w:val="14"/>
        </w:rPr>
        <w:t>4.077</w:t>
      </w:r>
    </w:p>
    <w:p>
      <w:pPr>
        <w:spacing w:line="156" w:lineRule="exact" w:before="0"/>
        <w:ind w:left="208" w:right="0" w:firstLine="0"/>
        <w:jc w:val="left"/>
        <w:rPr>
          <w:sz w:val="14"/>
        </w:rPr>
      </w:pPr>
      <w:r>
        <w:rPr>
          <w:sz w:val="14"/>
        </w:rPr>
        <w:t>0.274</w:t>
      </w:r>
    </w:p>
    <w:p>
      <w:pPr>
        <w:pStyle w:val="BodyText"/>
        <w:spacing w:before="7"/>
        <w:rPr>
          <w:sz w:val="13"/>
        </w:rPr>
      </w:pPr>
    </w:p>
    <w:p>
      <w:pPr>
        <w:spacing w:before="1"/>
        <w:ind w:left="261" w:right="0" w:firstLine="0"/>
        <w:jc w:val="left"/>
        <w:rPr>
          <w:sz w:val="14"/>
        </w:rPr>
      </w:pPr>
      <w:r>
        <w:rPr>
          <w:sz w:val="14"/>
        </w:rPr>
        <w:t>185</w:t>
      </w:r>
    </w:p>
    <w:p>
      <w:pPr>
        <w:pStyle w:val="BodyText"/>
        <w:rPr>
          <w:sz w:val="14"/>
        </w:rPr>
      </w:pPr>
      <w:r>
        <w:rPr/>
        <w:br w:type="column"/>
      </w:r>
      <w:r>
        <w:rPr>
          <w:sz w:val="14"/>
        </w:rPr>
      </w:r>
    </w:p>
    <w:p>
      <w:pPr>
        <w:pStyle w:val="BodyText"/>
        <w:spacing w:before="9"/>
        <w:rPr>
          <w:sz w:val="12"/>
        </w:rPr>
      </w:pPr>
    </w:p>
    <w:p>
      <w:pPr>
        <w:spacing w:before="0"/>
        <w:ind w:left="191" w:right="0" w:firstLine="0"/>
        <w:jc w:val="left"/>
        <w:rPr>
          <w:b/>
          <w:sz w:val="14"/>
        </w:rPr>
      </w:pPr>
      <w:r>
        <w:rPr>
          <w:b/>
          <w:sz w:val="14"/>
        </w:rPr>
        <w:t>1.00</w:t>
      </w:r>
    </w:p>
    <w:p>
      <w:pPr>
        <w:pStyle w:val="BodyText"/>
        <w:spacing w:before="7"/>
        <w:rPr>
          <w:b/>
          <w:sz w:val="13"/>
        </w:rPr>
      </w:pPr>
    </w:p>
    <w:p>
      <w:pPr>
        <w:spacing w:before="1"/>
        <w:ind w:left="173" w:right="0" w:firstLine="0"/>
        <w:jc w:val="left"/>
        <w:rPr>
          <w:b/>
          <w:sz w:val="14"/>
        </w:rPr>
      </w:pPr>
      <w:r>
        <w:rPr>
          <w:b/>
          <w:sz w:val="14"/>
        </w:rPr>
        <w:t>7931</w:t>
      </w:r>
    </w:p>
    <w:p>
      <w:pPr>
        <w:pStyle w:val="BodyText"/>
        <w:spacing w:before="7"/>
        <w:rPr>
          <w:b/>
          <w:sz w:val="13"/>
        </w:rPr>
      </w:pPr>
    </w:p>
    <w:p>
      <w:pPr>
        <w:spacing w:before="1"/>
        <w:ind w:left="173" w:right="0" w:firstLine="0"/>
        <w:jc w:val="left"/>
        <w:rPr>
          <w:b/>
          <w:sz w:val="14"/>
        </w:rPr>
      </w:pPr>
      <w:r>
        <w:rPr>
          <w:b/>
          <w:sz w:val="14"/>
        </w:rPr>
        <w:t>2160</w:t>
      </w:r>
    </w:p>
    <w:p>
      <w:pPr>
        <w:pStyle w:val="BodyText"/>
        <w:spacing w:before="7"/>
        <w:rPr>
          <w:b/>
          <w:sz w:val="13"/>
        </w:rPr>
      </w:pPr>
    </w:p>
    <w:p>
      <w:pPr>
        <w:spacing w:line="156" w:lineRule="exact" w:before="0"/>
        <w:ind w:left="208" w:right="0" w:firstLine="0"/>
        <w:jc w:val="left"/>
        <w:rPr>
          <w:b/>
          <w:sz w:val="14"/>
        </w:rPr>
      </w:pPr>
      <w:r>
        <w:rPr>
          <w:b/>
          <w:sz w:val="14"/>
        </w:rPr>
        <w:t>490</w:t>
      </w:r>
    </w:p>
    <w:p>
      <w:pPr>
        <w:spacing w:line="150" w:lineRule="exact" w:before="0"/>
        <w:ind w:left="191" w:right="0" w:firstLine="0"/>
        <w:jc w:val="left"/>
        <w:rPr>
          <w:b/>
          <w:sz w:val="14"/>
        </w:rPr>
      </w:pPr>
      <w:r>
        <w:rPr>
          <w:b/>
          <w:sz w:val="14"/>
        </w:rPr>
        <w:t>45.5</w:t>
      </w:r>
    </w:p>
    <w:p>
      <w:pPr>
        <w:spacing w:line="150" w:lineRule="exact" w:before="0"/>
        <w:ind w:left="243" w:right="0" w:firstLine="0"/>
        <w:jc w:val="left"/>
        <w:rPr>
          <w:b/>
          <w:sz w:val="14"/>
        </w:rPr>
      </w:pPr>
      <w:r>
        <w:rPr>
          <w:b/>
          <w:sz w:val="14"/>
        </w:rPr>
        <w:t>80</w:t>
      </w:r>
    </w:p>
    <w:p>
      <w:pPr>
        <w:spacing w:line="150" w:lineRule="exact" w:before="0"/>
        <w:ind w:left="191" w:right="0" w:firstLine="0"/>
        <w:jc w:val="left"/>
        <w:rPr>
          <w:b/>
          <w:sz w:val="14"/>
        </w:rPr>
      </w:pPr>
      <w:r>
        <w:rPr>
          <w:b/>
          <w:sz w:val="14"/>
        </w:rPr>
        <w:t>4.08</w:t>
      </w:r>
    </w:p>
    <w:p>
      <w:pPr>
        <w:spacing w:line="156" w:lineRule="exact" w:before="0"/>
        <w:ind w:left="191" w:right="0" w:firstLine="0"/>
        <w:jc w:val="left"/>
        <w:rPr>
          <w:b/>
          <w:sz w:val="14"/>
        </w:rPr>
      </w:pPr>
      <w:r>
        <w:rPr>
          <w:b/>
          <w:sz w:val="14"/>
        </w:rPr>
        <w:t>0.27</w:t>
      </w:r>
    </w:p>
    <w:p>
      <w:pPr>
        <w:pStyle w:val="BodyText"/>
        <w:spacing w:before="8"/>
        <w:rPr>
          <w:b/>
          <w:sz w:val="13"/>
        </w:rPr>
      </w:pPr>
    </w:p>
    <w:p>
      <w:pPr>
        <w:spacing w:before="0"/>
        <w:ind w:left="208" w:right="0" w:firstLine="0"/>
        <w:jc w:val="left"/>
        <w:rPr>
          <w:b/>
          <w:sz w:val="14"/>
        </w:rPr>
      </w:pPr>
      <w:r>
        <w:rPr>
          <w:b/>
          <w:sz w:val="14"/>
        </w:rPr>
        <w:t>163</w:t>
      </w:r>
    </w:p>
    <w:p>
      <w:pPr>
        <w:pStyle w:val="BodyText"/>
        <w:rPr>
          <w:b/>
          <w:sz w:val="14"/>
        </w:rPr>
      </w:pPr>
      <w:r>
        <w:rPr/>
        <w:br w:type="column"/>
      </w:r>
      <w:r>
        <w:rPr>
          <w:b/>
          <w:sz w:val="14"/>
        </w:rPr>
      </w:r>
    </w:p>
    <w:p>
      <w:pPr>
        <w:pStyle w:val="BodyText"/>
        <w:spacing w:before="9"/>
        <w:rPr>
          <w:b/>
          <w:sz w:val="12"/>
        </w:rPr>
      </w:pPr>
    </w:p>
    <w:p>
      <w:pPr>
        <w:spacing w:before="0"/>
        <w:ind w:left="148" w:right="0" w:firstLine="0"/>
        <w:jc w:val="left"/>
        <w:rPr>
          <w:b/>
          <w:sz w:val="14"/>
        </w:rPr>
      </w:pPr>
      <w:r>
        <w:rPr>
          <w:b/>
          <w:sz w:val="14"/>
        </w:rPr>
        <w:t>1.09</w:t>
      </w:r>
    </w:p>
    <w:p>
      <w:pPr>
        <w:pStyle w:val="BodyText"/>
        <w:spacing w:before="7"/>
        <w:rPr>
          <w:b/>
          <w:sz w:val="13"/>
        </w:rPr>
      </w:pPr>
    </w:p>
    <w:p>
      <w:pPr>
        <w:spacing w:before="1"/>
        <w:ind w:left="96" w:right="0" w:firstLine="0"/>
        <w:jc w:val="left"/>
        <w:rPr>
          <w:b/>
          <w:sz w:val="14"/>
        </w:rPr>
      </w:pPr>
      <w:r>
        <w:rPr>
          <w:b/>
          <w:sz w:val="14"/>
        </w:rPr>
        <w:t>16136</w:t>
      </w:r>
    </w:p>
    <w:p>
      <w:pPr>
        <w:pStyle w:val="BodyText"/>
        <w:spacing w:before="7"/>
        <w:rPr>
          <w:b/>
          <w:sz w:val="13"/>
        </w:rPr>
      </w:pPr>
    </w:p>
    <w:p>
      <w:pPr>
        <w:spacing w:before="1"/>
        <w:ind w:left="131" w:right="0" w:firstLine="0"/>
        <w:jc w:val="left"/>
        <w:rPr>
          <w:b/>
          <w:sz w:val="14"/>
        </w:rPr>
      </w:pPr>
      <w:r>
        <w:rPr>
          <w:b/>
          <w:sz w:val="14"/>
        </w:rPr>
        <w:t>7161</w:t>
      </w:r>
    </w:p>
    <w:p>
      <w:pPr>
        <w:pStyle w:val="BodyText"/>
        <w:spacing w:before="7"/>
        <w:rPr>
          <w:b/>
          <w:sz w:val="13"/>
        </w:rPr>
      </w:pPr>
    </w:p>
    <w:p>
      <w:pPr>
        <w:spacing w:line="156" w:lineRule="exact" w:before="0"/>
        <w:ind w:left="166" w:right="0" w:firstLine="0"/>
        <w:jc w:val="left"/>
        <w:rPr>
          <w:b/>
          <w:sz w:val="14"/>
        </w:rPr>
      </w:pPr>
      <w:r>
        <w:rPr>
          <w:b/>
          <w:sz w:val="14"/>
        </w:rPr>
        <w:t>697</w:t>
      </w:r>
    </w:p>
    <w:p>
      <w:pPr>
        <w:spacing w:line="150" w:lineRule="exact" w:before="0"/>
        <w:ind w:left="148" w:right="0" w:firstLine="0"/>
        <w:jc w:val="left"/>
        <w:rPr>
          <w:b/>
          <w:sz w:val="14"/>
        </w:rPr>
      </w:pPr>
      <w:r>
        <w:rPr>
          <w:b/>
          <w:sz w:val="14"/>
        </w:rPr>
        <w:t>59.9</w:t>
      </w:r>
    </w:p>
    <w:p>
      <w:pPr>
        <w:spacing w:line="150" w:lineRule="exact" w:before="0"/>
        <w:ind w:left="201" w:right="0" w:firstLine="0"/>
        <w:jc w:val="left"/>
        <w:rPr>
          <w:b/>
          <w:sz w:val="14"/>
        </w:rPr>
      </w:pPr>
      <w:r>
        <w:rPr>
          <w:b/>
          <w:sz w:val="14"/>
        </w:rPr>
        <w:t>90</w:t>
      </w:r>
    </w:p>
    <w:p>
      <w:pPr>
        <w:spacing w:line="150" w:lineRule="exact" w:before="0"/>
        <w:ind w:left="148" w:right="0" w:firstLine="0"/>
        <w:jc w:val="left"/>
        <w:rPr>
          <w:b/>
          <w:sz w:val="14"/>
        </w:rPr>
      </w:pPr>
      <w:r>
        <w:rPr>
          <w:b/>
          <w:sz w:val="14"/>
        </w:rPr>
        <w:t>8.07</w:t>
      </w:r>
    </w:p>
    <w:p>
      <w:pPr>
        <w:spacing w:line="156" w:lineRule="exact" w:before="0"/>
        <w:ind w:left="148" w:right="0" w:firstLine="0"/>
        <w:jc w:val="left"/>
        <w:rPr>
          <w:b/>
          <w:sz w:val="14"/>
        </w:rPr>
      </w:pPr>
      <w:r>
        <w:rPr>
          <w:b/>
          <w:sz w:val="14"/>
        </w:rPr>
        <w:t>1.19</w:t>
      </w:r>
    </w:p>
    <w:p>
      <w:pPr>
        <w:pStyle w:val="BodyText"/>
        <w:spacing w:before="8"/>
        <w:rPr>
          <w:b/>
          <w:sz w:val="13"/>
        </w:rPr>
      </w:pPr>
    </w:p>
    <w:p>
      <w:pPr>
        <w:spacing w:before="0"/>
        <w:ind w:left="166" w:right="0" w:firstLine="0"/>
        <w:jc w:val="left"/>
        <w:rPr>
          <w:b/>
          <w:sz w:val="14"/>
        </w:rPr>
      </w:pPr>
      <w:r>
        <w:rPr>
          <w:b/>
          <w:sz w:val="14"/>
        </w:rPr>
        <w:t>203</w:t>
      </w:r>
    </w:p>
    <w:p>
      <w:pPr>
        <w:spacing w:after="0"/>
        <w:jc w:val="left"/>
        <w:rPr>
          <w:sz w:val="14"/>
        </w:rPr>
        <w:sectPr>
          <w:type w:val="continuous"/>
          <w:pgSz w:w="12240" w:h="15840"/>
          <w:pgMar w:top="480" w:bottom="280" w:left="620" w:right="620"/>
          <w:cols w:num="12" w:equalWidth="0">
            <w:col w:w="1940" w:space="85"/>
            <w:col w:w="603" w:space="207"/>
            <w:col w:w="600" w:space="251"/>
            <w:col w:w="600" w:space="250"/>
            <w:col w:w="600" w:space="251"/>
            <w:col w:w="600" w:space="250"/>
            <w:col w:w="600" w:space="250"/>
            <w:col w:w="600" w:space="251"/>
            <w:col w:w="600" w:space="250"/>
            <w:col w:w="600" w:space="64"/>
            <w:col w:w="454" w:space="39"/>
            <w:col w:w="1055"/>
          </w:cols>
        </w:sectPr>
      </w:pPr>
    </w:p>
    <w:p>
      <w:pPr>
        <w:spacing w:line="160" w:lineRule="auto" w:before="5"/>
        <w:ind w:left="174" w:right="0" w:firstLine="0"/>
        <w:jc w:val="left"/>
        <w:rPr>
          <w:sz w:val="14"/>
        </w:rPr>
      </w:pPr>
      <w:r>
        <w:rPr>
          <w:sz w:val="14"/>
        </w:rPr>
        <w:t>(kgCO</w:t>
      </w:r>
      <w:r>
        <w:rPr>
          <w:position w:val="-4"/>
          <w:sz w:val="8"/>
        </w:rPr>
        <w:t>2 </w:t>
      </w:r>
      <w:r>
        <w:rPr>
          <w:sz w:val="14"/>
        </w:rPr>
        <w:t>GJ products)</w:t>
      </w:r>
    </w:p>
    <w:p>
      <w:pPr>
        <w:spacing w:after="0" w:line="160" w:lineRule="auto"/>
        <w:jc w:val="left"/>
        <w:rPr>
          <w:sz w:val="14"/>
        </w:rPr>
        <w:sectPr>
          <w:type w:val="continuous"/>
          <w:pgSz w:w="12240" w:h="15840"/>
          <w:pgMar w:top="480" w:bottom="280" w:left="620" w:right="620"/>
        </w:sectPr>
      </w:pPr>
    </w:p>
    <w:p>
      <w:pPr>
        <w:spacing w:line="131" w:lineRule="exact" w:before="0"/>
        <w:ind w:left="173" w:right="0" w:firstLine="0"/>
        <w:jc w:val="left"/>
        <w:rPr>
          <w:b/>
          <w:i/>
          <w:sz w:val="14"/>
        </w:rPr>
      </w:pPr>
      <w:r>
        <w:rPr>
          <w:b/>
          <w:i/>
          <w:sz w:val="14"/>
        </w:rPr>
        <w:t>Capture Plant Design</w:t>
      </w:r>
    </w:p>
    <w:p>
      <w:pPr>
        <w:spacing w:line="204" w:lineRule="auto" w:before="8"/>
        <w:ind w:left="174" w:right="434" w:firstLine="0"/>
        <w:jc w:val="left"/>
        <w:rPr>
          <w:sz w:val="14"/>
        </w:rPr>
      </w:pPr>
      <w:r>
        <w:rPr>
          <w:sz w:val="14"/>
        </w:rPr>
        <w:t>CO</w:t>
      </w:r>
      <w:r>
        <w:rPr>
          <w:position w:val="-4"/>
          <w:sz w:val="8"/>
        </w:rPr>
        <w:t>2 </w:t>
      </w:r>
      <w:r>
        <w:rPr>
          <w:sz w:val="14"/>
        </w:rPr>
        <w:t>capture/separation technology</w:t>
      </w:r>
    </w:p>
    <w:p>
      <w:pPr>
        <w:pStyle w:val="BodyText"/>
        <w:spacing w:before="1"/>
        <w:rPr>
          <w:sz w:val="14"/>
        </w:rPr>
      </w:pPr>
    </w:p>
    <w:p>
      <w:pPr>
        <w:spacing w:line="249" w:lineRule="auto" w:before="0"/>
        <w:ind w:left="174" w:right="0" w:firstLine="0"/>
        <w:jc w:val="left"/>
        <w:rPr>
          <w:sz w:val="14"/>
        </w:rPr>
      </w:pPr>
      <w:r>
        <w:rPr>
          <w:sz w:val="14"/>
        </w:rPr>
        <w:t>Capture plant input capacity, LHV (GJ h</w:t>
      </w:r>
      <w:r>
        <w:rPr>
          <w:position w:val="5"/>
          <w:sz w:val="8"/>
        </w:rPr>
        <w:t>−1</w:t>
      </w:r>
      <w:r>
        <w:rPr>
          <w:sz w:val="14"/>
        </w:rPr>
        <w:t>)</w:t>
      </w:r>
    </w:p>
    <w:p>
      <w:pPr>
        <w:spacing w:line="144" w:lineRule="exact" w:before="0"/>
        <w:ind w:left="174" w:right="0" w:firstLine="0"/>
        <w:jc w:val="left"/>
        <w:rPr>
          <w:sz w:val="14"/>
        </w:rPr>
      </w:pPr>
      <w:r>
        <w:rPr>
          <w:sz w:val="14"/>
        </w:rPr>
        <w:t>Capture plant output capacity</w:t>
      </w:r>
    </w:p>
    <w:p>
      <w:pPr>
        <w:spacing w:line="223" w:lineRule="auto" w:before="16"/>
        <w:ind w:left="174" w:right="603" w:firstLine="0"/>
        <w:jc w:val="both"/>
        <w:rPr>
          <w:sz w:val="14"/>
        </w:rPr>
      </w:pPr>
      <w:r>
        <w:rPr>
          <w:spacing w:val="-3"/>
          <w:sz w:val="14"/>
        </w:rPr>
        <w:t>LHV: </w:t>
      </w:r>
      <w:r>
        <w:rPr>
          <w:sz w:val="14"/>
        </w:rPr>
        <w:t>Fuels (GJ </w:t>
      </w:r>
      <w:r>
        <w:rPr>
          <w:spacing w:val="-4"/>
          <w:sz w:val="14"/>
        </w:rPr>
        <w:t>h</w:t>
      </w:r>
      <w:r>
        <w:rPr>
          <w:spacing w:val="-4"/>
          <w:position w:val="5"/>
          <w:sz w:val="8"/>
        </w:rPr>
        <w:t>−1</w:t>
      </w:r>
      <w:r>
        <w:rPr>
          <w:spacing w:val="-4"/>
          <w:sz w:val="14"/>
        </w:rPr>
        <w:t>) </w:t>
      </w:r>
      <w:r>
        <w:rPr>
          <w:sz w:val="14"/>
        </w:rPr>
        <w:t>Electricity (MW)</w:t>
      </w:r>
    </w:p>
    <w:p>
      <w:pPr>
        <w:spacing w:line="201" w:lineRule="auto" w:before="13"/>
        <w:ind w:left="174" w:right="38" w:hanging="1"/>
        <w:jc w:val="both"/>
        <w:rPr>
          <w:sz w:val="14"/>
        </w:rPr>
      </w:pPr>
      <w:r>
        <w:rPr/>
        <w:pict>
          <v:shape style="position:absolute;margin-left:49.425201pt;margin-top:20.439720pt;width:48.8pt;height:4.1pt;mso-position-horizontal-relative:page;mso-position-vertical-relative:paragraph;z-index:-272357376" type="#_x0000_t202" filled="false" stroked="false">
            <v:textbox inset="0,0,0,0">
              <w:txbxContent>
                <w:p>
                  <w:pPr>
                    <w:tabs>
                      <w:tab w:pos="934" w:val="left" w:leader="none"/>
                    </w:tabs>
                    <w:spacing w:line="78" w:lineRule="exact" w:before="0"/>
                    <w:ind w:left="0" w:right="0" w:firstLine="0"/>
                    <w:jc w:val="left"/>
                    <w:rPr>
                      <w:sz w:val="8"/>
                    </w:rPr>
                  </w:pPr>
                  <w:r>
                    <w:rPr>
                      <w:sz w:val="8"/>
                    </w:rPr>
                    <w:t>2</w:t>
                    <w:tab/>
                  </w:r>
                  <w:r>
                    <w:rPr>
                      <w:spacing w:val="-20"/>
                      <w:sz w:val="8"/>
                    </w:rPr>
                    <w:t>2</w:t>
                  </w:r>
                </w:p>
              </w:txbxContent>
            </v:textbox>
            <w10:wrap type="none"/>
          </v:shape>
        </w:pict>
      </w:r>
      <w:r>
        <w:rPr>
          <w:sz w:val="14"/>
        </w:rPr>
        <w:t>Net plant efficiency, LHV</w:t>
      </w:r>
      <w:r>
        <w:rPr>
          <w:spacing w:val="-20"/>
          <w:sz w:val="14"/>
        </w:rPr>
        <w:t> </w:t>
      </w:r>
      <w:r>
        <w:rPr>
          <w:spacing w:val="-5"/>
          <w:sz w:val="14"/>
        </w:rPr>
        <w:t>(%) </w:t>
      </w:r>
      <w:r>
        <w:rPr>
          <w:sz w:val="14"/>
        </w:rPr>
        <w:t>CO</w:t>
      </w:r>
      <w:r>
        <w:rPr>
          <w:position w:val="-4"/>
          <w:sz w:val="8"/>
        </w:rPr>
        <w:t>2 </w:t>
      </w:r>
      <w:r>
        <w:rPr>
          <w:sz w:val="14"/>
        </w:rPr>
        <w:t>capture efficiency (%)** CO emitted (MtCO</w:t>
      </w:r>
      <w:r>
        <w:rPr>
          <w:spacing w:val="11"/>
          <w:sz w:val="14"/>
        </w:rPr>
        <w:t> </w:t>
      </w:r>
      <w:r>
        <w:rPr>
          <w:sz w:val="14"/>
        </w:rPr>
        <w:t>yr</w:t>
      </w:r>
      <w:r>
        <w:rPr>
          <w:position w:val="5"/>
          <w:sz w:val="8"/>
        </w:rPr>
        <w:t>−1</w:t>
      </w:r>
      <w:r>
        <w:rPr>
          <w:sz w:val="14"/>
        </w:rPr>
        <w:t>)***</w:t>
      </w:r>
    </w:p>
    <w:p>
      <w:pPr>
        <w:spacing w:line="148" w:lineRule="exact" w:before="0"/>
        <w:ind w:left="174" w:right="0" w:firstLine="0"/>
        <w:jc w:val="left"/>
        <w:rPr>
          <w:sz w:val="14"/>
        </w:rPr>
      </w:pPr>
      <w:r>
        <w:rPr>
          <w:sz w:val="14"/>
        </w:rPr>
        <w:t>Carbon exported in fuels</w:t>
      </w:r>
    </w:p>
    <w:p>
      <w:pPr>
        <w:spacing w:line="156" w:lineRule="exact" w:before="7"/>
        <w:ind w:left="174" w:right="0" w:firstLine="0"/>
        <w:jc w:val="left"/>
        <w:rPr>
          <w:sz w:val="14"/>
        </w:rPr>
      </w:pPr>
      <w:r>
        <w:rPr>
          <w:sz w:val="14"/>
        </w:rPr>
        <w:t>(MtC yr</w:t>
      </w:r>
      <w:r>
        <w:rPr>
          <w:position w:val="5"/>
          <w:sz w:val="8"/>
        </w:rPr>
        <w:t>−1</w:t>
      </w:r>
      <w:r>
        <w:rPr>
          <w:sz w:val="14"/>
        </w:rPr>
        <w:t>)</w:t>
      </w:r>
    </w:p>
    <w:p>
      <w:pPr>
        <w:spacing w:line="156" w:lineRule="exact" w:before="0"/>
        <w:ind w:left="174" w:right="0" w:firstLine="0"/>
        <w:jc w:val="left"/>
        <w:rPr>
          <w:sz w:val="14"/>
        </w:rPr>
      </w:pPr>
      <w:r>
        <w:rPr>
          <w:sz w:val="14"/>
        </w:rPr>
        <w:t>Total carbon released</w:t>
      </w:r>
    </w:p>
    <w:p>
      <w:pPr>
        <w:spacing w:line="16" w:lineRule="exact" w:before="17"/>
        <w:ind w:left="768" w:right="1015" w:firstLine="0"/>
        <w:jc w:val="center"/>
        <w:rPr>
          <w:sz w:val="8"/>
        </w:rPr>
      </w:pPr>
      <w:r>
        <w:rPr>
          <w:sz w:val="8"/>
        </w:rPr>
        <w:t>−1</w:t>
      </w:r>
    </w:p>
    <w:p>
      <w:pPr>
        <w:spacing w:line="249" w:lineRule="auto" w:before="125"/>
        <w:ind w:left="173" w:right="29" w:firstLine="50"/>
        <w:jc w:val="left"/>
        <w:rPr>
          <w:sz w:val="14"/>
        </w:rPr>
      </w:pPr>
      <w:r>
        <w:rPr/>
        <w:br w:type="column"/>
      </w:r>
      <w:r>
        <w:rPr>
          <w:sz w:val="14"/>
        </w:rPr>
        <w:t>Amine </w:t>
      </w:r>
      <w:r>
        <w:rPr>
          <w:spacing w:val="-1"/>
          <w:sz w:val="14"/>
        </w:rPr>
        <w:t>scrubber</w:t>
      </w:r>
    </w:p>
    <w:p>
      <w:pPr>
        <w:pStyle w:val="BodyText"/>
        <w:spacing w:before="2"/>
        <w:rPr>
          <w:sz w:val="13"/>
        </w:rPr>
      </w:pPr>
    </w:p>
    <w:p>
      <w:pPr>
        <w:spacing w:before="0"/>
        <w:ind w:left="239" w:right="0" w:firstLine="0"/>
        <w:jc w:val="left"/>
        <w:rPr>
          <w:sz w:val="14"/>
        </w:rPr>
      </w:pPr>
      <w:r>
        <w:rPr>
          <w:sz w:val="14"/>
        </w:rPr>
        <w:t>16136</w:t>
      </w:r>
    </w:p>
    <w:p>
      <w:pPr>
        <w:pStyle w:val="BodyText"/>
        <w:spacing w:before="8"/>
        <w:rPr>
          <w:sz w:val="13"/>
        </w:rPr>
      </w:pPr>
    </w:p>
    <w:p>
      <w:pPr>
        <w:spacing w:before="0"/>
        <w:ind w:left="274" w:right="0" w:firstLine="0"/>
        <w:jc w:val="left"/>
        <w:rPr>
          <w:sz w:val="14"/>
        </w:rPr>
      </w:pPr>
      <w:r>
        <w:rPr>
          <w:sz w:val="14"/>
        </w:rPr>
        <w:t>7242</w:t>
      </w:r>
    </w:p>
    <w:p>
      <w:pPr>
        <w:pStyle w:val="BodyText"/>
        <w:spacing w:before="8"/>
        <w:rPr>
          <w:sz w:val="13"/>
        </w:rPr>
      </w:pPr>
    </w:p>
    <w:p>
      <w:pPr>
        <w:spacing w:line="156" w:lineRule="exact" w:before="0"/>
        <w:ind w:left="309" w:right="0" w:firstLine="0"/>
        <w:jc w:val="left"/>
        <w:rPr>
          <w:sz w:val="14"/>
        </w:rPr>
      </w:pPr>
      <w:r>
        <w:rPr>
          <w:sz w:val="14"/>
        </w:rPr>
        <w:t>510</w:t>
      </w:r>
    </w:p>
    <w:p>
      <w:pPr>
        <w:spacing w:line="150" w:lineRule="exact" w:before="0"/>
        <w:ind w:left="292" w:right="0" w:firstLine="0"/>
        <w:jc w:val="left"/>
        <w:rPr>
          <w:sz w:val="14"/>
        </w:rPr>
      </w:pPr>
      <w:r>
        <w:rPr>
          <w:sz w:val="14"/>
        </w:rPr>
        <w:t>56.3</w:t>
      </w:r>
    </w:p>
    <w:p>
      <w:pPr>
        <w:spacing w:line="150" w:lineRule="exact" w:before="0"/>
        <w:ind w:left="344" w:right="0" w:firstLine="0"/>
        <w:jc w:val="left"/>
        <w:rPr>
          <w:sz w:val="14"/>
        </w:rPr>
      </w:pPr>
      <w:r>
        <w:rPr>
          <w:sz w:val="14"/>
        </w:rPr>
        <w:t>91</w:t>
      </w:r>
    </w:p>
    <w:p>
      <w:pPr>
        <w:spacing w:line="150" w:lineRule="exact" w:before="0"/>
        <w:ind w:left="257" w:right="0" w:firstLine="0"/>
        <w:jc w:val="left"/>
        <w:rPr>
          <w:sz w:val="14"/>
        </w:rPr>
      </w:pPr>
      <w:r>
        <w:rPr>
          <w:sz w:val="14"/>
        </w:rPr>
        <w:t>0.733</w:t>
      </w:r>
    </w:p>
    <w:p>
      <w:pPr>
        <w:spacing w:line="156" w:lineRule="exact" w:before="0"/>
        <w:ind w:left="327" w:right="0" w:firstLine="0"/>
        <w:jc w:val="left"/>
        <w:rPr>
          <w:sz w:val="14"/>
        </w:rPr>
      </w:pPr>
      <w:r>
        <w:rPr>
          <w:sz w:val="14"/>
        </w:rPr>
        <w:t>1.2</w:t>
      </w:r>
    </w:p>
    <w:p>
      <w:pPr>
        <w:pStyle w:val="BodyText"/>
        <w:spacing w:before="8"/>
        <w:rPr>
          <w:sz w:val="13"/>
        </w:rPr>
      </w:pPr>
    </w:p>
    <w:p>
      <w:pPr>
        <w:spacing w:before="0"/>
        <w:ind w:left="292" w:right="0" w:firstLine="0"/>
        <w:jc w:val="left"/>
        <w:rPr>
          <w:sz w:val="14"/>
        </w:rPr>
      </w:pPr>
      <w:r>
        <w:rPr>
          <w:sz w:val="14"/>
        </w:rPr>
        <w:t>71.7</w:t>
      </w:r>
    </w:p>
    <w:p>
      <w:pPr>
        <w:spacing w:before="125"/>
        <w:ind w:left="173" w:right="0" w:firstLine="0"/>
        <w:jc w:val="left"/>
        <w:rPr>
          <w:sz w:val="14"/>
        </w:rPr>
      </w:pPr>
      <w:r>
        <w:rPr/>
        <w:br w:type="column"/>
      </w:r>
      <w:r>
        <w:rPr>
          <w:sz w:val="14"/>
        </w:rPr>
        <w:t>Selexol</w:t>
      </w:r>
    </w:p>
    <w:p>
      <w:pPr>
        <w:pStyle w:val="BodyText"/>
        <w:rPr>
          <w:sz w:val="14"/>
        </w:rPr>
      </w:pPr>
    </w:p>
    <w:p>
      <w:pPr>
        <w:pStyle w:val="BodyText"/>
        <w:spacing w:before="3"/>
        <w:rPr>
          <w:sz w:val="14"/>
        </w:rPr>
      </w:pPr>
    </w:p>
    <w:p>
      <w:pPr>
        <w:spacing w:before="1"/>
        <w:ind w:left="243" w:right="0" w:firstLine="0"/>
        <w:jc w:val="left"/>
        <w:rPr>
          <w:sz w:val="14"/>
        </w:rPr>
      </w:pPr>
      <w:r>
        <w:rPr>
          <w:sz w:val="14"/>
        </w:rPr>
        <w:t>9893</w:t>
      </w:r>
    </w:p>
    <w:p>
      <w:pPr>
        <w:pStyle w:val="BodyText"/>
        <w:spacing w:before="7"/>
        <w:rPr>
          <w:sz w:val="13"/>
        </w:rPr>
      </w:pPr>
    </w:p>
    <w:p>
      <w:pPr>
        <w:spacing w:before="0"/>
        <w:ind w:left="243" w:right="0" w:firstLine="0"/>
        <w:jc w:val="left"/>
        <w:rPr>
          <w:sz w:val="14"/>
        </w:rPr>
      </w:pPr>
      <w:r>
        <w:rPr>
          <w:sz w:val="14"/>
        </w:rPr>
        <w:t>2254</w:t>
      </w:r>
    </w:p>
    <w:p>
      <w:pPr>
        <w:pStyle w:val="BodyText"/>
        <w:spacing w:before="8"/>
        <w:rPr>
          <w:sz w:val="13"/>
        </w:rPr>
      </w:pPr>
    </w:p>
    <w:p>
      <w:pPr>
        <w:spacing w:line="156" w:lineRule="exact" w:before="0"/>
        <w:ind w:left="278" w:right="0" w:firstLine="0"/>
        <w:jc w:val="left"/>
        <w:rPr>
          <w:sz w:val="14"/>
        </w:rPr>
      </w:pPr>
      <w:r>
        <w:rPr>
          <w:sz w:val="14"/>
        </w:rPr>
        <w:t>582</w:t>
      </w:r>
    </w:p>
    <w:p>
      <w:pPr>
        <w:spacing w:line="150" w:lineRule="exact" w:before="0"/>
        <w:ind w:left="261" w:right="0" w:firstLine="0"/>
        <w:jc w:val="left"/>
        <w:rPr>
          <w:sz w:val="14"/>
        </w:rPr>
      </w:pPr>
      <w:r>
        <w:rPr>
          <w:sz w:val="14"/>
        </w:rPr>
        <w:t>44.0</w:t>
      </w:r>
    </w:p>
    <w:p>
      <w:pPr>
        <w:spacing w:line="150" w:lineRule="exact" w:before="0"/>
        <w:ind w:left="313" w:right="0" w:firstLine="0"/>
        <w:jc w:val="left"/>
        <w:rPr>
          <w:sz w:val="14"/>
        </w:rPr>
      </w:pPr>
      <w:r>
        <w:rPr>
          <w:sz w:val="14"/>
        </w:rPr>
        <w:t>58</w:t>
      </w:r>
    </w:p>
    <w:p>
      <w:pPr>
        <w:spacing w:line="150" w:lineRule="exact" w:before="0"/>
        <w:ind w:left="226" w:right="0" w:firstLine="0"/>
        <w:jc w:val="left"/>
        <w:rPr>
          <w:sz w:val="14"/>
        </w:rPr>
      </w:pPr>
      <w:r>
        <w:rPr>
          <w:sz w:val="14"/>
        </w:rPr>
        <w:t>2.377</w:t>
      </w:r>
    </w:p>
    <w:p>
      <w:pPr>
        <w:spacing w:line="156" w:lineRule="exact" w:before="0"/>
        <w:ind w:left="226" w:right="0" w:firstLine="0"/>
        <w:jc w:val="left"/>
        <w:rPr>
          <w:sz w:val="14"/>
        </w:rPr>
      </w:pPr>
      <w:r>
        <w:rPr>
          <w:sz w:val="14"/>
        </w:rPr>
        <w:t>0.317</w:t>
      </w:r>
    </w:p>
    <w:p>
      <w:pPr>
        <w:pStyle w:val="BodyText"/>
        <w:spacing w:before="8"/>
        <w:rPr>
          <w:sz w:val="13"/>
        </w:rPr>
      </w:pPr>
    </w:p>
    <w:p>
      <w:pPr>
        <w:spacing w:before="0"/>
        <w:ind w:left="226" w:right="0" w:firstLine="0"/>
        <w:jc w:val="left"/>
        <w:rPr>
          <w:sz w:val="14"/>
        </w:rPr>
      </w:pPr>
      <w:r>
        <w:rPr>
          <w:sz w:val="14"/>
        </w:rPr>
        <w:t>109.2</w:t>
      </w:r>
    </w:p>
    <w:p>
      <w:pPr>
        <w:spacing w:line="183" w:lineRule="exact" w:before="125"/>
        <w:ind w:left="154" w:right="21" w:firstLine="0"/>
        <w:jc w:val="center"/>
        <w:rPr>
          <w:sz w:val="14"/>
        </w:rPr>
      </w:pPr>
      <w:r>
        <w:rPr/>
        <w:br w:type="column"/>
      </w:r>
      <w:r>
        <w:rPr>
          <w:sz w:val="14"/>
        </w:rPr>
        <w:t>CO</w:t>
      </w:r>
      <w:r>
        <w:rPr>
          <w:position w:val="-4"/>
          <w:sz w:val="8"/>
        </w:rPr>
        <w:t>2</w:t>
      </w:r>
      <w:r>
        <w:rPr>
          <w:spacing w:val="16"/>
          <w:position w:val="-4"/>
          <w:sz w:val="8"/>
        </w:rPr>
        <w:t> </w:t>
      </w:r>
      <w:r>
        <w:rPr>
          <w:sz w:val="14"/>
        </w:rPr>
        <w:t>H</w:t>
      </w:r>
      <w:r>
        <w:rPr>
          <w:position w:val="-4"/>
          <w:sz w:val="8"/>
        </w:rPr>
        <w:t>2</w:t>
      </w:r>
      <w:r>
        <w:rPr>
          <w:sz w:val="14"/>
        </w:rPr>
        <w:t>S</w:t>
      </w:r>
    </w:p>
    <w:p>
      <w:pPr>
        <w:spacing w:line="146" w:lineRule="exact" w:before="0"/>
        <w:ind w:left="154" w:right="21" w:firstLine="0"/>
        <w:jc w:val="center"/>
        <w:rPr>
          <w:sz w:val="14"/>
        </w:rPr>
      </w:pPr>
      <w:r>
        <w:rPr>
          <w:sz w:val="14"/>
        </w:rPr>
        <w:t>co-capture.</w:t>
      </w:r>
    </w:p>
    <w:p>
      <w:pPr>
        <w:spacing w:line="223" w:lineRule="auto" w:before="16"/>
        <w:ind w:left="276" w:right="141" w:firstLine="0"/>
        <w:jc w:val="center"/>
        <w:rPr>
          <w:sz w:val="14"/>
        </w:rPr>
      </w:pPr>
      <w:r>
        <w:rPr>
          <w:spacing w:val="-1"/>
          <w:sz w:val="14"/>
        </w:rPr>
        <w:t>Selexol </w:t>
      </w:r>
      <w:r>
        <w:rPr>
          <w:sz w:val="14"/>
        </w:rPr>
        <w:t>9893</w:t>
      </w:r>
    </w:p>
    <w:p>
      <w:pPr>
        <w:pStyle w:val="BodyText"/>
        <w:spacing w:before="11"/>
        <w:rPr>
          <w:sz w:val="13"/>
        </w:rPr>
      </w:pPr>
    </w:p>
    <w:p>
      <w:pPr>
        <w:spacing w:before="0"/>
        <w:ind w:left="154" w:right="21" w:firstLine="0"/>
        <w:jc w:val="center"/>
        <w:rPr>
          <w:sz w:val="14"/>
        </w:rPr>
      </w:pPr>
      <w:r>
        <w:rPr>
          <w:sz w:val="14"/>
        </w:rPr>
        <w:t>2254</w:t>
      </w:r>
    </w:p>
    <w:p>
      <w:pPr>
        <w:pStyle w:val="BodyText"/>
        <w:spacing w:before="8"/>
        <w:rPr>
          <w:sz w:val="13"/>
        </w:rPr>
      </w:pPr>
    </w:p>
    <w:p>
      <w:pPr>
        <w:spacing w:line="156" w:lineRule="exact" w:before="0"/>
        <w:ind w:left="154" w:right="21" w:firstLine="0"/>
        <w:jc w:val="center"/>
        <w:rPr>
          <w:sz w:val="14"/>
        </w:rPr>
      </w:pPr>
      <w:r>
        <w:rPr>
          <w:sz w:val="14"/>
        </w:rPr>
        <w:t>577</w:t>
      </w:r>
    </w:p>
    <w:p>
      <w:pPr>
        <w:spacing w:line="150" w:lineRule="exact" w:before="0"/>
        <w:ind w:left="154" w:right="21" w:firstLine="0"/>
        <w:jc w:val="center"/>
        <w:rPr>
          <w:sz w:val="14"/>
        </w:rPr>
      </w:pPr>
      <w:r>
        <w:rPr>
          <w:sz w:val="14"/>
        </w:rPr>
        <w:t>43.8</w:t>
      </w:r>
    </w:p>
    <w:p>
      <w:pPr>
        <w:spacing w:line="150" w:lineRule="exact" w:before="0"/>
        <w:ind w:left="154" w:right="21" w:firstLine="0"/>
        <w:jc w:val="center"/>
        <w:rPr>
          <w:sz w:val="14"/>
        </w:rPr>
      </w:pPr>
      <w:r>
        <w:rPr>
          <w:sz w:val="14"/>
        </w:rPr>
        <w:t>63</w:t>
      </w:r>
    </w:p>
    <w:p>
      <w:pPr>
        <w:spacing w:line="150" w:lineRule="exact" w:before="0"/>
        <w:ind w:left="154" w:right="21" w:firstLine="0"/>
        <w:jc w:val="center"/>
        <w:rPr>
          <w:sz w:val="14"/>
        </w:rPr>
      </w:pPr>
      <w:r>
        <w:rPr>
          <w:sz w:val="14"/>
        </w:rPr>
        <w:t>2.099</w:t>
      </w:r>
    </w:p>
    <w:p>
      <w:pPr>
        <w:spacing w:line="156" w:lineRule="exact" w:before="0"/>
        <w:ind w:left="154" w:right="21" w:firstLine="0"/>
        <w:jc w:val="center"/>
        <w:rPr>
          <w:sz w:val="14"/>
        </w:rPr>
      </w:pPr>
      <w:r>
        <w:rPr>
          <w:sz w:val="14"/>
        </w:rPr>
        <w:t>0.317</w:t>
      </w:r>
    </w:p>
    <w:p>
      <w:pPr>
        <w:pStyle w:val="BodyText"/>
        <w:spacing w:before="8"/>
        <w:rPr>
          <w:sz w:val="13"/>
        </w:rPr>
      </w:pPr>
    </w:p>
    <w:p>
      <w:pPr>
        <w:spacing w:before="0"/>
        <w:ind w:left="154" w:right="21" w:firstLine="0"/>
        <w:jc w:val="center"/>
        <w:rPr>
          <w:sz w:val="14"/>
        </w:rPr>
      </w:pPr>
      <w:r>
        <w:rPr>
          <w:sz w:val="14"/>
        </w:rPr>
        <w:t>101.0</w:t>
      </w:r>
    </w:p>
    <w:p>
      <w:pPr>
        <w:spacing w:before="125"/>
        <w:ind w:left="173" w:right="0" w:firstLine="0"/>
        <w:jc w:val="left"/>
        <w:rPr>
          <w:sz w:val="14"/>
        </w:rPr>
      </w:pPr>
      <w:r>
        <w:rPr/>
        <w:br w:type="column"/>
      </w:r>
      <w:r>
        <w:rPr>
          <w:sz w:val="14"/>
        </w:rPr>
        <w:t>Selexol</w:t>
      </w:r>
    </w:p>
    <w:p>
      <w:pPr>
        <w:pStyle w:val="BodyText"/>
        <w:rPr>
          <w:sz w:val="14"/>
        </w:rPr>
      </w:pPr>
    </w:p>
    <w:p>
      <w:pPr>
        <w:pStyle w:val="BodyText"/>
        <w:spacing w:before="3"/>
        <w:rPr>
          <w:sz w:val="14"/>
        </w:rPr>
      </w:pPr>
    </w:p>
    <w:p>
      <w:pPr>
        <w:spacing w:before="1"/>
        <w:ind w:left="243" w:right="0" w:firstLine="0"/>
        <w:jc w:val="left"/>
        <w:rPr>
          <w:sz w:val="14"/>
        </w:rPr>
      </w:pPr>
      <w:r>
        <w:rPr>
          <w:sz w:val="14"/>
        </w:rPr>
        <w:t>8690</w:t>
      </w:r>
    </w:p>
    <w:p>
      <w:pPr>
        <w:pStyle w:val="BodyText"/>
        <w:spacing w:before="7"/>
        <w:rPr>
          <w:sz w:val="13"/>
        </w:rPr>
      </w:pPr>
    </w:p>
    <w:p>
      <w:pPr>
        <w:spacing w:before="0"/>
        <w:ind w:left="243" w:right="0" w:firstLine="0"/>
        <w:jc w:val="left"/>
        <w:rPr>
          <w:sz w:val="14"/>
        </w:rPr>
      </w:pPr>
      <w:r>
        <w:rPr>
          <w:sz w:val="14"/>
        </w:rPr>
        <w:t>2160</w:t>
      </w:r>
    </w:p>
    <w:p>
      <w:pPr>
        <w:pStyle w:val="BodyText"/>
        <w:spacing w:before="8"/>
        <w:rPr>
          <w:sz w:val="13"/>
        </w:rPr>
      </w:pPr>
    </w:p>
    <w:p>
      <w:pPr>
        <w:spacing w:line="156" w:lineRule="exact" w:before="0"/>
        <w:ind w:left="278" w:right="0" w:firstLine="0"/>
        <w:jc w:val="left"/>
        <w:rPr>
          <w:sz w:val="14"/>
        </w:rPr>
      </w:pPr>
      <w:r>
        <w:rPr>
          <w:sz w:val="14"/>
        </w:rPr>
        <w:t>531</w:t>
      </w:r>
    </w:p>
    <w:p>
      <w:pPr>
        <w:spacing w:line="150" w:lineRule="exact" w:before="0"/>
        <w:ind w:left="261" w:right="0" w:firstLine="0"/>
        <w:jc w:val="left"/>
        <w:rPr>
          <w:sz w:val="14"/>
        </w:rPr>
      </w:pPr>
      <w:r>
        <w:rPr>
          <w:sz w:val="14"/>
        </w:rPr>
        <w:t>46.9</w:t>
      </w:r>
    </w:p>
    <w:p>
      <w:pPr>
        <w:spacing w:line="150" w:lineRule="exact" w:before="0"/>
        <w:ind w:left="313" w:right="0" w:firstLine="0"/>
        <w:jc w:val="left"/>
        <w:rPr>
          <w:sz w:val="14"/>
        </w:rPr>
      </w:pPr>
      <w:r>
        <w:rPr>
          <w:sz w:val="14"/>
        </w:rPr>
        <w:t>32</w:t>
      </w:r>
    </w:p>
    <w:p>
      <w:pPr>
        <w:spacing w:line="150" w:lineRule="exact" w:before="0"/>
        <w:ind w:left="226" w:right="0" w:firstLine="0"/>
        <w:jc w:val="left"/>
        <w:rPr>
          <w:sz w:val="14"/>
        </w:rPr>
      </w:pPr>
      <w:r>
        <w:rPr>
          <w:sz w:val="14"/>
        </w:rPr>
        <w:t>3.320</w:t>
      </w:r>
    </w:p>
    <w:p>
      <w:pPr>
        <w:spacing w:line="156" w:lineRule="exact" w:before="0"/>
        <w:ind w:left="226" w:right="0" w:firstLine="0"/>
        <w:jc w:val="left"/>
        <w:rPr>
          <w:sz w:val="14"/>
        </w:rPr>
      </w:pPr>
      <w:r>
        <w:rPr>
          <w:sz w:val="14"/>
        </w:rPr>
        <w:t>0.294</w:t>
      </w:r>
    </w:p>
    <w:p>
      <w:pPr>
        <w:pStyle w:val="BodyText"/>
        <w:spacing w:before="8"/>
        <w:rPr>
          <w:sz w:val="13"/>
        </w:rPr>
      </w:pPr>
    </w:p>
    <w:p>
      <w:pPr>
        <w:spacing w:before="0"/>
        <w:ind w:left="226" w:right="0" w:firstLine="0"/>
        <w:jc w:val="left"/>
        <w:rPr>
          <w:sz w:val="14"/>
        </w:rPr>
      </w:pPr>
      <w:r>
        <w:rPr>
          <w:sz w:val="14"/>
        </w:rPr>
        <w:t>144.9</w:t>
      </w:r>
    </w:p>
    <w:p>
      <w:pPr>
        <w:spacing w:line="183" w:lineRule="exact" w:before="125"/>
        <w:ind w:left="173" w:right="0" w:firstLine="0"/>
        <w:jc w:val="center"/>
        <w:rPr>
          <w:sz w:val="14"/>
        </w:rPr>
      </w:pPr>
      <w:r>
        <w:rPr/>
        <w:br w:type="column"/>
      </w:r>
      <w:r>
        <w:rPr>
          <w:sz w:val="14"/>
        </w:rPr>
        <w:t>CO</w:t>
      </w:r>
      <w:r>
        <w:rPr>
          <w:position w:val="-4"/>
          <w:sz w:val="8"/>
        </w:rPr>
        <w:t>2</w:t>
      </w:r>
      <w:r>
        <w:rPr>
          <w:spacing w:val="16"/>
          <w:position w:val="-4"/>
          <w:sz w:val="8"/>
        </w:rPr>
        <w:t> </w:t>
      </w:r>
      <w:r>
        <w:rPr>
          <w:sz w:val="14"/>
        </w:rPr>
        <w:t>H</w:t>
      </w:r>
      <w:r>
        <w:rPr>
          <w:position w:val="-4"/>
          <w:sz w:val="8"/>
        </w:rPr>
        <w:t>2</w:t>
      </w:r>
      <w:r>
        <w:rPr>
          <w:sz w:val="14"/>
        </w:rPr>
        <w:t>S</w:t>
      </w:r>
    </w:p>
    <w:p>
      <w:pPr>
        <w:spacing w:line="146" w:lineRule="exact" w:before="0"/>
        <w:ind w:left="173" w:right="0" w:firstLine="0"/>
        <w:jc w:val="center"/>
        <w:rPr>
          <w:sz w:val="14"/>
        </w:rPr>
      </w:pPr>
      <w:r>
        <w:rPr>
          <w:sz w:val="14"/>
        </w:rPr>
        <w:t>co-capture.</w:t>
      </w:r>
    </w:p>
    <w:p>
      <w:pPr>
        <w:spacing w:line="223" w:lineRule="auto" w:before="16"/>
        <w:ind w:left="175" w:right="0" w:firstLine="0"/>
        <w:jc w:val="center"/>
        <w:rPr>
          <w:sz w:val="14"/>
        </w:rPr>
      </w:pPr>
      <w:r>
        <w:rPr>
          <w:spacing w:val="-1"/>
          <w:sz w:val="14"/>
        </w:rPr>
        <w:t>Selexol </w:t>
      </w:r>
      <w:r>
        <w:rPr>
          <w:sz w:val="14"/>
        </w:rPr>
        <w:t>Coal</w:t>
      </w:r>
    </w:p>
    <w:p>
      <w:pPr>
        <w:pStyle w:val="BodyText"/>
        <w:spacing w:before="11"/>
        <w:rPr>
          <w:sz w:val="13"/>
        </w:rPr>
      </w:pPr>
    </w:p>
    <w:p>
      <w:pPr>
        <w:spacing w:before="0"/>
        <w:ind w:left="346" w:right="0" w:firstLine="0"/>
        <w:jc w:val="left"/>
        <w:rPr>
          <w:sz w:val="14"/>
        </w:rPr>
      </w:pPr>
      <w:r>
        <w:rPr>
          <w:sz w:val="14"/>
        </w:rPr>
        <w:t>2160</w:t>
      </w:r>
    </w:p>
    <w:p>
      <w:pPr>
        <w:pStyle w:val="BodyText"/>
        <w:spacing w:before="8"/>
        <w:rPr>
          <w:sz w:val="13"/>
        </w:rPr>
      </w:pPr>
    </w:p>
    <w:p>
      <w:pPr>
        <w:spacing w:before="0"/>
        <w:ind w:left="381" w:right="0" w:firstLine="0"/>
        <w:jc w:val="left"/>
        <w:rPr>
          <w:sz w:val="14"/>
        </w:rPr>
      </w:pPr>
      <w:r>
        <w:rPr>
          <w:sz w:val="14"/>
        </w:rPr>
        <w:t>527</w:t>
      </w:r>
    </w:p>
    <w:p>
      <w:pPr>
        <w:pStyle w:val="BodyText"/>
        <w:spacing w:before="1"/>
        <w:rPr>
          <w:sz w:val="12"/>
        </w:rPr>
      </w:pPr>
    </w:p>
    <w:p>
      <w:pPr>
        <w:spacing w:line="156" w:lineRule="exact" w:before="1"/>
        <w:ind w:left="416" w:right="0" w:firstLine="0"/>
        <w:jc w:val="left"/>
        <w:rPr>
          <w:sz w:val="14"/>
        </w:rPr>
      </w:pPr>
      <w:r>
        <w:rPr>
          <w:sz w:val="14"/>
        </w:rPr>
        <w:t>37</w:t>
      </w:r>
    </w:p>
    <w:p>
      <w:pPr>
        <w:spacing w:line="150" w:lineRule="exact" w:before="0"/>
        <w:ind w:left="329" w:right="0" w:firstLine="0"/>
        <w:jc w:val="left"/>
        <w:rPr>
          <w:sz w:val="14"/>
        </w:rPr>
      </w:pPr>
      <w:r>
        <w:rPr>
          <w:sz w:val="14"/>
        </w:rPr>
        <w:t>3.076</w:t>
      </w:r>
    </w:p>
    <w:p>
      <w:pPr>
        <w:spacing w:line="156" w:lineRule="exact" w:before="0"/>
        <w:ind w:left="329" w:right="0" w:firstLine="0"/>
        <w:jc w:val="left"/>
        <w:rPr>
          <w:sz w:val="14"/>
        </w:rPr>
      </w:pPr>
      <w:r>
        <w:rPr>
          <w:sz w:val="14"/>
        </w:rPr>
        <w:t>0.294</w:t>
      </w:r>
    </w:p>
    <w:p>
      <w:pPr>
        <w:pStyle w:val="BodyText"/>
        <w:spacing w:before="7"/>
        <w:rPr>
          <w:sz w:val="13"/>
        </w:rPr>
      </w:pPr>
    </w:p>
    <w:p>
      <w:pPr>
        <w:spacing w:before="0"/>
        <w:ind w:left="329" w:right="0" w:firstLine="0"/>
        <w:jc w:val="left"/>
        <w:rPr>
          <w:sz w:val="14"/>
        </w:rPr>
      </w:pPr>
      <w:r>
        <w:rPr>
          <w:sz w:val="14"/>
        </w:rPr>
        <w:t>137.4</w:t>
      </w:r>
    </w:p>
    <w:p>
      <w:pPr>
        <w:spacing w:line="183" w:lineRule="exact" w:before="125"/>
        <w:ind w:left="173" w:right="0" w:firstLine="0"/>
        <w:jc w:val="center"/>
        <w:rPr>
          <w:sz w:val="14"/>
        </w:rPr>
      </w:pPr>
      <w:r>
        <w:rPr/>
        <w:br w:type="column"/>
      </w:r>
      <w:r>
        <w:rPr>
          <w:sz w:val="14"/>
        </w:rPr>
        <w:t>CO</w:t>
      </w:r>
      <w:r>
        <w:rPr>
          <w:position w:val="-4"/>
          <w:sz w:val="8"/>
        </w:rPr>
        <w:t>2</w:t>
      </w:r>
      <w:r>
        <w:rPr>
          <w:spacing w:val="16"/>
          <w:position w:val="-4"/>
          <w:sz w:val="8"/>
        </w:rPr>
        <w:t> </w:t>
      </w:r>
      <w:r>
        <w:rPr>
          <w:sz w:val="14"/>
        </w:rPr>
        <w:t>H</w:t>
      </w:r>
      <w:r>
        <w:rPr>
          <w:position w:val="-4"/>
          <w:sz w:val="8"/>
        </w:rPr>
        <w:t>2</w:t>
      </w:r>
      <w:r>
        <w:rPr>
          <w:sz w:val="14"/>
        </w:rPr>
        <w:t>S</w:t>
      </w:r>
    </w:p>
    <w:p>
      <w:pPr>
        <w:spacing w:line="146" w:lineRule="exact" w:before="0"/>
        <w:ind w:left="173" w:right="0" w:firstLine="0"/>
        <w:jc w:val="center"/>
        <w:rPr>
          <w:sz w:val="14"/>
        </w:rPr>
      </w:pPr>
      <w:r>
        <w:rPr>
          <w:sz w:val="14"/>
        </w:rPr>
        <w:t>co-capture.</w:t>
      </w:r>
    </w:p>
    <w:p>
      <w:pPr>
        <w:spacing w:line="223" w:lineRule="auto" w:before="16"/>
        <w:ind w:left="176" w:right="0" w:firstLine="0"/>
        <w:jc w:val="center"/>
        <w:rPr>
          <w:sz w:val="14"/>
        </w:rPr>
      </w:pPr>
      <w:r>
        <w:rPr>
          <w:sz w:val="14"/>
        </w:rPr>
        <w:t>Rectisol 7931</w:t>
      </w:r>
    </w:p>
    <w:p>
      <w:pPr>
        <w:pStyle w:val="BodyText"/>
        <w:spacing w:before="11"/>
        <w:rPr>
          <w:sz w:val="13"/>
        </w:rPr>
      </w:pPr>
    </w:p>
    <w:p>
      <w:pPr>
        <w:spacing w:before="0"/>
        <w:ind w:left="173" w:right="0" w:firstLine="0"/>
        <w:jc w:val="center"/>
        <w:rPr>
          <w:sz w:val="14"/>
        </w:rPr>
      </w:pPr>
      <w:r>
        <w:rPr>
          <w:sz w:val="14"/>
        </w:rPr>
        <w:t>2161</w:t>
      </w:r>
    </w:p>
    <w:p>
      <w:pPr>
        <w:pStyle w:val="BodyText"/>
        <w:spacing w:before="8"/>
        <w:rPr>
          <w:sz w:val="13"/>
        </w:rPr>
      </w:pPr>
    </w:p>
    <w:p>
      <w:pPr>
        <w:spacing w:line="156" w:lineRule="exact" w:before="0"/>
        <w:ind w:left="381" w:right="0" w:firstLine="0"/>
        <w:jc w:val="left"/>
        <w:rPr>
          <w:sz w:val="14"/>
        </w:rPr>
      </w:pPr>
      <w:r>
        <w:rPr>
          <w:sz w:val="14"/>
        </w:rPr>
        <w:t>469</w:t>
      </w:r>
    </w:p>
    <w:p>
      <w:pPr>
        <w:spacing w:line="150" w:lineRule="exact" w:before="0"/>
        <w:ind w:left="364" w:right="0" w:firstLine="0"/>
        <w:jc w:val="left"/>
        <w:rPr>
          <w:sz w:val="14"/>
        </w:rPr>
      </w:pPr>
      <w:r>
        <w:rPr>
          <w:sz w:val="14"/>
        </w:rPr>
        <w:t>48.5</w:t>
      </w:r>
    </w:p>
    <w:p>
      <w:pPr>
        <w:spacing w:line="150" w:lineRule="exact" w:before="0"/>
        <w:ind w:left="416" w:right="0" w:firstLine="0"/>
        <w:jc w:val="left"/>
        <w:rPr>
          <w:sz w:val="14"/>
        </w:rPr>
      </w:pPr>
      <w:r>
        <w:rPr>
          <w:sz w:val="14"/>
        </w:rPr>
        <w:t>36</w:t>
      </w:r>
    </w:p>
    <w:p>
      <w:pPr>
        <w:spacing w:line="150" w:lineRule="exact" w:before="0"/>
        <w:ind w:left="329" w:right="0" w:firstLine="0"/>
        <w:jc w:val="left"/>
        <w:rPr>
          <w:sz w:val="14"/>
        </w:rPr>
      </w:pPr>
      <w:r>
        <w:rPr>
          <w:sz w:val="14"/>
        </w:rPr>
        <w:t>2.598</w:t>
      </w:r>
    </w:p>
    <w:p>
      <w:pPr>
        <w:spacing w:line="156" w:lineRule="exact" w:before="0"/>
        <w:ind w:left="329" w:right="0" w:firstLine="0"/>
        <w:jc w:val="left"/>
        <w:rPr>
          <w:sz w:val="14"/>
        </w:rPr>
      </w:pPr>
      <w:r>
        <w:rPr>
          <w:sz w:val="14"/>
        </w:rPr>
        <w:t>0.274</w:t>
      </w:r>
    </w:p>
    <w:p>
      <w:pPr>
        <w:pStyle w:val="BodyText"/>
        <w:spacing w:before="8"/>
        <w:rPr>
          <w:sz w:val="13"/>
        </w:rPr>
      </w:pPr>
    </w:p>
    <w:p>
      <w:pPr>
        <w:spacing w:before="0"/>
        <w:ind w:left="381" w:right="0" w:firstLine="0"/>
        <w:jc w:val="left"/>
        <w:rPr>
          <w:sz w:val="14"/>
        </w:rPr>
      </w:pPr>
      <w:r>
        <w:rPr>
          <w:sz w:val="14"/>
        </w:rPr>
        <w:t>134</w:t>
      </w:r>
    </w:p>
    <w:p>
      <w:pPr>
        <w:spacing w:line="183" w:lineRule="exact" w:before="125"/>
        <w:ind w:left="173" w:right="0" w:firstLine="0"/>
        <w:jc w:val="center"/>
        <w:rPr>
          <w:sz w:val="14"/>
        </w:rPr>
      </w:pPr>
      <w:r>
        <w:rPr/>
        <w:br w:type="column"/>
      </w:r>
      <w:r>
        <w:rPr>
          <w:sz w:val="14"/>
        </w:rPr>
        <w:t>CO</w:t>
      </w:r>
      <w:r>
        <w:rPr>
          <w:position w:val="-4"/>
          <w:sz w:val="8"/>
        </w:rPr>
        <w:t>2</w:t>
      </w:r>
      <w:r>
        <w:rPr>
          <w:spacing w:val="16"/>
          <w:position w:val="-4"/>
          <w:sz w:val="8"/>
        </w:rPr>
        <w:t> </w:t>
      </w:r>
      <w:r>
        <w:rPr>
          <w:sz w:val="14"/>
        </w:rPr>
        <w:t>H</w:t>
      </w:r>
      <w:r>
        <w:rPr>
          <w:position w:val="-4"/>
          <w:sz w:val="8"/>
        </w:rPr>
        <w:t>2</w:t>
      </w:r>
      <w:r>
        <w:rPr>
          <w:sz w:val="14"/>
        </w:rPr>
        <w:t>S</w:t>
      </w:r>
    </w:p>
    <w:p>
      <w:pPr>
        <w:spacing w:line="146" w:lineRule="exact" w:before="0"/>
        <w:ind w:left="173" w:right="0" w:firstLine="0"/>
        <w:jc w:val="center"/>
        <w:rPr>
          <w:sz w:val="14"/>
        </w:rPr>
      </w:pPr>
      <w:r>
        <w:rPr>
          <w:sz w:val="14"/>
        </w:rPr>
        <w:t>co-capture.</w:t>
      </w:r>
    </w:p>
    <w:p>
      <w:pPr>
        <w:spacing w:line="223" w:lineRule="auto" w:before="16"/>
        <w:ind w:left="176" w:right="0" w:firstLine="0"/>
        <w:jc w:val="center"/>
        <w:rPr>
          <w:sz w:val="14"/>
        </w:rPr>
      </w:pPr>
      <w:r>
        <w:rPr>
          <w:sz w:val="14"/>
        </w:rPr>
        <w:t>Rectisol 7931</w:t>
      </w:r>
    </w:p>
    <w:p>
      <w:pPr>
        <w:pStyle w:val="BodyText"/>
        <w:spacing w:before="11"/>
        <w:rPr>
          <w:sz w:val="13"/>
        </w:rPr>
      </w:pPr>
    </w:p>
    <w:p>
      <w:pPr>
        <w:spacing w:before="0"/>
        <w:ind w:left="173" w:right="0" w:firstLine="0"/>
        <w:jc w:val="center"/>
        <w:rPr>
          <w:sz w:val="14"/>
        </w:rPr>
      </w:pPr>
      <w:r>
        <w:rPr>
          <w:sz w:val="14"/>
        </w:rPr>
        <w:t>2160</w:t>
      </w:r>
    </w:p>
    <w:p>
      <w:pPr>
        <w:pStyle w:val="BodyText"/>
        <w:spacing w:before="8"/>
        <w:rPr>
          <w:sz w:val="13"/>
        </w:rPr>
      </w:pPr>
    </w:p>
    <w:p>
      <w:pPr>
        <w:spacing w:line="156" w:lineRule="exact" w:before="0"/>
        <w:ind w:left="381" w:right="0" w:firstLine="0"/>
        <w:jc w:val="left"/>
        <w:rPr>
          <w:sz w:val="14"/>
        </w:rPr>
      </w:pPr>
      <w:r>
        <w:rPr>
          <w:sz w:val="14"/>
        </w:rPr>
        <w:t>367</w:t>
      </w:r>
    </w:p>
    <w:p>
      <w:pPr>
        <w:spacing w:line="150" w:lineRule="exact" w:before="0"/>
        <w:ind w:left="364" w:right="0" w:firstLine="0"/>
        <w:jc w:val="left"/>
        <w:rPr>
          <w:sz w:val="14"/>
        </w:rPr>
      </w:pPr>
      <w:r>
        <w:rPr>
          <w:sz w:val="14"/>
        </w:rPr>
        <w:t>43.9</w:t>
      </w:r>
    </w:p>
    <w:p>
      <w:pPr>
        <w:spacing w:line="150" w:lineRule="exact" w:before="0"/>
        <w:ind w:left="416" w:right="0" w:firstLine="0"/>
        <w:jc w:val="left"/>
        <w:rPr>
          <w:sz w:val="14"/>
        </w:rPr>
      </w:pPr>
      <w:r>
        <w:rPr>
          <w:sz w:val="14"/>
        </w:rPr>
        <w:t>89</w:t>
      </w:r>
    </w:p>
    <w:p>
      <w:pPr>
        <w:spacing w:line="150" w:lineRule="exact" w:before="0"/>
        <w:ind w:left="329" w:right="0" w:firstLine="0"/>
        <w:jc w:val="left"/>
        <w:rPr>
          <w:sz w:val="14"/>
        </w:rPr>
      </w:pPr>
      <w:r>
        <w:rPr>
          <w:sz w:val="14"/>
        </w:rPr>
        <w:t>0.390</w:t>
      </w:r>
    </w:p>
    <w:p>
      <w:pPr>
        <w:spacing w:line="156" w:lineRule="exact" w:before="0"/>
        <w:ind w:left="329" w:right="0" w:firstLine="0"/>
        <w:jc w:val="left"/>
        <w:rPr>
          <w:sz w:val="14"/>
        </w:rPr>
      </w:pPr>
      <w:r>
        <w:rPr>
          <w:sz w:val="14"/>
        </w:rPr>
        <w:t>0.274</w:t>
      </w:r>
    </w:p>
    <w:p>
      <w:pPr>
        <w:pStyle w:val="BodyText"/>
        <w:spacing w:before="8"/>
        <w:rPr>
          <w:sz w:val="13"/>
        </w:rPr>
      </w:pPr>
    </w:p>
    <w:p>
      <w:pPr>
        <w:spacing w:before="0"/>
        <w:ind w:left="416" w:right="0" w:firstLine="0"/>
        <w:jc w:val="left"/>
        <w:rPr>
          <w:sz w:val="14"/>
        </w:rPr>
      </w:pPr>
      <w:r>
        <w:rPr>
          <w:sz w:val="14"/>
        </w:rPr>
        <w:t>57</w:t>
      </w:r>
    </w:p>
    <w:p>
      <w:pPr>
        <w:spacing w:line="183" w:lineRule="exact" w:before="125"/>
        <w:ind w:left="173" w:right="0" w:firstLine="0"/>
        <w:jc w:val="center"/>
        <w:rPr>
          <w:sz w:val="14"/>
        </w:rPr>
      </w:pPr>
      <w:r>
        <w:rPr/>
        <w:br w:type="column"/>
      </w:r>
      <w:r>
        <w:rPr>
          <w:sz w:val="14"/>
        </w:rPr>
        <w:t>CO</w:t>
      </w:r>
      <w:r>
        <w:rPr>
          <w:position w:val="-4"/>
          <w:sz w:val="8"/>
        </w:rPr>
        <w:t>2</w:t>
      </w:r>
      <w:r>
        <w:rPr>
          <w:spacing w:val="16"/>
          <w:position w:val="-4"/>
          <w:sz w:val="8"/>
        </w:rPr>
        <w:t> </w:t>
      </w:r>
      <w:r>
        <w:rPr>
          <w:sz w:val="14"/>
        </w:rPr>
        <w:t>H</w:t>
      </w:r>
      <w:r>
        <w:rPr>
          <w:position w:val="-4"/>
          <w:sz w:val="8"/>
        </w:rPr>
        <w:t>2</w:t>
      </w:r>
      <w:r>
        <w:rPr>
          <w:sz w:val="14"/>
        </w:rPr>
        <w:t>S</w:t>
      </w:r>
    </w:p>
    <w:p>
      <w:pPr>
        <w:spacing w:line="146" w:lineRule="exact" w:before="0"/>
        <w:ind w:left="173" w:right="0" w:firstLine="0"/>
        <w:jc w:val="center"/>
        <w:rPr>
          <w:sz w:val="14"/>
        </w:rPr>
      </w:pPr>
      <w:r>
        <w:rPr>
          <w:sz w:val="14"/>
        </w:rPr>
        <w:t>co-capture.</w:t>
      </w:r>
    </w:p>
    <w:p>
      <w:pPr>
        <w:spacing w:line="223" w:lineRule="auto" w:before="16"/>
        <w:ind w:left="176" w:right="0" w:firstLine="0"/>
        <w:jc w:val="center"/>
        <w:rPr>
          <w:sz w:val="14"/>
        </w:rPr>
      </w:pPr>
      <w:r>
        <w:rPr>
          <w:sz w:val="14"/>
        </w:rPr>
        <w:t>Rectisol 7931</w:t>
      </w:r>
    </w:p>
    <w:p>
      <w:pPr>
        <w:pStyle w:val="BodyText"/>
        <w:spacing w:before="11"/>
        <w:rPr>
          <w:sz w:val="13"/>
        </w:rPr>
      </w:pPr>
    </w:p>
    <w:p>
      <w:pPr>
        <w:spacing w:before="0"/>
        <w:ind w:left="173" w:right="0" w:firstLine="0"/>
        <w:jc w:val="center"/>
        <w:rPr>
          <w:sz w:val="14"/>
        </w:rPr>
      </w:pPr>
      <w:r>
        <w:rPr>
          <w:sz w:val="14"/>
        </w:rPr>
        <w:t>2160</w:t>
      </w:r>
    </w:p>
    <w:p>
      <w:pPr>
        <w:pStyle w:val="BodyText"/>
        <w:spacing w:before="8"/>
        <w:rPr>
          <w:sz w:val="13"/>
        </w:rPr>
      </w:pPr>
    </w:p>
    <w:p>
      <w:pPr>
        <w:spacing w:line="156" w:lineRule="exact" w:before="0"/>
        <w:ind w:left="381" w:right="0" w:firstLine="0"/>
        <w:jc w:val="left"/>
        <w:rPr>
          <w:sz w:val="14"/>
        </w:rPr>
      </w:pPr>
      <w:r>
        <w:rPr>
          <w:sz w:val="14"/>
        </w:rPr>
        <w:t>365</w:t>
      </w:r>
    </w:p>
    <w:p>
      <w:pPr>
        <w:spacing w:line="150" w:lineRule="exact" w:before="0"/>
        <w:ind w:left="364" w:right="0" w:firstLine="0"/>
        <w:jc w:val="left"/>
        <w:rPr>
          <w:sz w:val="14"/>
        </w:rPr>
      </w:pPr>
      <w:r>
        <w:rPr>
          <w:sz w:val="14"/>
        </w:rPr>
        <w:t>43.8</w:t>
      </w:r>
    </w:p>
    <w:p>
      <w:pPr>
        <w:spacing w:line="150" w:lineRule="exact" w:before="0"/>
        <w:ind w:left="416" w:right="0" w:firstLine="0"/>
        <w:jc w:val="left"/>
        <w:rPr>
          <w:sz w:val="14"/>
        </w:rPr>
      </w:pPr>
      <w:r>
        <w:rPr>
          <w:sz w:val="14"/>
        </w:rPr>
        <w:t>92</w:t>
      </w:r>
    </w:p>
    <w:p>
      <w:pPr>
        <w:spacing w:line="150" w:lineRule="exact" w:before="0"/>
        <w:ind w:left="329" w:right="0" w:firstLine="0"/>
        <w:jc w:val="left"/>
        <w:rPr>
          <w:sz w:val="14"/>
        </w:rPr>
      </w:pPr>
      <w:r>
        <w:rPr>
          <w:sz w:val="14"/>
        </w:rPr>
        <w:t>0.288</w:t>
      </w:r>
    </w:p>
    <w:p>
      <w:pPr>
        <w:spacing w:line="156" w:lineRule="exact" w:before="0"/>
        <w:ind w:left="329" w:right="0" w:firstLine="0"/>
        <w:jc w:val="left"/>
        <w:rPr>
          <w:sz w:val="14"/>
        </w:rPr>
      </w:pPr>
      <w:r>
        <w:rPr>
          <w:sz w:val="14"/>
        </w:rPr>
        <w:t>0.274</w:t>
      </w:r>
    </w:p>
    <w:p>
      <w:pPr>
        <w:pStyle w:val="BodyText"/>
        <w:spacing w:before="8"/>
        <w:rPr>
          <w:sz w:val="13"/>
        </w:rPr>
      </w:pPr>
    </w:p>
    <w:p>
      <w:pPr>
        <w:spacing w:before="0"/>
        <w:ind w:left="416" w:right="0" w:firstLine="0"/>
        <w:jc w:val="left"/>
        <w:rPr>
          <w:sz w:val="14"/>
        </w:rPr>
      </w:pPr>
      <w:r>
        <w:rPr>
          <w:sz w:val="14"/>
        </w:rPr>
        <w:t>53</w:t>
      </w:r>
    </w:p>
    <w:p>
      <w:pPr>
        <w:spacing w:line="183" w:lineRule="exact" w:before="125"/>
        <w:ind w:left="173" w:right="0" w:firstLine="0"/>
        <w:jc w:val="center"/>
        <w:rPr>
          <w:sz w:val="14"/>
        </w:rPr>
      </w:pPr>
      <w:r>
        <w:rPr/>
        <w:br w:type="column"/>
      </w:r>
      <w:r>
        <w:rPr>
          <w:sz w:val="14"/>
        </w:rPr>
        <w:t>CO</w:t>
      </w:r>
      <w:r>
        <w:rPr>
          <w:position w:val="-4"/>
          <w:sz w:val="8"/>
        </w:rPr>
        <w:t>2</w:t>
      </w:r>
      <w:r>
        <w:rPr>
          <w:spacing w:val="16"/>
          <w:position w:val="-4"/>
          <w:sz w:val="8"/>
        </w:rPr>
        <w:t> </w:t>
      </w:r>
      <w:r>
        <w:rPr>
          <w:sz w:val="14"/>
        </w:rPr>
        <w:t>H</w:t>
      </w:r>
      <w:r>
        <w:rPr>
          <w:position w:val="-4"/>
          <w:sz w:val="8"/>
        </w:rPr>
        <w:t>2</w:t>
      </w:r>
      <w:r>
        <w:rPr>
          <w:sz w:val="14"/>
        </w:rPr>
        <w:t>S</w:t>
      </w:r>
    </w:p>
    <w:p>
      <w:pPr>
        <w:spacing w:line="146" w:lineRule="exact" w:before="0"/>
        <w:ind w:left="173" w:right="0" w:firstLine="0"/>
        <w:jc w:val="center"/>
        <w:rPr>
          <w:sz w:val="14"/>
        </w:rPr>
      </w:pPr>
      <w:r>
        <w:rPr>
          <w:sz w:val="14"/>
        </w:rPr>
        <w:t>co-capture.</w:t>
      </w:r>
    </w:p>
    <w:p>
      <w:pPr>
        <w:spacing w:line="223" w:lineRule="auto" w:before="16"/>
        <w:ind w:left="176" w:right="0" w:firstLine="0"/>
        <w:jc w:val="center"/>
        <w:rPr>
          <w:sz w:val="14"/>
        </w:rPr>
      </w:pPr>
      <w:r>
        <w:rPr>
          <w:sz w:val="14"/>
        </w:rPr>
        <w:t>Rectisol 7931</w:t>
      </w:r>
    </w:p>
    <w:p>
      <w:pPr>
        <w:pStyle w:val="BodyText"/>
        <w:spacing w:before="11"/>
        <w:rPr>
          <w:sz w:val="13"/>
        </w:rPr>
      </w:pPr>
    </w:p>
    <w:p>
      <w:pPr>
        <w:spacing w:before="0"/>
        <w:ind w:left="173" w:right="0" w:firstLine="0"/>
        <w:jc w:val="center"/>
        <w:rPr>
          <w:sz w:val="14"/>
        </w:rPr>
      </w:pPr>
      <w:r>
        <w:rPr>
          <w:sz w:val="14"/>
        </w:rPr>
        <w:t>2160</w:t>
      </w:r>
    </w:p>
    <w:p>
      <w:pPr>
        <w:pStyle w:val="BodyText"/>
        <w:spacing w:before="8"/>
        <w:rPr>
          <w:sz w:val="13"/>
        </w:rPr>
      </w:pPr>
    </w:p>
    <w:p>
      <w:pPr>
        <w:spacing w:line="156" w:lineRule="exact" w:before="0"/>
        <w:ind w:left="381" w:right="0" w:firstLine="0"/>
        <w:jc w:val="left"/>
        <w:rPr>
          <w:sz w:val="14"/>
        </w:rPr>
      </w:pPr>
      <w:r>
        <w:rPr>
          <w:sz w:val="14"/>
        </w:rPr>
        <w:t>353</w:t>
      </w:r>
    </w:p>
    <w:p>
      <w:pPr>
        <w:spacing w:line="150" w:lineRule="exact" w:before="0"/>
        <w:ind w:left="364" w:right="0" w:firstLine="0"/>
        <w:jc w:val="left"/>
        <w:rPr>
          <w:sz w:val="14"/>
        </w:rPr>
      </w:pPr>
      <w:r>
        <w:rPr>
          <w:sz w:val="14"/>
        </w:rPr>
        <w:t>43.2</w:t>
      </w:r>
    </w:p>
    <w:p>
      <w:pPr>
        <w:spacing w:line="150" w:lineRule="exact" w:before="0"/>
        <w:ind w:left="416" w:right="0" w:firstLine="0"/>
        <w:jc w:val="left"/>
        <w:rPr>
          <w:sz w:val="14"/>
        </w:rPr>
      </w:pPr>
      <w:r>
        <w:rPr>
          <w:sz w:val="14"/>
        </w:rPr>
        <w:t>97</w:t>
      </w:r>
    </w:p>
    <w:p>
      <w:pPr>
        <w:spacing w:line="150" w:lineRule="exact" w:before="0"/>
        <w:ind w:left="329" w:right="0" w:firstLine="0"/>
        <w:jc w:val="left"/>
        <w:rPr>
          <w:sz w:val="14"/>
        </w:rPr>
      </w:pPr>
      <w:r>
        <w:rPr>
          <w:sz w:val="14"/>
        </w:rPr>
        <w:t>0.028</w:t>
      </w:r>
    </w:p>
    <w:p>
      <w:pPr>
        <w:spacing w:line="156" w:lineRule="exact" w:before="0"/>
        <w:ind w:left="329" w:right="0" w:firstLine="0"/>
        <w:jc w:val="left"/>
        <w:rPr>
          <w:sz w:val="14"/>
        </w:rPr>
      </w:pPr>
      <w:r>
        <w:rPr>
          <w:sz w:val="14"/>
        </w:rPr>
        <w:t>0.274</w:t>
      </w:r>
    </w:p>
    <w:p>
      <w:pPr>
        <w:pStyle w:val="BodyText"/>
        <w:spacing w:before="8"/>
        <w:rPr>
          <w:sz w:val="13"/>
        </w:rPr>
      </w:pPr>
    </w:p>
    <w:p>
      <w:pPr>
        <w:spacing w:before="0"/>
        <w:ind w:left="416" w:right="0" w:firstLine="0"/>
        <w:jc w:val="left"/>
        <w:rPr>
          <w:sz w:val="14"/>
        </w:rPr>
      </w:pPr>
      <w:r>
        <w:rPr>
          <w:sz w:val="14"/>
        </w:rPr>
        <w:t>43</w:t>
      </w:r>
    </w:p>
    <w:p>
      <w:pPr>
        <w:pStyle w:val="BodyText"/>
        <w:rPr>
          <w:sz w:val="14"/>
        </w:rPr>
      </w:pPr>
      <w:r>
        <w:rPr/>
        <w:br w:type="column"/>
      </w:r>
      <w:r>
        <w:rPr>
          <w:sz w:val="14"/>
        </w:rPr>
      </w:r>
    </w:p>
    <w:p>
      <w:pPr>
        <w:pStyle w:val="BodyText"/>
        <w:rPr>
          <w:sz w:val="14"/>
        </w:rPr>
      </w:pPr>
    </w:p>
    <w:p>
      <w:pPr>
        <w:pStyle w:val="BodyText"/>
        <w:rPr>
          <w:sz w:val="14"/>
        </w:rPr>
      </w:pPr>
    </w:p>
    <w:p>
      <w:pPr>
        <w:pStyle w:val="BodyText"/>
        <w:spacing w:before="2"/>
        <w:rPr>
          <w:sz w:val="11"/>
        </w:rPr>
      </w:pPr>
    </w:p>
    <w:p>
      <w:pPr>
        <w:spacing w:before="0"/>
        <w:ind w:left="118" w:right="0" w:firstLine="0"/>
        <w:jc w:val="left"/>
        <w:rPr>
          <w:b/>
          <w:sz w:val="14"/>
        </w:rPr>
      </w:pPr>
      <w:r>
        <w:rPr>
          <w:b/>
          <w:sz w:val="14"/>
        </w:rPr>
        <w:t>7931</w:t>
      </w:r>
    </w:p>
    <w:p>
      <w:pPr>
        <w:pStyle w:val="BodyText"/>
        <w:spacing w:before="8"/>
        <w:rPr>
          <w:b/>
          <w:sz w:val="13"/>
        </w:rPr>
      </w:pPr>
    </w:p>
    <w:p>
      <w:pPr>
        <w:spacing w:before="0"/>
        <w:ind w:left="118" w:right="0" w:firstLine="0"/>
        <w:jc w:val="left"/>
        <w:rPr>
          <w:b/>
          <w:sz w:val="14"/>
        </w:rPr>
      </w:pPr>
      <w:r>
        <w:rPr>
          <w:b/>
          <w:sz w:val="14"/>
        </w:rPr>
        <w:t>2160</w:t>
      </w:r>
    </w:p>
    <w:p>
      <w:pPr>
        <w:pStyle w:val="BodyText"/>
        <w:spacing w:before="8"/>
        <w:rPr>
          <w:b/>
          <w:sz w:val="13"/>
        </w:rPr>
      </w:pPr>
    </w:p>
    <w:p>
      <w:pPr>
        <w:spacing w:line="156" w:lineRule="exact" w:before="0"/>
        <w:ind w:left="153" w:right="0" w:firstLine="0"/>
        <w:jc w:val="left"/>
        <w:rPr>
          <w:b/>
          <w:sz w:val="14"/>
        </w:rPr>
      </w:pPr>
      <w:r>
        <w:rPr>
          <w:b/>
          <w:sz w:val="14"/>
        </w:rPr>
        <w:t>353</w:t>
      </w:r>
    </w:p>
    <w:p>
      <w:pPr>
        <w:spacing w:line="150" w:lineRule="exact" w:before="0"/>
        <w:ind w:left="188" w:right="0" w:firstLine="0"/>
        <w:jc w:val="left"/>
        <w:rPr>
          <w:b/>
          <w:sz w:val="14"/>
        </w:rPr>
      </w:pPr>
      <w:r>
        <w:rPr>
          <w:b/>
          <w:sz w:val="14"/>
        </w:rPr>
        <w:t>43</w:t>
      </w:r>
    </w:p>
    <w:p>
      <w:pPr>
        <w:spacing w:line="150" w:lineRule="exact" w:before="0"/>
        <w:ind w:left="188" w:right="0" w:firstLine="0"/>
        <w:jc w:val="left"/>
        <w:rPr>
          <w:b/>
          <w:sz w:val="14"/>
        </w:rPr>
      </w:pPr>
      <w:r>
        <w:rPr>
          <w:b/>
          <w:sz w:val="14"/>
        </w:rPr>
        <w:t>32</w:t>
      </w:r>
    </w:p>
    <w:p>
      <w:pPr>
        <w:spacing w:line="150" w:lineRule="exact" w:before="0"/>
        <w:ind w:left="135" w:right="0" w:firstLine="0"/>
        <w:jc w:val="left"/>
        <w:rPr>
          <w:b/>
          <w:sz w:val="14"/>
        </w:rPr>
      </w:pPr>
      <w:r>
        <w:rPr>
          <w:b/>
          <w:sz w:val="14"/>
        </w:rPr>
        <w:t>0.03</w:t>
      </w:r>
    </w:p>
    <w:p>
      <w:pPr>
        <w:spacing w:line="156" w:lineRule="exact" w:before="0"/>
        <w:ind w:left="100" w:right="0" w:firstLine="0"/>
        <w:jc w:val="left"/>
        <w:rPr>
          <w:b/>
          <w:sz w:val="14"/>
        </w:rPr>
      </w:pPr>
      <w:r>
        <w:rPr>
          <w:b/>
          <w:sz w:val="14"/>
        </w:rPr>
        <w:t>0.274</w:t>
      </w:r>
    </w:p>
    <w:p>
      <w:pPr>
        <w:pStyle w:val="BodyText"/>
        <w:spacing w:before="8"/>
        <w:rPr>
          <w:b/>
          <w:sz w:val="13"/>
        </w:rPr>
      </w:pPr>
    </w:p>
    <w:p>
      <w:pPr>
        <w:spacing w:before="0"/>
        <w:ind w:left="188" w:right="0" w:firstLine="0"/>
        <w:jc w:val="left"/>
        <w:rPr>
          <w:b/>
          <w:sz w:val="14"/>
        </w:rPr>
      </w:pPr>
      <w:r>
        <w:rPr>
          <w:b/>
          <w:sz w:val="14"/>
        </w:rPr>
        <w:t>43</w:t>
      </w:r>
    </w:p>
    <w:p>
      <w:pPr>
        <w:pStyle w:val="BodyText"/>
        <w:rPr>
          <w:b/>
          <w:sz w:val="14"/>
        </w:rPr>
      </w:pPr>
      <w:r>
        <w:rPr/>
        <w:br w:type="column"/>
      </w:r>
      <w:r>
        <w:rPr>
          <w:b/>
          <w:sz w:val="14"/>
        </w:rPr>
      </w:r>
    </w:p>
    <w:p>
      <w:pPr>
        <w:pStyle w:val="BodyText"/>
        <w:rPr>
          <w:b/>
          <w:sz w:val="14"/>
        </w:rPr>
      </w:pPr>
    </w:p>
    <w:p>
      <w:pPr>
        <w:pStyle w:val="BodyText"/>
        <w:rPr>
          <w:b/>
          <w:sz w:val="14"/>
        </w:rPr>
      </w:pPr>
    </w:p>
    <w:p>
      <w:pPr>
        <w:pStyle w:val="BodyText"/>
        <w:spacing w:before="2"/>
        <w:rPr>
          <w:b/>
          <w:sz w:val="11"/>
        </w:rPr>
      </w:pPr>
    </w:p>
    <w:p>
      <w:pPr>
        <w:spacing w:before="0"/>
        <w:ind w:left="78" w:right="0" w:firstLine="0"/>
        <w:jc w:val="left"/>
        <w:rPr>
          <w:b/>
          <w:sz w:val="14"/>
        </w:rPr>
      </w:pPr>
      <w:r>
        <w:rPr>
          <w:b/>
          <w:sz w:val="14"/>
        </w:rPr>
        <w:t>16136</w:t>
      </w:r>
    </w:p>
    <w:p>
      <w:pPr>
        <w:pStyle w:val="BodyText"/>
        <w:spacing w:before="8"/>
        <w:rPr>
          <w:b/>
          <w:sz w:val="13"/>
        </w:rPr>
      </w:pPr>
    </w:p>
    <w:p>
      <w:pPr>
        <w:spacing w:before="0"/>
        <w:ind w:left="113" w:right="0" w:firstLine="0"/>
        <w:jc w:val="left"/>
        <w:rPr>
          <w:b/>
          <w:sz w:val="14"/>
        </w:rPr>
      </w:pPr>
      <w:r>
        <w:rPr>
          <w:b/>
          <w:sz w:val="14"/>
        </w:rPr>
        <w:t>7242</w:t>
      </w:r>
    </w:p>
    <w:p>
      <w:pPr>
        <w:pStyle w:val="BodyText"/>
        <w:spacing w:before="8"/>
        <w:rPr>
          <w:b/>
          <w:sz w:val="13"/>
        </w:rPr>
      </w:pPr>
    </w:p>
    <w:p>
      <w:pPr>
        <w:spacing w:line="156" w:lineRule="exact" w:before="0"/>
        <w:ind w:left="148" w:right="0" w:firstLine="0"/>
        <w:jc w:val="left"/>
        <w:rPr>
          <w:b/>
          <w:sz w:val="14"/>
        </w:rPr>
      </w:pPr>
      <w:r>
        <w:rPr>
          <w:b/>
          <w:sz w:val="14"/>
        </w:rPr>
        <w:t>582</w:t>
      </w:r>
    </w:p>
    <w:p>
      <w:pPr>
        <w:spacing w:line="150" w:lineRule="exact" w:before="0"/>
        <w:ind w:left="183" w:right="0" w:firstLine="0"/>
        <w:jc w:val="left"/>
        <w:rPr>
          <w:b/>
          <w:sz w:val="14"/>
        </w:rPr>
      </w:pPr>
      <w:r>
        <w:rPr>
          <w:b/>
          <w:sz w:val="14"/>
        </w:rPr>
        <w:t>56</w:t>
      </w:r>
    </w:p>
    <w:p>
      <w:pPr>
        <w:spacing w:line="150" w:lineRule="exact" w:before="0"/>
        <w:ind w:left="183" w:right="0" w:firstLine="0"/>
        <w:jc w:val="left"/>
        <w:rPr>
          <w:b/>
          <w:sz w:val="14"/>
        </w:rPr>
      </w:pPr>
      <w:r>
        <w:rPr>
          <w:b/>
          <w:sz w:val="14"/>
        </w:rPr>
        <w:t>97</w:t>
      </w:r>
    </w:p>
    <w:p>
      <w:pPr>
        <w:spacing w:line="150" w:lineRule="exact" w:before="0"/>
        <w:ind w:left="131" w:right="0" w:firstLine="0"/>
        <w:jc w:val="left"/>
        <w:rPr>
          <w:b/>
          <w:sz w:val="14"/>
        </w:rPr>
      </w:pPr>
      <w:r>
        <w:rPr>
          <w:b/>
          <w:sz w:val="14"/>
        </w:rPr>
        <w:t>3.32</w:t>
      </w:r>
    </w:p>
    <w:p>
      <w:pPr>
        <w:spacing w:line="156" w:lineRule="exact" w:before="0"/>
        <w:ind w:left="96" w:right="0" w:firstLine="0"/>
        <w:jc w:val="left"/>
        <w:rPr>
          <w:b/>
          <w:sz w:val="14"/>
        </w:rPr>
      </w:pPr>
      <w:r>
        <w:rPr>
          <w:b/>
          <w:sz w:val="14"/>
        </w:rPr>
        <w:t>1.200</w:t>
      </w:r>
    </w:p>
    <w:p>
      <w:pPr>
        <w:pStyle w:val="BodyText"/>
        <w:spacing w:before="8"/>
        <w:rPr>
          <w:b/>
          <w:sz w:val="13"/>
        </w:rPr>
      </w:pPr>
    </w:p>
    <w:p>
      <w:pPr>
        <w:spacing w:before="0"/>
        <w:ind w:left="148" w:right="0" w:firstLine="0"/>
        <w:jc w:val="left"/>
        <w:rPr>
          <w:b/>
          <w:sz w:val="14"/>
        </w:rPr>
      </w:pPr>
      <w:r>
        <w:rPr>
          <w:b/>
          <w:sz w:val="14"/>
        </w:rPr>
        <w:t>145</w:t>
      </w:r>
    </w:p>
    <w:p>
      <w:pPr>
        <w:spacing w:after="0"/>
        <w:jc w:val="left"/>
        <w:rPr>
          <w:sz w:val="14"/>
        </w:rPr>
        <w:sectPr>
          <w:type w:val="continuous"/>
          <w:pgSz w:w="12240" w:h="15840"/>
          <w:pgMar w:top="480" w:bottom="280" w:left="620" w:right="620"/>
          <w:cols w:num="12" w:equalWidth="0">
            <w:col w:w="1909" w:space="68"/>
            <w:col w:w="696" w:space="145"/>
            <w:col w:w="634" w:space="113"/>
            <w:col w:w="841" w:space="113"/>
            <w:col w:w="634" w:space="113"/>
            <w:col w:w="801" w:space="50"/>
            <w:col w:w="801" w:space="49"/>
            <w:col w:w="801" w:space="49"/>
            <w:col w:w="801" w:space="50"/>
            <w:col w:w="801" w:space="39"/>
            <w:col w:w="416" w:space="39"/>
            <w:col w:w="1037"/>
          </w:cols>
        </w:sectPr>
      </w:pPr>
    </w:p>
    <w:p>
      <w:pPr>
        <w:spacing w:line="160" w:lineRule="auto" w:before="5"/>
        <w:ind w:left="174" w:right="0" w:firstLine="0"/>
        <w:jc w:val="left"/>
        <w:rPr>
          <w:sz w:val="14"/>
        </w:rPr>
      </w:pPr>
      <w:r>
        <w:rPr>
          <w:sz w:val="14"/>
        </w:rPr>
        <w:t>(kgCO</w:t>
      </w:r>
      <w:r>
        <w:rPr>
          <w:position w:val="-4"/>
          <w:sz w:val="8"/>
        </w:rPr>
        <w:t>2 </w:t>
      </w:r>
      <w:r>
        <w:rPr>
          <w:sz w:val="14"/>
        </w:rPr>
        <w:t>GJ</w:t>
      </w:r>
    </w:p>
    <w:p>
      <w:pPr>
        <w:spacing w:line="135" w:lineRule="exact" w:before="0"/>
        <w:ind w:left="81" w:right="0" w:firstLine="0"/>
        <w:jc w:val="left"/>
        <w:rPr>
          <w:sz w:val="14"/>
        </w:rPr>
      </w:pPr>
      <w:r>
        <w:rPr/>
        <w:br w:type="column"/>
      </w:r>
      <w:r>
        <w:rPr>
          <w:sz w:val="14"/>
        </w:rPr>
        <w:t>products)</w:t>
      </w:r>
    </w:p>
    <w:p>
      <w:pPr>
        <w:spacing w:line="15" w:lineRule="exact" w:before="0"/>
        <w:ind w:left="731" w:right="0" w:firstLine="0"/>
        <w:jc w:val="left"/>
        <w:rPr>
          <w:sz w:val="8"/>
        </w:rPr>
      </w:pPr>
      <w:r>
        <w:rPr>
          <w:sz w:val="8"/>
        </w:rPr>
        <w:t>−1</w:t>
      </w:r>
    </w:p>
    <w:p>
      <w:pPr>
        <w:spacing w:after="0" w:line="15" w:lineRule="exact"/>
        <w:jc w:val="left"/>
        <w:rPr>
          <w:sz w:val="8"/>
        </w:rPr>
        <w:sectPr>
          <w:type w:val="continuous"/>
          <w:pgSz w:w="12240" w:h="15840"/>
          <w:pgMar w:top="480" w:bottom="280" w:left="620" w:right="620"/>
          <w:cols w:num="2" w:equalWidth="0">
            <w:col w:w="787" w:space="40"/>
            <w:col w:w="10173"/>
          </w:cols>
        </w:sectPr>
      </w:pPr>
    </w:p>
    <w:p>
      <w:pPr>
        <w:spacing w:line="182" w:lineRule="auto" w:before="0"/>
        <w:ind w:left="174" w:right="173" w:firstLine="0"/>
        <w:jc w:val="left"/>
        <w:rPr>
          <w:sz w:val="14"/>
        </w:rPr>
      </w:pPr>
      <w:r>
        <w:rPr>
          <w:sz w:val="14"/>
        </w:rPr>
        <w:t>CO</w:t>
      </w:r>
      <w:r>
        <w:rPr>
          <w:position w:val="-4"/>
          <w:sz w:val="8"/>
        </w:rPr>
        <w:t>2 </w:t>
      </w:r>
      <w:r>
        <w:rPr>
          <w:sz w:val="14"/>
        </w:rPr>
        <w:t>captured (MtCO</w:t>
      </w:r>
      <w:r>
        <w:rPr>
          <w:position w:val="-4"/>
          <w:sz w:val="8"/>
        </w:rPr>
        <w:t>2 </w:t>
      </w:r>
      <w:r>
        <w:rPr>
          <w:sz w:val="14"/>
        </w:rPr>
        <w:t>yr ) CO</w:t>
      </w:r>
      <w:r>
        <w:rPr>
          <w:position w:val="-4"/>
          <w:sz w:val="8"/>
        </w:rPr>
        <w:t>2 </w:t>
      </w:r>
      <w:r>
        <w:rPr>
          <w:sz w:val="14"/>
        </w:rPr>
        <w:t>product pressure (MPa) CCS energy requirement. (%</w:t>
      </w:r>
    </w:p>
    <w:p>
      <w:pPr>
        <w:spacing w:line="213" w:lineRule="auto" w:before="16"/>
        <w:ind w:left="174" w:right="163" w:firstLine="0"/>
        <w:jc w:val="left"/>
        <w:rPr>
          <w:b/>
          <w:sz w:val="14"/>
        </w:rPr>
      </w:pPr>
      <w:r>
        <w:rPr>
          <w:sz w:val="14"/>
        </w:rPr>
        <w:t>more input/GJ plant output) </w:t>
      </w:r>
      <w:r>
        <w:rPr>
          <w:b/>
          <w:sz w:val="14"/>
        </w:rPr>
        <w:t>CO</w:t>
      </w:r>
      <w:r>
        <w:rPr>
          <w:b/>
          <w:position w:val="-4"/>
          <w:sz w:val="8"/>
        </w:rPr>
        <w:t>2 </w:t>
      </w:r>
      <w:r>
        <w:rPr>
          <w:b/>
          <w:sz w:val="14"/>
        </w:rPr>
        <w:t>reduction/unit product (%)</w:t>
      </w:r>
    </w:p>
    <w:p>
      <w:pPr>
        <w:spacing w:line="148" w:lineRule="exact" w:before="0"/>
        <w:ind w:left="348" w:right="0" w:firstLine="0"/>
        <w:jc w:val="left"/>
        <w:rPr>
          <w:b/>
          <w:i/>
          <w:sz w:val="14"/>
        </w:rPr>
      </w:pPr>
      <w:r>
        <w:rPr>
          <w:b/>
          <w:i/>
          <w:sz w:val="14"/>
        </w:rPr>
        <w:t>Cost Results</w:t>
      </w:r>
    </w:p>
    <w:p>
      <w:pPr>
        <w:spacing w:line="249" w:lineRule="auto" w:before="37"/>
        <w:ind w:left="174" w:right="403" w:firstLine="0"/>
        <w:jc w:val="left"/>
        <w:rPr>
          <w:sz w:val="14"/>
        </w:rPr>
      </w:pPr>
      <w:r>
        <w:rPr>
          <w:sz w:val="14"/>
        </w:rPr>
        <w:t>Cost year basis (constant dollars)</w:t>
      </w:r>
    </w:p>
    <w:p>
      <w:pPr>
        <w:spacing w:line="223" w:lineRule="auto" w:before="0"/>
        <w:ind w:left="174" w:right="123" w:firstLine="0"/>
        <w:jc w:val="left"/>
        <w:rPr>
          <w:sz w:val="14"/>
        </w:rPr>
      </w:pPr>
      <w:r>
        <w:rPr>
          <w:sz w:val="14"/>
        </w:rPr>
        <w:t>Fixed charge rate (%) Reference plant TCR (million</w:t>
      </w:r>
    </w:p>
    <w:p>
      <w:pPr>
        <w:spacing w:line="156" w:lineRule="exact" w:before="3"/>
        <w:ind w:left="174" w:right="0" w:firstLine="0"/>
        <w:jc w:val="left"/>
        <w:rPr>
          <w:sz w:val="14"/>
        </w:rPr>
      </w:pPr>
      <w:r>
        <w:rPr>
          <w:sz w:val="14"/>
        </w:rPr>
        <w:t>US$)****</w:t>
      </w:r>
    </w:p>
    <w:p>
      <w:pPr>
        <w:spacing w:line="249" w:lineRule="auto" w:before="0"/>
        <w:ind w:left="174" w:right="173" w:firstLine="0"/>
        <w:jc w:val="left"/>
        <w:rPr>
          <w:sz w:val="14"/>
        </w:rPr>
      </w:pPr>
      <w:r>
        <w:rPr>
          <w:sz w:val="14"/>
        </w:rPr>
        <w:t>Capture plant TCR </w:t>
      </w:r>
      <w:r>
        <w:rPr>
          <w:spacing w:val="-3"/>
          <w:sz w:val="14"/>
        </w:rPr>
        <w:t>(million </w:t>
      </w:r>
      <w:r>
        <w:rPr>
          <w:sz w:val="14"/>
        </w:rPr>
        <w:t>US$)****</w:t>
      </w:r>
    </w:p>
    <w:p>
      <w:pPr>
        <w:spacing w:line="223" w:lineRule="auto" w:before="0"/>
        <w:ind w:left="174" w:right="131" w:firstLine="0"/>
        <w:jc w:val="left"/>
        <w:rPr>
          <w:sz w:val="14"/>
        </w:rPr>
      </w:pPr>
      <w:r>
        <w:rPr>
          <w:sz w:val="14"/>
        </w:rPr>
        <w:t>% increase in capital cost (%) Ref. plant electricity price</w:t>
      </w:r>
    </w:p>
    <w:p>
      <w:pPr>
        <w:spacing w:line="156" w:lineRule="exact" w:before="0"/>
        <w:ind w:left="174" w:right="0" w:firstLine="0"/>
        <w:jc w:val="left"/>
        <w:rPr>
          <w:sz w:val="14"/>
        </w:rPr>
      </w:pPr>
      <w:r>
        <w:rPr>
          <w:sz w:val="14"/>
        </w:rPr>
        <w:t>(US$</w:t>
      </w:r>
      <w:r>
        <w:rPr>
          <w:spacing w:val="-1"/>
          <w:sz w:val="14"/>
        </w:rPr>
        <w:t> </w:t>
      </w:r>
      <w:r>
        <w:rPr>
          <w:sz w:val="14"/>
        </w:rPr>
        <w:t>MWh</w:t>
      </w:r>
      <w:r>
        <w:rPr>
          <w:position w:val="5"/>
          <w:sz w:val="8"/>
        </w:rPr>
        <w:t>−1</w:t>
      </w:r>
      <w:r>
        <w:rPr>
          <w:sz w:val="14"/>
        </w:rPr>
        <w:t>)</w:t>
      </w:r>
    </w:p>
    <w:p>
      <w:pPr>
        <w:spacing w:line="249" w:lineRule="auto" w:before="0"/>
        <w:ind w:left="174" w:right="0" w:firstLine="0"/>
        <w:jc w:val="left"/>
        <w:rPr>
          <w:sz w:val="14"/>
        </w:rPr>
      </w:pPr>
      <w:r>
        <w:rPr>
          <w:sz w:val="14"/>
        </w:rPr>
        <w:t>Capture plant electricity </w:t>
      </w:r>
      <w:r>
        <w:rPr>
          <w:spacing w:val="-4"/>
          <w:sz w:val="14"/>
        </w:rPr>
        <w:t>price </w:t>
      </w:r>
      <w:r>
        <w:rPr>
          <w:sz w:val="14"/>
        </w:rPr>
        <w:t>(US$</w:t>
      </w:r>
      <w:r>
        <w:rPr>
          <w:spacing w:val="-1"/>
          <w:sz w:val="14"/>
        </w:rPr>
        <w:t> </w:t>
      </w:r>
      <w:r>
        <w:rPr>
          <w:sz w:val="14"/>
        </w:rPr>
        <w:t>MWh</w:t>
      </w:r>
      <w:r>
        <w:rPr>
          <w:position w:val="5"/>
          <w:sz w:val="8"/>
        </w:rPr>
        <w:t>−1</w:t>
      </w:r>
      <w:r>
        <w:rPr>
          <w:sz w:val="14"/>
        </w:rPr>
        <w:t>)</w:t>
      </w:r>
    </w:p>
    <w:p>
      <w:pPr>
        <w:spacing w:line="144" w:lineRule="exact" w:before="0"/>
        <w:ind w:left="174" w:right="0" w:firstLine="0"/>
        <w:jc w:val="left"/>
        <w:rPr>
          <w:sz w:val="14"/>
        </w:rPr>
      </w:pPr>
      <w:r>
        <w:rPr>
          <w:sz w:val="14"/>
        </w:rPr>
        <w:t>% increase in assumed elec.</w:t>
      </w:r>
    </w:p>
    <w:p>
      <w:pPr>
        <w:spacing w:line="156" w:lineRule="exact" w:before="0"/>
        <w:ind w:left="174" w:right="0" w:firstLine="0"/>
        <w:jc w:val="left"/>
        <w:rPr>
          <w:sz w:val="14"/>
        </w:rPr>
      </w:pPr>
      <w:r>
        <w:rPr>
          <w:sz w:val="14"/>
        </w:rPr>
        <w:t>price</w:t>
      </w:r>
    </w:p>
    <w:p>
      <w:pPr>
        <w:spacing w:line="249" w:lineRule="auto" w:before="0"/>
        <w:ind w:left="174" w:right="140" w:firstLine="0"/>
        <w:jc w:val="left"/>
        <w:rPr>
          <w:b/>
          <w:sz w:val="14"/>
        </w:rPr>
      </w:pPr>
      <w:r>
        <w:rPr>
          <w:b/>
          <w:w w:val="105"/>
          <w:sz w:val="14"/>
        </w:rPr>
        <w:t>Ref.</w:t>
      </w:r>
      <w:r>
        <w:rPr>
          <w:b/>
          <w:spacing w:val="-23"/>
          <w:w w:val="105"/>
          <w:sz w:val="14"/>
        </w:rPr>
        <w:t> </w:t>
      </w:r>
      <w:r>
        <w:rPr>
          <w:b/>
          <w:w w:val="105"/>
          <w:sz w:val="14"/>
        </w:rPr>
        <w:t>plant</w:t>
      </w:r>
      <w:r>
        <w:rPr>
          <w:b/>
          <w:spacing w:val="-22"/>
          <w:w w:val="105"/>
          <w:sz w:val="14"/>
        </w:rPr>
        <w:t> </w:t>
      </w:r>
      <w:r>
        <w:rPr>
          <w:b/>
          <w:w w:val="105"/>
          <w:sz w:val="14"/>
        </w:rPr>
        <w:t>fuel</w:t>
      </w:r>
      <w:r>
        <w:rPr>
          <w:b/>
          <w:spacing w:val="-22"/>
          <w:w w:val="105"/>
          <w:sz w:val="14"/>
        </w:rPr>
        <w:t> </w:t>
      </w:r>
      <w:r>
        <w:rPr>
          <w:b/>
          <w:w w:val="105"/>
          <w:sz w:val="14"/>
        </w:rPr>
        <w:t>product</w:t>
      </w:r>
      <w:r>
        <w:rPr>
          <w:b/>
          <w:spacing w:val="-22"/>
          <w:w w:val="105"/>
          <w:sz w:val="14"/>
        </w:rPr>
        <w:t> </w:t>
      </w:r>
      <w:r>
        <w:rPr>
          <w:b/>
          <w:w w:val="105"/>
          <w:sz w:val="14"/>
        </w:rPr>
        <w:t>cost, LHv (uS$</w:t>
      </w:r>
      <w:r>
        <w:rPr>
          <w:b/>
          <w:spacing w:val="-7"/>
          <w:w w:val="105"/>
          <w:sz w:val="14"/>
        </w:rPr>
        <w:t> </w:t>
      </w:r>
      <w:r>
        <w:rPr>
          <w:b/>
          <w:w w:val="105"/>
          <w:sz w:val="14"/>
        </w:rPr>
        <w:t>GJ</w:t>
      </w:r>
      <w:r>
        <w:rPr>
          <w:b/>
          <w:w w:val="105"/>
          <w:position w:val="5"/>
          <w:sz w:val="8"/>
        </w:rPr>
        <w:t>−1</w:t>
      </w:r>
      <w:r>
        <w:rPr>
          <w:b/>
          <w:w w:val="105"/>
          <w:sz w:val="14"/>
        </w:rPr>
        <w:t>)</w:t>
      </w:r>
    </w:p>
    <w:p>
      <w:pPr>
        <w:spacing w:line="144" w:lineRule="exact" w:before="0"/>
        <w:ind w:left="174" w:right="0" w:firstLine="0"/>
        <w:jc w:val="left"/>
        <w:rPr>
          <w:b/>
          <w:sz w:val="14"/>
        </w:rPr>
      </w:pPr>
      <w:r>
        <w:rPr>
          <w:b/>
          <w:sz w:val="14"/>
        </w:rPr>
        <w:t>Capture plant fuel product</w:t>
      </w:r>
    </w:p>
    <w:p>
      <w:pPr>
        <w:spacing w:line="237" w:lineRule="auto" w:before="2"/>
        <w:ind w:left="173" w:right="36" w:firstLine="0"/>
        <w:jc w:val="left"/>
        <w:rPr>
          <w:b/>
          <w:sz w:val="14"/>
        </w:rPr>
      </w:pPr>
      <w:r>
        <w:rPr>
          <w:b/>
          <w:w w:val="105"/>
          <w:sz w:val="14"/>
        </w:rPr>
        <w:t>cost, LHv (uS$ GJ</w:t>
      </w:r>
      <w:r>
        <w:rPr>
          <w:b/>
          <w:w w:val="105"/>
          <w:position w:val="5"/>
          <w:sz w:val="8"/>
        </w:rPr>
        <w:t>−1</w:t>
      </w:r>
      <w:r>
        <w:rPr>
          <w:b/>
          <w:w w:val="105"/>
          <w:sz w:val="14"/>
        </w:rPr>
        <w:t>) increase in fuel product cost (uS$ GJ</w:t>
      </w:r>
      <w:r>
        <w:rPr>
          <w:b/>
          <w:w w:val="105"/>
          <w:position w:val="5"/>
          <w:sz w:val="8"/>
        </w:rPr>
        <w:t>−1</w:t>
      </w:r>
      <w:r>
        <w:rPr>
          <w:b/>
          <w:w w:val="105"/>
          <w:sz w:val="14"/>
        </w:rPr>
        <w:t>)</w:t>
      </w:r>
    </w:p>
    <w:p>
      <w:pPr>
        <w:spacing w:line="150" w:lineRule="exact" w:before="0"/>
        <w:ind w:left="174" w:right="0" w:firstLine="0"/>
        <w:jc w:val="left"/>
        <w:rPr>
          <w:b/>
          <w:sz w:val="14"/>
        </w:rPr>
      </w:pPr>
      <w:r>
        <w:rPr>
          <w:b/>
          <w:sz w:val="14"/>
        </w:rPr>
        <w:t>% increase in fuel product</w:t>
      </w:r>
    </w:p>
    <w:p>
      <w:pPr>
        <w:spacing w:line="156" w:lineRule="exact" w:before="7"/>
        <w:ind w:left="174" w:right="0" w:firstLine="0"/>
        <w:jc w:val="left"/>
        <w:rPr>
          <w:b/>
          <w:sz w:val="14"/>
        </w:rPr>
      </w:pPr>
      <w:r>
        <w:rPr>
          <w:b/>
          <w:sz w:val="14"/>
        </w:rPr>
        <w:t>cost</w:t>
      </w:r>
    </w:p>
    <w:p>
      <w:pPr>
        <w:spacing w:line="204" w:lineRule="auto" w:before="8"/>
        <w:ind w:left="174" w:right="619" w:firstLine="0"/>
        <w:jc w:val="left"/>
        <w:rPr>
          <w:sz w:val="14"/>
        </w:rPr>
      </w:pPr>
      <w:r>
        <w:rPr>
          <w:sz w:val="14"/>
        </w:rPr>
        <w:t>Cost of CO</w:t>
      </w:r>
      <w:r>
        <w:rPr>
          <w:position w:val="-4"/>
          <w:sz w:val="8"/>
        </w:rPr>
        <w:t>2 </w:t>
      </w:r>
      <w:r>
        <w:rPr>
          <w:sz w:val="14"/>
        </w:rPr>
        <w:t>captured (US$/tCO</w:t>
      </w:r>
      <w:r>
        <w:rPr>
          <w:position w:val="-4"/>
          <w:sz w:val="8"/>
        </w:rPr>
        <w:t>2</w:t>
      </w:r>
      <w:r>
        <w:rPr>
          <w:sz w:val="14"/>
        </w:rPr>
        <w:t>)</w:t>
      </w:r>
    </w:p>
    <w:p>
      <w:pPr>
        <w:spacing w:line="158" w:lineRule="auto" w:before="0"/>
        <w:ind w:left="174" w:right="0" w:firstLine="0"/>
        <w:jc w:val="left"/>
        <w:rPr>
          <w:sz w:val="14"/>
        </w:rPr>
      </w:pPr>
      <w:r>
        <w:rPr>
          <w:sz w:val="14"/>
        </w:rPr>
        <w:t>Cost of CO</w:t>
      </w:r>
      <w:r>
        <w:rPr>
          <w:position w:val="-4"/>
          <w:sz w:val="8"/>
        </w:rPr>
        <w:t>2 </w:t>
      </w:r>
      <w:r>
        <w:rPr>
          <w:sz w:val="14"/>
        </w:rPr>
        <w:t>avoided</w:t>
      </w:r>
    </w:p>
    <w:p>
      <w:pPr>
        <w:spacing w:line="166" w:lineRule="exact" w:before="0"/>
        <w:ind w:left="174" w:right="0" w:firstLine="0"/>
        <w:jc w:val="left"/>
        <w:rPr>
          <w:sz w:val="14"/>
        </w:rPr>
      </w:pPr>
      <w:r>
        <w:rPr>
          <w:sz w:val="14"/>
        </w:rPr>
        <w:t>(US$/tCO</w:t>
      </w:r>
      <w:r>
        <w:rPr>
          <w:position w:val="-4"/>
          <w:sz w:val="8"/>
        </w:rPr>
        <w:t>2</w:t>
      </w:r>
      <w:r>
        <w:rPr>
          <w:sz w:val="14"/>
        </w:rPr>
        <w:t>)</w:t>
      </w:r>
    </w:p>
    <w:p>
      <w:pPr>
        <w:spacing w:line="137" w:lineRule="exact" w:before="0"/>
        <w:ind w:left="173" w:right="0" w:firstLine="0"/>
        <w:jc w:val="left"/>
        <w:rPr>
          <w:b/>
          <w:i/>
          <w:sz w:val="14"/>
        </w:rPr>
      </w:pPr>
      <w:r>
        <w:rPr>
          <w:b/>
          <w:i/>
          <w:sz w:val="14"/>
        </w:rPr>
        <w:t>Confidence</w:t>
      </w:r>
      <w:hyperlink w:history="true" w:anchor="_bookmark27">
        <w:r>
          <w:rPr>
            <w:b/>
            <w:i/>
            <w:sz w:val="14"/>
          </w:rPr>
          <w:t> level (see </w:t>
        </w:r>
        <w:r>
          <w:rPr>
            <w:b/>
            <w:i/>
            <w:spacing w:val="-3"/>
            <w:sz w:val="14"/>
          </w:rPr>
          <w:t>Table </w:t>
        </w:r>
        <w:r>
          <w:rPr>
            <w:b/>
            <w:i/>
            <w:spacing w:val="-5"/>
            <w:sz w:val="14"/>
          </w:rPr>
          <w:t>3.6)</w:t>
        </w:r>
      </w:hyperlink>
    </w:p>
    <w:p>
      <w:pPr>
        <w:spacing w:line="130" w:lineRule="exact" w:before="0"/>
        <w:ind w:left="202" w:right="0" w:firstLine="0"/>
        <w:jc w:val="left"/>
        <w:rPr>
          <w:sz w:val="14"/>
        </w:rPr>
      </w:pPr>
      <w:r>
        <w:rPr/>
        <w:br w:type="column"/>
      </w:r>
      <w:r>
        <w:rPr>
          <w:sz w:val="14"/>
        </w:rPr>
        <w:t>7.260</w:t>
      </w:r>
    </w:p>
    <w:p>
      <w:pPr>
        <w:spacing w:line="150" w:lineRule="exact" w:before="0"/>
        <w:ind w:left="237" w:right="0" w:firstLine="0"/>
        <w:jc w:val="left"/>
        <w:rPr>
          <w:sz w:val="14"/>
        </w:rPr>
      </w:pPr>
      <w:r>
        <w:rPr>
          <w:sz w:val="14"/>
        </w:rPr>
        <w:t>13.8</w:t>
      </w:r>
    </w:p>
    <w:p>
      <w:pPr>
        <w:spacing w:line="156" w:lineRule="exact" w:before="0"/>
        <w:ind w:left="272" w:right="0" w:firstLine="0"/>
        <w:jc w:val="left"/>
        <w:rPr>
          <w:sz w:val="14"/>
        </w:rPr>
      </w:pPr>
      <w:r>
        <w:rPr>
          <w:sz w:val="14"/>
        </w:rPr>
        <w:t>6.5</w:t>
      </w:r>
    </w:p>
    <w:p>
      <w:pPr>
        <w:pStyle w:val="BodyText"/>
        <w:spacing w:before="7"/>
        <w:rPr>
          <w:sz w:val="13"/>
        </w:rPr>
      </w:pPr>
    </w:p>
    <w:p>
      <w:pPr>
        <w:spacing w:before="1"/>
        <w:ind w:left="79" w:right="20" w:firstLine="0"/>
        <w:jc w:val="center"/>
        <w:rPr>
          <w:sz w:val="14"/>
        </w:rPr>
      </w:pPr>
      <w:r>
        <w:rPr>
          <w:sz w:val="14"/>
        </w:rPr>
        <w:t>56</w:t>
      </w:r>
    </w:p>
    <w:p>
      <w:pPr>
        <w:pStyle w:val="BodyText"/>
        <w:rPr>
          <w:sz w:val="14"/>
        </w:rPr>
      </w:pPr>
    </w:p>
    <w:p>
      <w:pPr>
        <w:pStyle w:val="BodyText"/>
        <w:rPr>
          <w:sz w:val="14"/>
        </w:rPr>
      </w:pPr>
    </w:p>
    <w:p>
      <w:pPr>
        <w:pStyle w:val="BodyText"/>
        <w:rPr>
          <w:sz w:val="14"/>
        </w:rPr>
      </w:pPr>
    </w:p>
    <w:p>
      <w:pPr>
        <w:pStyle w:val="BodyText"/>
        <w:spacing w:before="7"/>
        <w:rPr>
          <w:sz w:val="16"/>
        </w:rPr>
      </w:pPr>
    </w:p>
    <w:p>
      <w:pPr>
        <w:spacing w:line="156" w:lineRule="exact" w:before="0"/>
        <w:ind w:left="237" w:right="0" w:firstLine="0"/>
        <w:jc w:val="left"/>
        <w:rPr>
          <w:sz w:val="14"/>
        </w:rPr>
      </w:pPr>
      <w:r>
        <w:rPr>
          <w:sz w:val="14"/>
        </w:rPr>
        <w:t>12.7</w:t>
      </w:r>
    </w:p>
    <w:p>
      <w:pPr>
        <w:spacing w:line="156" w:lineRule="exact" w:before="0"/>
        <w:ind w:left="220" w:right="0" w:firstLine="0"/>
        <w:jc w:val="left"/>
        <w:rPr>
          <w:sz w:val="14"/>
        </w:rPr>
      </w:pPr>
      <w:r>
        <w:rPr>
          <w:sz w:val="14"/>
        </w:rPr>
        <w:t>2160</w:t>
      </w:r>
    </w:p>
    <w:p>
      <w:pPr>
        <w:pStyle w:val="BodyText"/>
        <w:spacing w:before="7"/>
        <w:rPr>
          <w:sz w:val="13"/>
        </w:rPr>
      </w:pPr>
    </w:p>
    <w:p>
      <w:pPr>
        <w:spacing w:before="1"/>
        <w:ind w:left="79" w:right="20" w:firstLine="0"/>
        <w:jc w:val="center"/>
        <w:rPr>
          <w:sz w:val="14"/>
        </w:rPr>
      </w:pPr>
      <w:r>
        <w:rPr>
          <w:sz w:val="14"/>
        </w:rPr>
        <w:t>2243</w:t>
      </w:r>
    </w:p>
    <w:p>
      <w:pPr>
        <w:pStyle w:val="BodyText"/>
        <w:spacing w:before="7"/>
        <w:rPr>
          <w:sz w:val="13"/>
        </w:rPr>
      </w:pPr>
    </w:p>
    <w:p>
      <w:pPr>
        <w:spacing w:line="156" w:lineRule="exact" w:before="0"/>
        <w:ind w:left="272" w:right="0" w:firstLine="0"/>
        <w:jc w:val="left"/>
        <w:rPr>
          <w:sz w:val="14"/>
        </w:rPr>
      </w:pPr>
      <w:r>
        <w:rPr>
          <w:sz w:val="14"/>
        </w:rPr>
        <w:t>3.8</w:t>
      </w:r>
    </w:p>
    <w:p>
      <w:pPr>
        <w:spacing w:line="156" w:lineRule="exact" w:before="0"/>
        <w:ind w:left="237" w:right="0" w:firstLine="0"/>
        <w:jc w:val="left"/>
        <w:rPr>
          <w:sz w:val="14"/>
        </w:rPr>
      </w:pPr>
      <w:r>
        <w:rPr>
          <w:sz w:val="14"/>
        </w:rPr>
        <w:t>35.6</w:t>
      </w:r>
    </w:p>
    <w:p>
      <w:pPr>
        <w:pStyle w:val="BodyText"/>
        <w:spacing w:before="8"/>
        <w:rPr>
          <w:sz w:val="13"/>
        </w:rPr>
      </w:pPr>
    </w:p>
    <w:p>
      <w:pPr>
        <w:spacing w:before="0"/>
        <w:ind w:left="79" w:right="20" w:firstLine="0"/>
        <w:jc w:val="center"/>
        <w:rPr>
          <w:sz w:val="14"/>
        </w:rPr>
      </w:pPr>
      <w:r>
        <w:rPr>
          <w:sz w:val="14"/>
        </w:rPr>
        <w:t>53.6</w:t>
      </w:r>
    </w:p>
    <w:p>
      <w:pPr>
        <w:pStyle w:val="BodyText"/>
        <w:spacing w:before="8"/>
        <w:rPr>
          <w:sz w:val="13"/>
        </w:rPr>
      </w:pPr>
    </w:p>
    <w:p>
      <w:pPr>
        <w:spacing w:before="0"/>
        <w:ind w:left="79" w:right="20" w:firstLine="0"/>
        <w:jc w:val="center"/>
        <w:rPr>
          <w:sz w:val="14"/>
        </w:rPr>
      </w:pPr>
      <w:r>
        <w:rPr>
          <w:sz w:val="14"/>
        </w:rPr>
        <w:t>50.5</w:t>
      </w:r>
    </w:p>
    <w:p>
      <w:pPr>
        <w:pStyle w:val="BodyText"/>
        <w:spacing w:before="8"/>
        <w:rPr>
          <w:sz w:val="13"/>
        </w:rPr>
      </w:pPr>
    </w:p>
    <w:p>
      <w:pPr>
        <w:spacing w:before="0"/>
        <w:ind w:left="79" w:right="20" w:firstLine="0"/>
        <w:jc w:val="center"/>
        <w:rPr>
          <w:b/>
          <w:sz w:val="14"/>
        </w:rPr>
      </w:pPr>
      <w:r>
        <w:rPr>
          <w:b/>
          <w:sz w:val="14"/>
        </w:rPr>
        <w:t>5.58</w:t>
      </w:r>
    </w:p>
    <w:p>
      <w:pPr>
        <w:pStyle w:val="BodyText"/>
        <w:spacing w:before="8"/>
        <w:rPr>
          <w:b/>
          <w:sz w:val="13"/>
        </w:rPr>
      </w:pPr>
    </w:p>
    <w:p>
      <w:pPr>
        <w:spacing w:before="0"/>
        <w:ind w:left="79" w:right="20" w:firstLine="0"/>
        <w:jc w:val="center"/>
        <w:rPr>
          <w:b/>
          <w:sz w:val="14"/>
        </w:rPr>
      </w:pPr>
      <w:r>
        <w:rPr>
          <w:b/>
          <w:sz w:val="14"/>
        </w:rPr>
        <w:t>5.43</w:t>
      </w:r>
    </w:p>
    <w:p>
      <w:pPr>
        <w:pStyle w:val="BodyText"/>
        <w:spacing w:before="8"/>
        <w:rPr>
          <w:b/>
          <w:sz w:val="13"/>
        </w:rPr>
      </w:pPr>
    </w:p>
    <w:p>
      <w:pPr>
        <w:spacing w:before="0"/>
        <w:ind w:left="79" w:right="20" w:firstLine="0"/>
        <w:jc w:val="center"/>
        <w:rPr>
          <w:b/>
          <w:sz w:val="14"/>
        </w:rPr>
      </w:pPr>
      <w:r>
        <w:rPr>
          <w:b/>
          <w:sz w:val="14"/>
        </w:rPr>
        <w:t>-0.15</w:t>
      </w:r>
    </w:p>
    <w:p>
      <w:pPr>
        <w:pStyle w:val="BodyText"/>
        <w:spacing w:before="8"/>
        <w:rPr>
          <w:b/>
          <w:sz w:val="13"/>
        </w:rPr>
      </w:pPr>
    </w:p>
    <w:p>
      <w:pPr>
        <w:spacing w:before="0"/>
        <w:ind w:left="79" w:right="20" w:firstLine="0"/>
        <w:jc w:val="center"/>
        <w:rPr>
          <w:b/>
          <w:sz w:val="14"/>
        </w:rPr>
      </w:pPr>
      <w:r>
        <w:rPr>
          <w:b/>
          <w:sz w:val="14"/>
        </w:rPr>
        <w:t>-5.7</w:t>
      </w: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3"/>
        </w:rPr>
      </w:pPr>
    </w:p>
    <w:p>
      <w:pPr>
        <w:spacing w:before="0"/>
        <w:ind w:left="79" w:right="20" w:firstLine="0"/>
        <w:jc w:val="center"/>
        <w:rPr>
          <w:sz w:val="14"/>
        </w:rPr>
      </w:pPr>
      <w:r>
        <w:rPr>
          <w:sz w:val="14"/>
        </w:rPr>
        <w:t>moderate</w:t>
      </w:r>
    </w:p>
    <w:p>
      <w:pPr>
        <w:spacing w:line="130" w:lineRule="exact" w:before="0"/>
        <w:ind w:left="276" w:right="0" w:firstLine="0"/>
        <w:jc w:val="left"/>
        <w:rPr>
          <w:sz w:val="14"/>
        </w:rPr>
      </w:pPr>
      <w:r>
        <w:rPr/>
        <w:br w:type="column"/>
      </w:r>
      <w:r>
        <w:rPr>
          <w:sz w:val="14"/>
        </w:rPr>
        <w:t>3.269</w:t>
      </w:r>
    </w:p>
    <w:p>
      <w:pPr>
        <w:spacing w:line="150" w:lineRule="exact" w:before="0"/>
        <w:ind w:left="364" w:right="0" w:firstLine="0"/>
        <w:jc w:val="left"/>
        <w:rPr>
          <w:sz w:val="14"/>
        </w:rPr>
      </w:pPr>
      <w:r>
        <w:rPr>
          <w:sz w:val="14"/>
        </w:rPr>
        <w:t>15</w:t>
      </w:r>
    </w:p>
    <w:p>
      <w:pPr>
        <w:spacing w:line="156" w:lineRule="exact" w:before="0"/>
        <w:ind w:left="346" w:right="0" w:firstLine="0"/>
        <w:jc w:val="left"/>
        <w:rPr>
          <w:sz w:val="14"/>
        </w:rPr>
      </w:pPr>
      <w:r>
        <w:rPr>
          <w:sz w:val="14"/>
        </w:rPr>
        <w:t>3.6</w:t>
      </w:r>
    </w:p>
    <w:p>
      <w:pPr>
        <w:pStyle w:val="BodyText"/>
        <w:spacing w:before="7"/>
        <w:rPr>
          <w:sz w:val="13"/>
        </w:rPr>
      </w:pPr>
    </w:p>
    <w:p>
      <w:pPr>
        <w:spacing w:before="1"/>
        <w:ind w:left="154" w:right="21" w:firstLine="0"/>
        <w:jc w:val="center"/>
        <w:rPr>
          <w:sz w:val="14"/>
        </w:rPr>
      </w:pPr>
      <w:r>
        <w:rPr>
          <w:sz w:val="14"/>
        </w:rPr>
        <w:t>46</w:t>
      </w:r>
    </w:p>
    <w:p>
      <w:pPr>
        <w:pStyle w:val="BodyText"/>
        <w:rPr>
          <w:sz w:val="14"/>
        </w:rPr>
      </w:pPr>
    </w:p>
    <w:p>
      <w:pPr>
        <w:pStyle w:val="BodyText"/>
        <w:rPr>
          <w:sz w:val="14"/>
        </w:rPr>
      </w:pPr>
    </w:p>
    <w:p>
      <w:pPr>
        <w:pStyle w:val="BodyText"/>
        <w:rPr>
          <w:sz w:val="14"/>
        </w:rPr>
      </w:pPr>
    </w:p>
    <w:p>
      <w:pPr>
        <w:pStyle w:val="BodyText"/>
        <w:spacing w:before="7"/>
        <w:rPr>
          <w:sz w:val="16"/>
        </w:rPr>
      </w:pPr>
    </w:p>
    <w:p>
      <w:pPr>
        <w:spacing w:line="156" w:lineRule="exact" w:before="0"/>
        <w:ind w:left="311" w:right="0" w:firstLine="0"/>
        <w:jc w:val="left"/>
        <w:rPr>
          <w:sz w:val="14"/>
        </w:rPr>
      </w:pPr>
      <w:r>
        <w:rPr>
          <w:sz w:val="14"/>
        </w:rPr>
        <w:t>15.0</w:t>
      </w:r>
    </w:p>
    <w:p>
      <w:pPr>
        <w:spacing w:line="156" w:lineRule="exact" w:before="0"/>
        <w:ind w:left="294" w:right="0" w:firstLine="0"/>
        <w:jc w:val="left"/>
        <w:rPr>
          <w:sz w:val="14"/>
        </w:rPr>
      </w:pPr>
      <w:r>
        <w:rPr>
          <w:sz w:val="14"/>
        </w:rPr>
        <w:t>1351</w:t>
      </w:r>
    </w:p>
    <w:p>
      <w:pPr>
        <w:pStyle w:val="BodyText"/>
        <w:spacing w:before="7"/>
        <w:rPr>
          <w:sz w:val="13"/>
        </w:rPr>
      </w:pPr>
    </w:p>
    <w:p>
      <w:pPr>
        <w:spacing w:before="1"/>
        <w:ind w:left="154" w:right="21" w:firstLine="0"/>
        <w:jc w:val="center"/>
        <w:rPr>
          <w:sz w:val="14"/>
        </w:rPr>
      </w:pPr>
      <w:r>
        <w:rPr>
          <w:sz w:val="14"/>
        </w:rPr>
        <w:t>1385</w:t>
      </w:r>
    </w:p>
    <w:p>
      <w:pPr>
        <w:pStyle w:val="BodyText"/>
        <w:spacing w:before="7"/>
        <w:rPr>
          <w:sz w:val="13"/>
        </w:rPr>
      </w:pPr>
    </w:p>
    <w:p>
      <w:pPr>
        <w:spacing w:line="156" w:lineRule="exact" w:before="0"/>
        <w:ind w:left="346" w:right="0" w:firstLine="0"/>
        <w:jc w:val="left"/>
        <w:rPr>
          <w:sz w:val="14"/>
        </w:rPr>
      </w:pPr>
      <w:r>
        <w:rPr>
          <w:sz w:val="14"/>
        </w:rPr>
        <w:t>2.6</w:t>
      </w:r>
    </w:p>
    <w:p>
      <w:pPr>
        <w:spacing w:line="156" w:lineRule="exact" w:before="0"/>
        <w:ind w:left="311" w:right="0" w:firstLine="0"/>
        <w:jc w:val="left"/>
        <w:rPr>
          <w:sz w:val="14"/>
        </w:rPr>
      </w:pPr>
      <w:r>
        <w:rPr>
          <w:sz w:val="14"/>
        </w:rPr>
        <w:t>42.9</w:t>
      </w:r>
    </w:p>
    <w:p>
      <w:pPr>
        <w:pStyle w:val="BodyText"/>
        <w:spacing w:before="8"/>
        <w:rPr>
          <w:sz w:val="13"/>
        </w:rPr>
      </w:pPr>
    </w:p>
    <w:p>
      <w:pPr>
        <w:spacing w:before="0"/>
        <w:ind w:left="154" w:right="21" w:firstLine="0"/>
        <w:jc w:val="center"/>
        <w:rPr>
          <w:sz w:val="14"/>
        </w:rPr>
      </w:pPr>
      <w:r>
        <w:rPr>
          <w:sz w:val="14"/>
        </w:rPr>
        <w:t>42.9</w:t>
      </w:r>
    </w:p>
    <w:p>
      <w:pPr>
        <w:pStyle w:val="BodyText"/>
        <w:spacing w:before="8"/>
        <w:rPr>
          <w:sz w:val="13"/>
        </w:rPr>
      </w:pPr>
    </w:p>
    <w:p>
      <w:pPr>
        <w:spacing w:before="0"/>
        <w:ind w:left="154" w:right="21" w:firstLine="0"/>
        <w:jc w:val="center"/>
        <w:rPr>
          <w:sz w:val="14"/>
        </w:rPr>
      </w:pPr>
      <w:r>
        <w:rPr>
          <w:sz w:val="14"/>
        </w:rPr>
        <w:t>0.0</w:t>
      </w:r>
    </w:p>
    <w:p>
      <w:pPr>
        <w:pStyle w:val="BodyText"/>
        <w:spacing w:before="8"/>
        <w:rPr>
          <w:sz w:val="13"/>
        </w:rPr>
      </w:pPr>
    </w:p>
    <w:p>
      <w:pPr>
        <w:spacing w:before="0"/>
        <w:ind w:left="154" w:right="21" w:firstLine="0"/>
        <w:jc w:val="center"/>
        <w:rPr>
          <w:b/>
          <w:sz w:val="14"/>
        </w:rPr>
      </w:pPr>
      <w:r>
        <w:rPr>
          <w:b/>
          <w:sz w:val="14"/>
        </w:rPr>
        <w:t>9.12</w:t>
      </w:r>
    </w:p>
    <w:p>
      <w:pPr>
        <w:pStyle w:val="BodyText"/>
        <w:spacing w:before="8"/>
        <w:rPr>
          <w:b/>
          <w:sz w:val="13"/>
        </w:rPr>
      </w:pPr>
    </w:p>
    <w:p>
      <w:pPr>
        <w:spacing w:before="0"/>
        <w:ind w:left="154" w:right="21" w:firstLine="0"/>
        <w:jc w:val="center"/>
        <w:rPr>
          <w:b/>
          <w:sz w:val="14"/>
        </w:rPr>
      </w:pPr>
      <w:r>
        <w:rPr>
          <w:b/>
          <w:sz w:val="14"/>
        </w:rPr>
        <w:t>10.36</w:t>
      </w:r>
    </w:p>
    <w:p>
      <w:pPr>
        <w:pStyle w:val="BodyText"/>
        <w:spacing w:before="8"/>
        <w:rPr>
          <w:b/>
          <w:sz w:val="13"/>
        </w:rPr>
      </w:pPr>
    </w:p>
    <w:p>
      <w:pPr>
        <w:spacing w:before="0"/>
        <w:ind w:left="154" w:right="21" w:firstLine="0"/>
        <w:jc w:val="center"/>
        <w:rPr>
          <w:b/>
          <w:sz w:val="14"/>
        </w:rPr>
      </w:pPr>
      <w:r>
        <w:rPr>
          <w:b/>
          <w:sz w:val="14"/>
        </w:rPr>
        <w:t>1.24</w:t>
      </w:r>
    </w:p>
    <w:p>
      <w:pPr>
        <w:pStyle w:val="BodyText"/>
        <w:spacing w:before="8"/>
        <w:rPr>
          <w:b/>
          <w:sz w:val="13"/>
        </w:rPr>
      </w:pPr>
    </w:p>
    <w:p>
      <w:pPr>
        <w:spacing w:before="0"/>
        <w:ind w:left="154" w:right="21" w:firstLine="0"/>
        <w:jc w:val="center"/>
        <w:rPr>
          <w:b/>
          <w:sz w:val="14"/>
        </w:rPr>
      </w:pPr>
      <w:r>
        <w:rPr>
          <w:b/>
          <w:sz w:val="14"/>
        </w:rPr>
        <w:t>13.6</w:t>
      </w:r>
    </w:p>
    <w:p>
      <w:pPr>
        <w:pStyle w:val="BodyText"/>
        <w:spacing w:before="7"/>
        <w:rPr>
          <w:b/>
          <w:sz w:val="13"/>
        </w:rPr>
      </w:pPr>
    </w:p>
    <w:p>
      <w:pPr>
        <w:spacing w:before="1"/>
        <w:ind w:left="154" w:right="21" w:firstLine="0"/>
        <w:jc w:val="center"/>
        <w:rPr>
          <w:sz w:val="14"/>
        </w:rPr>
      </w:pPr>
      <w:r>
        <w:rPr>
          <w:sz w:val="14"/>
        </w:rPr>
        <w:t>12.3</w:t>
      </w:r>
    </w:p>
    <w:p>
      <w:pPr>
        <w:pStyle w:val="BodyText"/>
        <w:spacing w:before="7"/>
        <w:rPr>
          <w:sz w:val="13"/>
        </w:rPr>
      </w:pPr>
    </w:p>
    <w:p>
      <w:pPr>
        <w:spacing w:before="1"/>
        <w:ind w:left="154" w:right="21" w:firstLine="0"/>
        <w:jc w:val="center"/>
        <w:rPr>
          <w:sz w:val="14"/>
        </w:rPr>
      </w:pPr>
      <w:r>
        <w:rPr>
          <w:sz w:val="14"/>
        </w:rPr>
        <w:t>13.2</w:t>
      </w:r>
    </w:p>
    <w:p>
      <w:pPr>
        <w:pStyle w:val="BodyText"/>
        <w:spacing w:before="7"/>
        <w:rPr>
          <w:sz w:val="13"/>
        </w:rPr>
      </w:pPr>
    </w:p>
    <w:p>
      <w:pPr>
        <w:spacing w:before="0"/>
        <w:ind w:left="154" w:right="21" w:firstLine="0"/>
        <w:jc w:val="center"/>
        <w:rPr>
          <w:sz w:val="14"/>
        </w:rPr>
      </w:pPr>
      <w:r>
        <w:rPr>
          <w:sz w:val="14"/>
        </w:rPr>
        <w:t>moderate</w:t>
      </w:r>
    </w:p>
    <w:p>
      <w:pPr>
        <w:spacing w:line="130" w:lineRule="exact" w:before="0"/>
        <w:ind w:left="276" w:right="0" w:firstLine="0"/>
        <w:jc w:val="left"/>
        <w:rPr>
          <w:sz w:val="14"/>
        </w:rPr>
      </w:pPr>
      <w:r>
        <w:rPr/>
        <w:br w:type="column"/>
      </w:r>
      <w:r>
        <w:rPr>
          <w:sz w:val="14"/>
        </w:rPr>
        <w:t>3.547</w:t>
      </w:r>
    </w:p>
    <w:p>
      <w:pPr>
        <w:spacing w:line="150" w:lineRule="exact" w:before="0"/>
        <w:ind w:left="364" w:right="0" w:firstLine="0"/>
        <w:jc w:val="left"/>
        <w:rPr>
          <w:sz w:val="14"/>
        </w:rPr>
      </w:pPr>
      <w:r>
        <w:rPr>
          <w:sz w:val="14"/>
        </w:rPr>
        <w:t>15</w:t>
      </w:r>
    </w:p>
    <w:p>
      <w:pPr>
        <w:spacing w:line="156" w:lineRule="exact" w:before="0"/>
        <w:ind w:left="346" w:right="0" w:firstLine="0"/>
        <w:jc w:val="left"/>
        <w:rPr>
          <w:sz w:val="14"/>
        </w:rPr>
      </w:pPr>
      <w:r>
        <w:rPr>
          <w:sz w:val="14"/>
        </w:rPr>
        <w:t>4.0</w:t>
      </w:r>
    </w:p>
    <w:p>
      <w:pPr>
        <w:pStyle w:val="BodyText"/>
        <w:spacing w:before="7"/>
        <w:rPr>
          <w:sz w:val="13"/>
        </w:rPr>
      </w:pPr>
    </w:p>
    <w:p>
      <w:pPr>
        <w:spacing w:before="1"/>
        <w:ind w:left="154" w:right="21" w:firstLine="0"/>
        <w:jc w:val="center"/>
        <w:rPr>
          <w:sz w:val="14"/>
        </w:rPr>
      </w:pPr>
      <w:r>
        <w:rPr>
          <w:sz w:val="14"/>
        </w:rPr>
        <w:t>50</w:t>
      </w:r>
    </w:p>
    <w:p>
      <w:pPr>
        <w:pStyle w:val="BodyText"/>
        <w:rPr>
          <w:sz w:val="14"/>
        </w:rPr>
      </w:pPr>
    </w:p>
    <w:p>
      <w:pPr>
        <w:pStyle w:val="BodyText"/>
        <w:rPr>
          <w:sz w:val="14"/>
        </w:rPr>
      </w:pPr>
    </w:p>
    <w:p>
      <w:pPr>
        <w:pStyle w:val="BodyText"/>
        <w:rPr>
          <w:sz w:val="14"/>
        </w:rPr>
      </w:pPr>
    </w:p>
    <w:p>
      <w:pPr>
        <w:pStyle w:val="BodyText"/>
        <w:spacing w:before="7"/>
        <w:rPr>
          <w:sz w:val="16"/>
        </w:rPr>
      </w:pPr>
    </w:p>
    <w:p>
      <w:pPr>
        <w:spacing w:line="156" w:lineRule="exact" w:before="0"/>
        <w:ind w:left="311" w:right="0" w:firstLine="0"/>
        <w:jc w:val="left"/>
        <w:rPr>
          <w:sz w:val="14"/>
        </w:rPr>
      </w:pPr>
      <w:r>
        <w:rPr>
          <w:sz w:val="14"/>
        </w:rPr>
        <w:t>15.0</w:t>
      </w:r>
    </w:p>
    <w:p>
      <w:pPr>
        <w:spacing w:line="156" w:lineRule="exact" w:before="0"/>
        <w:ind w:left="294" w:right="0" w:firstLine="0"/>
        <w:jc w:val="left"/>
        <w:rPr>
          <w:sz w:val="14"/>
        </w:rPr>
      </w:pPr>
      <w:r>
        <w:rPr>
          <w:sz w:val="14"/>
        </w:rPr>
        <w:t>1351</w:t>
      </w:r>
    </w:p>
    <w:p>
      <w:pPr>
        <w:pStyle w:val="BodyText"/>
        <w:spacing w:before="7"/>
        <w:rPr>
          <w:sz w:val="13"/>
        </w:rPr>
      </w:pPr>
    </w:p>
    <w:p>
      <w:pPr>
        <w:spacing w:before="1"/>
        <w:ind w:left="154" w:right="21" w:firstLine="0"/>
        <w:jc w:val="center"/>
        <w:rPr>
          <w:sz w:val="14"/>
        </w:rPr>
      </w:pPr>
      <w:r>
        <w:rPr>
          <w:sz w:val="14"/>
        </w:rPr>
        <w:t>1220</w:t>
      </w:r>
    </w:p>
    <w:p>
      <w:pPr>
        <w:pStyle w:val="BodyText"/>
        <w:spacing w:before="7"/>
        <w:rPr>
          <w:sz w:val="13"/>
        </w:rPr>
      </w:pPr>
    </w:p>
    <w:p>
      <w:pPr>
        <w:spacing w:line="156" w:lineRule="exact" w:before="0"/>
        <w:ind w:left="323" w:right="0" w:firstLine="0"/>
        <w:jc w:val="left"/>
        <w:rPr>
          <w:sz w:val="14"/>
        </w:rPr>
      </w:pPr>
      <w:r>
        <w:rPr>
          <w:sz w:val="14"/>
        </w:rPr>
        <w:t>-9.7</w:t>
      </w:r>
    </w:p>
    <w:p>
      <w:pPr>
        <w:spacing w:line="156" w:lineRule="exact" w:before="0"/>
        <w:ind w:left="311" w:right="0" w:firstLine="0"/>
        <w:jc w:val="left"/>
        <w:rPr>
          <w:sz w:val="14"/>
        </w:rPr>
      </w:pPr>
      <w:r>
        <w:rPr>
          <w:sz w:val="14"/>
        </w:rPr>
        <w:t>42.9</w:t>
      </w:r>
    </w:p>
    <w:p>
      <w:pPr>
        <w:pStyle w:val="BodyText"/>
        <w:spacing w:before="8"/>
        <w:rPr>
          <w:sz w:val="13"/>
        </w:rPr>
      </w:pPr>
    </w:p>
    <w:p>
      <w:pPr>
        <w:spacing w:before="0"/>
        <w:ind w:left="154" w:right="21" w:firstLine="0"/>
        <w:jc w:val="center"/>
        <w:rPr>
          <w:sz w:val="14"/>
        </w:rPr>
      </w:pPr>
      <w:r>
        <w:rPr>
          <w:sz w:val="14"/>
        </w:rPr>
        <w:t>42.9</w:t>
      </w:r>
    </w:p>
    <w:p>
      <w:pPr>
        <w:pStyle w:val="BodyText"/>
        <w:spacing w:before="8"/>
        <w:rPr>
          <w:sz w:val="13"/>
        </w:rPr>
      </w:pPr>
    </w:p>
    <w:p>
      <w:pPr>
        <w:spacing w:before="0"/>
        <w:ind w:left="154" w:right="21" w:firstLine="0"/>
        <w:jc w:val="center"/>
        <w:rPr>
          <w:sz w:val="14"/>
        </w:rPr>
      </w:pPr>
      <w:r>
        <w:rPr>
          <w:sz w:val="14"/>
        </w:rPr>
        <w:t>0.0</w:t>
      </w:r>
    </w:p>
    <w:p>
      <w:pPr>
        <w:pStyle w:val="BodyText"/>
        <w:spacing w:before="8"/>
        <w:rPr>
          <w:sz w:val="13"/>
        </w:rPr>
      </w:pPr>
    </w:p>
    <w:p>
      <w:pPr>
        <w:spacing w:before="0"/>
        <w:ind w:left="154" w:right="21" w:firstLine="0"/>
        <w:jc w:val="center"/>
        <w:rPr>
          <w:b/>
          <w:sz w:val="14"/>
        </w:rPr>
      </w:pPr>
      <w:r>
        <w:rPr>
          <w:b/>
          <w:sz w:val="14"/>
        </w:rPr>
        <w:t>9.12</w:t>
      </w:r>
    </w:p>
    <w:p>
      <w:pPr>
        <w:pStyle w:val="BodyText"/>
        <w:spacing w:before="8"/>
        <w:rPr>
          <w:b/>
          <w:sz w:val="13"/>
        </w:rPr>
      </w:pPr>
    </w:p>
    <w:p>
      <w:pPr>
        <w:spacing w:before="0"/>
        <w:ind w:left="154" w:right="21" w:firstLine="0"/>
        <w:jc w:val="center"/>
        <w:rPr>
          <w:b/>
          <w:sz w:val="14"/>
        </w:rPr>
      </w:pPr>
      <w:r>
        <w:rPr>
          <w:b/>
          <w:sz w:val="14"/>
        </w:rPr>
        <w:t>8.42</w:t>
      </w:r>
    </w:p>
    <w:p>
      <w:pPr>
        <w:pStyle w:val="BodyText"/>
        <w:spacing w:before="8"/>
        <w:rPr>
          <w:b/>
          <w:sz w:val="13"/>
        </w:rPr>
      </w:pPr>
    </w:p>
    <w:p>
      <w:pPr>
        <w:spacing w:before="0"/>
        <w:ind w:left="154" w:right="21" w:firstLine="0"/>
        <w:jc w:val="center"/>
        <w:rPr>
          <w:b/>
          <w:sz w:val="14"/>
        </w:rPr>
      </w:pPr>
      <w:r>
        <w:rPr>
          <w:b/>
          <w:sz w:val="14"/>
        </w:rPr>
        <w:t>-0.70</w:t>
      </w:r>
    </w:p>
    <w:p>
      <w:pPr>
        <w:pStyle w:val="BodyText"/>
        <w:spacing w:before="8"/>
        <w:rPr>
          <w:b/>
          <w:sz w:val="13"/>
        </w:rPr>
      </w:pPr>
    </w:p>
    <w:p>
      <w:pPr>
        <w:spacing w:before="0"/>
        <w:ind w:left="154" w:right="21" w:firstLine="0"/>
        <w:jc w:val="center"/>
        <w:rPr>
          <w:b/>
          <w:sz w:val="14"/>
        </w:rPr>
      </w:pPr>
      <w:r>
        <w:rPr>
          <w:b/>
          <w:sz w:val="14"/>
        </w:rPr>
        <w:t>-7.7</w:t>
      </w:r>
    </w:p>
    <w:p>
      <w:pPr>
        <w:pStyle w:val="BodyText"/>
        <w:spacing w:before="7"/>
        <w:rPr>
          <w:b/>
          <w:sz w:val="13"/>
        </w:rPr>
      </w:pPr>
    </w:p>
    <w:p>
      <w:pPr>
        <w:spacing w:before="1"/>
        <w:ind w:left="154" w:right="21" w:firstLine="0"/>
        <w:jc w:val="center"/>
        <w:rPr>
          <w:sz w:val="14"/>
        </w:rPr>
      </w:pPr>
      <w:r>
        <w:rPr>
          <w:sz w:val="14"/>
        </w:rPr>
        <w:t>-6.4</w:t>
      </w:r>
    </w:p>
    <w:p>
      <w:pPr>
        <w:pStyle w:val="BodyText"/>
        <w:spacing w:before="7"/>
        <w:rPr>
          <w:sz w:val="13"/>
        </w:rPr>
      </w:pPr>
    </w:p>
    <w:p>
      <w:pPr>
        <w:spacing w:before="1"/>
        <w:ind w:left="154" w:right="21" w:firstLine="0"/>
        <w:jc w:val="center"/>
        <w:rPr>
          <w:sz w:val="14"/>
        </w:rPr>
      </w:pPr>
      <w:r>
        <w:rPr>
          <w:sz w:val="14"/>
        </w:rPr>
        <w:t>-6.9</w:t>
      </w:r>
    </w:p>
    <w:p>
      <w:pPr>
        <w:pStyle w:val="BodyText"/>
        <w:spacing w:before="7"/>
        <w:rPr>
          <w:sz w:val="13"/>
        </w:rPr>
      </w:pPr>
    </w:p>
    <w:p>
      <w:pPr>
        <w:spacing w:before="0"/>
        <w:ind w:left="154" w:right="21" w:firstLine="0"/>
        <w:jc w:val="center"/>
        <w:rPr>
          <w:sz w:val="14"/>
        </w:rPr>
      </w:pPr>
      <w:r>
        <w:rPr>
          <w:sz w:val="14"/>
        </w:rPr>
        <w:t>moderate</w:t>
      </w:r>
    </w:p>
    <w:p>
      <w:pPr>
        <w:spacing w:line="130" w:lineRule="exact" w:before="0"/>
        <w:ind w:left="173" w:right="0" w:firstLine="0"/>
        <w:jc w:val="left"/>
        <w:rPr>
          <w:sz w:val="14"/>
        </w:rPr>
      </w:pPr>
      <w:r>
        <w:rPr/>
        <w:br w:type="column"/>
      </w:r>
      <w:r>
        <w:rPr>
          <w:sz w:val="14"/>
        </w:rPr>
        <w:t>1.574</w:t>
      </w:r>
    </w:p>
    <w:p>
      <w:pPr>
        <w:spacing w:line="150" w:lineRule="exact" w:before="0"/>
        <w:ind w:left="261" w:right="0" w:firstLine="0"/>
        <w:jc w:val="left"/>
        <w:rPr>
          <w:sz w:val="14"/>
        </w:rPr>
      </w:pPr>
      <w:r>
        <w:rPr>
          <w:sz w:val="14"/>
        </w:rPr>
        <w:t>15</w:t>
      </w:r>
    </w:p>
    <w:p>
      <w:pPr>
        <w:spacing w:line="156" w:lineRule="exact" w:before="0"/>
        <w:ind w:left="243" w:right="0" w:firstLine="0"/>
        <w:jc w:val="left"/>
        <w:rPr>
          <w:sz w:val="14"/>
        </w:rPr>
      </w:pPr>
      <w:r>
        <w:rPr>
          <w:sz w:val="14"/>
        </w:rPr>
        <w:t>1.9</w:t>
      </w:r>
    </w:p>
    <w:p>
      <w:pPr>
        <w:pStyle w:val="BodyText"/>
        <w:spacing w:before="7"/>
        <w:rPr>
          <w:sz w:val="13"/>
        </w:rPr>
      </w:pPr>
    </w:p>
    <w:p>
      <w:pPr>
        <w:spacing w:before="1"/>
        <w:ind w:left="261" w:right="0" w:firstLine="0"/>
        <w:jc w:val="left"/>
        <w:rPr>
          <w:sz w:val="14"/>
        </w:rPr>
      </w:pPr>
      <w:r>
        <w:rPr>
          <w:sz w:val="14"/>
        </w:rPr>
        <w:t>27</w:t>
      </w:r>
    </w:p>
    <w:p>
      <w:pPr>
        <w:pStyle w:val="BodyText"/>
        <w:rPr>
          <w:sz w:val="14"/>
        </w:rPr>
      </w:pPr>
    </w:p>
    <w:p>
      <w:pPr>
        <w:pStyle w:val="BodyText"/>
        <w:rPr>
          <w:sz w:val="14"/>
        </w:rPr>
      </w:pPr>
    </w:p>
    <w:p>
      <w:pPr>
        <w:pStyle w:val="BodyText"/>
        <w:rPr>
          <w:sz w:val="14"/>
        </w:rPr>
      </w:pPr>
    </w:p>
    <w:p>
      <w:pPr>
        <w:pStyle w:val="BodyText"/>
        <w:spacing w:before="7"/>
        <w:rPr>
          <w:sz w:val="16"/>
        </w:rPr>
      </w:pPr>
    </w:p>
    <w:p>
      <w:pPr>
        <w:spacing w:line="156" w:lineRule="exact" w:before="0"/>
        <w:ind w:left="208" w:right="0" w:firstLine="0"/>
        <w:jc w:val="left"/>
        <w:rPr>
          <w:sz w:val="14"/>
        </w:rPr>
      </w:pPr>
      <w:r>
        <w:rPr>
          <w:sz w:val="14"/>
        </w:rPr>
        <w:t>15.0</w:t>
      </w:r>
    </w:p>
    <w:p>
      <w:pPr>
        <w:spacing w:line="156" w:lineRule="exact" w:before="0"/>
        <w:ind w:left="191" w:right="0" w:firstLine="0"/>
        <w:jc w:val="left"/>
        <w:rPr>
          <w:sz w:val="14"/>
        </w:rPr>
      </w:pPr>
      <w:r>
        <w:rPr>
          <w:sz w:val="14"/>
        </w:rPr>
        <w:t>1215</w:t>
      </w:r>
    </w:p>
    <w:p>
      <w:pPr>
        <w:pStyle w:val="BodyText"/>
        <w:spacing w:before="7"/>
        <w:rPr>
          <w:sz w:val="13"/>
        </w:rPr>
      </w:pPr>
    </w:p>
    <w:p>
      <w:pPr>
        <w:spacing w:before="1"/>
        <w:ind w:left="191" w:right="0" w:firstLine="0"/>
        <w:jc w:val="left"/>
        <w:rPr>
          <w:sz w:val="14"/>
        </w:rPr>
      </w:pPr>
      <w:r>
        <w:rPr>
          <w:sz w:val="14"/>
        </w:rPr>
        <w:t>1237</w:t>
      </w:r>
    </w:p>
    <w:p>
      <w:pPr>
        <w:pStyle w:val="BodyText"/>
        <w:spacing w:before="7"/>
        <w:rPr>
          <w:sz w:val="13"/>
        </w:rPr>
      </w:pPr>
    </w:p>
    <w:p>
      <w:pPr>
        <w:spacing w:line="156" w:lineRule="exact" w:before="0"/>
        <w:ind w:left="243" w:right="0" w:firstLine="0"/>
        <w:jc w:val="left"/>
        <w:rPr>
          <w:sz w:val="14"/>
        </w:rPr>
      </w:pPr>
      <w:r>
        <w:rPr>
          <w:sz w:val="14"/>
        </w:rPr>
        <w:t>1.8</w:t>
      </w:r>
    </w:p>
    <w:p>
      <w:pPr>
        <w:spacing w:line="156" w:lineRule="exact" w:before="0"/>
        <w:ind w:left="208" w:right="0" w:firstLine="0"/>
        <w:jc w:val="left"/>
        <w:rPr>
          <w:sz w:val="14"/>
        </w:rPr>
      </w:pPr>
      <w:r>
        <w:rPr>
          <w:sz w:val="14"/>
        </w:rPr>
        <w:t>42.9</w:t>
      </w:r>
    </w:p>
    <w:p>
      <w:pPr>
        <w:pStyle w:val="BodyText"/>
        <w:spacing w:before="8"/>
        <w:rPr>
          <w:sz w:val="13"/>
        </w:rPr>
      </w:pPr>
    </w:p>
    <w:p>
      <w:pPr>
        <w:spacing w:before="0"/>
        <w:ind w:left="208" w:right="0" w:firstLine="0"/>
        <w:jc w:val="left"/>
        <w:rPr>
          <w:sz w:val="14"/>
        </w:rPr>
      </w:pPr>
      <w:r>
        <w:rPr>
          <w:sz w:val="14"/>
        </w:rPr>
        <w:t>42.9</w:t>
      </w:r>
    </w:p>
    <w:p>
      <w:pPr>
        <w:pStyle w:val="BodyText"/>
        <w:spacing w:before="8"/>
        <w:rPr>
          <w:sz w:val="13"/>
        </w:rPr>
      </w:pPr>
    </w:p>
    <w:p>
      <w:pPr>
        <w:spacing w:before="0"/>
        <w:ind w:left="243" w:right="0" w:firstLine="0"/>
        <w:jc w:val="left"/>
        <w:rPr>
          <w:sz w:val="14"/>
        </w:rPr>
      </w:pPr>
      <w:r>
        <w:rPr>
          <w:sz w:val="14"/>
        </w:rPr>
        <w:t>0.0</w:t>
      </w:r>
    </w:p>
    <w:p>
      <w:pPr>
        <w:pStyle w:val="BodyText"/>
        <w:spacing w:before="8"/>
        <w:rPr>
          <w:sz w:val="13"/>
        </w:rPr>
      </w:pPr>
    </w:p>
    <w:p>
      <w:pPr>
        <w:spacing w:before="0"/>
        <w:ind w:left="208" w:right="0" w:firstLine="0"/>
        <w:jc w:val="left"/>
        <w:rPr>
          <w:b/>
          <w:sz w:val="14"/>
        </w:rPr>
      </w:pPr>
      <w:r>
        <w:rPr>
          <w:b/>
          <w:sz w:val="14"/>
        </w:rPr>
        <w:t>8.68</w:t>
      </w:r>
    </w:p>
    <w:p>
      <w:pPr>
        <w:pStyle w:val="BodyText"/>
        <w:spacing w:before="8"/>
        <w:rPr>
          <w:b/>
          <w:sz w:val="13"/>
        </w:rPr>
      </w:pPr>
    </w:p>
    <w:p>
      <w:pPr>
        <w:spacing w:before="0"/>
        <w:ind w:left="208" w:right="0" w:firstLine="0"/>
        <w:jc w:val="left"/>
        <w:rPr>
          <w:b/>
          <w:sz w:val="14"/>
        </w:rPr>
      </w:pPr>
      <w:r>
        <w:rPr>
          <w:b/>
          <w:sz w:val="14"/>
        </w:rPr>
        <w:t>9.37</w:t>
      </w:r>
    </w:p>
    <w:p>
      <w:pPr>
        <w:pStyle w:val="BodyText"/>
        <w:spacing w:before="8"/>
        <w:rPr>
          <w:b/>
          <w:sz w:val="13"/>
        </w:rPr>
      </w:pPr>
    </w:p>
    <w:p>
      <w:pPr>
        <w:spacing w:before="0"/>
        <w:ind w:left="208" w:right="0" w:firstLine="0"/>
        <w:jc w:val="left"/>
        <w:rPr>
          <w:b/>
          <w:sz w:val="14"/>
        </w:rPr>
      </w:pPr>
      <w:r>
        <w:rPr>
          <w:b/>
          <w:sz w:val="14"/>
        </w:rPr>
        <w:t>0.69</w:t>
      </w:r>
    </w:p>
    <w:p>
      <w:pPr>
        <w:pStyle w:val="BodyText"/>
        <w:spacing w:before="8"/>
        <w:rPr>
          <w:b/>
          <w:sz w:val="13"/>
        </w:rPr>
      </w:pPr>
    </w:p>
    <w:p>
      <w:pPr>
        <w:spacing w:before="0"/>
        <w:ind w:left="243" w:right="0" w:firstLine="0"/>
        <w:jc w:val="left"/>
        <w:rPr>
          <w:b/>
          <w:sz w:val="14"/>
        </w:rPr>
      </w:pPr>
      <w:r>
        <w:rPr>
          <w:b/>
          <w:sz w:val="14"/>
        </w:rPr>
        <w:t>7.9</w:t>
      </w:r>
    </w:p>
    <w:p>
      <w:pPr>
        <w:pStyle w:val="BodyText"/>
        <w:spacing w:before="7"/>
        <w:rPr>
          <w:b/>
          <w:sz w:val="13"/>
        </w:rPr>
      </w:pPr>
    </w:p>
    <w:p>
      <w:pPr>
        <w:spacing w:before="1"/>
        <w:ind w:left="208" w:right="0" w:firstLine="0"/>
        <w:jc w:val="left"/>
        <w:rPr>
          <w:sz w:val="14"/>
        </w:rPr>
      </w:pPr>
      <w:r>
        <w:rPr>
          <w:sz w:val="14"/>
        </w:rPr>
        <w:t>13.3</w:t>
      </w:r>
    </w:p>
    <w:p>
      <w:pPr>
        <w:pStyle w:val="BodyText"/>
        <w:spacing w:before="7"/>
        <w:rPr>
          <w:sz w:val="13"/>
        </w:rPr>
      </w:pPr>
    </w:p>
    <w:p>
      <w:pPr>
        <w:spacing w:before="1"/>
        <w:ind w:left="208" w:right="0" w:firstLine="0"/>
        <w:jc w:val="left"/>
        <w:rPr>
          <w:sz w:val="14"/>
        </w:rPr>
      </w:pPr>
      <w:r>
        <w:rPr>
          <w:sz w:val="14"/>
        </w:rPr>
        <w:t>13.0</w:t>
      </w:r>
    </w:p>
    <w:p>
      <w:pPr>
        <w:spacing w:line="130" w:lineRule="exact" w:before="0"/>
        <w:ind w:left="173" w:right="0" w:firstLine="0"/>
        <w:jc w:val="left"/>
        <w:rPr>
          <w:sz w:val="14"/>
        </w:rPr>
      </w:pPr>
      <w:r>
        <w:rPr/>
        <w:br w:type="column"/>
      </w:r>
      <w:r>
        <w:rPr>
          <w:sz w:val="14"/>
        </w:rPr>
        <w:t>1.819</w:t>
      </w:r>
    </w:p>
    <w:p>
      <w:pPr>
        <w:spacing w:line="156" w:lineRule="exact" w:before="0"/>
        <w:ind w:left="261" w:right="0" w:firstLine="0"/>
        <w:jc w:val="left"/>
        <w:rPr>
          <w:sz w:val="14"/>
        </w:rPr>
      </w:pPr>
      <w:r>
        <w:rPr>
          <w:sz w:val="14"/>
        </w:rPr>
        <w:t>15</w:t>
      </w:r>
    </w:p>
    <w:p>
      <w:pPr>
        <w:pStyle w:val="BodyText"/>
        <w:rPr>
          <w:sz w:val="14"/>
        </w:rPr>
      </w:pPr>
    </w:p>
    <w:p>
      <w:pPr>
        <w:pStyle w:val="BodyText"/>
        <w:spacing w:before="8"/>
        <w:rPr>
          <w:sz w:val="12"/>
        </w:rPr>
      </w:pPr>
    </w:p>
    <w:p>
      <w:pPr>
        <w:spacing w:before="0"/>
        <w:ind w:left="261" w:right="0" w:firstLine="0"/>
        <w:jc w:val="left"/>
        <w:rPr>
          <w:sz w:val="14"/>
        </w:rPr>
      </w:pPr>
      <w:r>
        <w:rPr>
          <w:sz w:val="14"/>
        </w:rPr>
        <w:t>31</w:t>
      </w:r>
    </w:p>
    <w:p>
      <w:pPr>
        <w:pStyle w:val="BodyText"/>
        <w:rPr>
          <w:sz w:val="14"/>
        </w:rPr>
      </w:pPr>
    </w:p>
    <w:p>
      <w:pPr>
        <w:pStyle w:val="BodyText"/>
        <w:rPr>
          <w:sz w:val="14"/>
        </w:rPr>
      </w:pPr>
    </w:p>
    <w:p>
      <w:pPr>
        <w:pStyle w:val="BodyText"/>
        <w:rPr>
          <w:sz w:val="14"/>
        </w:rPr>
      </w:pPr>
    </w:p>
    <w:p>
      <w:pPr>
        <w:pStyle w:val="BodyText"/>
        <w:spacing w:before="7"/>
        <w:rPr>
          <w:sz w:val="16"/>
        </w:rPr>
      </w:pPr>
    </w:p>
    <w:p>
      <w:pPr>
        <w:spacing w:line="156" w:lineRule="exact" w:before="1"/>
        <w:ind w:left="208" w:right="0" w:firstLine="0"/>
        <w:jc w:val="left"/>
        <w:rPr>
          <w:sz w:val="14"/>
        </w:rPr>
      </w:pPr>
      <w:r>
        <w:rPr>
          <w:sz w:val="14"/>
        </w:rPr>
        <w:t>15.0</w:t>
      </w:r>
    </w:p>
    <w:p>
      <w:pPr>
        <w:spacing w:line="156" w:lineRule="exact" w:before="0"/>
        <w:ind w:left="191" w:right="0" w:firstLine="0"/>
        <w:jc w:val="left"/>
        <w:rPr>
          <w:sz w:val="14"/>
        </w:rPr>
      </w:pPr>
      <w:r>
        <w:rPr>
          <w:sz w:val="14"/>
        </w:rPr>
        <w:t>1215</w:t>
      </w:r>
    </w:p>
    <w:p>
      <w:pPr>
        <w:pStyle w:val="BodyText"/>
        <w:spacing w:before="7"/>
        <w:rPr>
          <w:sz w:val="13"/>
        </w:rPr>
      </w:pPr>
    </w:p>
    <w:p>
      <w:pPr>
        <w:spacing w:before="0"/>
        <w:ind w:left="191" w:right="0" w:firstLine="0"/>
        <w:jc w:val="left"/>
        <w:rPr>
          <w:sz w:val="14"/>
        </w:rPr>
      </w:pPr>
      <w:r>
        <w:rPr>
          <w:sz w:val="14"/>
        </w:rPr>
        <w:t>1090</w:t>
      </w:r>
    </w:p>
    <w:p>
      <w:pPr>
        <w:pStyle w:val="BodyText"/>
        <w:spacing w:before="8"/>
        <w:rPr>
          <w:sz w:val="13"/>
        </w:rPr>
      </w:pPr>
    </w:p>
    <w:p>
      <w:pPr>
        <w:spacing w:line="156" w:lineRule="exact" w:before="0"/>
        <w:ind w:left="185" w:right="0" w:firstLine="0"/>
        <w:jc w:val="left"/>
        <w:rPr>
          <w:sz w:val="14"/>
        </w:rPr>
      </w:pPr>
      <w:r>
        <w:rPr>
          <w:sz w:val="14"/>
        </w:rPr>
        <w:t>-10.3</w:t>
      </w:r>
    </w:p>
    <w:p>
      <w:pPr>
        <w:spacing w:line="156" w:lineRule="exact" w:before="0"/>
        <w:ind w:left="208" w:right="0" w:firstLine="0"/>
        <w:jc w:val="left"/>
        <w:rPr>
          <w:sz w:val="14"/>
        </w:rPr>
      </w:pPr>
      <w:r>
        <w:rPr>
          <w:sz w:val="14"/>
        </w:rPr>
        <w:t>42.9</w:t>
      </w:r>
    </w:p>
    <w:p>
      <w:pPr>
        <w:pStyle w:val="BodyText"/>
        <w:spacing w:before="8"/>
        <w:rPr>
          <w:sz w:val="13"/>
        </w:rPr>
      </w:pPr>
    </w:p>
    <w:p>
      <w:pPr>
        <w:spacing w:before="0"/>
        <w:ind w:left="208" w:right="0" w:firstLine="0"/>
        <w:jc w:val="left"/>
        <w:rPr>
          <w:sz w:val="14"/>
        </w:rPr>
      </w:pPr>
      <w:r>
        <w:rPr>
          <w:sz w:val="14"/>
        </w:rPr>
        <w:t>42.9</w:t>
      </w:r>
    </w:p>
    <w:p>
      <w:pPr>
        <w:pStyle w:val="BodyText"/>
        <w:spacing w:before="8"/>
        <w:rPr>
          <w:sz w:val="13"/>
        </w:rPr>
      </w:pPr>
    </w:p>
    <w:p>
      <w:pPr>
        <w:spacing w:before="0"/>
        <w:ind w:left="243" w:right="0" w:firstLine="0"/>
        <w:jc w:val="left"/>
        <w:rPr>
          <w:sz w:val="14"/>
        </w:rPr>
      </w:pPr>
      <w:r>
        <w:rPr>
          <w:sz w:val="14"/>
        </w:rPr>
        <w:t>0.0</w:t>
      </w:r>
    </w:p>
    <w:p>
      <w:pPr>
        <w:pStyle w:val="BodyText"/>
        <w:spacing w:before="8"/>
        <w:rPr>
          <w:sz w:val="13"/>
        </w:rPr>
      </w:pPr>
    </w:p>
    <w:p>
      <w:pPr>
        <w:spacing w:before="0"/>
        <w:ind w:left="208" w:right="0" w:firstLine="0"/>
        <w:jc w:val="left"/>
        <w:rPr>
          <w:b/>
          <w:sz w:val="14"/>
        </w:rPr>
      </w:pPr>
      <w:r>
        <w:rPr>
          <w:b/>
          <w:sz w:val="14"/>
        </w:rPr>
        <w:t>8.68</w:t>
      </w:r>
    </w:p>
    <w:p>
      <w:pPr>
        <w:pStyle w:val="BodyText"/>
        <w:spacing w:before="8"/>
        <w:rPr>
          <w:b/>
          <w:sz w:val="13"/>
        </w:rPr>
      </w:pPr>
    </w:p>
    <w:p>
      <w:pPr>
        <w:spacing w:before="0"/>
        <w:ind w:left="208" w:right="0" w:firstLine="0"/>
        <w:jc w:val="left"/>
        <w:rPr>
          <w:b/>
          <w:sz w:val="14"/>
        </w:rPr>
      </w:pPr>
      <w:r>
        <w:rPr>
          <w:b/>
          <w:sz w:val="14"/>
        </w:rPr>
        <w:t>7.57</w:t>
      </w:r>
    </w:p>
    <w:p>
      <w:pPr>
        <w:pStyle w:val="BodyText"/>
        <w:spacing w:before="8"/>
        <w:rPr>
          <w:b/>
          <w:sz w:val="13"/>
        </w:rPr>
      </w:pPr>
    </w:p>
    <w:p>
      <w:pPr>
        <w:spacing w:before="0"/>
        <w:ind w:left="189" w:right="0" w:firstLine="0"/>
        <w:jc w:val="left"/>
        <w:rPr>
          <w:b/>
          <w:sz w:val="14"/>
        </w:rPr>
      </w:pPr>
      <w:r>
        <w:rPr>
          <w:b/>
          <w:sz w:val="14"/>
        </w:rPr>
        <w:t>-1.11</w:t>
      </w:r>
    </w:p>
    <w:p>
      <w:pPr>
        <w:pStyle w:val="BodyText"/>
        <w:spacing w:before="7"/>
        <w:rPr>
          <w:b/>
          <w:sz w:val="13"/>
        </w:rPr>
      </w:pPr>
    </w:p>
    <w:p>
      <w:pPr>
        <w:spacing w:before="1"/>
        <w:ind w:left="185" w:right="0" w:firstLine="0"/>
        <w:jc w:val="left"/>
        <w:rPr>
          <w:b/>
          <w:sz w:val="14"/>
        </w:rPr>
      </w:pPr>
      <w:r>
        <w:rPr>
          <w:b/>
          <w:sz w:val="14"/>
        </w:rPr>
        <w:t>-12.8</w:t>
      </w:r>
    </w:p>
    <w:p>
      <w:pPr>
        <w:pStyle w:val="BodyText"/>
        <w:spacing w:before="7"/>
        <w:rPr>
          <w:b/>
          <w:sz w:val="13"/>
        </w:rPr>
      </w:pPr>
    </w:p>
    <w:p>
      <w:pPr>
        <w:spacing w:before="1"/>
        <w:ind w:left="185" w:right="0" w:firstLine="0"/>
        <w:jc w:val="left"/>
        <w:rPr>
          <w:sz w:val="14"/>
        </w:rPr>
      </w:pPr>
      <w:r>
        <w:rPr>
          <w:sz w:val="14"/>
        </w:rPr>
        <w:t>-18.4</w:t>
      </w:r>
    </w:p>
    <w:p>
      <w:pPr>
        <w:pStyle w:val="BodyText"/>
        <w:spacing w:before="7"/>
        <w:rPr>
          <w:sz w:val="13"/>
        </w:rPr>
      </w:pPr>
    </w:p>
    <w:p>
      <w:pPr>
        <w:spacing w:before="0"/>
        <w:ind w:left="185" w:right="0" w:firstLine="0"/>
        <w:jc w:val="left"/>
        <w:rPr>
          <w:sz w:val="14"/>
        </w:rPr>
      </w:pPr>
      <w:r>
        <w:rPr>
          <w:sz w:val="14"/>
        </w:rPr>
        <w:t>-18.3</w:t>
      </w:r>
    </w:p>
    <w:p>
      <w:pPr>
        <w:spacing w:line="130" w:lineRule="exact" w:before="0"/>
        <w:ind w:left="173" w:right="0" w:firstLine="0"/>
        <w:jc w:val="left"/>
        <w:rPr>
          <w:sz w:val="14"/>
        </w:rPr>
      </w:pPr>
      <w:r>
        <w:rPr/>
        <w:br w:type="column"/>
      </w:r>
      <w:r>
        <w:rPr>
          <w:sz w:val="14"/>
        </w:rPr>
        <w:t>1.479</w:t>
      </w:r>
    </w:p>
    <w:p>
      <w:pPr>
        <w:spacing w:line="150" w:lineRule="exact" w:before="0"/>
        <w:ind w:left="261" w:right="0" w:firstLine="0"/>
        <w:jc w:val="left"/>
        <w:rPr>
          <w:sz w:val="14"/>
        </w:rPr>
      </w:pPr>
      <w:r>
        <w:rPr>
          <w:sz w:val="14"/>
        </w:rPr>
        <w:t>15</w:t>
      </w:r>
    </w:p>
    <w:p>
      <w:pPr>
        <w:spacing w:line="156" w:lineRule="exact" w:before="0"/>
        <w:ind w:left="243" w:right="0" w:firstLine="0"/>
        <w:jc w:val="left"/>
        <w:rPr>
          <w:sz w:val="14"/>
        </w:rPr>
      </w:pPr>
      <w:r>
        <w:rPr>
          <w:sz w:val="14"/>
        </w:rPr>
        <w:t>2.0</w:t>
      </w:r>
    </w:p>
    <w:p>
      <w:pPr>
        <w:pStyle w:val="BodyText"/>
        <w:rPr>
          <w:sz w:val="14"/>
        </w:rPr>
      </w:pPr>
    </w:p>
    <w:p>
      <w:pPr>
        <w:pStyle w:val="BodyText"/>
        <w:rPr>
          <w:sz w:val="14"/>
        </w:rPr>
      </w:pPr>
    </w:p>
    <w:p>
      <w:pPr>
        <w:pStyle w:val="BodyText"/>
        <w:rPr>
          <w:sz w:val="14"/>
        </w:rPr>
      </w:pPr>
    </w:p>
    <w:p>
      <w:pPr>
        <w:pStyle w:val="BodyText"/>
        <w:spacing w:before="7"/>
        <w:rPr>
          <w:sz w:val="16"/>
        </w:rPr>
      </w:pPr>
    </w:p>
    <w:p>
      <w:pPr>
        <w:spacing w:before="0"/>
        <w:ind w:left="191" w:right="0" w:firstLine="0"/>
        <w:jc w:val="left"/>
        <w:rPr>
          <w:sz w:val="14"/>
        </w:rPr>
      </w:pPr>
      <w:r>
        <w:rPr>
          <w:sz w:val="14"/>
        </w:rPr>
        <w:t>2003</w:t>
      </w:r>
    </w:p>
    <w:p>
      <w:pPr>
        <w:pStyle w:val="BodyText"/>
        <w:spacing w:before="8"/>
        <w:rPr>
          <w:sz w:val="13"/>
        </w:rPr>
      </w:pPr>
    </w:p>
    <w:p>
      <w:pPr>
        <w:spacing w:line="156" w:lineRule="exact" w:before="0"/>
        <w:ind w:left="208" w:right="0" w:firstLine="0"/>
        <w:jc w:val="left"/>
        <w:rPr>
          <w:sz w:val="14"/>
        </w:rPr>
      </w:pPr>
      <w:r>
        <w:rPr>
          <w:sz w:val="14"/>
        </w:rPr>
        <w:t>15.0</w:t>
      </w:r>
    </w:p>
    <w:p>
      <w:pPr>
        <w:spacing w:line="156" w:lineRule="exact" w:before="0"/>
        <w:ind w:left="194" w:right="0" w:firstLine="0"/>
        <w:jc w:val="left"/>
        <w:rPr>
          <w:sz w:val="14"/>
        </w:rPr>
      </w:pPr>
      <w:r>
        <w:rPr>
          <w:sz w:val="14"/>
        </w:rPr>
        <w:t>1161</w:t>
      </w:r>
    </w:p>
    <w:p>
      <w:pPr>
        <w:pStyle w:val="BodyText"/>
        <w:spacing w:before="7"/>
        <w:rPr>
          <w:sz w:val="13"/>
        </w:rPr>
      </w:pPr>
    </w:p>
    <w:p>
      <w:pPr>
        <w:spacing w:before="1"/>
        <w:ind w:left="191" w:right="0" w:firstLine="0"/>
        <w:jc w:val="left"/>
        <w:rPr>
          <w:sz w:val="14"/>
        </w:rPr>
      </w:pPr>
      <w:r>
        <w:rPr>
          <w:sz w:val="14"/>
        </w:rPr>
        <w:t>1066</w:t>
      </w:r>
    </w:p>
    <w:p>
      <w:pPr>
        <w:pStyle w:val="BodyText"/>
        <w:spacing w:before="7"/>
        <w:rPr>
          <w:sz w:val="13"/>
        </w:rPr>
      </w:pPr>
    </w:p>
    <w:p>
      <w:pPr>
        <w:spacing w:line="156" w:lineRule="exact" w:before="0"/>
        <w:ind w:left="220" w:right="0" w:firstLine="0"/>
        <w:jc w:val="left"/>
        <w:rPr>
          <w:sz w:val="14"/>
        </w:rPr>
      </w:pPr>
      <w:r>
        <w:rPr>
          <w:sz w:val="14"/>
        </w:rPr>
        <w:t>-8.1</w:t>
      </w:r>
    </w:p>
    <w:p>
      <w:pPr>
        <w:spacing w:line="156" w:lineRule="exact" w:before="0"/>
        <w:ind w:left="208" w:right="0" w:firstLine="0"/>
        <w:jc w:val="left"/>
        <w:rPr>
          <w:sz w:val="14"/>
        </w:rPr>
      </w:pPr>
      <w:r>
        <w:rPr>
          <w:sz w:val="14"/>
        </w:rPr>
        <w:t>44.1</w:t>
      </w:r>
    </w:p>
    <w:p>
      <w:pPr>
        <w:pStyle w:val="BodyText"/>
        <w:spacing w:before="8"/>
        <w:rPr>
          <w:sz w:val="13"/>
        </w:rPr>
      </w:pPr>
    </w:p>
    <w:p>
      <w:pPr>
        <w:spacing w:before="0"/>
        <w:ind w:left="208" w:right="0" w:firstLine="0"/>
        <w:jc w:val="left"/>
        <w:rPr>
          <w:sz w:val="14"/>
        </w:rPr>
      </w:pPr>
      <w:r>
        <w:rPr>
          <w:sz w:val="14"/>
        </w:rPr>
        <w:t>58.0</w:t>
      </w:r>
    </w:p>
    <w:p>
      <w:pPr>
        <w:pStyle w:val="BodyText"/>
        <w:spacing w:before="8"/>
        <w:rPr>
          <w:sz w:val="13"/>
        </w:rPr>
      </w:pPr>
    </w:p>
    <w:p>
      <w:pPr>
        <w:spacing w:before="0"/>
        <w:ind w:left="208" w:right="0" w:firstLine="0"/>
        <w:jc w:val="left"/>
        <w:rPr>
          <w:sz w:val="14"/>
        </w:rPr>
      </w:pPr>
      <w:r>
        <w:rPr>
          <w:sz w:val="14"/>
        </w:rPr>
        <w:t>31.5</w:t>
      </w:r>
    </w:p>
    <w:p>
      <w:pPr>
        <w:pStyle w:val="BodyText"/>
        <w:spacing w:before="8"/>
        <w:rPr>
          <w:sz w:val="13"/>
        </w:rPr>
      </w:pPr>
    </w:p>
    <w:p>
      <w:pPr>
        <w:spacing w:before="0"/>
        <w:ind w:left="208" w:right="0" w:firstLine="0"/>
        <w:jc w:val="left"/>
        <w:rPr>
          <w:b/>
          <w:sz w:val="14"/>
        </w:rPr>
      </w:pPr>
      <w:r>
        <w:rPr>
          <w:b/>
          <w:sz w:val="14"/>
        </w:rPr>
        <w:t>7.41</w:t>
      </w:r>
    </w:p>
    <w:p>
      <w:pPr>
        <w:pStyle w:val="BodyText"/>
        <w:spacing w:before="8"/>
        <w:rPr>
          <w:b/>
          <w:sz w:val="13"/>
        </w:rPr>
      </w:pPr>
    </w:p>
    <w:p>
      <w:pPr>
        <w:spacing w:before="0"/>
        <w:ind w:left="208" w:right="0" w:firstLine="0"/>
        <w:jc w:val="left"/>
        <w:rPr>
          <w:b/>
          <w:sz w:val="14"/>
        </w:rPr>
      </w:pPr>
      <w:r>
        <w:rPr>
          <w:b/>
          <w:sz w:val="14"/>
        </w:rPr>
        <w:t>6.73</w:t>
      </w:r>
    </w:p>
    <w:p>
      <w:pPr>
        <w:pStyle w:val="BodyText"/>
        <w:spacing w:before="8"/>
        <w:rPr>
          <w:b/>
          <w:sz w:val="13"/>
        </w:rPr>
      </w:pPr>
    </w:p>
    <w:p>
      <w:pPr>
        <w:spacing w:before="0"/>
        <w:ind w:left="185" w:right="0" w:firstLine="0"/>
        <w:jc w:val="left"/>
        <w:rPr>
          <w:b/>
          <w:sz w:val="14"/>
        </w:rPr>
      </w:pPr>
      <w:r>
        <w:rPr>
          <w:b/>
          <w:sz w:val="14"/>
        </w:rPr>
        <w:t>-0.68</w:t>
      </w:r>
    </w:p>
    <w:p>
      <w:pPr>
        <w:pStyle w:val="BodyText"/>
        <w:spacing w:before="8"/>
        <w:rPr>
          <w:b/>
          <w:sz w:val="13"/>
        </w:rPr>
      </w:pPr>
    </w:p>
    <w:p>
      <w:pPr>
        <w:spacing w:before="0"/>
        <w:ind w:left="220" w:right="0" w:firstLine="0"/>
        <w:jc w:val="left"/>
        <w:rPr>
          <w:b/>
          <w:sz w:val="14"/>
        </w:rPr>
      </w:pPr>
      <w:r>
        <w:rPr>
          <w:b/>
          <w:sz w:val="14"/>
        </w:rPr>
        <w:t>-9.2</w:t>
      </w:r>
    </w:p>
    <w:p>
      <w:pPr>
        <w:pStyle w:val="BodyText"/>
        <w:spacing w:before="7"/>
        <w:rPr>
          <w:b/>
          <w:sz w:val="13"/>
        </w:rPr>
      </w:pPr>
    </w:p>
    <w:p>
      <w:pPr>
        <w:spacing w:before="1"/>
        <w:ind w:left="185" w:right="0" w:firstLine="0"/>
        <w:jc w:val="left"/>
        <w:rPr>
          <w:sz w:val="14"/>
        </w:rPr>
      </w:pPr>
      <w:r>
        <w:rPr>
          <w:sz w:val="14"/>
        </w:rPr>
        <w:t>-12.4</w:t>
      </w:r>
    </w:p>
    <w:p>
      <w:pPr>
        <w:pStyle w:val="BodyText"/>
        <w:spacing w:before="7"/>
        <w:rPr>
          <w:sz w:val="13"/>
        </w:rPr>
      </w:pPr>
    </w:p>
    <w:p>
      <w:pPr>
        <w:spacing w:before="1"/>
        <w:ind w:left="185" w:right="0" w:firstLine="0"/>
        <w:jc w:val="left"/>
        <w:rPr>
          <w:sz w:val="14"/>
        </w:rPr>
      </w:pPr>
      <w:r>
        <w:rPr>
          <w:sz w:val="14"/>
        </w:rPr>
        <w:t>-13.3</w:t>
      </w:r>
    </w:p>
    <w:p>
      <w:pPr>
        <w:spacing w:line="130" w:lineRule="exact" w:before="0"/>
        <w:ind w:left="121" w:right="0" w:firstLine="0"/>
        <w:jc w:val="center"/>
        <w:rPr>
          <w:sz w:val="14"/>
        </w:rPr>
      </w:pPr>
      <w:r>
        <w:rPr/>
        <w:br w:type="column"/>
      </w:r>
      <w:r>
        <w:rPr>
          <w:sz w:val="14"/>
        </w:rPr>
        <w:t>3.692</w:t>
      </w:r>
    </w:p>
    <w:p>
      <w:pPr>
        <w:spacing w:line="150" w:lineRule="exact" w:before="0"/>
        <w:ind w:left="121" w:right="0" w:firstLine="0"/>
        <w:jc w:val="center"/>
        <w:rPr>
          <w:sz w:val="14"/>
        </w:rPr>
      </w:pPr>
      <w:r>
        <w:rPr>
          <w:sz w:val="14"/>
        </w:rPr>
        <w:t>15</w:t>
      </w:r>
    </w:p>
    <w:p>
      <w:pPr>
        <w:spacing w:line="156" w:lineRule="exact" w:before="0"/>
        <w:ind w:left="121" w:right="0" w:firstLine="0"/>
        <w:jc w:val="center"/>
        <w:rPr>
          <w:sz w:val="14"/>
        </w:rPr>
      </w:pPr>
      <w:r>
        <w:rPr>
          <w:sz w:val="14"/>
        </w:rPr>
        <w:t>12.8</w:t>
      </w:r>
    </w:p>
    <w:p>
      <w:pPr>
        <w:pStyle w:val="BodyText"/>
        <w:rPr>
          <w:sz w:val="14"/>
        </w:rPr>
      </w:pPr>
    </w:p>
    <w:p>
      <w:pPr>
        <w:pStyle w:val="BodyText"/>
        <w:rPr>
          <w:sz w:val="14"/>
        </w:rPr>
      </w:pPr>
    </w:p>
    <w:p>
      <w:pPr>
        <w:pStyle w:val="BodyText"/>
        <w:rPr>
          <w:sz w:val="14"/>
        </w:rPr>
      </w:pPr>
    </w:p>
    <w:p>
      <w:pPr>
        <w:pStyle w:val="BodyText"/>
        <w:spacing w:before="7"/>
        <w:rPr>
          <w:sz w:val="16"/>
        </w:rPr>
      </w:pPr>
    </w:p>
    <w:p>
      <w:pPr>
        <w:spacing w:before="0"/>
        <w:ind w:left="121" w:right="0" w:firstLine="0"/>
        <w:jc w:val="center"/>
        <w:rPr>
          <w:sz w:val="14"/>
        </w:rPr>
      </w:pPr>
      <w:r>
        <w:rPr>
          <w:sz w:val="14"/>
        </w:rPr>
        <w:t>2003</w:t>
      </w:r>
    </w:p>
    <w:p>
      <w:pPr>
        <w:pStyle w:val="BodyText"/>
        <w:spacing w:before="8"/>
        <w:rPr>
          <w:sz w:val="13"/>
        </w:rPr>
      </w:pPr>
    </w:p>
    <w:p>
      <w:pPr>
        <w:spacing w:line="156" w:lineRule="exact" w:before="0"/>
        <w:ind w:left="121" w:right="0" w:firstLine="0"/>
        <w:jc w:val="center"/>
        <w:rPr>
          <w:sz w:val="14"/>
        </w:rPr>
      </w:pPr>
      <w:r>
        <w:rPr>
          <w:sz w:val="14"/>
        </w:rPr>
        <w:t>15.0</w:t>
      </w:r>
    </w:p>
    <w:p>
      <w:pPr>
        <w:spacing w:line="156" w:lineRule="exact" w:before="0"/>
        <w:ind w:left="121" w:right="0" w:firstLine="0"/>
        <w:jc w:val="center"/>
        <w:rPr>
          <w:sz w:val="14"/>
        </w:rPr>
      </w:pPr>
      <w:r>
        <w:rPr>
          <w:sz w:val="14"/>
        </w:rPr>
        <w:t>1161</w:t>
      </w:r>
    </w:p>
    <w:p>
      <w:pPr>
        <w:pStyle w:val="BodyText"/>
        <w:spacing w:before="7"/>
        <w:rPr>
          <w:sz w:val="13"/>
        </w:rPr>
      </w:pPr>
    </w:p>
    <w:p>
      <w:pPr>
        <w:spacing w:before="1"/>
        <w:ind w:left="121" w:right="0" w:firstLine="0"/>
        <w:jc w:val="center"/>
        <w:rPr>
          <w:sz w:val="14"/>
        </w:rPr>
      </w:pPr>
      <w:r>
        <w:rPr>
          <w:sz w:val="14"/>
        </w:rPr>
        <w:t>1128</w:t>
      </w:r>
    </w:p>
    <w:p>
      <w:pPr>
        <w:pStyle w:val="BodyText"/>
        <w:spacing w:before="7"/>
        <w:rPr>
          <w:sz w:val="13"/>
        </w:rPr>
      </w:pPr>
    </w:p>
    <w:p>
      <w:pPr>
        <w:spacing w:line="156" w:lineRule="exact" w:before="0"/>
        <w:ind w:left="121" w:right="0" w:firstLine="0"/>
        <w:jc w:val="center"/>
        <w:rPr>
          <w:sz w:val="14"/>
        </w:rPr>
      </w:pPr>
      <w:r>
        <w:rPr>
          <w:sz w:val="14"/>
        </w:rPr>
        <w:t>-2.8</w:t>
      </w:r>
    </w:p>
    <w:p>
      <w:pPr>
        <w:spacing w:line="156" w:lineRule="exact" w:before="0"/>
        <w:ind w:left="121" w:right="0" w:firstLine="0"/>
        <w:jc w:val="center"/>
        <w:rPr>
          <w:sz w:val="14"/>
        </w:rPr>
      </w:pPr>
      <w:r>
        <w:rPr>
          <w:sz w:val="14"/>
        </w:rPr>
        <w:t>44.1</w:t>
      </w:r>
    </w:p>
    <w:p>
      <w:pPr>
        <w:pStyle w:val="BodyText"/>
        <w:spacing w:before="8"/>
        <w:rPr>
          <w:sz w:val="13"/>
        </w:rPr>
      </w:pPr>
    </w:p>
    <w:p>
      <w:pPr>
        <w:spacing w:before="0"/>
        <w:ind w:left="121" w:right="0" w:firstLine="0"/>
        <w:jc w:val="center"/>
        <w:rPr>
          <w:sz w:val="14"/>
        </w:rPr>
      </w:pPr>
      <w:r>
        <w:rPr>
          <w:sz w:val="14"/>
        </w:rPr>
        <w:t>58.0</w:t>
      </w:r>
    </w:p>
    <w:p>
      <w:pPr>
        <w:pStyle w:val="BodyText"/>
        <w:spacing w:before="8"/>
        <w:rPr>
          <w:sz w:val="13"/>
        </w:rPr>
      </w:pPr>
    </w:p>
    <w:p>
      <w:pPr>
        <w:spacing w:before="0"/>
        <w:ind w:left="121" w:right="0" w:firstLine="0"/>
        <w:jc w:val="center"/>
        <w:rPr>
          <w:sz w:val="14"/>
        </w:rPr>
      </w:pPr>
      <w:r>
        <w:rPr>
          <w:sz w:val="14"/>
        </w:rPr>
        <w:t>31.5</w:t>
      </w:r>
    </w:p>
    <w:p>
      <w:pPr>
        <w:pStyle w:val="BodyText"/>
        <w:spacing w:before="8"/>
        <w:rPr>
          <w:sz w:val="13"/>
        </w:rPr>
      </w:pPr>
    </w:p>
    <w:p>
      <w:pPr>
        <w:spacing w:before="0"/>
        <w:ind w:left="121" w:right="0" w:firstLine="0"/>
        <w:jc w:val="center"/>
        <w:rPr>
          <w:b/>
          <w:sz w:val="14"/>
        </w:rPr>
      </w:pPr>
      <w:r>
        <w:rPr>
          <w:b/>
          <w:sz w:val="14"/>
        </w:rPr>
        <w:t>7.41</w:t>
      </w:r>
    </w:p>
    <w:p>
      <w:pPr>
        <w:pStyle w:val="BodyText"/>
        <w:spacing w:before="8"/>
        <w:rPr>
          <w:b/>
          <w:sz w:val="13"/>
        </w:rPr>
      </w:pPr>
    </w:p>
    <w:p>
      <w:pPr>
        <w:spacing w:before="0"/>
        <w:ind w:left="121" w:right="0" w:firstLine="0"/>
        <w:jc w:val="center"/>
        <w:rPr>
          <w:b/>
          <w:sz w:val="14"/>
        </w:rPr>
      </w:pPr>
      <w:r>
        <w:rPr>
          <w:b/>
          <w:sz w:val="14"/>
        </w:rPr>
        <w:t>7.18</w:t>
      </w:r>
    </w:p>
    <w:p>
      <w:pPr>
        <w:pStyle w:val="BodyText"/>
        <w:spacing w:before="8"/>
        <w:rPr>
          <w:b/>
          <w:sz w:val="13"/>
        </w:rPr>
      </w:pPr>
    </w:p>
    <w:p>
      <w:pPr>
        <w:spacing w:before="0"/>
        <w:ind w:left="121" w:right="0" w:firstLine="0"/>
        <w:jc w:val="center"/>
        <w:rPr>
          <w:b/>
          <w:sz w:val="14"/>
        </w:rPr>
      </w:pPr>
      <w:r>
        <w:rPr>
          <w:b/>
          <w:sz w:val="14"/>
        </w:rPr>
        <w:t>-0.23</w:t>
      </w:r>
    </w:p>
    <w:p>
      <w:pPr>
        <w:pStyle w:val="BodyText"/>
        <w:spacing w:before="8"/>
        <w:rPr>
          <w:b/>
          <w:sz w:val="13"/>
        </w:rPr>
      </w:pPr>
    </w:p>
    <w:p>
      <w:pPr>
        <w:spacing w:before="0"/>
        <w:ind w:left="121" w:right="0" w:firstLine="0"/>
        <w:jc w:val="center"/>
        <w:rPr>
          <w:b/>
          <w:sz w:val="14"/>
        </w:rPr>
      </w:pPr>
      <w:r>
        <w:rPr>
          <w:b/>
          <w:sz w:val="14"/>
        </w:rPr>
        <w:t>-3.1</w:t>
      </w:r>
    </w:p>
    <w:p>
      <w:pPr>
        <w:pStyle w:val="BodyText"/>
        <w:spacing w:before="7"/>
        <w:rPr>
          <w:b/>
          <w:sz w:val="13"/>
        </w:rPr>
      </w:pPr>
    </w:p>
    <w:p>
      <w:pPr>
        <w:spacing w:before="1"/>
        <w:ind w:left="121" w:right="0" w:firstLine="0"/>
        <w:jc w:val="center"/>
        <w:rPr>
          <w:sz w:val="14"/>
        </w:rPr>
      </w:pPr>
      <w:r>
        <w:rPr>
          <w:sz w:val="14"/>
        </w:rPr>
        <w:t>-1.5</w:t>
      </w:r>
    </w:p>
    <w:p>
      <w:pPr>
        <w:pStyle w:val="BodyText"/>
        <w:spacing w:before="7"/>
        <w:rPr>
          <w:sz w:val="13"/>
        </w:rPr>
      </w:pPr>
    </w:p>
    <w:p>
      <w:pPr>
        <w:spacing w:before="1"/>
        <w:ind w:left="121" w:right="0" w:firstLine="0"/>
        <w:jc w:val="center"/>
        <w:rPr>
          <w:sz w:val="14"/>
        </w:rPr>
      </w:pPr>
      <w:r>
        <w:rPr>
          <w:sz w:val="14"/>
        </w:rPr>
        <w:t>-1.8</w:t>
      </w:r>
    </w:p>
    <w:p>
      <w:pPr>
        <w:pStyle w:val="BodyText"/>
        <w:spacing w:before="7"/>
        <w:rPr>
          <w:sz w:val="13"/>
        </w:rPr>
      </w:pPr>
    </w:p>
    <w:p>
      <w:pPr>
        <w:spacing w:before="0"/>
        <w:ind w:left="173" w:right="0" w:firstLine="0"/>
        <w:jc w:val="center"/>
        <w:rPr>
          <w:sz w:val="14"/>
        </w:rPr>
      </w:pPr>
      <w:r>
        <w:rPr>
          <w:sz w:val="14"/>
        </w:rPr>
        <w:t>low to moderate</w:t>
      </w:r>
    </w:p>
    <w:p>
      <w:pPr>
        <w:spacing w:line="130" w:lineRule="exact" w:before="0"/>
        <w:ind w:left="171" w:right="0" w:firstLine="0"/>
        <w:jc w:val="left"/>
        <w:rPr>
          <w:sz w:val="14"/>
        </w:rPr>
      </w:pPr>
      <w:r>
        <w:rPr/>
        <w:br w:type="column"/>
      </w:r>
      <w:r>
        <w:rPr>
          <w:sz w:val="14"/>
        </w:rPr>
        <w:t>3.790</w:t>
      </w:r>
    </w:p>
    <w:p>
      <w:pPr>
        <w:spacing w:line="150" w:lineRule="exact" w:before="0"/>
        <w:ind w:left="258" w:right="0" w:firstLine="0"/>
        <w:jc w:val="left"/>
        <w:rPr>
          <w:sz w:val="14"/>
        </w:rPr>
      </w:pPr>
      <w:r>
        <w:rPr>
          <w:sz w:val="14"/>
        </w:rPr>
        <w:t>15</w:t>
      </w:r>
    </w:p>
    <w:p>
      <w:pPr>
        <w:spacing w:line="156" w:lineRule="exact" w:before="0"/>
        <w:ind w:left="206" w:right="0" w:firstLine="0"/>
        <w:jc w:val="left"/>
        <w:rPr>
          <w:sz w:val="14"/>
        </w:rPr>
      </w:pPr>
      <w:r>
        <w:rPr>
          <w:sz w:val="14"/>
        </w:rPr>
        <w:t>13.0</w:t>
      </w:r>
    </w:p>
    <w:p>
      <w:pPr>
        <w:pStyle w:val="BodyText"/>
        <w:rPr>
          <w:sz w:val="14"/>
        </w:rPr>
      </w:pPr>
    </w:p>
    <w:p>
      <w:pPr>
        <w:pStyle w:val="BodyText"/>
        <w:rPr>
          <w:sz w:val="14"/>
        </w:rPr>
      </w:pPr>
    </w:p>
    <w:p>
      <w:pPr>
        <w:pStyle w:val="BodyText"/>
        <w:rPr>
          <w:sz w:val="14"/>
        </w:rPr>
      </w:pPr>
    </w:p>
    <w:p>
      <w:pPr>
        <w:pStyle w:val="BodyText"/>
        <w:spacing w:before="7"/>
        <w:rPr>
          <w:sz w:val="16"/>
        </w:rPr>
      </w:pPr>
    </w:p>
    <w:p>
      <w:pPr>
        <w:spacing w:before="0"/>
        <w:ind w:left="188" w:right="0" w:firstLine="0"/>
        <w:jc w:val="left"/>
        <w:rPr>
          <w:sz w:val="14"/>
        </w:rPr>
      </w:pPr>
      <w:r>
        <w:rPr>
          <w:sz w:val="14"/>
        </w:rPr>
        <w:t>2003</w:t>
      </w:r>
    </w:p>
    <w:p>
      <w:pPr>
        <w:pStyle w:val="BodyText"/>
        <w:spacing w:before="8"/>
        <w:rPr>
          <w:sz w:val="13"/>
        </w:rPr>
      </w:pPr>
    </w:p>
    <w:p>
      <w:pPr>
        <w:spacing w:line="156" w:lineRule="exact" w:before="0"/>
        <w:ind w:left="206" w:right="0" w:firstLine="0"/>
        <w:jc w:val="left"/>
        <w:rPr>
          <w:sz w:val="14"/>
        </w:rPr>
      </w:pPr>
      <w:r>
        <w:rPr>
          <w:sz w:val="14"/>
        </w:rPr>
        <w:t>15.0</w:t>
      </w:r>
    </w:p>
    <w:p>
      <w:pPr>
        <w:spacing w:line="156" w:lineRule="exact" w:before="0"/>
        <w:ind w:left="191" w:right="0" w:firstLine="0"/>
        <w:jc w:val="left"/>
        <w:rPr>
          <w:sz w:val="14"/>
        </w:rPr>
      </w:pPr>
      <w:r>
        <w:rPr>
          <w:sz w:val="14"/>
        </w:rPr>
        <w:t>1161</w:t>
      </w:r>
    </w:p>
    <w:p>
      <w:pPr>
        <w:pStyle w:val="BodyText"/>
        <w:spacing w:before="7"/>
        <w:rPr>
          <w:sz w:val="13"/>
        </w:rPr>
      </w:pPr>
    </w:p>
    <w:p>
      <w:pPr>
        <w:spacing w:before="1"/>
        <w:ind w:left="191" w:right="0" w:firstLine="0"/>
        <w:jc w:val="left"/>
        <w:rPr>
          <w:sz w:val="14"/>
        </w:rPr>
      </w:pPr>
      <w:r>
        <w:rPr>
          <w:sz w:val="14"/>
        </w:rPr>
        <w:t>1164</w:t>
      </w:r>
    </w:p>
    <w:p>
      <w:pPr>
        <w:pStyle w:val="BodyText"/>
        <w:spacing w:before="7"/>
        <w:rPr>
          <w:sz w:val="13"/>
        </w:rPr>
      </w:pPr>
    </w:p>
    <w:p>
      <w:pPr>
        <w:spacing w:line="156" w:lineRule="exact" w:before="0"/>
        <w:ind w:left="241" w:right="0" w:firstLine="0"/>
        <w:jc w:val="left"/>
        <w:rPr>
          <w:sz w:val="14"/>
        </w:rPr>
      </w:pPr>
      <w:r>
        <w:rPr>
          <w:sz w:val="14"/>
        </w:rPr>
        <w:t>0.2</w:t>
      </w:r>
    </w:p>
    <w:p>
      <w:pPr>
        <w:spacing w:line="156" w:lineRule="exact" w:before="0"/>
        <w:ind w:left="206" w:right="0" w:firstLine="0"/>
        <w:jc w:val="left"/>
        <w:rPr>
          <w:sz w:val="14"/>
        </w:rPr>
      </w:pPr>
      <w:r>
        <w:rPr>
          <w:sz w:val="14"/>
        </w:rPr>
        <w:t>44.1</w:t>
      </w:r>
    </w:p>
    <w:p>
      <w:pPr>
        <w:pStyle w:val="BodyText"/>
        <w:spacing w:before="8"/>
        <w:rPr>
          <w:sz w:val="13"/>
        </w:rPr>
      </w:pPr>
    </w:p>
    <w:p>
      <w:pPr>
        <w:spacing w:before="0"/>
        <w:ind w:left="206" w:right="0" w:firstLine="0"/>
        <w:jc w:val="left"/>
        <w:rPr>
          <w:sz w:val="14"/>
        </w:rPr>
      </w:pPr>
      <w:r>
        <w:rPr>
          <w:sz w:val="14"/>
        </w:rPr>
        <w:t>58.0</w:t>
      </w:r>
    </w:p>
    <w:p>
      <w:pPr>
        <w:pStyle w:val="BodyText"/>
        <w:spacing w:before="8"/>
        <w:rPr>
          <w:sz w:val="13"/>
        </w:rPr>
      </w:pPr>
    </w:p>
    <w:p>
      <w:pPr>
        <w:spacing w:before="0"/>
        <w:ind w:left="206" w:right="0" w:firstLine="0"/>
        <w:jc w:val="left"/>
        <w:rPr>
          <w:sz w:val="14"/>
        </w:rPr>
      </w:pPr>
      <w:r>
        <w:rPr>
          <w:sz w:val="14"/>
        </w:rPr>
        <w:t>31.5</w:t>
      </w:r>
    </w:p>
    <w:p>
      <w:pPr>
        <w:pStyle w:val="BodyText"/>
        <w:spacing w:before="8"/>
        <w:rPr>
          <w:sz w:val="13"/>
        </w:rPr>
      </w:pPr>
    </w:p>
    <w:p>
      <w:pPr>
        <w:spacing w:before="0"/>
        <w:ind w:left="206" w:right="0" w:firstLine="0"/>
        <w:jc w:val="left"/>
        <w:rPr>
          <w:b/>
          <w:sz w:val="14"/>
        </w:rPr>
      </w:pPr>
      <w:r>
        <w:rPr>
          <w:b/>
          <w:sz w:val="14"/>
        </w:rPr>
        <w:t>7.41</w:t>
      </w:r>
    </w:p>
    <w:p>
      <w:pPr>
        <w:pStyle w:val="BodyText"/>
        <w:spacing w:before="8"/>
        <w:rPr>
          <w:b/>
          <w:sz w:val="13"/>
        </w:rPr>
      </w:pPr>
    </w:p>
    <w:p>
      <w:pPr>
        <w:spacing w:before="0"/>
        <w:ind w:left="206" w:right="0" w:firstLine="0"/>
        <w:jc w:val="left"/>
        <w:rPr>
          <w:b/>
          <w:sz w:val="14"/>
        </w:rPr>
      </w:pPr>
      <w:r>
        <w:rPr>
          <w:b/>
          <w:sz w:val="14"/>
        </w:rPr>
        <w:t>7.65</w:t>
      </w:r>
    </w:p>
    <w:p>
      <w:pPr>
        <w:pStyle w:val="BodyText"/>
        <w:spacing w:before="8"/>
        <w:rPr>
          <w:b/>
          <w:sz w:val="13"/>
        </w:rPr>
      </w:pPr>
    </w:p>
    <w:p>
      <w:pPr>
        <w:spacing w:before="0"/>
        <w:ind w:left="206" w:right="0" w:firstLine="0"/>
        <w:jc w:val="left"/>
        <w:rPr>
          <w:b/>
          <w:sz w:val="14"/>
        </w:rPr>
      </w:pPr>
      <w:r>
        <w:rPr>
          <w:b/>
          <w:sz w:val="14"/>
        </w:rPr>
        <w:t>0.24</w:t>
      </w:r>
    </w:p>
    <w:p>
      <w:pPr>
        <w:pStyle w:val="BodyText"/>
        <w:spacing w:before="8"/>
        <w:rPr>
          <w:b/>
          <w:sz w:val="13"/>
        </w:rPr>
      </w:pPr>
    </w:p>
    <w:p>
      <w:pPr>
        <w:spacing w:before="0"/>
        <w:ind w:left="241" w:right="0" w:firstLine="0"/>
        <w:jc w:val="left"/>
        <w:rPr>
          <w:b/>
          <w:sz w:val="14"/>
        </w:rPr>
      </w:pPr>
      <w:r>
        <w:rPr>
          <w:b/>
          <w:sz w:val="14"/>
        </w:rPr>
        <w:t>3.2</w:t>
      </w:r>
    </w:p>
    <w:p>
      <w:pPr>
        <w:pStyle w:val="BodyText"/>
        <w:spacing w:before="7"/>
        <w:rPr>
          <w:b/>
          <w:sz w:val="13"/>
        </w:rPr>
      </w:pPr>
    </w:p>
    <w:p>
      <w:pPr>
        <w:spacing w:before="1"/>
        <w:ind w:left="241" w:right="0" w:firstLine="0"/>
        <w:jc w:val="left"/>
        <w:rPr>
          <w:sz w:val="14"/>
        </w:rPr>
      </w:pPr>
      <w:r>
        <w:rPr>
          <w:sz w:val="14"/>
        </w:rPr>
        <w:t>1.5</w:t>
      </w:r>
    </w:p>
    <w:p>
      <w:pPr>
        <w:pStyle w:val="BodyText"/>
        <w:spacing w:before="7"/>
        <w:rPr>
          <w:sz w:val="13"/>
        </w:rPr>
      </w:pPr>
    </w:p>
    <w:p>
      <w:pPr>
        <w:spacing w:before="1"/>
        <w:ind w:left="241" w:right="0" w:firstLine="0"/>
        <w:jc w:val="left"/>
        <w:rPr>
          <w:sz w:val="14"/>
        </w:rPr>
      </w:pPr>
      <w:r>
        <w:rPr>
          <w:sz w:val="14"/>
        </w:rPr>
        <w:t>1.8</w:t>
      </w:r>
    </w:p>
    <w:p>
      <w:pPr>
        <w:spacing w:line="130" w:lineRule="exact" w:before="0"/>
        <w:ind w:left="173" w:right="0" w:firstLine="0"/>
        <w:jc w:val="left"/>
        <w:rPr>
          <w:sz w:val="14"/>
        </w:rPr>
      </w:pPr>
      <w:r>
        <w:rPr/>
        <w:br w:type="column"/>
      </w:r>
      <w:r>
        <w:rPr>
          <w:sz w:val="14"/>
        </w:rPr>
        <w:t>4.021</w:t>
      </w:r>
    </w:p>
    <w:p>
      <w:pPr>
        <w:spacing w:line="150" w:lineRule="exact" w:before="0"/>
        <w:ind w:left="261" w:right="0" w:firstLine="0"/>
        <w:jc w:val="left"/>
        <w:rPr>
          <w:sz w:val="14"/>
        </w:rPr>
      </w:pPr>
      <w:r>
        <w:rPr>
          <w:sz w:val="14"/>
        </w:rPr>
        <w:t>15</w:t>
      </w:r>
    </w:p>
    <w:p>
      <w:pPr>
        <w:spacing w:line="156" w:lineRule="exact" w:before="0"/>
        <w:ind w:left="208" w:right="0" w:firstLine="0"/>
        <w:jc w:val="left"/>
        <w:rPr>
          <w:sz w:val="14"/>
        </w:rPr>
      </w:pPr>
      <w:r>
        <w:rPr>
          <w:sz w:val="14"/>
        </w:rPr>
        <w:t>14.5</w:t>
      </w:r>
    </w:p>
    <w:p>
      <w:pPr>
        <w:pStyle w:val="BodyText"/>
        <w:rPr>
          <w:sz w:val="14"/>
        </w:rPr>
      </w:pPr>
    </w:p>
    <w:p>
      <w:pPr>
        <w:pStyle w:val="BodyText"/>
        <w:rPr>
          <w:sz w:val="14"/>
        </w:rPr>
      </w:pPr>
    </w:p>
    <w:p>
      <w:pPr>
        <w:pStyle w:val="BodyText"/>
        <w:rPr>
          <w:sz w:val="14"/>
        </w:rPr>
      </w:pPr>
    </w:p>
    <w:p>
      <w:pPr>
        <w:pStyle w:val="BodyText"/>
        <w:spacing w:before="7"/>
        <w:rPr>
          <w:sz w:val="16"/>
        </w:rPr>
      </w:pPr>
    </w:p>
    <w:p>
      <w:pPr>
        <w:spacing w:before="0"/>
        <w:ind w:left="191" w:right="0" w:firstLine="0"/>
        <w:jc w:val="left"/>
        <w:rPr>
          <w:sz w:val="14"/>
        </w:rPr>
      </w:pPr>
      <w:r>
        <w:rPr>
          <w:sz w:val="14"/>
        </w:rPr>
        <w:t>2003</w:t>
      </w:r>
    </w:p>
    <w:p>
      <w:pPr>
        <w:pStyle w:val="BodyText"/>
        <w:spacing w:before="8"/>
        <w:rPr>
          <w:sz w:val="13"/>
        </w:rPr>
      </w:pPr>
    </w:p>
    <w:p>
      <w:pPr>
        <w:spacing w:line="156" w:lineRule="exact" w:before="0"/>
        <w:ind w:left="208" w:right="0" w:firstLine="0"/>
        <w:jc w:val="left"/>
        <w:rPr>
          <w:sz w:val="14"/>
        </w:rPr>
      </w:pPr>
      <w:r>
        <w:rPr>
          <w:sz w:val="14"/>
        </w:rPr>
        <w:t>15.0</w:t>
      </w:r>
    </w:p>
    <w:p>
      <w:pPr>
        <w:spacing w:line="156" w:lineRule="exact" w:before="0"/>
        <w:ind w:left="194" w:right="0" w:firstLine="0"/>
        <w:jc w:val="left"/>
        <w:rPr>
          <w:sz w:val="14"/>
        </w:rPr>
      </w:pPr>
      <w:r>
        <w:rPr>
          <w:sz w:val="14"/>
        </w:rPr>
        <w:t>1161</w:t>
      </w:r>
    </w:p>
    <w:p>
      <w:pPr>
        <w:pStyle w:val="BodyText"/>
        <w:spacing w:before="7"/>
        <w:rPr>
          <w:sz w:val="13"/>
        </w:rPr>
      </w:pPr>
    </w:p>
    <w:p>
      <w:pPr>
        <w:spacing w:before="1"/>
        <w:ind w:left="194" w:right="0" w:firstLine="0"/>
        <w:jc w:val="left"/>
        <w:rPr>
          <w:sz w:val="14"/>
        </w:rPr>
      </w:pPr>
      <w:r>
        <w:rPr>
          <w:sz w:val="14"/>
        </w:rPr>
        <w:t>1172</w:t>
      </w:r>
    </w:p>
    <w:p>
      <w:pPr>
        <w:pStyle w:val="BodyText"/>
        <w:spacing w:before="7"/>
        <w:rPr>
          <w:sz w:val="13"/>
        </w:rPr>
      </w:pPr>
    </w:p>
    <w:p>
      <w:pPr>
        <w:spacing w:line="156" w:lineRule="exact" w:before="0"/>
        <w:ind w:left="243" w:right="0" w:firstLine="0"/>
        <w:jc w:val="left"/>
        <w:rPr>
          <w:sz w:val="14"/>
        </w:rPr>
      </w:pPr>
      <w:r>
        <w:rPr>
          <w:sz w:val="14"/>
        </w:rPr>
        <w:t>0.9</w:t>
      </w:r>
    </w:p>
    <w:p>
      <w:pPr>
        <w:spacing w:line="156" w:lineRule="exact" w:before="0"/>
        <w:ind w:left="208" w:right="0" w:firstLine="0"/>
        <w:jc w:val="left"/>
        <w:rPr>
          <w:sz w:val="14"/>
        </w:rPr>
      </w:pPr>
      <w:r>
        <w:rPr>
          <w:sz w:val="14"/>
        </w:rPr>
        <w:t>44.1</w:t>
      </w:r>
    </w:p>
    <w:p>
      <w:pPr>
        <w:pStyle w:val="BodyText"/>
        <w:spacing w:before="8"/>
        <w:rPr>
          <w:sz w:val="13"/>
        </w:rPr>
      </w:pPr>
    </w:p>
    <w:p>
      <w:pPr>
        <w:spacing w:before="0"/>
        <w:ind w:left="208" w:right="0" w:firstLine="0"/>
        <w:jc w:val="left"/>
        <w:rPr>
          <w:sz w:val="14"/>
        </w:rPr>
      </w:pPr>
      <w:r>
        <w:rPr>
          <w:sz w:val="14"/>
        </w:rPr>
        <w:t>58.0</w:t>
      </w:r>
    </w:p>
    <w:p>
      <w:pPr>
        <w:pStyle w:val="BodyText"/>
        <w:spacing w:before="8"/>
        <w:rPr>
          <w:sz w:val="13"/>
        </w:rPr>
      </w:pPr>
    </w:p>
    <w:p>
      <w:pPr>
        <w:spacing w:before="0"/>
        <w:ind w:left="208" w:right="0" w:firstLine="0"/>
        <w:jc w:val="left"/>
        <w:rPr>
          <w:sz w:val="14"/>
        </w:rPr>
      </w:pPr>
      <w:r>
        <w:rPr>
          <w:sz w:val="14"/>
        </w:rPr>
        <w:t>31.5</w:t>
      </w:r>
    </w:p>
    <w:p>
      <w:pPr>
        <w:pStyle w:val="BodyText"/>
        <w:spacing w:before="8"/>
        <w:rPr>
          <w:sz w:val="13"/>
        </w:rPr>
      </w:pPr>
    </w:p>
    <w:p>
      <w:pPr>
        <w:spacing w:before="0"/>
        <w:ind w:left="208" w:right="0" w:firstLine="0"/>
        <w:jc w:val="left"/>
        <w:rPr>
          <w:b/>
          <w:sz w:val="14"/>
        </w:rPr>
      </w:pPr>
      <w:r>
        <w:rPr>
          <w:b/>
          <w:sz w:val="14"/>
        </w:rPr>
        <w:t>7.41</w:t>
      </w:r>
    </w:p>
    <w:p>
      <w:pPr>
        <w:pStyle w:val="BodyText"/>
        <w:spacing w:before="8"/>
        <w:rPr>
          <w:b/>
          <w:sz w:val="13"/>
        </w:rPr>
      </w:pPr>
    </w:p>
    <w:p>
      <w:pPr>
        <w:spacing w:before="0"/>
        <w:ind w:left="208" w:right="0" w:firstLine="0"/>
        <w:jc w:val="left"/>
        <w:rPr>
          <w:b/>
          <w:sz w:val="14"/>
        </w:rPr>
      </w:pPr>
      <w:r>
        <w:rPr>
          <w:b/>
          <w:sz w:val="14"/>
        </w:rPr>
        <w:t>8.09</w:t>
      </w:r>
    </w:p>
    <w:p>
      <w:pPr>
        <w:pStyle w:val="BodyText"/>
        <w:spacing w:before="8"/>
        <w:rPr>
          <w:b/>
          <w:sz w:val="13"/>
        </w:rPr>
      </w:pPr>
    </w:p>
    <w:p>
      <w:pPr>
        <w:spacing w:before="0"/>
        <w:ind w:left="208" w:right="0" w:firstLine="0"/>
        <w:jc w:val="left"/>
        <w:rPr>
          <w:b/>
          <w:sz w:val="14"/>
        </w:rPr>
      </w:pPr>
      <w:r>
        <w:rPr>
          <w:b/>
          <w:sz w:val="14"/>
        </w:rPr>
        <w:t>0.68</w:t>
      </w:r>
    </w:p>
    <w:p>
      <w:pPr>
        <w:pStyle w:val="BodyText"/>
        <w:spacing w:before="8"/>
        <w:rPr>
          <w:b/>
          <w:sz w:val="13"/>
        </w:rPr>
      </w:pPr>
    </w:p>
    <w:p>
      <w:pPr>
        <w:spacing w:before="0"/>
        <w:ind w:left="243" w:right="0" w:firstLine="0"/>
        <w:jc w:val="left"/>
        <w:rPr>
          <w:b/>
          <w:sz w:val="14"/>
        </w:rPr>
      </w:pPr>
      <w:r>
        <w:rPr>
          <w:b/>
          <w:sz w:val="14"/>
        </w:rPr>
        <w:t>9.2</w:t>
      </w:r>
    </w:p>
    <w:p>
      <w:pPr>
        <w:pStyle w:val="BodyText"/>
        <w:spacing w:before="7"/>
        <w:rPr>
          <w:b/>
          <w:sz w:val="13"/>
        </w:rPr>
      </w:pPr>
    </w:p>
    <w:p>
      <w:pPr>
        <w:spacing w:before="1"/>
        <w:ind w:left="243" w:right="0" w:firstLine="0"/>
        <w:jc w:val="left"/>
        <w:rPr>
          <w:sz w:val="14"/>
        </w:rPr>
      </w:pPr>
      <w:r>
        <w:rPr>
          <w:sz w:val="14"/>
        </w:rPr>
        <w:t>4.1</w:t>
      </w:r>
    </w:p>
    <w:p>
      <w:pPr>
        <w:pStyle w:val="BodyText"/>
        <w:spacing w:before="7"/>
        <w:rPr>
          <w:sz w:val="13"/>
        </w:rPr>
      </w:pPr>
    </w:p>
    <w:p>
      <w:pPr>
        <w:spacing w:before="1"/>
        <w:ind w:left="243" w:right="0" w:firstLine="0"/>
        <w:jc w:val="left"/>
        <w:rPr>
          <w:sz w:val="14"/>
        </w:rPr>
      </w:pPr>
      <w:r>
        <w:rPr>
          <w:sz w:val="14"/>
        </w:rPr>
        <w:t>4.8</w:t>
      </w:r>
    </w:p>
    <w:p>
      <w:pPr>
        <w:spacing w:line="130" w:lineRule="exact" w:before="0"/>
        <w:ind w:left="197" w:right="0" w:firstLine="0"/>
        <w:jc w:val="left"/>
        <w:rPr>
          <w:b/>
          <w:sz w:val="14"/>
        </w:rPr>
      </w:pPr>
      <w:r>
        <w:rPr/>
        <w:br w:type="column"/>
      </w:r>
      <w:r>
        <w:rPr>
          <w:b/>
          <w:sz w:val="14"/>
        </w:rPr>
        <w:t>1.48</w:t>
      </w:r>
    </w:p>
    <w:p>
      <w:pPr>
        <w:spacing w:line="150" w:lineRule="exact" w:before="0"/>
        <w:ind w:left="249" w:right="0" w:firstLine="0"/>
        <w:jc w:val="left"/>
        <w:rPr>
          <w:b/>
          <w:sz w:val="14"/>
        </w:rPr>
      </w:pPr>
      <w:r>
        <w:rPr>
          <w:b/>
          <w:sz w:val="14"/>
        </w:rPr>
        <w:t>14</w:t>
      </w:r>
    </w:p>
    <w:p>
      <w:pPr>
        <w:spacing w:line="156" w:lineRule="exact" w:before="0"/>
        <w:ind w:left="232" w:right="0" w:firstLine="0"/>
        <w:jc w:val="left"/>
        <w:rPr>
          <w:b/>
          <w:sz w:val="14"/>
        </w:rPr>
      </w:pPr>
      <w:r>
        <w:rPr>
          <w:b/>
          <w:sz w:val="14"/>
        </w:rPr>
        <w:t>1.9</w:t>
      </w:r>
    </w:p>
    <w:p>
      <w:pPr>
        <w:pStyle w:val="BodyText"/>
        <w:spacing w:before="7"/>
        <w:rPr>
          <w:b/>
          <w:sz w:val="13"/>
        </w:rPr>
      </w:pPr>
    </w:p>
    <w:p>
      <w:pPr>
        <w:spacing w:before="1"/>
        <w:ind w:left="249" w:right="0" w:firstLine="0"/>
        <w:jc w:val="left"/>
        <w:rPr>
          <w:b/>
          <w:sz w:val="14"/>
        </w:rPr>
      </w:pPr>
      <w:r>
        <w:rPr>
          <w:b/>
          <w:sz w:val="14"/>
        </w:rPr>
        <w:t>27</w:t>
      </w:r>
    </w:p>
    <w:p>
      <w:pPr>
        <w:pStyle w:val="BodyText"/>
        <w:rPr>
          <w:b/>
          <w:sz w:val="14"/>
        </w:rPr>
      </w:pPr>
    </w:p>
    <w:p>
      <w:pPr>
        <w:pStyle w:val="BodyText"/>
        <w:rPr>
          <w:b/>
          <w:sz w:val="14"/>
        </w:rPr>
      </w:pPr>
    </w:p>
    <w:p>
      <w:pPr>
        <w:pStyle w:val="BodyText"/>
        <w:rPr>
          <w:b/>
          <w:sz w:val="14"/>
        </w:rPr>
      </w:pPr>
    </w:p>
    <w:p>
      <w:pPr>
        <w:pStyle w:val="BodyText"/>
        <w:spacing w:before="7"/>
        <w:rPr>
          <w:b/>
          <w:sz w:val="16"/>
        </w:rPr>
      </w:pPr>
    </w:p>
    <w:p>
      <w:pPr>
        <w:spacing w:line="156" w:lineRule="exact" w:before="0"/>
        <w:ind w:left="197" w:right="0" w:firstLine="0"/>
        <w:jc w:val="left"/>
        <w:rPr>
          <w:b/>
          <w:sz w:val="14"/>
        </w:rPr>
      </w:pPr>
      <w:r>
        <w:rPr>
          <w:b/>
          <w:sz w:val="14"/>
        </w:rPr>
        <w:t>12.7</w:t>
      </w:r>
    </w:p>
    <w:p>
      <w:pPr>
        <w:spacing w:line="156" w:lineRule="exact" w:before="0"/>
        <w:ind w:left="183" w:right="0" w:firstLine="0"/>
        <w:jc w:val="left"/>
        <w:rPr>
          <w:b/>
          <w:sz w:val="14"/>
        </w:rPr>
      </w:pPr>
      <w:r>
        <w:rPr>
          <w:b/>
          <w:spacing w:val="-1"/>
          <w:sz w:val="14"/>
        </w:rPr>
        <w:t>1161</w:t>
      </w:r>
    </w:p>
    <w:p>
      <w:pPr>
        <w:pStyle w:val="BodyText"/>
        <w:spacing w:before="7"/>
        <w:rPr>
          <w:b/>
          <w:sz w:val="13"/>
        </w:rPr>
      </w:pPr>
    </w:p>
    <w:p>
      <w:pPr>
        <w:spacing w:before="1"/>
        <w:ind w:left="179" w:right="0" w:firstLine="0"/>
        <w:jc w:val="left"/>
        <w:rPr>
          <w:b/>
          <w:sz w:val="14"/>
        </w:rPr>
      </w:pPr>
      <w:r>
        <w:rPr>
          <w:b/>
          <w:sz w:val="14"/>
        </w:rPr>
        <w:t>1066</w:t>
      </w:r>
    </w:p>
    <w:p>
      <w:pPr>
        <w:pStyle w:val="BodyText"/>
        <w:spacing w:before="7"/>
        <w:rPr>
          <w:b/>
          <w:sz w:val="13"/>
        </w:rPr>
      </w:pPr>
    </w:p>
    <w:p>
      <w:pPr>
        <w:spacing w:line="156" w:lineRule="exact" w:before="0"/>
        <w:ind w:left="173" w:right="0" w:firstLine="0"/>
        <w:jc w:val="left"/>
        <w:rPr>
          <w:b/>
          <w:sz w:val="14"/>
        </w:rPr>
      </w:pPr>
      <w:r>
        <w:rPr>
          <w:b/>
          <w:sz w:val="14"/>
        </w:rPr>
        <w:t>-10.3</w:t>
      </w:r>
    </w:p>
    <w:p>
      <w:pPr>
        <w:spacing w:line="156" w:lineRule="exact" w:before="0"/>
        <w:ind w:left="197" w:right="0" w:firstLine="0"/>
        <w:jc w:val="left"/>
        <w:rPr>
          <w:b/>
          <w:sz w:val="14"/>
        </w:rPr>
      </w:pPr>
      <w:r>
        <w:rPr>
          <w:b/>
          <w:sz w:val="14"/>
        </w:rPr>
        <w:t>35.6</w:t>
      </w:r>
    </w:p>
    <w:p>
      <w:pPr>
        <w:pStyle w:val="BodyText"/>
        <w:spacing w:before="8"/>
        <w:rPr>
          <w:b/>
          <w:sz w:val="13"/>
        </w:rPr>
      </w:pPr>
    </w:p>
    <w:p>
      <w:pPr>
        <w:spacing w:before="0"/>
        <w:ind w:left="197" w:right="0" w:firstLine="0"/>
        <w:jc w:val="left"/>
        <w:rPr>
          <w:b/>
          <w:sz w:val="14"/>
        </w:rPr>
      </w:pPr>
      <w:r>
        <w:rPr>
          <w:b/>
          <w:sz w:val="14"/>
        </w:rPr>
        <w:t>42.9</w:t>
      </w:r>
    </w:p>
    <w:p>
      <w:pPr>
        <w:pStyle w:val="BodyText"/>
        <w:spacing w:before="8"/>
        <w:rPr>
          <w:b/>
          <w:sz w:val="13"/>
        </w:rPr>
      </w:pPr>
    </w:p>
    <w:p>
      <w:pPr>
        <w:spacing w:before="0"/>
        <w:ind w:left="232" w:right="0" w:firstLine="0"/>
        <w:jc w:val="left"/>
        <w:rPr>
          <w:b/>
          <w:sz w:val="14"/>
        </w:rPr>
      </w:pPr>
      <w:r>
        <w:rPr>
          <w:b/>
          <w:sz w:val="14"/>
        </w:rPr>
        <w:t>0.0</w:t>
      </w:r>
    </w:p>
    <w:p>
      <w:pPr>
        <w:pStyle w:val="BodyText"/>
        <w:spacing w:before="8"/>
        <w:rPr>
          <w:b/>
          <w:sz w:val="13"/>
        </w:rPr>
      </w:pPr>
    </w:p>
    <w:p>
      <w:pPr>
        <w:spacing w:before="0"/>
        <w:ind w:left="232" w:right="0" w:firstLine="0"/>
        <w:jc w:val="left"/>
        <w:rPr>
          <w:b/>
          <w:sz w:val="14"/>
        </w:rPr>
      </w:pPr>
      <w:r>
        <w:rPr>
          <w:b/>
          <w:sz w:val="14"/>
        </w:rPr>
        <w:t>5.6</w:t>
      </w:r>
    </w:p>
    <w:p>
      <w:pPr>
        <w:pStyle w:val="BodyText"/>
        <w:spacing w:before="8"/>
        <w:rPr>
          <w:b/>
          <w:sz w:val="13"/>
        </w:rPr>
      </w:pPr>
    </w:p>
    <w:p>
      <w:pPr>
        <w:spacing w:before="0"/>
        <w:ind w:left="232" w:right="0" w:firstLine="0"/>
        <w:jc w:val="left"/>
        <w:rPr>
          <w:b/>
          <w:sz w:val="14"/>
        </w:rPr>
      </w:pPr>
      <w:r>
        <w:rPr>
          <w:b/>
          <w:sz w:val="14"/>
        </w:rPr>
        <w:t>5.4</w:t>
      </w:r>
    </w:p>
    <w:p>
      <w:pPr>
        <w:pStyle w:val="BodyText"/>
        <w:spacing w:before="8"/>
        <w:rPr>
          <w:b/>
          <w:sz w:val="13"/>
        </w:rPr>
      </w:pPr>
    </w:p>
    <w:p>
      <w:pPr>
        <w:spacing w:before="0"/>
        <w:ind w:left="208" w:right="0" w:firstLine="0"/>
        <w:jc w:val="left"/>
        <w:rPr>
          <w:b/>
          <w:sz w:val="14"/>
        </w:rPr>
      </w:pPr>
      <w:r>
        <w:rPr>
          <w:b/>
          <w:sz w:val="14"/>
        </w:rPr>
        <w:t>-1.1</w:t>
      </w:r>
    </w:p>
    <w:p>
      <w:pPr>
        <w:pStyle w:val="BodyText"/>
        <w:spacing w:before="8"/>
        <w:rPr>
          <w:b/>
          <w:sz w:val="13"/>
        </w:rPr>
      </w:pPr>
    </w:p>
    <w:p>
      <w:pPr>
        <w:spacing w:before="0"/>
        <w:ind w:left="173" w:right="0" w:firstLine="0"/>
        <w:jc w:val="left"/>
        <w:rPr>
          <w:b/>
          <w:sz w:val="14"/>
        </w:rPr>
      </w:pPr>
      <w:r>
        <w:rPr>
          <w:b/>
          <w:sz w:val="14"/>
        </w:rPr>
        <w:t>-12.8</w:t>
      </w:r>
    </w:p>
    <w:p>
      <w:pPr>
        <w:pStyle w:val="BodyText"/>
        <w:spacing w:before="7"/>
        <w:rPr>
          <w:b/>
          <w:sz w:val="13"/>
        </w:rPr>
      </w:pPr>
    </w:p>
    <w:p>
      <w:pPr>
        <w:spacing w:before="1"/>
        <w:ind w:left="173" w:right="0" w:firstLine="0"/>
        <w:jc w:val="left"/>
        <w:rPr>
          <w:b/>
          <w:sz w:val="14"/>
        </w:rPr>
      </w:pPr>
      <w:r>
        <w:rPr>
          <w:b/>
          <w:sz w:val="14"/>
        </w:rPr>
        <w:t>-18.4</w:t>
      </w:r>
    </w:p>
    <w:p>
      <w:pPr>
        <w:pStyle w:val="BodyText"/>
        <w:spacing w:before="7"/>
        <w:rPr>
          <w:b/>
          <w:sz w:val="13"/>
        </w:rPr>
      </w:pPr>
    </w:p>
    <w:p>
      <w:pPr>
        <w:spacing w:before="1"/>
        <w:ind w:left="173" w:right="0" w:firstLine="0"/>
        <w:jc w:val="left"/>
        <w:rPr>
          <w:b/>
          <w:sz w:val="14"/>
        </w:rPr>
      </w:pPr>
      <w:r>
        <w:rPr>
          <w:b/>
          <w:sz w:val="14"/>
        </w:rPr>
        <w:t>-18.3</w:t>
      </w:r>
    </w:p>
    <w:p>
      <w:pPr>
        <w:spacing w:line="130" w:lineRule="exact" w:before="0"/>
        <w:ind w:left="142" w:right="0" w:firstLine="0"/>
        <w:jc w:val="left"/>
        <w:rPr>
          <w:b/>
          <w:sz w:val="14"/>
        </w:rPr>
      </w:pPr>
      <w:r>
        <w:rPr/>
        <w:br w:type="column"/>
      </w:r>
      <w:r>
        <w:rPr>
          <w:b/>
          <w:sz w:val="14"/>
        </w:rPr>
        <w:t>7.26</w:t>
      </w:r>
    </w:p>
    <w:p>
      <w:pPr>
        <w:spacing w:line="150" w:lineRule="exact" w:before="0"/>
        <w:ind w:left="195" w:right="0" w:firstLine="0"/>
        <w:jc w:val="left"/>
        <w:rPr>
          <w:b/>
          <w:sz w:val="14"/>
        </w:rPr>
      </w:pPr>
      <w:r>
        <w:rPr>
          <w:b/>
          <w:sz w:val="14"/>
        </w:rPr>
        <w:t>15</w:t>
      </w:r>
    </w:p>
    <w:p>
      <w:pPr>
        <w:spacing w:line="156" w:lineRule="exact" w:before="0"/>
        <w:ind w:left="142" w:right="0" w:firstLine="0"/>
        <w:jc w:val="left"/>
        <w:rPr>
          <w:b/>
          <w:sz w:val="14"/>
        </w:rPr>
      </w:pPr>
      <w:r>
        <w:rPr>
          <w:b/>
          <w:sz w:val="14"/>
        </w:rPr>
        <w:t>14.5</w:t>
      </w:r>
    </w:p>
    <w:p>
      <w:pPr>
        <w:pStyle w:val="BodyText"/>
        <w:spacing w:before="7"/>
        <w:rPr>
          <w:b/>
          <w:sz w:val="13"/>
        </w:rPr>
      </w:pPr>
    </w:p>
    <w:p>
      <w:pPr>
        <w:spacing w:before="1"/>
        <w:ind w:left="195" w:right="0" w:firstLine="0"/>
        <w:jc w:val="left"/>
        <w:rPr>
          <w:b/>
          <w:sz w:val="14"/>
        </w:rPr>
      </w:pPr>
      <w:r>
        <w:rPr>
          <w:b/>
          <w:sz w:val="14"/>
        </w:rPr>
        <w:t>56</w:t>
      </w:r>
    </w:p>
    <w:p>
      <w:pPr>
        <w:pStyle w:val="BodyText"/>
        <w:rPr>
          <w:b/>
          <w:sz w:val="14"/>
        </w:rPr>
      </w:pPr>
    </w:p>
    <w:p>
      <w:pPr>
        <w:pStyle w:val="BodyText"/>
        <w:rPr>
          <w:b/>
          <w:sz w:val="14"/>
        </w:rPr>
      </w:pPr>
    </w:p>
    <w:p>
      <w:pPr>
        <w:pStyle w:val="BodyText"/>
        <w:rPr>
          <w:b/>
          <w:sz w:val="14"/>
        </w:rPr>
      </w:pPr>
    </w:p>
    <w:p>
      <w:pPr>
        <w:pStyle w:val="BodyText"/>
        <w:spacing w:before="7"/>
        <w:rPr>
          <w:b/>
          <w:sz w:val="16"/>
        </w:rPr>
      </w:pPr>
    </w:p>
    <w:p>
      <w:pPr>
        <w:spacing w:line="156" w:lineRule="exact" w:before="0"/>
        <w:ind w:left="142" w:right="0" w:firstLine="0"/>
        <w:jc w:val="left"/>
        <w:rPr>
          <w:b/>
          <w:sz w:val="14"/>
        </w:rPr>
      </w:pPr>
      <w:r>
        <w:rPr>
          <w:b/>
          <w:sz w:val="14"/>
        </w:rPr>
        <w:t>15.0</w:t>
      </w:r>
    </w:p>
    <w:p>
      <w:pPr>
        <w:spacing w:line="156" w:lineRule="exact" w:before="0"/>
        <w:ind w:left="125" w:right="0" w:firstLine="0"/>
        <w:jc w:val="left"/>
        <w:rPr>
          <w:b/>
          <w:sz w:val="14"/>
        </w:rPr>
      </w:pPr>
      <w:r>
        <w:rPr>
          <w:b/>
          <w:sz w:val="14"/>
        </w:rPr>
        <w:t>2160</w:t>
      </w:r>
    </w:p>
    <w:p>
      <w:pPr>
        <w:pStyle w:val="BodyText"/>
        <w:spacing w:before="7"/>
        <w:rPr>
          <w:b/>
          <w:sz w:val="13"/>
        </w:rPr>
      </w:pPr>
    </w:p>
    <w:p>
      <w:pPr>
        <w:spacing w:before="1"/>
        <w:ind w:left="125" w:right="0" w:firstLine="0"/>
        <w:jc w:val="left"/>
        <w:rPr>
          <w:b/>
          <w:sz w:val="14"/>
        </w:rPr>
      </w:pPr>
      <w:r>
        <w:rPr>
          <w:b/>
          <w:sz w:val="14"/>
        </w:rPr>
        <w:t>2243</w:t>
      </w:r>
    </w:p>
    <w:p>
      <w:pPr>
        <w:pStyle w:val="BodyText"/>
        <w:spacing w:before="7"/>
        <w:rPr>
          <w:b/>
          <w:sz w:val="13"/>
        </w:rPr>
      </w:pPr>
    </w:p>
    <w:p>
      <w:pPr>
        <w:spacing w:line="156" w:lineRule="exact" w:before="0"/>
        <w:ind w:left="177" w:right="0" w:firstLine="0"/>
        <w:jc w:val="left"/>
        <w:rPr>
          <w:b/>
          <w:sz w:val="14"/>
        </w:rPr>
      </w:pPr>
      <w:r>
        <w:rPr>
          <w:b/>
          <w:sz w:val="14"/>
        </w:rPr>
        <w:t>3.8</w:t>
      </w:r>
    </w:p>
    <w:p>
      <w:pPr>
        <w:spacing w:line="156" w:lineRule="exact" w:before="0"/>
        <w:ind w:left="142" w:right="0" w:firstLine="0"/>
        <w:jc w:val="left"/>
        <w:rPr>
          <w:b/>
          <w:sz w:val="14"/>
        </w:rPr>
      </w:pPr>
      <w:r>
        <w:rPr>
          <w:b/>
          <w:sz w:val="14"/>
        </w:rPr>
        <w:t>44.1</w:t>
      </w:r>
    </w:p>
    <w:p>
      <w:pPr>
        <w:pStyle w:val="BodyText"/>
        <w:spacing w:before="8"/>
        <w:rPr>
          <w:b/>
          <w:sz w:val="13"/>
        </w:rPr>
      </w:pPr>
    </w:p>
    <w:p>
      <w:pPr>
        <w:spacing w:before="0"/>
        <w:ind w:left="142" w:right="0" w:firstLine="0"/>
        <w:jc w:val="left"/>
        <w:rPr>
          <w:b/>
          <w:sz w:val="14"/>
        </w:rPr>
      </w:pPr>
      <w:r>
        <w:rPr>
          <w:b/>
          <w:sz w:val="14"/>
        </w:rPr>
        <w:t>58.0</w:t>
      </w:r>
    </w:p>
    <w:p>
      <w:pPr>
        <w:pStyle w:val="BodyText"/>
        <w:spacing w:before="8"/>
        <w:rPr>
          <w:b/>
          <w:sz w:val="13"/>
        </w:rPr>
      </w:pPr>
    </w:p>
    <w:p>
      <w:pPr>
        <w:spacing w:before="0"/>
        <w:ind w:left="142" w:right="0" w:firstLine="0"/>
        <w:jc w:val="left"/>
        <w:rPr>
          <w:b/>
          <w:sz w:val="14"/>
        </w:rPr>
      </w:pPr>
      <w:r>
        <w:rPr>
          <w:b/>
          <w:sz w:val="14"/>
        </w:rPr>
        <w:t>50.5</w:t>
      </w:r>
    </w:p>
    <w:p>
      <w:pPr>
        <w:pStyle w:val="BodyText"/>
        <w:spacing w:before="8"/>
        <w:rPr>
          <w:b/>
          <w:sz w:val="13"/>
        </w:rPr>
      </w:pPr>
    </w:p>
    <w:p>
      <w:pPr>
        <w:spacing w:before="0"/>
        <w:ind w:left="177" w:right="0" w:firstLine="0"/>
        <w:jc w:val="left"/>
        <w:rPr>
          <w:b/>
          <w:sz w:val="14"/>
        </w:rPr>
      </w:pPr>
      <w:r>
        <w:rPr>
          <w:b/>
          <w:sz w:val="14"/>
        </w:rPr>
        <w:t>9.1</w:t>
      </w:r>
    </w:p>
    <w:p>
      <w:pPr>
        <w:pStyle w:val="BodyText"/>
        <w:spacing w:before="8"/>
        <w:rPr>
          <w:b/>
          <w:sz w:val="13"/>
        </w:rPr>
      </w:pPr>
    </w:p>
    <w:p>
      <w:pPr>
        <w:spacing w:before="0"/>
        <w:ind w:left="142" w:right="0" w:firstLine="0"/>
        <w:jc w:val="left"/>
        <w:rPr>
          <w:b/>
          <w:sz w:val="14"/>
        </w:rPr>
      </w:pPr>
      <w:r>
        <w:rPr>
          <w:b/>
          <w:sz w:val="14"/>
        </w:rPr>
        <w:t>10.4</w:t>
      </w:r>
    </w:p>
    <w:p>
      <w:pPr>
        <w:pStyle w:val="BodyText"/>
        <w:spacing w:before="8"/>
        <w:rPr>
          <w:b/>
          <w:sz w:val="13"/>
        </w:rPr>
      </w:pPr>
    </w:p>
    <w:p>
      <w:pPr>
        <w:spacing w:before="0"/>
        <w:ind w:left="177" w:right="0" w:firstLine="0"/>
        <w:jc w:val="left"/>
        <w:rPr>
          <w:b/>
          <w:sz w:val="14"/>
        </w:rPr>
      </w:pPr>
      <w:r>
        <w:rPr>
          <w:b/>
          <w:sz w:val="14"/>
        </w:rPr>
        <w:t>1.2</w:t>
      </w:r>
    </w:p>
    <w:p>
      <w:pPr>
        <w:pStyle w:val="BodyText"/>
        <w:spacing w:before="8"/>
        <w:rPr>
          <w:b/>
          <w:sz w:val="13"/>
        </w:rPr>
      </w:pPr>
    </w:p>
    <w:p>
      <w:pPr>
        <w:spacing w:before="0"/>
        <w:ind w:left="142" w:right="0" w:firstLine="0"/>
        <w:jc w:val="left"/>
        <w:rPr>
          <w:b/>
          <w:sz w:val="14"/>
        </w:rPr>
      </w:pPr>
      <w:r>
        <w:rPr>
          <w:b/>
          <w:sz w:val="14"/>
        </w:rPr>
        <w:t>13.6</w:t>
      </w:r>
    </w:p>
    <w:p>
      <w:pPr>
        <w:pStyle w:val="BodyText"/>
        <w:spacing w:before="7"/>
        <w:rPr>
          <w:b/>
          <w:sz w:val="13"/>
        </w:rPr>
      </w:pPr>
    </w:p>
    <w:p>
      <w:pPr>
        <w:spacing w:before="1"/>
        <w:ind w:left="142" w:right="0" w:firstLine="0"/>
        <w:jc w:val="left"/>
        <w:rPr>
          <w:b/>
          <w:sz w:val="14"/>
        </w:rPr>
      </w:pPr>
      <w:r>
        <w:rPr>
          <w:b/>
          <w:sz w:val="14"/>
        </w:rPr>
        <w:t>13.3</w:t>
      </w:r>
    </w:p>
    <w:p>
      <w:pPr>
        <w:pStyle w:val="BodyText"/>
        <w:spacing w:before="7"/>
        <w:rPr>
          <w:b/>
          <w:sz w:val="13"/>
        </w:rPr>
      </w:pPr>
    </w:p>
    <w:p>
      <w:pPr>
        <w:spacing w:before="1"/>
        <w:ind w:left="142" w:right="0" w:firstLine="0"/>
        <w:jc w:val="left"/>
        <w:rPr>
          <w:b/>
          <w:sz w:val="14"/>
        </w:rPr>
      </w:pPr>
      <w:r>
        <w:rPr>
          <w:b/>
          <w:sz w:val="14"/>
        </w:rPr>
        <w:t>13.2</w:t>
      </w:r>
    </w:p>
    <w:p>
      <w:pPr>
        <w:spacing w:after="0"/>
        <w:jc w:val="left"/>
        <w:rPr>
          <w:sz w:val="14"/>
        </w:rPr>
        <w:sectPr>
          <w:type w:val="continuous"/>
          <w:pgSz w:w="12240" w:h="15840"/>
          <w:pgMar w:top="480" w:bottom="280" w:left="620" w:right="620"/>
          <w:cols w:num="12" w:equalWidth="0">
            <w:col w:w="1993" w:space="40"/>
            <w:col w:w="661" w:space="73"/>
            <w:col w:w="736" w:space="115"/>
            <w:col w:w="736" w:space="218"/>
            <w:col w:w="529" w:space="320"/>
            <w:col w:w="529" w:space="321"/>
            <w:col w:w="529" w:space="50"/>
            <w:col w:w="1085" w:space="40"/>
            <w:col w:w="527" w:space="321"/>
            <w:col w:w="529" w:space="93"/>
            <w:col w:w="466" w:space="40"/>
            <w:col w:w="1049"/>
          </w:cols>
        </w:sectPr>
      </w:pPr>
    </w:p>
    <w:p>
      <w:pPr>
        <w:spacing w:line="204" w:lineRule="auto" w:before="46"/>
        <w:ind w:left="165" w:right="927" w:firstLine="0"/>
        <w:jc w:val="both"/>
        <w:rPr>
          <w:sz w:val="14"/>
        </w:rPr>
      </w:pPr>
      <w:r>
        <w:rPr>
          <w:sz w:val="14"/>
        </w:rPr>
        <w:t>Notes: All costs in this table are for capture only and do not include the costs of CO</w:t>
      </w:r>
      <w:r>
        <w:rPr>
          <w:position w:val="-4"/>
          <w:sz w:val="8"/>
        </w:rPr>
        <w:t>2 </w:t>
      </w:r>
      <w:r>
        <w:rPr>
          <w:sz w:val="14"/>
        </w:rPr>
        <w:t>transport and storage; see Chapter 8 for total CCS costs. * Reported HHV values converted to LHV assuming LHV/HHV = 0.96 for coal, 0.846 for hydrogen, and 0.93 for F-T liquids. ** CO</w:t>
      </w:r>
      <w:r>
        <w:rPr>
          <w:position w:val="-4"/>
          <w:sz w:val="8"/>
        </w:rPr>
        <w:t>2 </w:t>
      </w:r>
      <w:r>
        <w:rPr>
          <w:sz w:val="14"/>
        </w:rPr>
        <w:t>capture efficiency = (C in CO</w:t>
      </w:r>
      <w:r>
        <w:rPr>
          <w:position w:val="-4"/>
          <w:sz w:val="8"/>
        </w:rPr>
        <w:t>2 </w:t>
      </w:r>
      <w:r>
        <w:rPr>
          <w:sz w:val="14"/>
        </w:rPr>
        <w:t>captured)/(C in fossil fuel input to plant - C in carbonaceous fuel products of plant) x100; C associated with imported electricity is not included. ***Includes CO</w:t>
      </w:r>
      <w:r>
        <w:rPr>
          <w:position w:val="-4"/>
          <w:sz w:val="8"/>
        </w:rPr>
        <w:t>2 </w:t>
      </w:r>
      <w:r>
        <w:rPr>
          <w:sz w:val="14"/>
        </w:rPr>
        <w:t>emitted in the production of electricity imported by the plant.</w:t>
      </w:r>
    </w:p>
    <w:p>
      <w:pPr>
        <w:spacing w:line="129" w:lineRule="exact" w:before="0"/>
        <w:ind w:left="165" w:right="0" w:firstLine="0"/>
        <w:jc w:val="both"/>
        <w:rPr>
          <w:sz w:val="14"/>
        </w:rPr>
      </w:pPr>
      <w:r>
        <w:rPr>
          <w:sz w:val="14"/>
        </w:rPr>
        <w:t>****Reported total plant investment values increased by 3.5% to estimate total capital requirement.</w:t>
      </w:r>
    </w:p>
    <w:p>
      <w:pPr>
        <w:spacing w:after="0" w:line="129" w:lineRule="exact"/>
        <w:jc w:val="both"/>
        <w:rPr>
          <w:sz w:val="14"/>
        </w:rPr>
        <w:sectPr>
          <w:type w:val="continuous"/>
          <w:pgSz w:w="12240" w:h="15840"/>
          <w:pgMar w:top="480" w:bottom="280" w:left="620" w:right="620"/>
        </w:sectPr>
      </w:pPr>
    </w:p>
    <w:p>
      <w:pPr>
        <w:pStyle w:val="BodyText"/>
        <w:spacing w:before="8"/>
        <w:rPr>
          <w:sz w:val="12"/>
        </w:rPr>
      </w:pPr>
    </w:p>
    <w:p>
      <w:pPr>
        <w:spacing w:after="0"/>
        <w:rPr>
          <w:sz w:val="12"/>
        </w:rPr>
        <w:sectPr>
          <w:pgSz w:w="12240" w:h="15840"/>
          <w:pgMar w:header="567" w:footer="0" w:top="1040" w:bottom="280" w:left="620" w:right="620"/>
        </w:sectPr>
      </w:pPr>
    </w:p>
    <w:p>
      <w:pPr>
        <w:pStyle w:val="BodyText"/>
        <w:spacing w:line="240" w:lineRule="exact" w:before="58"/>
        <w:ind w:left="513"/>
        <w:jc w:val="both"/>
      </w:pPr>
      <w:bookmarkStart w:name="3.7.8 Capture costs for other industrial" w:id="100"/>
      <w:bookmarkEnd w:id="100"/>
      <w:r>
        <w:rPr/>
      </w:r>
      <w:r>
        <w:rPr/>
        <w:t>producing liquid fuels plus electricity. In these cases </w:t>
      </w:r>
      <w:r>
        <w:rPr>
          <w:spacing w:val="-5"/>
        </w:rPr>
        <w:t>the </w:t>
      </w:r>
      <w:r>
        <w:rPr/>
        <w:t>amounts of electricity produced are sizeable compared to the liquid products, so the assumed selling price of electricity has a major influence on the product cost results. So too does </w:t>
      </w:r>
      <w:r>
        <w:rPr>
          <w:spacing w:val="-4"/>
        </w:rPr>
        <w:t>the </w:t>
      </w:r>
      <w:r>
        <w:rPr/>
        <w:t>assumption in two of the cases of co-disposal of H</w:t>
      </w:r>
      <w:r>
        <w:rPr>
          <w:position w:val="-6"/>
          <w:sz w:val="11"/>
        </w:rPr>
        <w:t>2</w:t>
      </w:r>
      <w:r>
        <w:rPr/>
        <w:t>S with CO</w:t>
      </w:r>
      <w:r>
        <w:rPr>
          <w:position w:val="-6"/>
          <w:sz w:val="11"/>
        </w:rPr>
        <w:t>2 </w:t>
      </w:r>
      <w:r>
        <w:rPr/>
        <w:t>(as described above). For these reasons, the incremental </w:t>
      </w:r>
      <w:r>
        <w:rPr>
          <w:spacing w:val="-4"/>
        </w:rPr>
        <w:t>cost  </w:t>
      </w:r>
      <w:r>
        <w:rPr/>
        <w:t>of CO</w:t>
      </w:r>
      <w:r>
        <w:rPr>
          <w:position w:val="-6"/>
          <w:sz w:val="11"/>
        </w:rPr>
        <w:t>2 </w:t>
      </w:r>
      <w:r>
        <w:rPr/>
        <w:t>capture ranges from a 13% decrease to a 13% increase in fuel product cost relative to the no-capture case. Note </w:t>
      </w:r>
      <w:r>
        <w:rPr>
          <w:spacing w:val="-4"/>
        </w:rPr>
        <w:t>too </w:t>
      </w:r>
      <w:r>
        <w:rPr/>
        <w:t>that the overall level of CO</w:t>
      </w:r>
      <w:r>
        <w:rPr>
          <w:position w:val="-6"/>
          <w:sz w:val="11"/>
        </w:rPr>
        <w:t>2 </w:t>
      </w:r>
      <w:r>
        <w:rPr/>
        <w:t>reductions per unit of product </w:t>
      </w:r>
      <w:r>
        <w:rPr>
          <w:spacing w:val="-7"/>
        </w:rPr>
        <w:t>is </w:t>
      </w:r>
      <w:r>
        <w:rPr/>
        <w:t>only 27-56%. This is because a significant portion of carbon  in the coal feedstock is exported with the liquid fuel products. Nonetheless, an important benefit of these fuel-processing schemes is a reduction (of 30-38%) in the carbon content per unit of fuel energy relative to the feedstock fuel. </w:t>
      </w:r>
      <w:r>
        <w:rPr>
          <w:spacing w:val="-7"/>
        </w:rPr>
        <w:t>To </w:t>
      </w:r>
      <w:r>
        <w:rPr/>
        <w:t>the </w:t>
      </w:r>
      <w:r>
        <w:rPr>
          <w:spacing w:val="-3"/>
        </w:rPr>
        <w:t>extent </w:t>
      </w:r>
      <w:r>
        <w:rPr/>
        <w:t>these</w:t>
      </w:r>
      <w:r>
        <w:rPr>
          <w:spacing w:val="-17"/>
        </w:rPr>
        <w:t> </w:t>
      </w:r>
      <w:r>
        <w:rPr/>
        <w:t>liquid</w:t>
      </w:r>
      <w:r>
        <w:rPr>
          <w:spacing w:val="-16"/>
        </w:rPr>
        <w:t> </w:t>
      </w:r>
      <w:r>
        <w:rPr/>
        <w:t>fuels</w:t>
      </w:r>
      <w:r>
        <w:rPr>
          <w:spacing w:val="-16"/>
        </w:rPr>
        <w:t> </w:t>
      </w:r>
      <w:r>
        <w:rPr/>
        <w:t>displace</w:t>
      </w:r>
      <w:r>
        <w:rPr>
          <w:spacing w:val="-16"/>
        </w:rPr>
        <w:t> </w:t>
      </w:r>
      <w:r>
        <w:rPr/>
        <w:t>other</w:t>
      </w:r>
      <w:r>
        <w:rPr>
          <w:spacing w:val="-16"/>
        </w:rPr>
        <w:t> </w:t>
      </w:r>
      <w:r>
        <w:rPr/>
        <w:t>fuels</w:t>
      </w:r>
      <w:r>
        <w:rPr>
          <w:spacing w:val="-16"/>
        </w:rPr>
        <w:t> </w:t>
      </w:r>
      <w:r>
        <w:rPr/>
        <w:t>with</w:t>
      </w:r>
      <w:r>
        <w:rPr>
          <w:spacing w:val="-16"/>
        </w:rPr>
        <w:t> </w:t>
      </w:r>
      <w:r>
        <w:rPr/>
        <w:t>higher</w:t>
      </w:r>
      <w:r>
        <w:rPr>
          <w:spacing w:val="-17"/>
        </w:rPr>
        <w:t> </w:t>
      </w:r>
      <w:r>
        <w:rPr/>
        <w:t>carbon</w:t>
      </w:r>
      <w:r>
        <w:rPr>
          <w:spacing w:val="-16"/>
        </w:rPr>
        <w:t> </w:t>
      </w:r>
      <w:r>
        <w:rPr/>
        <w:t>per</w:t>
      </w:r>
      <w:r>
        <w:rPr>
          <w:spacing w:val="-16"/>
        </w:rPr>
        <w:t> </w:t>
      </w:r>
      <w:r>
        <w:rPr>
          <w:spacing w:val="-3"/>
        </w:rPr>
        <w:t>unit </w:t>
      </w:r>
      <w:r>
        <w:rPr/>
        <w:t>of </w:t>
      </w:r>
      <w:r>
        <w:rPr>
          <w:spacing w:val="-3"/>
        </w:rPr>
        <w:t>energy, </w:t>
      </w:r>
      <w:r>
        <w:rPr/>
        <w:t>there is a net benefit in end-use CO</w:t>
      </w:r>
      <w:r>
        <w:rPr>
          <w:position w:val="-6"/>
          <w:sz w:val="11"/>
        </w:rPr>
        <w:t>2 </w:t>
      </w:r>
      <w:r>
        <w:rPr/>
        <w:t>emissions when the fuels are burned. However, no credit for such reductions is taken </w:t>
      </w:r>
      <w:hyperlink w:history="true" w:anchor="_bookmark47">
        <w:r>
          <w:rPr/>
          <w:t>in </w:t>
        </w:r>
        <w:r>
          <w:rPr>
            <w:spacing w:val="-3"/>
          </w:rPr>
          <w:t>Table </w:t>
        </w:r>
        <w:r>
          <w:rPr/>
          <w:t>3.11 </w:t>
        </w:r>
      </w:hyperlink>
      <w:r>
        <w:rPr/>
        <w:t>because the system boundary considered is confined to the fuel production</w:t>
      </w:r>
      <w:r>
        <w:rPr>
          <w:spacing w:val="-2"/>
        </w:rPr>
        <w:t> </w:t>
      </w:r>
      <w:r>
        <w:rPr/>
        <w:t>plant.</w:t>
      </w:r>
    </w:p>
    <w:p>
      <w:pPr>
        <w:pStyle w:val="BodyText"/>
        <w:spacing w:before="3"/>
        <w:rPr>
          <w:sz w:val="21"/>
        </w:rPr>
      </w:pPr>
    </w:p>
    <w:p>
      <w:pPr>
        <w:pStyle w:val="Heading2"/>
        <w:numPr>
          <w:ilvl w:val="2"/>
          <w:numId w:val="30"/>
        </w:numPr>
        <w:tabs>
          <w:tab w:pos="1333" w:val="left" w:leader="none"/>
          <w:tab w:pos="1334" w:val="left" w:leader="none"/>
        </w:tabs>
        <w:spacing w:line="249" w:lineRule="auto" w:before="1" w:after="0"/>
        <w:ind w:left="1333" w:right="649" w:hanging="820"/>
        <w:jc w:val="left"/>
      </w:pPr>
      <w:r>
        <w:rPr>
          <w:i/>
        </w:rPr>
        <w:t>Capture costs for other industrial processes </w:t>
      </w:r>
      <w:r>
        <w:rPr/>
        <w:t>(current technology)</w:t>
      </w:r>
    </w:p>
    <w:p>
      <w:pPr>
        <w:pStyle w:val="BodyText"/>
        <w:spacing w:before="6"/>
        <w:rPr>
          <w:b/>
          <w:i/>
        </w:rPr>
      </w:pPr>
    </w:p>
    <w:p>
      <w:pPr>
        <w:pStyle w:val="BodyText"/>
        <w:spacing w:line="240" w:lineRule="exact"/>
        <w:ind w:left="513"/>
        <w:jc w:val="both"/>
      </w:pPr>
      <w:r>
        <w:rPr/>
        <w:t>CO</w:t>
      </w:r>
      <w:r>
        <w:rPr>
          <w:position w:val="-6"/>
          <w:sz w:val="11"/>
        </w:rPr>
        <w:t>2 </w:t>
      </w:r>
      <w:r>
        <w:rPr/>
        <w:t>can be captured in other industrial processes using </w:t>
      </w:r>
      <w:r>
        <w:rPr>
          <w:spacing w:val="-5"/>
        </w:rPr>
        <w:t>the </w:t>
      </w:r>
      <w:r>
        <w:rPr/>
        <w:t>techniques described earlier for power generation. While </w:t>
      </w:r>
      <w:r>
        <w:rPr>
          <w:spacing w:val="-6"/>
        </w:rPr>
        <w:t>the </w:t>
      </w:r>
      <w:r>
        <w:rPr/>
        <w:t>costs of capture may vary considerably with the size, type and location of industrial processes, such costs will be lowest for processes or plants having: streams with relatively high CO</w:t>
      </w:r>
      <w:r>
        <w:rPr>
          <w:position w:val="-6"/>
          <w:sz w:val="11"/>
        </w:rPr>
        <w:t>2 </w:t>
      </w:r>
      <w:r>
        <w:rPr/>
        <w:t>concentrations;</w:t>
      </w:r>
      <w:r>
        <w:rPr>
          <w:spacing w:val="-15"/>
        </w:rPr>
        <w:t> </w:t>
      </w:r>
      <w:r>
        <w:rPr/>
        <w:t>process</w:t>
      </w:r>
      <w:r>
        <w:rPr>
          <w:spacing w:val="-14"/>
        </w:rPr>
        <w:t> </w:t>
      </w:r>
      <w:r>
        <w:rPr/>
        <w:t>plants</w:t>
      </w:r>
      <w:r>
        <w:rPr>
          <w:spacing w:val="-14"/>
        </w:rPr>
        <w:t> </w:t>
      </w:r>
      <w:r>
        <w:rPr/>
        <w:t>that</w:t>
      </w:r>
      <w:r>
        <w:rPr>
          <w:spacing w:val="-14"/>
        </w:rPr>
        <w:t> </w:t>
      </w:r>
      <w:r>
        <w:rPr/>
        <w:t>normally</w:t>
      </w:r>
      <w:r>
        <w:rPr>
          <w:spacing w:val="-14"/>
        </w:rPr>
        <w:t> </w:t>
      </w:r>
      <w:r>
        <w:rPr/>
        <w:t>operate</w:t>
      </w:r>
      <w:r>
        <w:rPr>
          <w:spacing w:val="-14"/>
        </w:rPr>
        <w:t> </w:t>
      </w:r>
      <w:r>
        <w:rPr/>
        <w:t>at</w:t>
      </w:r>
      <w:r>
        <w:rPr>
          <w:spacing w:val="-14"/>
        </w:rPr>
        <w:t> </w:t>
      </w:r>
      <w:r>
        <w:rPr/>
        <w:t>high</w:t>
      </w:r>
      <w:r>
        <w:rPr>
          <w:spacing w:val="-14"/>
        </w:rPr>
        <w:t> </w:t>
      </w:r>
      <w:r>
        <w:rPr>
          <w:spacing w:val="-4"/>
        </w:rPr>
        <w:t>load </w:t>
      </w:r>
      <w:r>
        <w:rPr/>
        <w:t>factors; plants with large CO</w:t>
      </w:r>
      <w:r>
        <w:rPr>
          <w:position w:val="-6"/>
          <w:sz w:val="11"/>
        </w:rPr>
        <w:t>2 </w:t>
      </w:r>
      <w:r>
        <w:rPr/>
        <w:t>emission rates; and, processes that can utilize waste heat to satisfy the energy requirements  of CO</w:t>
      </w:r>
      <w:r>
        <w:rPr>
          <w:position w:val="-6"/>
          <w:sz w:val="11"/>
        </w:rPr>
        <w:t>2 </w:t>
      </w:r>
      <w:r>
        <w:rPr/>
        <w:t>capture systems. Despite these potential advantages, little detailed work has been carried out to estimate costs of CO</w:t>
      </w:r>
      <w:r>
        <w:rPr>
          <w:position w:val="-6"/>
          <w:sz w:val="11"/>
        </w:rPr>
        <w:t>2 </w:t>
      </w:r>
      <w:r>
        <w:rPr/>
        <w:t>capture at industrial plants, with most work focused on  oil</w:t>
      </w:r>
      <w:r>
        <w:rPr>
          <w:spacing w:val="-6"/>
        </w:rPr>
        <w:t> </w:t>
      </w:r>
      <w:r>
        <w:rPr/>
        <w:t>refineries</w:t>
      </w:r>
      <w:r>
        <w:rPr>
          <w:spacing w:val="-5"/>
        </w:rPr>
        <w:t> </w:t>
      </w:r>
      <w:r>
        <w:rPr/>
        <w:t>and</w:t>
      </w:r>
      <w:r>
        <w:rPr>
          <w:spacing w:val="-5"/>
        </w:rPr>
        <w:t> </w:t>
      </w:r>
      <w:r>
        <w:rPr/>
        <w:t>petrochemical</w:t>
      </w:r>
      <w:r>
        <w:rPr>
          <w:spacing w:val="-5"/>
        </w:rPr>
        <w:t> </w:t>
      </w:r>
      <w:r>
        <w:rPr/>
        <w:t>plants.</w:t>
      </w:r>
      <w:r>
        <w:rPr>
          <w:spacing w:val="-16"/>
        </w:rPr>
        <w:t> </w:t>
      </w:r>
      <w:r>
        <w:rPr/>
        <w:t>A</w:t>
      </w:r>
      <w:r>
        <w:rPr>
          <w:spacing w:val="-15"/>
        </w:rPr>
        <w:t> </w:t>
      </w:r>
      <w:r>
        <w:rPr/>
        <w:t>summary</w:t>
      </w:r>
      <w:r>
        <w:rPr>
          <w:spacing w:val="-5"/>
        </w:rPr>
        <w:t> </w:t>
      </w:r>
      <w:r>
        <w:rPr/>
        <w:t>of</w:t>
      </w:r>
      <w:r>
        <w:rPr>
          <w:spacing w:val="-5"/>
        </w:rPr>
        <w:t> </w:t>
      </w:r>
      <w:r>
        <w:rPr/>
        <w:t>currently available cost studies appears in </w:t>
      </w:r>
      <w:r>
        <w:rPr>
          <w:spacing w:val="-3"/>
        </w:rPr>
        <w:t>T</w:t>
      </w:r>
      <w:hyperlink w:history="true" w:anchor="_bookmark50">
        <w:r>
          <w:rPr>
            <w:spacing w:val="-3"/>
          </w:rPr>
          <w:t>able</w:t>
        </w:r>
        <w:r>
          <w:rPr>
            <w:spacing w:val="-6"/>
          </w:rPr>
          <w:t> </w:t>
        </w:r>
        <w:r>
          <w:rPr/>
          <w:t>3.12.</w:t>
        </w:r>
      </w:hyperlink>
    </w:p>
    <w:p>
      <w:pPr>
        <w:pStyle w:val="BodyText"/>
        <w:spacing w:before="4"/>
        <w:rPr>
          <w:sz w:val="21"/>
        </w:rPr>
      </w:pPr>
    </w:p>
    <w:p>
      <w:pPr>
        <w:pStyle w:val="ListParagraph"/>
        <w:numPr>
          <w:ilvl w:val="3"/>
          <w:numId w:val="30"/>
        </w:numPr>
        <w:tabs>
          <w:tab w:pos="1365" w:val="left" w:leader="none"/>
        </w:tabs>
        <w:spacing w:line="240" w:lineRule="auto" w:before="0" w:after="0"/>
        <w:ind w:left="1364" w:right="0" w:hanging="852"/>
        <w:jc w:val="both"/>
        <w:rPr>
          <w:i/>
          <w:sz w:val="20"/>
        </w:rPr>
      </w:pPr>
      <w:r>
        <w:rPr>
          <w:i/>
          <w:sz w:val="20"/>
        </w:rPr>
        <w:t>Oil refining and petrochemical</w:t>
      </w:r>
      <w:r>
        <w:rPr>
          <w:i/>
          <w:spacing w:val="-6"/>
          <w:sz w:val="20"/>
        </w:rPr>
        <w:t> </w:t>
      </w:r>
      <w:r>
        <w:rPr>
          <w:i/>
          <w:sz w:val="20"/>
        </w:rPr>
        <w:t>plants</w:t>
      </w:r>
    </w:p>
    <w:p>
      <w:pPr>
        <w:pStyle w:val="BodyText"/>
        <w:spacing w:line="240" w:lineRule="exact" w:before="5"/>
        <w:ind w:left="513"/>
        <w:jc w:val="both"/>
      </w:pPr>
      <w:r>
        <w:rPr/>
        <w:t>Gas-fired process heaters and steam boilers are responsible  for the bulk of the CO</w:t>
      </w:r>
      <w:r>
        <w:rPr>
          <w:position w:val="-6"/>
          <w:sz w:val="11"/>
        </w:rPr>
        <w:t>2 </w:t>
      </w:r>
      <w:r>
        <w:rPr/>
        <w:t>emitted from typical oil refineries </w:t>
      </w:r>
      <w:r>
        <w:rPr>
          <w:spacing w:val="-5"/>
        </w:rPr>
        <w:t>and </w:t>
      </w:r>
      <w:r>
        <w:rPr/>
        <w:t>petrochemical plants. Although refineries and petrochemical plants emit large quantities of CO</w:t>
      </w:r>
      <w:r>
        <w:rPr>
          <w:position w:val="-6"/>
          <w:sz w:val="11"/>
        </w:rPr>
        <w:t>2</w:t>
      </w:r>
      <w:r>
        <w:rPr/>
        <w:t>, they include multiple emission sources often dispersed over a large area. Economies of scale can be achieved by using centralized CO</w:t>
      </w:r>
      <w:r>
        <w:rPr>
          <w:position w:val="-6"/>
          <w:sz w:val="11"/>
        </w:rPr>
        <w:t>2 </w:t>
      </w:r>
      <w:r>
        <w:rPr/>
        <w:t>absorbers or amine</w:t>
      </w:r>
      <w:r>
        <w:rPr>
          <w:spacing w:val="-17"/>
        </w:rPr>
        <w:t> </w:t>
      </w:r>
      <w:r>
        <w:rPr/>
        <w:t>regenerators</w:t>
      </w:r>
      <w:r>
        <w:rPr>
          <w:spacing w:val="-17"/>
        </w:rPr>
        <w:t> </w:t>
      </w:r>
      <w:r>
        <w:rPr/>
        <w:t>but</w:t>
      </w:r>
      <w:r>
        <w:rPr>
          <w:spacing w:val="-16"/>
        </w:rPr>
        <w:t> </w:t>
      </w:r>
      <w:r>
        <w:rPr/>
        <w:t>some</w:t>
      </w:r>
      <w:r>
        <w:rPr>
          <w:spacing w:val="-17"/>
        </w:rPr>
        <w:t> </w:t>
      </w:r>
      <w:r>
        <w:rPr/>
        <w:t>of</w:t>
      </w:r>
      <w:r>
        <w:rPr>
          <w:spacing w:val="-16"/>
        </w:rPr>
        <w:t> </w:t>
      </w:r>
      <w:r>
        <w:rPr/>
        <w:t>the</w:t>
      </w:r>
      <w:r>
        <w:rPr>
          <w:spacing w:val="-17"/>
        </w:rPr>
        <w:t> </w:t>
      </w:r>
      <w:r>
        <w:rPr/>
        <w:t>benefits</w:t>
      </w:r>
      <w:r>
        <w:rPr>
          <w:spacing w:val="-17"/>
        </w:rPr>
        <w:t> </w:t>
      </w:r>
      <w:r>
        <w:rPr/>
        <w:t>are</w:t>
      </w:r>
      <w:r>
        <w:rPr>
          <w:spacing w:val="-16"/>
        </w:rPr>
        <w:t> </w:t>
      </w:r>
      <w:r>
        <w:rPr/>
        <w:t>offset</w:t>
      </w:r>
      <w:r>
        <w:rPr>
          <w:spacing w:val="-17"/>
        </w:rPr>
        <w:t> </w:t>
      </w:r>
      <w:r>
        <w:rPr/>
        <w:t>by</w:t>
      </w:r>
      <w:r>
        <w:rPr>
          <w:spacing w:val="-16"/>
        </w:rPr>
        <w:t> </w:t>
      </w:r>
      <w:r>
        <w:rPr/>
        <w:t>the</w:t>
      </w:r>
      <w:r>
        <w:rPr>
          <w:spacing w:val="-17"/>
        </w:rPr>
        <w:t> </w:t>
      </w:r>
      <w:r>
        <w:rPr/>
        <w:t>cost of pipes and ducts. Based on </w:t>
      </w:r>
      <w:hyperlink w:history="true" w:anchor="_bookmark57">
        <w:r>
          <w:rPr>
            <w:spacing w:val="-3"/>
          </w:rPr>
          <w:t>Table </w:t>
        </w:r>
        <w:r>
          <w:rPr/>
          <w:t>3.14, </w:t>
        </w:r>
      </w:hyperlink>
      <w:r>
        <w:rPr/>
        <w:t>the cost of capturing and</w:t>
      </w:r>
      <w:r>
        <w:rPr>
          <w:spacing w:val="31"/>
        </w:rPr>
        <w:t> </w:t>
      </w:r>
      <w:r>
        <w:rPr/>
        <w:t>compressing</w:t>
      </w:r>
      <w:r>
        <w:rPr>
          <w:spacing w:val="31"/>
        </w:rPr>
        <w:t> </w:t>
      </w:r>
      <w:r>
        <w:rPr/>
        <w:t>CO</w:t>
      </w:r>
      <w:r>
        <w:rPr>
          <w:position w:val="-6"/>
          <w:sz w:val="11"/>
        </w:rPr>
        <w:t>2</w:t>
      </w:r>
      <w:r>
        <w:rPr>
          <w:spacing w:val="26"/>
          <w:position w:val="-6"/>
          <w:sz w:val="11"/>
        </w:rPr>
        <w:t> </w:t>
      </w:r>
      <w:r>
        <w:rPr/>
        <w:t>from</w:t>
      </w:r>
      <w:r>
        <w:rPr>
          <w:spacing w:val="32"/>
        </w:rPr>
        <w:t> </w:t>
      </w:r>
      <w:r>
        <w:rPr/>
        <w:t>refinery</w:t>
      </w:r>
      <w:r>
        <w:rPr>
          <w:spacing w:val="31"/>
        </w:rPr>
        <w:t> </w:t>
      </w:r>
      <w:r>
        <w:rPr/>
        <w:t>and</w:t>
      </w:r>
      <w:r>
        <w:rPr>
          <w:spacing w:val="32"/>
        </w:rPr>
        <w:t> </w:t>
      </w:r>
      <w:r>
        <w:rPr/>
        <w:t>petrochemical</w:t>
      </w:r>
      <w:r>
        <w:rPr>
          <w:spacing w:val="31"/>
        </w:rPr>
        <w:t> </w:t>
      </w:r>
      <w:r>
        <w:rPr>
          <w:spacing w:val="-4"/>
        </w:rPr>
        <w:t>plant</w:t>
      </w:r>
    </w:p>
    <w:p>
      <w:pPr>
        <w:pStyle w:val="BodyText"/>
        <w:spacing w:line="249" w:lineRule="auto" w:before="63"/>
        <w:ind w:left="242" w:right="113"/>
        <w:jc w:val="both"/>
      </w:pPr>
      <w:r>
        <w:rPr/>
        <w:br w:type="column"/>
      </w:r>
      <w:r>
        <w:rPr/>
        <w:t>factors, particularly the scale of operation and the electricity price.</w:t>
      </w:r>
      <w:r>
        <w:rPr>
          <w:spacing w:val="-16"/>
        </w:rPr>
        <w:t> </w:t>
      </w:r>
      <w:r>
        <w:rPr/>
        <w:t>Based</w:t>
      </w:r>
      <w:r>
        <w:rPr>
          <w:spacing w:val="-15"/>
        </w:rPr>
        <w:t> </w:t>
      </w:r>
      <w:r>
        <w:rPr/>
        <w:t>on</w:t>
      </w:r>
      <w:r>
        <w:rPr>
          <w:spacing w:val="-15"/>
        </w:rPr>
        <w:t> </w:t>
      </w:r>
      <w:r>
        <w:rPr/>
        <w:t>2</w:t>
      </w:r>
      <w:r>
        <w:rPr>
          <w:spacing w:val="-16"/>
        </w:rPr>
        <w:t> </w:t>
      </w:r>
      <w:r>
        <w:rPr/>
        <w:t>MtCO</w:t>
      </w:r>
      <w:r>
        <w:rPr>
          <w:spacing w:val="43"/>
        </w:rPr>
        <w:t> </w:t>
      </w:r>
      <w:r>
        <w:rPr/>
        <w:t>yr</w:t>
      </w:r>
      <w:r>
        <w:rPr>
          <w:position w:val="7"/>
          <w:sz w:val="11"/>
        </w:rPr>
        <w:t>-1</w:t>
      </w:r>
      <w:r>
        <w:rPr>
          <w:spacing w:val="7"/>
          <w:position w:val="7"/>
          <w:sz w:val="11"/>
        </w:rPr>
        <w:t> </w:t>
      </w:r>
      <w:r>
        <w:rPr/>
        <w:t>and</w:t>
      </w:r>
      <w:r>
        <w:rPr>
          <w:spacing w:val="-15"/>
        </w:rPr>
        <w:t> </w:t>
      </w:r>
      <w:r>
        <w:rPr/>
        <w:t>an</w:t>
      </w:r>
      <w:r>
        <w:rPr>
          <w:spacing w:val="-15"/>
        </w:rPr>
        <w:t> </w:t>
      </w:r>
      <w:r>
        <w:rPr/>
        <w:t>electricity</w:t>
      </w:r>
      <w:r>
        <w:rPr>
          <w:spacing w:val="-16"/>
        </w:rPr>
        <w:t> </w:t>
      </w:r>
      <w:r>
        <w:rPr/>
        <w:t>price</w:t>
      </w:r>
      <w:r>
        <w:rPr>
          <w:spacing w:val="-15"/>
        </w:rPr>
        <w:t> </w:t>
      </w:r>
      <w:r>
        <w:rPr/>
        <w:t>of</w:t>
      </w:r>
      <w:r>
        <w:rPr>
          <w:spacing w:val="-15"/>
        </w:rPr>
        <w:t> </w:t>
      </w:r>
      <w:r>
        <w:rPr/>
        <w:t>US$</w:t>
      </w:r>
      <w:r>
        <w:rPr>
          <w:spacing w:val="-15"/>
        </w:rPr>
        <w:t> </w:t>
      </w:r>
      <w:r>
        <w:rPr/>
        <w:t>0.05 kWh</w:t>
      </w:r>
      <w:r>
        <w:rPr>
          <w:position w:val="7"/>
          <w:sz w:val="11"/>
        </w:rPr>
        <w:t>-1</w:t>
      </w:r>
      <w:r>
        <w:rPr/>
        <w:t>,</w:t>
      </w:r>
      <w:r>
        <w:rPr>
          <w:spacing w:val="-16"/>
        </w:rPr>
        <w:t> </w:t>
      </w:r>
      <w:r>
        <w:rPr/>
        <w:t>the</w:t>
      </w:r>
      <w:r>
        <w:rPr>
          <w:spacing w:val="-15"/>
        </w:rPr>
        <w:t> </w:t>
      </w:r>
      <w:r>
        <w:rPr/>
        <w:t>cost</w:t>
      </w:r>
      <w:r>
        <w:rPr>
          <w:spacing w:val="-15"/>
        </w:rPr>
        <w:t> </w:t>
      </w:r>
      <w:r>
        <w:rPr/>
        <w:t>is</w:t>
      </w:r>
      <w:r>
        <w:rPr>
          <w:spacing w:val="-15"/>
        </w:rPr>
        <w:t> </w:t>
      </w:r>
      <w:r>
        <w:rPr/>
        <w:t>estimated</w:t>
      </w:r>
      <w:r>
        <w:rPr>
          <w:spacing w:val="-16"/>
        </w:rPr>
        <w:t> </w:t>
      </w:r>
      <w:r>
        <w:rPr/>
        <w:t>to</w:t>
      </w:r>
      <w:r>
        <w:rPr>
          <w:spacing w:val="-15"/>
        </w:rPr>
        <w:t> </w:t>
      </w:r>
      <w:r>
        <w:rPr/>
        <w:t>be</w:t>
      </w:r>
      <w:r>
        <w:rPr>
          <w:spacing w:val="-15"/>
        </w:rPr>
        <w:t> </w:t>
      </w:r>
      <w:r>
        <w:rPr/>
        <w:t>around</w:t>
      </w:r>
      <w:r>
        <w:rPr>
          <w:spacing w:val="-15"/>
        </w:rPr>
        <w:t> </w:t>
      </w:r>
      <w:r>
        <w:rPr/>
        <w:t>10</w:t>
      </w:r>
      <w:r>
        <w:rPr>
          <w:spacing w:val="-15"/>
        </w:rPr>
        <w:t> </w:t>
      </w:r>
      <w:r>
        <w:rPr/>
        <w:t>US$/tCO</w:t>
      </w:r>
      <w:r>
        <w:rPr>
          <w:spacing w:val="41"/>
        </w:rPr>
        <w:t> </w:t>
      </w:r>
      <w:r>
        <w:rPr/>
        <w:t>emissions avoided.</w:t>
      </w:r>
      <w:r>
        <w:rPr>
          <w:spacing w:val="37"/>
        </w:rPr>
        <w:t> </w:t>
      </w:r>
      <w:r>
        <w:rPr/>
        <w:t>Electricity</w:t>
      </w:r>
      <w:r>
        <w:rPr>
          <w:spacing w:val="37"/>
        </w:rPr>
        <w:t> </w:t>
      </w:r>
      <w:r>
        <w:rPr/>
        <w:t>accounts</w:t>
      </w:r>
      <w:r>
        <w:rPr>
          <w:spacing w:val="37"/>
        </w:rPr>
        <w:t> </w:t>
      </w:r>
      <w:r>
        <w:rPr/>
        <w:t>for</w:t>
      </w:r>
      <w:r>
        <w:rPr>
          <w:spacing w:val="37"/>
        </w:rPr>
        <w:t> </w:t>
      </w:r>
      <w:r>
        <w:rPr/>
        <w:t>over</w:t>
      </w:r>
      <w:r>
        <w:rPr>
          <w:spacing w:val="37"/>
        </w:rPr>
        <w:t> </w:t>
      </w:r>
      <w:r>
        <w:rPr/>
        <w:t>half</w:t>
      </w:r>
      <w:r>
        <w:rPr>
          <w:spacing w:val="37"/>
        </w:rPr>
        <w:t> </w:t>
      </w:r>
      <w:r>
        <w:rPr/>
        <w:t>of</w:t>
      </w:r>
      <w:r>
        <w:rPr>
          <w:spacing w:val="37"/>
        </w:rPr>
        <w:t> </w:t>
      </w:r>
      <w:r>
        <w:rPr/>
        <w:t>the</w:t>
      </w:r>
      <w:r>
        <w:rPr>
          <w:spacing w:val="37"/>
        </w:rPr>
        <w:t> </w:t>
      </w:r>
      <w:r>
        <w:rPr/>
        <w:t>total</w:t>
      </w:r>
      <w:r>
        <w:rPr>
          <w:spacing w:val="37"/>
        </w:rPr>
        <w:t> </w:t>
      </w:r>
      <w:r>
        <w:rPr/>
        <w:t>cost.</w:t>
      </w:r>
    </w:p>
    <w:p>
      <w:pPr>
        <w:pStyle w:val="BodyText"/>
        <w:spacing w:before="2"/>
        <w:rPr>
          <w:sz w:val="21"/>
        </w:rPr>
      </w:pPr>
    </w:p>
    <w:p>
      <w:pPr>
        <w:pStyle w:val="ListParagraph"/>
        <w:numPr>
          <w:ilvl w:val="3"/>
          <w:numId w:val="30"/>
        </w:numPr>
        <w:tabs>
          <w:tab w:pos="1063" w:val="left" w:leader="none"/>
        </w:tabs>
        <w:spacing w:line="240" w:lineRule="auto" w:before="0" w:after="0"/>
        <w:ind w:left="1062" w:right="0" w:hanging="821"/>
        <w:jc w:val="both"/>
        <w:rPr>
          <w:i/>
          <w:sz w:val="20"/>
        </w:rPr>
      </w:pPr>
      <w:r>
        <w:rPr/>
        <w:pict>
          <v:shape style="position:absolute;margin-left:417.606293pt;margin-top:-39.714062pt;width:2.9pt;height:5.8pt;mso-position-horizontal-relative:page;mso-position-vertical-relative:paragraph;z-index:-272356352"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pict>
          <v:shape style="position:absolute;margin-left:531.052185pt;margin-top:-27.714062pt;width:2.9pt;height:5.8pt;mso-position-horizontal-relative:page;mso-position-vertical-relative:paragraph;z-index:-272355328" type="#_x0000_t202" filled="false" stroked="false">
            <v:textbox inset="0,0,0,0">
              <w:txbxContent>
                <w:p>
                  <w:pPr>
                    <w:spacing w:line="111" w:lineRule="exact" w:before="0"/>
                    <w:ind w:left="0" w:right="0" w:firstLine="0"/>
                    <w:jc w:val="left"/>
                    <w:rPr>
                      <w:sz w:val="11"/>
                    </w:rPr>
                  </w:pPr>
                  <w:r>
                    <w:rPr>
                      <w:w w:val="105"/>
                      <w:sz w:val="11"/>
                    </w:rPr>
                    <w:t>2</w:t>
                  </w:r>
                </w:p>
              </w:txbxContent>
            </v:textbox>
            <w10:wrap type="none"/>
          </v:shape>
        </w:pict>
      </w:r>
      <w:r>
        <w:rPr>
          <w:i/>
          <w:sz w:val="20"/>
        </w:rPr>
        <w:t>Cement plants</w:t>
      </w:r>
    </w:p>
    <w:p>
      <w:pPr>
        <w:pStyle w:val="BodyText"/>
        <w:spacing w:line="240" w:lineRule="exact" w:before="5"/>
        <w:ind w:left="242" w:right="114"/>
        <w:jc w:val="both"/>
      </w:pPr>
      <w:r>
        <w:rPr/>
        <w:t>As noted in Chapter 2, cement plants are the largest industrial source</w:t>
      </w:r>
      <w:r>
        <w:rPr>
          <w:spacing w:val="-9"/>
        </w:rPr>
        <w:t> </w:t>
      </w:r>
      <w:r>
        <w:rPr/>
        <w:t>of</w:t>
      </w:r>
      <w:r>
        <w:rPr>
          <w:spacing w:val="-8"/>
        </w:rPr>
        <w:t> </w:t>
      </w:r>
      <w:r>
        <w:rPr/>
        <w:t>CO</w:t>
      </w:r>
      <w:r>
        <w:rPr>
          <w:position w:val="-6"/>
          <w:sz w:val="11"/>
        </w:rPr>
        <w:t>2</w:t>
      </w:r>
      <w:r>
        <w:rPr>
          <w:spacing w:val="14"/>
          <w:position w:val="-6"/>
          <w:sz w:val="11"/>
        </w:rPr>
        <w:t> </w:t>
      </w:r>
      <w:r>
        <w:rPr/>
        <w:t>apart</w:t>
      </w:r>
      <w:r>
        <w:rPr>
          <w:spacing w:val="-8"/>
        </w:rPr>
        <w:t> </w:t>
      </w:r>
      <w:r>
        <w:rPr/>
        <w:t>from</w:t>
      </w:r>
      <w:r>
        <w:rPr>
          <w:spacing w:val="-8"/>
        </w:rPr>
        <w:t> </w:t>
      </w:r>
      <w:r>
        <w:rPr/>
        <w:t>power</w:t>
      </w:r>
      <w:r>
        <w:rPr>
          <w:spacing w:val="-8"/>
        </w:rPr>
        <w:t> </w:t>
      </w:r>
      <w:r>
        <w:rPr/>
        <w:t>plants.</w:t>
      </w:r>
      <w:r>
        <w:rPr>
          <w:spacing w:val="-9"/>
        </w:rPr>
        <w:t> </w:t>
      </w:r>
      <w:r>
        <w:rPr/>
        <w:t>Cement</w:t>
      </w:r>
      <w:r>
        <w:rPr>
          <w:spacing w:val="-8"/>
        </w:rPr>
        <w:t> </w:t>
      </w:r>
      <w:r>
        <w:rPr/>
        <w:t>plants</w:t>
      </w:r>
      <w:r>
        <w:rPr>
          <w:spacing w:val="-8"/>
        </w:rPr>
        <w:t> </w:t>
      </w:r>
      <w:r>
        <w:rPr/>
        <w:t>normally burn lower cost high-carbon fuels such as coal, petroleum</w:t>
      </w:r>
      <w:r>
        <w:rPr>
          <w:spacing w:val="-21"/>
        </w:rPr>
        <w:t> </w:t>
      </w:r>
      <w:r>
        <w:rPr/>
        <w:t>coke and</w:t>
      </w:r>
      <w:r>
        <w:rPr>
          <w:spacing w:val="-30"/>
        </w:rPr>
        <w:t> </w:t>
      </w:r>
      <w:r>
        <w:rPr/>
        <w:t>various</w:t>
      </w:r>
      <w:r>
        <w:rPr>
          <w:spacing w:val="-30"/>
        </w:rPr>
        <w:t> </w:t>
      </w:r>
      <w:r>
        <w:rPr/>
        <w:t>wastes.</w:t>
      </w:r>
      <w:r>
        <w:rPr>
          <w:spacing w:val="-32"/>
        </w:rPr>
        <w:t> </w:t>
      </w:r>
      <w:r>
        <w:rPr/>
        <w:t>The</w:t>
      </w:r>
      <w:r>
        <w:rPr>
          <w:spacing w:val="-30"/>
        </w:rPr>
        <w:t> </w:t>
      </w:r>
      <w:r>
        <w:rPr/>
        <w:t>flue</w:t>
      </w:r>
      <w:r>
        <w:rPr>
          <w:spacing w:val="-29"/>
        </w:rPr>
        <w:t> </w:t>
      </w:r>
      <w:r>
        <w:rPr/>
        <w:t>gas</w:t>
      </w:r>
      <w:r>
        <w:rPr>
          <w:spacing w:val="-30"/>
        </w:rPr>
        <w:t> </w:t>
      </w:r>
      <w:r>
        <w:rPr/>
        <w:t>typically</w:t>
      </w:r>
      <w:r>
        <w:rPr>
          <w:spacing w:val="-29"/>
        </w:rPr>
        <w:t> </w:t>
      </w:r>
      <w:r>
        <w:rPr/>
        <w:t>has</w:t>
      </w:r>
      <w:r>
        <w:rPr>
          <w:spacing w:val="-30"/>
        </w:rPr>
        <w:t> </w:t>
      </w:r>
      <w:r>
        <w:rPr/>
        <w:t>a</w:t>
      </w:r>
      <w:r>
        <w:rPr>
          <w:spacing w:val="-29"/>
        </w:rPr>
        <w:t> </w:t>
      </w:r>
      <w:r>
        <w:rPr/>
        <w:t>CO</w:t>
      </w:r>
      <w:r>
        <w:rPr>
          <w:position w:val="-6"/>
          <w:sz w:val="11"/>
        </w:rPr>
        <w:t>2</w:t>
      </w:r>
      <w:r>
        <w:rPr>
          <w:spacing w:val="-7"/>
          <w:position w:val="-6"/>
          <w:sz w:val="11"/>
        </w:rPr>
        <w:t> </w:t>
      </w:r>
      <w:r>
        <w:rPr/>
        <w:t>concentration of</w:t>
      </w:r>
      <w:r>
        <w:rPr>
          <w:spacing w:val="-11"/>
        </w:rPr>
        <w:t> </w:t>
      </w:r>
      <w:r>
        <w:rPr/>
        <w:t>14-33%</w:t>
      </w:r>
      <w:r>
        <w:rPr>
          <w:spacing w:val="-10"/>
        </w:rPr>
        <w:t> </w:t>
      </w:r>
      <w:r>
        <w:rPr/>
        <w:t>by</w:t>
      </w:r>
      <w:r>
        <w:rPr>
          <w:spacing w:val="-12"/>
        </w:rPr>
        <w:t> </w:t>
      </w:r>
      <w:r>
        <w:rPr/>
        <w:t>volume,</w:t>
      </w:r>
      <w:r>
        <w:rPr>
          <w:spacing w:val="-11"/>
        </w:rPr>
        <w:t> </w:t>
      </w:r>
      <w:r>
        <w:rPr/>
        <w:t>significantly</w:t>
      </w:r>
      <w:r>
        <w:rPr>
          <w:spacing w:val="-11"/>
        </w:rPr>
        <w:t> </w:t>
      </w:r>
      <w:r>
        <w:rPr/>
        <w:t>higher</w:t>
      </w:r>
      <w:r>
        <w:rPr>
          <w:spacing w:val="-11"/>
        </w:rPr>
        <w:t> </w:t>
      </w:r>
      <w:r>
        <w:rPr/>
        <w:t>than</w:t>
      </w:r>
      <w:r>
        <w:rPr>
          <w:spacing w:val="-11"/>
        </w:rPr>
        <w:t> </w:t>
      </w:r>
      <w:r>
        <w:rPr/>
        <w:t>at</w:t>
      </w:r>
      <w:r>
        <w:rPr>
          <w:spacing w:val="-12"/>
        </w:rPr>
        <w:t> </w:t>
      </w:r>
      <w:r>
        <w:rPr/>
        <w:t>power</w:t>
      </w:r>
      <w:r>
        <w:rPr>
          <w:spacing w:val="-10"/>
        </w:rPr>
        <w:t> </w:t>
      </w:r>
      <w:r>
        <w:rPr/>
        <w:t>plants, because CO</w:t>
      </w:r>
      <w:r>
        <w:rPr>
          <w:position w:val="-6"/>
          <w:sz w:val="11"/>
        </w:rPr>
        <w:t>2 </w:t>
      </w:r>
      <w:r>
        <w:rPr/>
        <w:t>is produced in cement kilns by decomposition </w:t>
      </w:r>
      <w:r>
        <w:rPr>
          <w:spacing w:val="-6"/>
        </w:rPr>
        <w:t>of </w:t>
      </w:r>
      <w:r>
        <w:rPr/>
        <w:t>carbonate</w:t>
      </w:r>
      <w:r>
        <w:rPr>
          <w:spacing w:val="-11"/>
        </w:rPr>
        <w:t> </w:t>
      </w:r>
      <w:r>
        <w:rPr/>
        <w:t>minerals</w:t>
      </w:r>
      <w:r>
        <w:rPr>
          <w:spacing w:val="-10"/>
        </w:rPr>
        <w:t> </w:t>
      </w:r>
      <w:r>
        <w:rPr/>
        <w:t>as</w:t>
      </w:r>
      <w:r>
        <w:rPr>
          <w:spacing w:val="-10"/>
        </w:rPr>
        <w:t> </w:t>
      </w:r>
      <w:r>
        <w:rPr/>
        <w:t>well</w:t>
      </w:r>
      <w:r>
        <w:rPr>
          <w:spacing w:val="-10"/>
        </w:rPr>
        <w:t> </w:t>
      </w:r>
      <w:r>
        <w:rPr/>
        <w:t>as</w:t>
      </w:r>
      <w:r>
        <w:rPr>
          <w:spacing w:val="-10"/>
        </w:rPr>
        <w:t> </w:t>
      </w:r>
      <w:r>
        <w:rPr/>
        <w:t>by</w:t>
      </w:r>
      <w:r>
        <w:rPr>
          <w:spacing w:val="-11"/>
        </w:rPr>
        <w:t> </w:t>
      </w:r>
      <w:r>
        <w:rPr/>
        <w:t>fuel</w:t>
      </w:r>
      <w:r>
        <w:rPr>
          <w:spacing w:val="-10"/>
        </w:rPr>
        <w:t> </w:t>
      </w:r>
      <w:r>
        <w:rPr/>
        <w:t>combustion.</w:t>
      </w:r>
      <w:r>
        <w:rPr>
          <w:spacing w:val="-13"/>
        </w:rPr>
        <w:t> </w:t>
      </w:r>
      <w:r>
        <w:rPr/>
        <w:t>The</w:t>
      </w:r>
      <w:r>
        <w:rPr>
          <w:spacing w:val="-10"/>
        </w:rPr>
        <w:t> </w:t>
      </w:r>
      <w:r>
        <w:rPr/>
        <w:t>high</w:t>
      </w:r>
      <w:r>
        <w:rPr>
          <w:spacing w:val="-10"/>
        </w:rPr>
        <w:t> </w:t>
      </w:r>
      <w:r>
        <w:rPr/>
        <w:t>CO</w:t>
      </w:r>
      <w:r>
        <w:rPr>
          <w:position w:val="-6"/>
          <w:sz w:val="11"/>
        </w:rPr>
        <w:t>2 </w:t>
      </w:r>
      <w:r>
        <w:rPr/>
        <w:t>concentration would tend to reduce the specific cost of CO</w:t>
      </w:r>
      <w:r>
        <w:rPr>
          <w:position w:val="-6"/>
          <w:sz w:val="11"/>
        </w:rPr>
        <w:t>2 </w:t>
      </w:r>
      <w:r>
        <w:rPr/>
        <w:t>capture from flue gas. Pre-combustion capture, if used, would only capture the fuel-related CO</w:t>
      </w:r>
      <w:r>
        <w:rPr>
          <w:position w:val="-6"/>
          <w:sz w:val="11"/>
        </w:rPr>
        <w:t>2</w:t>
      </w:r>
      <w:r>
        <w:rPr/>
        <w:t>, so would be only a partial solution to CO</w:t>
      </w:r>
      <w:r>
        <w:rPr>
          <w:position w:val="-6"/>
          <w:sz w:val="11"/>
        </w:rPr>
        <w:t>2 </w:t>
      </w:r>
      <w:r>
        <w:rPr/>
        <w:t>emissions. Oxy-fuel combustion and capture using calcium sorbents are other options, which are described in Sections 3.2.4 and</w:t>
      </w:r>
      <w:r>
        <w:rPr>
          <w:spacing w:val="-2"/>
        </w:rPr>
        <w:t> </w:t>
      </w:r>
      <w:r>
        <w:rPr/>
        <w:t>3.7.11.</w:t>
      </w:r>
    </w:p>
    <w:p>
      <w:pPr>
        <w:pStyle w:val="BodyText"/>
        <w:spacing w:before="3"/>
        <w:rPr>
          <w:sz w:val="21"/>
        </w:rPr>
      </w:pPr>
    </w:p>
    <w:p>
      <w:pPr>
        <w:pStyle w:val="ListParagraph"/>
        <w:numPr>
          <w:ilvl w:val="3"/>
          <w:numId w:val="30"/>
        </w:numPr>
        <w:tabs>
          <w:tab w:pos="1063" w:val="left" w:leader="none"/>
        </w:tabs>
        <w:spacing w:line="240" w:lineRule="auto" w:before="0" w:after="0"/>
        <w:ind w:left="1062" w:right="0" w:hanging="821"/>
        <w:jc w:val="both"/>
        <w:rPr>
          <w:i/>
          <w:sz w:val="20"/>
        </w:rPr>
      </w:pPr>
      <w:r>
        <w:rPr>
          <w:i/>
          <w:sz w:val="20"/>
        </w:rPr>
        <w:t>Integrated steel</w:t>
      </w:r>
      <w:r>
        <w:rPr>
          <w:i/>
          <w:spacing w:val="-2"/>
          <w:sz w:val="20"/>
        </w:rPr>
        <w:t> </w:t>
      </w:r>
      <w:r>
        <w:rPr>
          <w:i/>
          <w:sz w:val="20"/>
        </w:rPr>
        <w:t>mills</w:t>
      </w:r>
    </w:p>
    <w:p>
      <w:pPr>
        <w:pStyle w:val="BodyText"/>
        <w:spacing w:line="240" w:lineRule="exact" w:before="5"/>
        <w:ind w:left="242" w:right="113"/>
        <w:jc w:val="both"/>
      </w:pPr>
      <w:r>
        <w:rPr/>
        <w:t>Integrated steel mills are some of the </w:t>
      </w:r>
      <w:r>
        <w:rPr>
          <w:spacing w:val="-3"/>
        </w:rPr>
        <w:t>world’s </w:t>
      </w:r>
      <w:r>
        <w:rPr/>
        <w:t>largest emitters of CO</w:t>
      </w:r>
      <w:r>
        <w:rPr>
          <w:position w:val="-6"/>
          <w:sz w:val="11"/>
        </w:rPr>
        <w:t>2</w:t>
      </w:r>
      <w:r>
        <w:rPr/>
        <w:t>, as described in Chapter 2. About 70% of the carbon introduced into an integrated steel mill is contained in the blast furnace</w:t>
      </w:r>
      <w:r>
        <w:rPr>
          <w:spacing w:val="-9"/>
        </w:rPr>
        <w:t> </w:t>
      </w:r>
      <w:r>
        <w:rPr/>
        <w:t>gas</w:t>
      </w:r>
      <w:r>
        <w:rPr>
          <w:spacing w:val="-8"/>
        </w:rPr>
        <w:t> </w:t>
      </w:r>
      <w:r>
        <w:rPr/>
        <w:t>in</w:t>
      </w:r>
      <w:r>
        <w:rPr>
          <w:spacing w:val="-8"/>
        </w:rPr>
        <w:t> </w:t>
      </w:r>
      <w:r>
        <w:rPr/>
        <w:t>the</w:t>
      </w:r>
      <w:r>
        <w:rPr>
          <w:spacing w:val="-8"/>
        </w:rPr>
        <w:t> </w:t>
      </w:r>
      <w:r>
        <w:rPr/>
        <w:t>form</w:t>
      </w:r>
      <w:r>
        <w:rPr>
          <w:spacing w:val="-8"/>
        </w:rPr>
        <w:t> </w:t>
      </w:r>
      <w:r>
        <w:rPr/>
        <w:t>of</w:t>
      </w:r>
      <w:r>
        <w:rPr>
          <w:spacing w:val="-8"/>
        </w:rPr>
        <w:t> </w:t>
      </w:r>
      <w:r>
        <w:rPr/>
        <w:t>CO</w:t>
      </w:r>
      <w:r>
        <w:rPr>
          <w:position w:val="-6"/>
          <w:sz w:val="11"/>
        </w:rPr>
        <w:t>2</w:t>
      </w:r>
      <w:r>
        <w:rPr>
          <w:spacing w:val="14"/>
          <w:position w:val="-6"/>
          <w:sz w:val="11"/>
        </w:rPr>
        <w:t> </w:t>
      </w:r>
      <w:r>
        <w:rPr/>
        <w:t>and</w:t>
      </w:r>
      <w:r>
        <w:rPr>
          <w:spacing w:val="-8"/>
        </w:rPr>
        <w:t> </w:t>
      </w:r>
      <w:r>
        <w:rPr/>
        <w:t>CO,</w:t>
      </w:r>
      <w:r>
        <w:rPr>
          <w:spacing w:val="-8"/>
        </w:rPr>
        <w:t> </w:t>
      </w:r>
      <w:r>
        <w:rPr/>
        <w:t>each</w:t>
      </w:r>
      <w:r>
        <w:rPr>
          <w:spacing w:val="-8"/>
        </w:rPr>
        <w:t> </w:t>
      </w:r>
      <w:r>
        <w:rPr/>
        <w:t>of</w:t>
      </w:r>
      <w:r>
        <w:rPr>
          <w:spacing w:val="-8"/>
        </w:rPr>
        <w:t> </w:t>
      </w:r>
      <w:r>
        <w:rPr/>
        <w:t>which</w:t>
      </w:r>
      <w:r>
        <w:rPr>
          <w:spacing w:val="-8"/>
        </w:rPr>
        <w:t> </w:t>
      </w:r>
      <w:r>
        <w:rPr/>
        <w:t>comprise about 20% by volume of the gas. The cost of capturing </w:t>
      </w:r>
      <w:r>
        <w:rPr>
          <w:spacing w:val="-5"/>
        </w:rPr>
        <w:t>CO</w:t>
      </w:r>
      <w:r>
        <w:rPr>
          <w:spacing w:val="-5"/>
          <w:position w:val="-6"/>
          <w:sz w:val="11"/>
        </w:rPr>
        <w:t>2 </w:t>
      </w:r>
      <w:r>
        <w:rPr/>
        <w:t>from</w:t>
      </w:r>
      <w:r>
        <w:rPr>
          <w:spacing w:val="-16"/>
        </w:rPr>
        <w:t> </w:t>
      </w:r>
      <w:r>
        <w:rPr/>
        <w:t>blast</w:t>
      </w:r>
      <w:r>
        <w:rPr>
          <w:spacing w:val="-15"/>
        </w:rPr>
        <w:t> </w:t>
      </w:r>
      <w:r>
        <w:rPr/>
        <w:t>furnace</w:t>
      </w:r>
      <w:r>
        <w:rPr>
          <w:spacing w:val="-16"/>
        </w:rPr>
        <w:t> </w:t>
      </w:r>
      <w:r>
        <w:rPr/>
        <w:t>gas</w:t>
      </w:r>
      <w:r>
        <w:rPr>
          <w:spacing w:val="-15"/>
        </w:rPr>
        <w:t> </w:t>
      </w:r>
      <w:r>
        <w:rPr/>
        <w:t>was</w:t>
      </w:r>
      <w:r>
        <w:rPr>
          <w:spacing w:val="-16"/>
        </w:rPr>
        <w:t> </w:t>
      </w:r>
      <w:r>
        <w:rPr/>
        <w:t>estimated</w:t>
      </w:r>
      <w:r>
        <w:rPr>
          <w:spacing w:val="-15"/>
        </w:rPr>
        <w:t> </w:t>
      </w:r>
      <w:r>
        <w:rPr/>
        <w:t>to</w:t>
      </w:r>
      <w:r>
        <w:rPr>
          <w:spacing w:val="-16"/>
        </w:rPr>
        <w:t> </w:t>
      </w:r>
      <w:r>
        <w:rPr/>
        <w:t>be</w:t>
      </w:r>
      <w:r>
        <w:rPr>
          <w:spacing w:val="-15"/>
        </w:rPr>
        <w:t> </w:t>
      </w:r>
      <w:r>
        <w:rPr/>
        <w:t>35</w:t>
      </w:r>
      <w:r>
        <w:rPr>
          <w:spacing w:val="-16"/>
        </w:rPr>
        <w:t> </w:t>
      </w:r>
      <w:r>
        <w:rPr/>
        <w:t>US$/tCO</w:t>
      </w:r>
      <w:r>
        <w:rPr>
          <w:position w:val="-6"/>
          <w:sz w:val="11"/>
        </w:rPr>
        <w:t>2</w:t>
      </w:r>
      <w:r>
        <w:rPr>
          <w:spacing w:val="7"/>
          <w:position w:val="-6"/>
          <w:sz w:val="11"/>
        </w:rPr>
        <w:t> </w:t>
      </w:r>
      <w:r>
        <w:rPr/>
        <w:t>avoided (Farla </w:t>
      </w:r>
      <w:r>
        <w:rPr>
          <w:i/>
        </w:rPr>
        <w:t>et al.</w:t>
      </w:r>
      <w:r>
        <w:rPr/>
        <w:t>, 1995) or 18 US$/tCO</w:t>
      </w:r>
      <w:r>
        <w:rPr>
          <w:position w:val="-6"/>
          <w:sz w:val="11"/>
        </w:rPr>
        <w:t>2 </w:t>
      </w:r>
      <w:r>
        <w:rPr/>
        <w:t>captured (Gielen,</w:t>
      </w:r>
      <w:r>
        <w:rPr>
          <w:spacing w:val="-8"/>
        </w:rPr>
        <w:t> </w:t>
      </w:r>
      <w:r>
        <w:rPr/>
        <w:t>2003).</w:t>
      </w:r>
    </w:p>
    <w:p>
      <w:pPr>
        <w:pStyle w:val="BodyText"/>
        <w:spacing w:line="240" w:lineRule="exact"/>
        <w:ind w:left="242" w:right="114" w:firstLine="284"/>
        <w:jc w:val="both"/>
      </w:pPr>
      <w:r>
        <w:rPr/>
        <w:t>Iron ore can be reacted with synthesis gas or hydrogen     to produce iron by direct reduction (Cheeley, 2000). Direct reduction processes are already used commercially but </w:t>
      </w:r>
      <w:r>
        <w:rPr>
          <w:spacing w:val="-3"/>
        </w:rPr>
        <w:t>further </w:t>
      </w:r>
      <w:r>
        <w:rPr/>
        <w:t>development work would be needed to reduce their costs so as to make them more widely competitive with conventional iron production processes. The cost of capturing CO</w:t>
      </w:r>
      <w:r>
        <w:rPr>
          <w:position w:val="-6"/>
          <w:sz w:val="11"/>
        </w:rPr>
        <w:t>2 </w:t>
      </w:r>
      <w:r>
        <w:rPr/>
        <w:t>from a </w:t>
      </w:r>
      <w:r>
        <w:rPr>
          <w:spacing w:val="-3"/>
        </w:rPr>
        <w:t>direct </w:t>
      </w:r>
      <w:r>
        <w:rPr/>
        <w:t>reduction iron (DRI) production processes was estimated to </w:t>
      </w:r>
      <w:r>
        <w:rPr>
          <w:spacing w:val="-7"/>
        </w:rPr>
        <w:t>be </w:t>
      </w:r>
      <w:r>
        <w:rPr/>
        <w:t>10 US$/tCO</w:t>
      </w:r>
      <w:r>
        <w:rPr>
          <w:position w:val="-6"/>
          <w:sz w:val="11"/>
        </w:rPr>
        <w:t>2 </w:t>
      </w:r>
      <w:r>
        <w:rPr/>
        <w:t>(Gielen, 2003). CO</w:t>
      </w:r>
      <w:r>
        <w:rPr>
          <w:position w:val="-6"/>
          <w:sz w:val="11"/>
        </w:rPr>
        <w:t>2 </w:t>
      </w:r>
      <w:r>
        <w:rPr/>
        <w:t>also could be captured from other gases in iron and steel mills but costs would probably be higher as they are more dilute or smaller in</w:t>
      </w:r>
      <w:r>
        <w:rPr>
          <w:spacing w:val="-5"/>
        </w:rPr>
        <w:t> </w:t>
      </w:r>
      <w:r>
        <w:rPr/>
        <w:t>scale.</w:t>
      </w:r>
    </w:p>
    <w:p>
      <w:pPr>
        <w:pStyle w:val="BodyText"/>
        <w:spacing w:before="4"/>
        <w:rPr>
          <w:sz w:val="21"/>
        </w:rPr>
      </w:pPr>
    </w:p>
    <w:p>
      <w:pPr>
        <w:pStyle w:val="ListParagraph"/>
        <w:numPr>
          <w:ilvl w:val="3"/>
          <w:numId w:val="30"/>
        </w:numPr>
        <w:tabs>
          <w:tab w:pos="1063" w:val="left" w:leader="none"/>
        </w:tabs>
        <w:spacing w:line="240" w:lineRule="auto" w:before="0" w:after="0"/>
        <w:ind w:left="1062" w:right="0" w:hanging="821"/>
        <w:jc w:val="both"/>
        <w:rPr>
          <w:i/>
          <w:sz w:val="20"/>
        </w:rPr>
      </w:pPr>
      <w:r>
        <w:rPr>
          <w:i/>
          <w:sz w:val="20"/>
        </w:rPr>
        <w:t>Biomass plants</w:t>
      </w:r>
    </w:p>
    <w:p>
      <w:pPr>
        <w:pStyle w:val="BodyText"/>
        <w:spacing w:line="225" w:lineRule="auto" w:before="18"/>
        <w:ind w:left="242" w:right="115"/>
        <w:jc w:val="both"/>
      </w:pPr>
      <w:r>
        <w:rPr/>
        <w:t>The main large point sources of biomass-derived CO</w:t>
      </w:r>
      <w:r>
        <w:rPr>
          <w:position w:val="-6"/>
          <w:sz w:val="11"/>
        </w:rPr>
        <w:t>2 </w:t>
      </w:r>
      <w:r>
        <w:rPr>
          <w:spacing w:val="-4"/>
        </w:rPr>
        <w:t>are </w:t>
      </w:r>
      <w:r>
        <w:rPr/>
        <w:t>currently wood pulp mills, which emit CO</w:t>
      </w:r>
      <w:r>
        <w:rPr>
          <w:position w:val="-6"/>
          <w:sz w:val="11"/>
        </w:rPr>
        <w:t>2 </w:t>
      </w:r>
      <w:r>
        <w:rPr/>
        <w:t>from black liquor recovery</w:t>
      </w:r>
      <w:r>
        <w:rPr>
          <w:spacing w:val="-10"/>
        </w:rPr>
        <w:t> </w:t>
      </w:r>
      <w:r>
        <w:rPr/>
        <w:t>boilers</w:t>
      </w:r>
      <w:r>
        <w:rPr>
          <w:spacing w:val="-9"/>
        </w:rPr>
        <w:t> </w:t>
      </w:r>
      <w:r>
        <w:rPr/>
        <w:t>and</w:t>
      </w:r>
      <w:r>
        <w:rPr>
          <w:spacing w:val="-9"/>
        </w:rPr>
        <w:t> </w:t>
      </w:r>
      <w:r>
        <w:rPr/>
        <w:t>bark-fired</w:t>
      </w:r>
      <w:r>
        <w:rPr>
          <w:spacing w:val="-9"/>
        </w:rPr>
        <w:t> </w:t>
      </w:r>
      <w:r>
        <w:rPr/>
        <w:t>boilers,</w:t>
      </w:r>
      <w:r>
        <w:rPr>
          <w:spacing w:val="-9"/>
        </w:rPr>
        <w:t> </w:t>
      </w:r>
      <w:r>
        <w:rPr/>
        <w:t>and</w:t>
      </w:r>
      <w:r>
        <w:rPr>
          <w:spacing w:val="-9"/>
        </w:rPr>
        <w:t> </w:t>
      </w:r>
      <w:r>
        <w:rPr/>
        <w:t>sugar/ethanol</w:t>
      </w:r>
      <w:r>
        <w:rPr>
          <w:spacing w:val="-9"/>
        </w:rPr>
        <w:t> </w:t>
      </w:r>
      <w:r>
        <w:rPr/>
        <w:t>mills, which emit CO</w:t>
      </w:r>
      <w:r>
        <w:rPr>
          <w:position w:val="-6"/>
          <w:sz w:val="11"/>
        </w:rPr>
        <w:t>2 </w:t>
      </w:r>
      <w:r>
        <w:rPr/>
        <w:t>from bagasse-fired boilers. Black liquor is </w:t>
      </w:r>
      <w:r>
        <w:rPr>
          <w:spacing w:val="-11"/>
        </w:rPr>
        <w:t>a </w:t>
      </w:r>
      <w:r>
        <w:rPr/>
        <w:t>byproduct of pulping that contains lignin and chemicals </w:t>
      </w:r>
      <w:r>
        <w:rPr>
          <w:spacing w:val="-3"/>
        </w:rPr>
        <w:t>used </w:t>
      </w:r>
      <w:r>
        <w:rPr/>
        <w:t>in the pulping process. The cost of post-combustion </w:t>
      </w:r>
      <w:r>
        <w:rPr>
          <w:spacing w:val="-3"/>
        </w:rPr>
        <w:t>capture </w:t>
      </w:r>
      <w:r>
        <w:rPr/>
        <w:t>was estimated to be 34</w:t>
      </w:r>
      <w:r>
        <w:rPr>
          <w:spacing w:val="25"/>
        </w:rPr>
        <w:t> </w:t>
      </w:r>
      <w:r>
        <w:rPr/>
        <w:t>US$/tCO</w:t>
      </w:r>
      <w:r>
        <w:rPr>
          <w:position w:val="-6"/>
          <w:sz w:val="11"/>
        </w:rPr>
        <w:t>2 </w:t>
      </w:r>
      <w:r>
        <w:rPr/>
        <w:t>avoided in a plant that</w:t>
      </w:r>
    </w:p>
    <w:p>
      <w:pPr>
        <w:spacing w:after="0" w:line="225" w:lineRule="auto"/>
        <w:jc w:val="both"/>
        <w:sectPr>
          <w:type w:val="continuous"/>
          <w:pgSz w:w="12240" w:h="15840"/>
          <w:pgMar w:top="480" w:bottom="280" w:left="620" w:right="620"/>
          <w:cols w:num="2" w:equalWidth="0">
            <w:col w:w="5559" w:space="40"/>
            <w:col w:w="5401"/>
          </w:cols>
        </w:sectPr>
      </w:pPr>
    </w:p>
    <w:p>
      <w:pPr>
        <w:pStyle w:val="BodyText"/>
        <w:spacing w:line="187" w:lineRule="exact"/>
        <w:ind w:left="513"/>
      </w:pPr>
      <w:r>
        <w:rPr/>
        <w:t>heaters using current technology is estimated to be 50-60 US$/</w:t>
      </w:r>
    </w:p>
    <w:p>
      <w:pPr>
        <w:pStyle w:val="BodyText"/>
        <w:spacing w:line="182" w:lineRule="auto"/>
        <w:ind w:left="242"/>
        <w:rPr>
          <w:sz w:val="11"/>
        </w:rPr>
      </w:pPr>
      <w:r>
        <w:rPr/>
        <w:br w:type="column"/>
      </w:r>
      <w:r>
        <w:rPr/>
        <w:t>captures about 1 MtCO</w:t>
      </w:r>
      <w:r>
        <w:rPr>
          <w:position w:val="-6"/>
          <w:sz w:val="11"/>
        </w:rPr>
        <w:t>2</w:t>
      </w:r>
    </w:p>
    <w:p>
      <w:pPr>
        <w:spacing w:line="187" w:lineRule="exact" w:before="0"/>
        <w:ind w:left="11" w:right="0" w:firstLine="0"/>
        <w:jc w:val="left"/>
        <w:rPr>
          <w:sz w:val="20"/>
        </w:rPr>
      </w:pPr>
      <w:r>
        <w:rPr/>
        <w:br w:type="column"/>
      </w:r>
      <w:r>
        <w:rPr>
          <w:sz w:val="20"/>
        </w:rPr>
        <w:t>yr</w:t>
      </w:r>
      <w:r>
        <w:rPr>
          <w:position w:val="7"/>
          <w:sz w:val="11"/>
        </w:rPr>
        <w:t>-1 </w:t>
      </w:r>
      <w:r>
        <w:rPr>
          <w:sz w:val="20"/>
        </w:rPr>
        <w:t>(Möllersten </w:t>
      </w:r>
      <w:r>
        <w:rPr>
          <w:i/>
          <w:sz w:val="20"/>
        </w:rPr>
        <w:t>et al.</w:t>
      </w:r>
      <w:r>
        <w:rPr>
          <w:sz w:val="20"/>
        </w:rPr>
        <w:t>, 2003). Biomass</w:t>
      </w:r>
    </w:p>
    <w:p>
      <w:pPr>
        <w:spacing w:after="0" w:line="187" w:lineRule="exact"/>
        <w:jc w:val="left"/>
        <w:rPr>
          <w:sz w:val="20"/>
        </w:rPr>
        <w:sectPr>
          <w:type w:val="continuous"/>
          <w:pgSz w:w="12240" w:h="15840"/>
          <w:pgMar w:top="480" w:bottom="280" w:left="620" w:right="620"/>
          <w:cols w:num="3" w:equalWidth="0">
            <w:col w:w="5558" w:space="40"/>
            <w:col w:w="2178" w:space="39"/>
            <w:col w:w="3185"/>
          </w:cols>
        </w:sectPr>
      </w:pPr>
    </w:p>
    <w:p>
      <w:pPr>
        <w:pStyle w:val="BodyText"/>
        <w:spacing w:line="206" w:lineRule="auto"/>
        <w:ind w:left="513" w:right="-7"/>
      </w:pPr>
      <w:r>
        <w:rPr/>
        <w:t>tCO</w:t>
      </w:r>
      <w:r>
        <w:rPr>
          <w:position w:val="-6"/>
          <w:sz w:val="11"/>
        </w:rPr>
        <w:t>2 </w:t>
      </w:r>
      <w:r>
        <w:rPr/>
        <w:t>captured. Because of the complexity of these industrial facilities, along with proprietary concerns, the incremental </w:t>
      </w:r>
      <w:r>
        <w:rPr>
          <w:spacing w:val="-4"/>
        </w:rPr>
        <w:t>cost</w:t>
      </w:r>
    </w:p>
    <w:p>
      <w:pPr>
        <w:pStyle w:val="BodyText"/>
        <w:spacing w:before="3"/>
        <w:ind w:left="513"/>
      </w:pPr>
      <w:r>
        <w:rPr/>
        <w:t>of plant products is not normally reported.</w:t>
      </w:r>
    </w:p>
    <w:p>
      <w:pPr>
        <w:pStyle w:val="BodyText"/>
        <w:spacing w:line="199" w:lineRule="exact"/>
        <w:ind w:left="241"/>
      </w:pPr>
      <w:r>
        <w:rPr/>
        <w:br w:type="column"/>
      </w:r>
      <w:r>
        <w:rPr/>
        <w:t>gasification is under development as an alternative to boilers.</w:t>
      </w:r>
    </w:p>
    <w:p>
      <w:pPr>
        <w:pStyle w:val="BodyText"/>
        <w:spacing w:line="206" w:lineRule="auto" w:before="29"/>
        <w:ind w:left="241" w:firstLine="283"/>
      </w:pPr>
      <w:r>
        <w:rPr/>
        <w:t>CO</w:t>
      </w:r>
      <w:r>
        <w:rPr>
          <w:position w:val="-6"/>
          <w:sz w:val="11"/>
        </w:rPr>
        <w:t>2 </w:t>
      </w:r>
      <w:r>
        <w:rPr/>
        <w:t>could be captured from sucrose fermentation and from combustion of sugar cane bagasse at a cost of about 53 US$/</w:t>
      </w:r>
    </w:p>
    <w:p>
      <w:pPr>
        <w:spacing w:after="0" w:line="206" w:lineRule="auto"/>
        <w:sectPr>
          <w:type w:val="continuous"/>
          <w:pgSz w:w="12240" w:h="15840"/>
          <w:pgMar w:top="480" w:bottom="280" w:left="620" w:right="620"/>
          <w:cols w:num="2" w:equalWidth="0">
            <w:col w:w="5559" w:space="40"/>
            <w:col w:w="5401"/>
          </w:cols>
        </w:sectPr>
      </w:pPr>
    </w:p>
    <w:p>
      <w:pPr>
        <w:pStyle w:val="BodyText"/>
        <w:spacing w:line="277" w:lineRule="exact" w:before="10"/>
        <w:ind w:left="797"/>
        <w:rPr>
          <w:sz w:val="11"/>
        </w:rPr>
      </w:pPr>
      <w:r>
        <w:rPr/>
        <w:t>High purity CO</w:t>
      </w:r>
      <w:r>
        <w:rPr>
          <w:position w:val="-6"/>
          <w:sz w:val="11"/>
        </w:rPr>
        <w:t>2</w:t>
      </w:r>
    </w:p>
    <w:p>
      <w:pPr>
        <w:pStyle w:val="BodyText"/>
        <w:spacing w:before="10"/>
        <w:ind w:left="30"/>
      </w:pPr>
      <w:r>
        <w:rPr/>
        <w:br w:type="column"/>
      </w:r>
      <w:r>
        <w:rPr/>
        <w:t>is currently vented to the atmosphere by</w:t>
      </w:r>
    </w:p>
    <w:p>
      <w:pPr>
        <w:spacing w:line="277" w:lineRule="exact" w:before="10"/>
        <w:ind w:left="242" w:right="0" w:firstLine="0"/>
        <w:jc w:val="left"/>
        <w:rPr>
          <w:sz w:val="11"/>
        </w:rPr>
      </w:pPr>
      <w:r>
        <w:rPr/>
        <w:br w:type="column"/>
      </w:r>
      <w:r>
        <w:rPr>
          <w:sz w:val="20"/>
        </w:rPr>
        <w:t>tCO</w:t>
      </w:r>
      <w:r>
        <w:rPr>
          <w:position w:val="-6"/>
          <w:sz w:val="11"/>
        </w:rPr>
        <w:t>2</w:t>
      </w:r>
    </w:p>
    <w:p>
      <w:pPr>
        <w:pStyle w:val="BodyText"/>
        <w:spacing w:line="277" w:lineRule="exact" w:before="10"/>
        <w:ind w:left="56"/>
        <w:rPr>
          <w:sz w:val="11"/>
        </w:rPr>
      </w:pPr>
      <w:r>
        <w:rPr/>
        <w:br w:type="column"/>
      </w:r>
      <w:r>
        <w:rPr/>
        <w:t>avoided for a plant capturing 0.6 MtCO</w:t>
      </w:r>
      <w:r>
        <w:rPr>
          <w:position w:val="-6"/>
          <w:sz w:val="11"/>
        </w:rPr>
        <w:t>2</w:t>
      </w:r>
    </w:p>
    <w:p>
      <w:pPr>
        <w:spacing w:before="10"/>
        <w:ind w:left="16" w:right="0" w:firstLine="0"/>
        <w:jc w:val="left"/>
        <w:rPr>
          <w:sz w:val="20"/>
        </w:rPr>
      </w:pPr>
      <w:r>
        <w:rPr/>
        <w:br w:type="column"/>
      </w:r>
      <w:r>
        <w:rPr>
          <w:sz w:val="20"/>
        </w:rPr>
        <w:t>yr</w:t>
      </w:r>
      <w:r>
        <w:rPr>
          <w:position w:val="7"/>
          <w:sz w:val="11"/>
        </w:rPr>
        <w:t>-1 </w:t>
      </w:r>
      <w:r>
        <w:rPr>
          <w:sz w:val="20"/>
        </w:rPr>
        <w:t>avoided</w:t>
      </w:r>
    </w:p>
    <w:p>
      <w:pPr>
        <w:spacing w:after="0"/>
        <w:jc w:val="left"/>
        <w:rPr>
          <w:sz w:val="20"/>
        </w:rPr>
        <w:sectPr>
          <w:type w:val="continuous"/>
          <w:pgSz w:w="12240" w:h="15840"/>
          <w:pgMar w:top="480" w:bottom="280" w:left="620" w:right="620"/>
          <w:cols w:num="5" w:equalWidth="0">
            <w:col w:w="2153" w:space="40"/>
            <w:col w:w="3366" w:space="39"/>
            <w:col w:w="634" w:space="39"/>
            <w:col w:w="3567" w:space="40"/>
            <w:col w:w="1122"/>
          </w:cols>
        </w:sectPr>
      </w:pPr>
    </w:p>
    <w:p>
      <w:pPr>
        <w:pStyle w:val="BodyText"/>
        <w:spacing w:line="194" w:lineRule="exact"/>
        <w:ind w:left="513"/>
        <w:jc w:val="both"/>
      </w:pPr>
      <w:r>
        <w:rPr/>
        <w:t>some gas processing and petrochemical plants, as described </w:t>
      </w:r>
      <w:r>
        <w:rPr>
          <w:spacing w:val="4"/>
        </w:rPr>
        <w:t> </w:t>
      </w:r>
      <w:r>
        <w:rPr>
          <w:spacing w:val="-6"/>
        </w:rPr>
        <w:t>in</w:t>
      </w:r>
    </w:p>
    <w:p>
      <w:pPr>
        <w:pStyle w:val="BodyText"/>
        <w:spacing w:line="206" w:lineRule="auto" w:before="29"/>
        <w:ind w:left="513"/>
        <w:jc w:val="both"/>
      </w:pPr>
      <w:r>
        <w:rPr/>
        <w:t>Chapter</w:t>
      </w:r>
      <w:r>
        <w:rPr>
          <w:spacing w:val="-21"/>
        </w:rPr>
        <w:t> </w:t>
      </w:r>
      <w:r>
        <w:rPr/>
        <w:t>2.</w:t>
      </w:r>
      <w:r>
        <w:rPr>
          <w:spacing w:val="-25"/>
        </w:rPr>
        <w:t> </w:t>
      </w:r>
      <w:r>
        <w:rPr/>
        <w:t>The</w:t>
      </w:r>
      <w:r>
        <w:rPr>
          <w:spacing w:val="-21"/>
        </w:rPr>
        <w:t> </w:t>
      </w:r>
      <w:r>
        <w:rPr/>
        <w:t>cost</w:t>
      </w:r>
      <w:r>
        <w:rPr>
          <w:spacing w:val="-21"/>
        </w:rPr>
        <w:t> </w:t>
      </w:r>
      <w:r>
        <w:rPr/>
        <w:t>of</w:t>
      </w:r>
      <w:r>
        <w:rPr>
          <w:spacing w:val="-21"/>
        </w:rPr>
        <w:t> </w:t>
      </w:r>
      <w:r>
        <w:rPr/>
        <w:t>CO</w:t>
      </w:r>
      <w:r>
        <w:rPr>
          <w:position w:val="-6"/>
          <w:sz w:val="11"/>
        </w:rPr>
        <w:t>2</w:t>
      </w:r>
      <w:r>
        <w:rPr>
          <w:spacing w:val="1"/>
          <w:position w:val="-6"/>
          <w:sz w:val="11"/>
        </w:rPr>
        <w:t> </w:t>
      </w:r>
      <w:r>
        <w:rPr/>
        <w:t>capture</w:t>
      </w:r>
      <w:r>
        <w:rPr>
          <w:spacing w:val="-21"/>
        </w:rPr>
        <w:t> </w:t>
      </w:r>
      <w:r>
        <w:rPr/>
        <w:t>in</w:t>
      </w:r>
      <w:r>
        <w:rPr>
          <w:spacing w:val="-20"/>
        </w:rPr>
        <w:t> </w:t>
      </w:r>
      <w:r>
        <w:rPr/>
        <w:t>such</w:t>
      </w:r>
      <w:r>
        <w:rPr>
          <w:spacing w:val="-21"/>
        </w:rPr>
        <w:t> </w:t>
      </w:r>
      <w:r>
        <w:rPr/>
        <w:t>cases</w:t>
      </w:r>
      <w:r>
        <w:rPr>
          <w:spacing w:val="-21"/>
        </w:rPr>
        <w:t> </w:t>
      </w:r>
      <w:r>
        <w:rPr/>
        <w:t>would</w:t>
      </w:r>
      <w:r>
        <w:rPr>
          <w:spacing w:val="-21"/>
        </w:rPr>
        <w:t> </w:t>
      </w:r>
      <w:r>
        <w:rPr/>
        <w:t>be</w:t>
      </w:r>
      <w:r>
        <w:rPr>
          <w:spacing w:val="-21"/>
        </w:rPr>
        <w:t> </w:t>
      </w:r>
      <w:r>
        <w:rPr/>
        <w:t>simply the cost of drying and compressing the CO</w:t>
      </w:r>
      <w:r>
        <w:rPr>
          <w:position w:val="-6"/>
          <w:sz w:val="11"/>
        </w:rPr>
        <w:t>2 </w:t>
      </w:r>
      <w:r>
        <w:rPr/>
        <w:t>to the pressure required </w:t>
      </w:r>
      <w:r>
        <w:rPr>
          <w:spacing w:val="9"/>
        </w:rPr>
        <w:t> </w:t>
      </w:r>
      <w:r>
        <w:rPr/>
        <w:t>for </w:t>
      </w:r>
      <w:r>
        <w:rPr>
          <w:spacing w:val="10"/>
        </w:rPr>
        <w:t> </w:t>
      </w:r>
      <w:r>
        <w:rPr/>
        <w:t>transport. </w:t>
      </w:r>
      <w:r>
        <w:rPr>
          <w:spacing w:val="6"/>
        </w:rPr>
        <w:t> </w:t>
      </w:r>
      <w:r>
        <w:rPr/>
        <w:t>The </w:t>
      </w:r>
      <w:r>
        <w:rPr>
          <w:spacing w:val="10"/>
        </w:rPr>
        <w:t> </w:t>
      </w:r>
      <w:r>
        <w:rPr/>
        <w:t>cost </w:t>
      </w:r>
      <w:r>
        <w:rPr>
          <w:spacing w:val="9"/>
        </w:rPr>
        <w:t> </w:t>
      </w:r>
      <w:r>
        <w:rPr/>
        <w:t>would </w:t>
      </w:r>
      <w:r>
        <w:rPr>
          <w:spacing w:val="10"/>
        </w:rPr>
        <w:t> </w:t>
      </w:r>
      <w:r>
        <w:rPr/>
        <w:t>depend </w:t>
      </w:r>
      <w:r>
        <w:rPr>
          <w:spacing w:val="9"/>
        </w:rPr>
        <w:t> </w:t>
      </w:r>
      <w:r>
        <w:rPr/>
        <w:t>on </w:t>
      </w:r>
      <w:r>
        <w:rPr>
          <w:spacing w:val="10"/>
        </w:rPr>
        <w:t> </w:t>
      </w:r>
      <w:r>
        <w:rPr/>
        <w:t>various</w:t>
      </w:r>
    </w:p>
    <w:p>
      <w:pPr>
        <w:pStyle w:val="BodyText"/>
        <w:spacing w:line="187" w:lineRule="auto"/>
        <w:ind w:left="242"/>
      </w:pPr>
      <w:r>
        <w:rPr/>
        <w:br w:type="column"/>
      </w:r>
      <w:r>
        <w:rPr/>
        <w:t>(Möllersten</w:t>
      </w:r>
      <w:r>
        <w:rPr>
          <w:spacing w:val="-9"/>
        </w:rPr>
        <w:t> </w:t>
      </w:r>
      <w:r>
        <w:rPr>
          <w:i/>
        </w:rPr>
        <w:t>et</w:t>
      </w:r>
      <w:r>
        <w:rPr>
          <w:i/>
          <w:spacing w:val="-8"/>
        </w:rPr>
        <w:t> </w:t>
      </w:r>
      <w:r>
        <w:rPr>
          <w:i/>
        </w:rPr>
        <w:t>al.</w:t>
      </w:r>
      <w:r>
        <w:rPr/>
        <w:t>,</w:t>
      </w:r>
      <w:r>
        <w:rPr>
          <w:spacing w:val="-8"/>
        </w:rPr>
        <w:t> </w:t>
      </w:r>
      <w:r>
        <w:rPr/>
        <w:t>2003).</w:t>
      </w:r>
      <w:r>
        <w:rPr>
          <w:spacing w:val="-8"/>
        </w:rPr>
        <w:t> </w:t>
      </w:r>
      <w:r>
        <w:rPr/>
        <w:t>CO</w:t>
      </w:r>
      <w:r>
        <w:rPr>
          <w:position w:val="-6"/>
          <w:sz w:val="11"/>
        </w:rPr>
        <w:t>2</w:t>
      </w:r>
      <w:r>
        <w:rPr>
          <w:spacing w:val="14"/>
          <w:position w:val="-6"/>
          <w:sz w:val="11"/>
        </w:rPr>
        <w:t> </w:t>
      </w:r>
      <w:r>
        <w:rPr/>
        <w:t>from</w:t>
      </w:r>
      <w:r>
        <w:rPr>
          <w:spacing w:val="-8"/>
        </w:rPr>
        <w:t> </w:t>
      </w:r>
      <w:r>
        <w:rPr/>
        <w:t>sugar</w:t>
      </w:r>
      <w:r>
        <w:rPr>
          <w:spacing w:val="-9"/>
        </w:rPr>
        <w:t> </w:t>
      </w:r>
      <w:r>
        <w:rPr/>
        <w:t>cane</w:t>
      </w:r>
      <w:r>
        <w:rPr>
          <w:spacing w:val="-8"/>
        </w:rPr>
        <w:t> </w:t>
      </w:r>
      <w:r>
        <w:rPr/>
        <w:t>fermentation</w:t>
      </w:r>
      <w:r>
        <w:rPr>
          <w:spacing w:val="-8"/>
        </w:rPr>
        <w:t> </w:t>
      </w:r>
      <w:r>
        <w:rPr/>
        <w:t>has</w:t>
      </w:r>
    </w:p>
    <w:p>
      <w:pPr>
        <w:pStyle w:val="BodyText"/>
        <w:spacing w:line="210" w:lineRule="exact"/>
        <w:ind w:left="242"/>
      </w:pPr>
      <w:r>
        <w:rPr/>
        <w:t>a high purity, so only drying and compression is required. </w:t>
      </w:r>
      <w:r>
        <w:rPr>
          <w:spacing w:val="2"/>
        </w:rPr>
        <w:t> </w:t>
      </w:r>
      <w:r>
        <w:rPr/>
        <w:t>The</w:t>
      </w:r>
    </w:p>
    <w:p>
      <w:pPr>
        <w:pStyle w:val="BodyText"/>
        <w:spacing w:line="249" w:lineRule="auto" w:before="3"/>
        <w:ind w:left="242" w:right="107"/>
      </w:pPr>
      <w:r>
        <w:rPr/>
        <w:t>overall cost is relatively high due to an annual load factor that is</w:t>
      </w:r>
      <w:r>
        <w:rPr>
          <w:spacing w:val="18"/>
        </w:rPr>
        <w:t> </w:t>
      </w:r>
      <w:r>
        <w:rPr/>
        <w:t>lower</w:t>
      </w:r>
      <w:r>
        <w:rPr>
          <w:spacing w:val="19"/>
        </w:rPr>
        <w:t> </w:t>
      </w:r>
      <w:r>
        <w:rPr/>
        <w:t>than</w:t>
      </w:r>
      <w:r>
        <w:rPr>
          <w:spacing w:val="19"/>
        </w:rPr>
        <w:t> </w:t>
      </w:r>
      <w:r>
        <w:rPr/>
        <w:t>that</w:t>
      </w:r>
      <w:r>
        <w:rPr>
          <w:spacing w:val="19"/>
        </w:rPr>
        <w:t> </w:t>
      </w:r>
      <w:r>
        <w:rPr/>
        <w:t>of</w:t>
      </w:r>
      <w:r>
        <w:rPr>
          <w:spacing w:val="19"/>
        </w:rPr>
        <w:t> </w:t>
      </w:r>
      <w:r>
        <w:rPr/>
        <w:t>most</w:t>
      </w:r>
      <w:r>
        <w:rPr>
          <w:spacing w:val="19"/>
        </w:rPr>
        <w:t> </w:t>
      </w:r>
      <w:r>
        <w:rPr/>
        <w:t>power</w:t>
      </w:r>
      <w:r>
        <w:rPr>
          <w:spacing w:val="19"/>
        </w:rPr>
        <w:t> </w:t>
      </w:r>
      <w:r>
        <w:rPr/>
        <w:t>stations</w:t>
      </w:r>
      <w:r>
        <w:rPr>
          <w:spacing w:val="19"/>
        </w:rPr>
        <w:t> </w:t>
      </w:r>
      <w:r>
        <w:rPr/>
        <w:t>and</w:t>
      </w:r>
      <w:r>
        <w:rPr>
          <w:spacing w:val="19"/>
        </w:rPr>
        <w:t> </w:t>
      </w:r>
      <w:r>
        <w:rPr/>
        <w:t>large</w:t>
      </w:r>
      <w:r>
        <w:rPr>
          <w:spacing w:val="19"/>
        </w:rPr>
        <w:t> </w:t>
      </w:r>
      <w:r>
        <w:rPr/>
        <w:t>industrial</w:t>
      </w:r>
    </w:p>
    <w:p>
      <w:pPr>
        <w:spacing w:after="0" w:line="249" w:lineRule="auto"/>
        <w:sectPr>
          <w:type w:val="continuous"/>
          <w:pgSz w:w="12240" w:h="15840"/>
          <w:pgMar w:top="480" w:bottom="280" w:left="620" w:right="620"/>
          <w:cols w:num="2" w:equalWidth="0">
            <w:col w:w="5558" w:space="40"/>
            <w:col w:w="5402"/>
          </w:cols>
        </w:sectPr>
      </w:pPr>
    </w:p>
    <w:p>
      <w:pPr>
        <w:pStyle w:val="BodyText"/>
      </w:pPr>
      <w:r>
        <w:rPr/>
        <w:pict>
          <v:shape style="position:absolute;margin-left:752.653625pt;margin-top:35.850399pt;width:12pt;height:17pt;mso-position-horizontal-relative:page;mso-position-vertical-relative:page;z-index:251776000" type="#_x0000_t202" filled="false" stroked="false">
            <v:textbox inset="0,0,0,0" style="layout-flow:vertical">
              <w:txbxContent>
                <w:p>
                  <w:pPr>
                    <w:spacing w:line="213" w:lineRule="exact" w:before="0"/>
                    <w:ind w:left="20" w:right="0" w:firstLine="0"/>
                    <w:jc w:val="left"/>
                    <w:rPr>
                      <w:b/>
                      <w:sz w:val="20"/>
                    </w:rPr>
                  </w:pPr>
                  <w:r>
                    <w:rPr>
                      <w:b/>
                      <w:sz w:val="20"/>
                    </w:rPr>
                    <w:t>162</w:t>
                  </w:r>
                </w:p>
              </w:txbxContent>
            </v:textbox>
            <w10:wrap type="none"/>
          </v:shape>
        </w:pict>
      </w:r>
      <w:r>
        <w:rPr/>
        <w:pict>
          <v:shape style="position:absolute;margin-left:752.653625pt;margin-top:306.362793pt;width:12pt;height:250pt;mso-position-horizontal-relative:page;mso-position-vertical-relative:page;z-index:251777024" type="#_x0000_t202" filled="false" stroked="false">
            <v:textbox inset="0,0,0,0" style="layout-flow:vertical">
              <w:txbxContent>
                <w:p>
                  <w:pPr>
                    <w:spacing w:line="213" w:lineRule="exact" w:before="0"/>
                    <w:ind w:left="20" w:right="0" w:firstLine="0"/>
                    <w:jc w:val="left"/>
                    <w:rPr>
                      <w:i/>
                      <w:sz w:val="20"/>
                    </w:rPr>
                  </w:pPr>
                  <w:r>
                    <w:rPr>
                      <w:i/>
                      <w:sz w:val="20"/>
                    </w:rPr>
                    <w:t>IPCC Special Report on Carbon dioxide Capture and Storage</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8"/>
        </w:rPr>
      </w:pPr>
    </w:p>
    <w:p>
      <w:pPr>
        <w:pStyle w:val="BodyText"/>
        <w:spacing w:before="10"/>
        <w:rPr>
          <w:sz w:val="9"/>
        </w:rPr>
      </w:pPr>
    </w:p>
    <w:p>
      <w:pPr>
        <w:spacing w:before="0"/>
        <w:ind w:left="2330" w:right="0" w:firstLine="0"/>
        <w:jc w:val="left"/>
        <w:rPr>
          <w:sz w:val="8"/>
        </w:rPr>
      </w:pPr>
      <w:r>
        <w:rPr/>
        <w:pict>
          <v:shape style="position:absolute;margin-left:57.693001pt;margin-top:-139.039825pt;width:678.25pt;height:478.55pt;mso-position-horizontal-relative:page;mso-position-vertical-relative:paragraph;z-index:25177804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4"/>
                    <w:gridCol w:w="980"/>
                    <w:gridCol w:w="840"/>
                    <w:gridCol w:w="820"/>
                    <w:gridCol w:w="902"/>
                    <w:gridCol w:w="872"/>
                    <w:gridCol w:w="830"/>
                    <w:gridCol w:w="898"/>
                    <w:gridCol w:w="718"/>
                    <w:gridCol w:w="622"/>
                    <w:gridCol w:w="94"/>
                    <w:gridCol w:w="774"/>
                    <w:gridCol w:w="682"/>
                    <w:gridCol w:w="764"/>
                    <w:gridCol w:w="1420"/>
                  </w:tblGrid>
                  <w:tr>
                    <w:trPr>
                      <w:trHeight w:val="151" w:hRule="atLeast"/>
                    </w:trPr>
                    <w:tc>
                      <w:tcPr>
                        <w:tcW w:w="2334" w:type="dxa"/>
                        <w:vMerge w:val="restart"/>
                        <w:shd w:val="clear" w:color="auto" w:fill="E0EEE0"/>
                      </w:tcPr>
                      <w:p>
                        <w:pPr>
                          <w:pStyle w:val="TableParagraph"/>
                          <w:jc w:val="left"/>
                          <w:rPr>
                            <w:sz w:val="14"/>
                          </w:rPr>
                        </w:pPr>
                      </w:p>
                      <w:p>
                        <w:pPr>
                          <w:pStyle w:val="TableParagraph"/>
                          <w:spacing w:before="106"/>
                          <w:ind w:left="26"/>
                          <w:jc w:val="left"/>
                          <w:rPr>
                            <w:b/>
                            <w:sz w:val="14"/>
                          </w:rPr>
                        </w:pPr>
                        <w:r>
                          <w:rPr>
                            <w:b/>
                            <w:sz w:val="14"/>
                          </w:rPr>
                          <w:t>Study Assumptions and Cost Results</w:t>
                        </w:r>
                      </w:p>
                    </w:tc>
                    <w:tc>
                      <w:tcPr>
                        <w:tcW w:w="7482" w:type="dxa"/>
                        <w:gridSpan w:val="9"/>
                        <w:shd w:val="clear" w:color="auto" w:fill="E0EEE0"/>
                      </w:tcPr>
                      <w:p>
                        <w:pPr>
                          <w:pStyle w:val="TableParagraph"/>
                          <w:spacing w:line="132" w:lineRule="exact"/>
                          <w:ind w:left="2858" w:right="2838"/>
                          <w:rPr>
                            <w:b/>
                            <w:sz w:val="14"/>
                          </w:rPr>
                        </w:pPr>
                        <w:r>
                          <w:rPr>
                            <w:b/>
                            <w:spacing w:val="-1"/>
                            <w:sz w:val="14"/>
                          </w:rPr>
                          <w:t>C</w:t>
                        </w:r>
                        <w:r>
                          <w:rPr>
                            <w:b/>
                            <w:spacing w:val="-1"/>
                            <w:w w:val="129"/>
                            <w:sz w:val="14"/>
                          </w:rPr>
                          <w:t>u</w:t>
                        </w:r>
                        <w:r>
                          <w:rPr>
                            <w:b/>
                            <w:spacing w:val="-1"/>
                            <w:sz w:val="14"/>
                          </w:rPr>
                          <w:t>RREN</w:t>
                        </w:r>
                        <w:r>
                          <w:rPr>
                            <w:b/>
                            <w:w w:val="200"/>
                            <w:sz w:val="14"/>
                          </w:rPr>
                          <w:t>t</w:t>
                        </w:r>
                        <w:r>
                          <w:rPr>
                            <w:b/>
                            <w:spacing w:val="-5"/>
                            <w:sz w:val="14"/>
                          </w:rPr>
                          <w:t> </w:t>
                        </w:r>
                        <w:r>
                          <w:rPr>
                            <w:b/>
                            <w:w w:val="200"/>
                            <w:sz w:val="14"/>
                          </w:rPr>
                          <w:t>t</w:t>
                        </w:r>
                        <w:r>
                          <w:rPr>
                            <w:b/>
                            <w:sz w:val="14"/>
                          </w:rPr>
                          <w:t>ECHNOLOG</w:t>
                        </w:r>
                        <w:r>
                          <w:rPr>
                            <w:b/>
                            <w:w w:val="144"/>
                            <w:sz w:val="14"/>
                          </w:rPr>
                          <w:t>y</w:t>
                        </w:r>
                      </w:p>
                    </w:tc>
                    <w:tc>
                      <w:tcPr>
                        <w:tcW w:w="94" w:type="dxa"/>
                        <w:shd w:val="clear" w:color="auto" w:fill="E0EEE0"/>
                      </w:tcPr>
                      <w:p>
                        <w:pPr>
                          <w:pStyle w:val="TableParagraph"/>
                          <w:jc w:val="left"/>
                          <w:rPr>
                            <w:sz w:val="8"/>
                          </w:rPr>
                        </w:pPr>
                      </w:p>
                    </w:tc>
                    <w:tc>
                      <w:tcPr>
                        <w:tcW w:w="3640" w:type="dxa"/>
                        <w:gridSpan w:val="4"/>
                        <w:shd w:val="clear" w:color="auto" w:fill="E0EEE0"/>
                      </w:tcPr>
                      <w:p>
                        <w:pPr>
                          <w:pStyle w:val="TableParagraph"/>
                          <w:spacing w:line="132" w:lineRule="exact"/>
                          <w:ind w:left="910"/>
                          <w:jc w:val="left"/>
                          <w:rPr>
                            <w:b/>
                            <w:sz w:val="14"/>
                          </w:rPr>
                        </w:pPr>
                        <w:r>
                          <w:rPr>
                            <w:b/>
                            <w:spacing w:val="-1"/>
                            <w:sz w:val="14"/>
                          </w:rPr>
                          <w:t>AD</w:t>
                        </w:r>
                        <w:r>
                          <w:rPr>
                            <w:b/>
                            <w:spacing w:val="-18"/>
                            <w:w w:val="144"/>
                            <w:sz w:val="14"/>
                          </w:rPr>
                          <w:t>v</w:t>
                        </w:r>
                        <w:r>
                          <w:rPr>
                            <w:b/>
                            <w:spacing w:val="-1"/>
                            <w:sz w:val="14"/>
                          </w:rPr>
                          <w:t>ANCE</w:t>
                        </w:r>
                        <w:r>
                          <w:rPr>
                            <w:b/>
                            <w:sz w:val="14"/>
                          </w:rPr>
                          <w:t>D</w:t>
                        </w:r>
                        <w:r>
                          <w:rPr>
                            <w:b/>
                            <w:spacing w:val="-3"/>
                            <w:sz w:val="14"/>
                          </w:rPr>
                          <w:t> </w:t>
                        </w:r>
                        <w:r>
                          <w:rPr>
                            <w:b/>
                            <w:w w:val="200"/>
                            <w:sz w:val="14"/>
                          </w:rPr>
                          <w:t>t</w:t>
                        </w:r>
                        <w:r>
                          <w:rPr>
                            <w:b/>
                            <w:sz w:val="14"/>
                          </w:rPr>
                          <w:t>ECHNOLOG</w:t>
                        </w:r>
                        <w:r>
                          <w:rPr>
                            <w:b/>
                            <w:w w:val="144"/>
                            <w:sz w:val="14"/>
                          </w:rPr>
                          <w:t>y</w:t>
                        </w:r>
                      </w:p>
                    </w:tc>
                  </w:tr>
                  <w:tr>
                    <w:trPr>
                      <w:trHeight w:val="367" w:hRule="atLeast"/>
                    </w:trPr>
                    <w:tc>
                      <w:tcPr>
                        <w:tcW w:w="2334" w:type="dxa"/>
                        <w:vMerge/>
                        <w:tcBorders>
                          <w:top w:val="nil"/>
                        </w:tcBorders>
                        <w:shd w:val="clear" w:color="auto" w:fill="E0EEE0"/>
                      </w:tcPr>
                      <w:p>
                        <w:pPr>
                          <w:rPr>
                            <w:sz w:val="2"/>
                            <w:szCs w:val="2"/>
                          </w:rPr>
                        </w:pPr>
                      </w:p>
                    </w:tc>
                    <w:tc>
                      <w:tcPr>
                        <w:tcW w:w="980" w:type="dxa"/>
                        <w:shd w:val="clear" w:color="auto" w:fill="E0EEE0"/>
                      </w:tcPr>
                      <w:p>
                        <w:pPr>
                          <w:pStyle w:val="TableParagraph"/>
                          <w:spacing w:line="159" w:lineRule="exact"/>
                          <w:ind w:left="33" w:right="21"/>
                          <w:rPr>
                            <w:b/>
                            <w:i/>
                            <w:sz w:val="14"/>
                          </w:rPr>
                        </w:pPr>
                        <w:r>
                          <w:rPr>
                            <w:b/>
                            <w:sz w:val="14"/>
                          </w:rPr>
                          <w:t>Farla </w:t>
                        </w:r>
                        <w:r>
                          <w:rPr>
                            <w:b/>
                            <w:i/>
                            <w:sz w:val="14"/>
                          </w:rPr>
                          <w:t>et al.</w:t>
                        </w:r>
                      </w:p>
                    </w:tc>
                    <w:tc>
                      <w:tcPr>
                        <w:tcW w:w="840" w:type="dxa"/>
                        <w:shd w:val="clear" w:color="auto" w:fill="E0EEE0"/>
                      </w:tcPr>
                      <w:p>
                        <w:pPr>
                          <w:pStyle w:val="TableParagraph"/>
                          <w:spacing w:line="159" w:lineRule="exact"/>
                          <w:ind w:left="73" w:right="61"/>
                          <w:rPr>
                            <w:b/>
                            <w:sz w:val="14"/>
                          </w:rPr>
                        </w:pPr>
                        <w:r>
                          <w:rPr>
                            <w:b/>
                            <w:w w:val="110"/>
                            <w:sz w:val="14"/>
                          </w:rPr>
                          <w:t>iEA GHG</w:t>
                        </w:r>
                      </w:p>
                    </w:tc>
                    <w:tc>
                      <w:tcPr>
                        <w:tcW w:w="820" w:type="dxa"/>
                        <w:shd w:val="clear" w:color="auto" w:fill="E0EEE0"/>
                      </w:tcPr>
                      <w:p>
                        <w:pPr>
                          <w:pStyle w:val="TableParagraph"/>
                          <w:spacing w:line="159" w:lineRule="exact"/>
                          <w:ind w:left="63" w:right="51"/>
                          <w:rPr>
                            <w:b/>
                            <w:sz w:val="14"/>
                          </w:rPr>
                        </w:pPr>
                        <w:r>
                          <w:rPr>
                            <w:b/>
                            <w:w w:val="110"/>
                            <w:sz w:val="14"/>
                          </w:rPr>
                          <w:t>iEA GHG</w:t>
                        </w:r>
                      </w:p>
                    </w:tc>
                    <w:tc>
                      <w:tcPr>
                        <w:tcW w:w="902" w:type="dxa"/>
                        <w:shd w:val="clear" w:color="auto" w:fill="E0EEE0"/>
                      </w:tcPr>
                      <w:p>
                        <w:pPr>
                          <w:pStyle w:val="TableParagraph"/>
                          <w:spacing w:line="159" w:lineRule="exact"/>
                          <w:ind w:left="62" w:right="50"/>
                          <w:rPr>
                            <w:b/>
                            <w:sz w:val="14"/>
                          </w:rPr>
                        </w:pPr>
                        <w:r>
                          <w:rPr>
                            <w:b/>
                            <w:w w:val="110"/>
                            <w:sz w:val="14"/>
                          </w:rPr>
                          <w:t>iEA GHG</w:t>
                        </w:r>
                      </w:p>
                    </w:tc>
                    <w:tc>
                      <w:tcPr>
                        <w:tcW w:w="872" w:type="dxa"/>
                        <w:shd w:val="clear" w:color="auto" w:fill="E0EEE0"/>
                      </w:tcPr>
                      <w:p>
                        <w:pPr>
                          <w:pStyle w:val="TableParagraph"/>
                          <w:spacing w:line="159" w:lineRule="exact"/>
                          <w:ind w:left="40" w:right="27"/>
                          <w:rPr>
                            <w:b/>
                            <w:sz w:val="14"/>
                          </w:rPr>
                        </w:pPr>
                        <w:r>
                          <w:rPr>
                            <w:b/>
                            <w:sz w:val="14"/>
                          </w:rPr>
                          <w:t>möllersten</w:t>
                        </w:r>
                      </w:p>
                      <w:p>
                        <w:pPr>
                          <w:pStyle w:val="TableParagraph"/>
                          <w:spacing w:before="7"/>
                          <w:ind w:left="40" w:right="27"/>
                          <w:rPr>
                            <w:b/>
                            <w:i/>
                            <w:sz w:val="14"/>
                          </w:rPr>
                        </w:pPr>
                        <w:r>
                          <w:rPr>
                            <w:b/>
                            <w:i/>
                            <w:sz w:val="14"/>
                          </w:rPr>
                          <w:t>et al.</w:t>
                        </w:r>
                      </w:p>
                    </w:tc>
                    <w:tc>
                      <w:tcPr>
                        <w:tcW w:w="830" w:type="dxa"/>
                        <w:shd w:val="clear" w:color="auto" w:fill="E0EEE0"/>
                      </w:tcPr>
                      <w:p>
                        <w:pPr>
                          <w:pStyle w:val="TableParagraph"/>
                          <w:spacing w:line="159" w:lineRule="exact"/>
                          <w:ind w:left="19" w:right="5"/>
                          <w:rPr>
                            <w:b/>
                            <w:sz w:val="14"/>
                          </w:rPr>
                        </w:pPr>
                        <w:r>
                          <w:rPr>
                            <w:b/>
                            <w:sz w:val="14"/>
                          </w:rPr>
                          <w:t>möllersten</w:t>
                        </w:r>
                      </w:p>
                      <w:p>
                        <w:pPr>
                          <w:pStyle w:val="TableParagraph"/>
                          <w:spacing w:before="7"/>
                          <w:ind w:left="19" w:right="5"/>
                          <w:rPr>
                            <w:b/>
                            <w:i/>
                            <w:sz w:val="14"/>
                          </w:rPr>
                        </w:pPr>
                        <w:r>
                          <w:rPr>
                            <w:b/>
                            <w:i/>
                            <w:sz w:val="14"/>
                          </w:rPr>
                          <w:t>et al.</w:t>
                        </w:r>
                      </w:p>
                    </w:tc>
                    <w:tc>
                      <w:tcPr>
                        <w:tcW w:w="898" w:type="dxa"/>
                        <w:shd w:val="clear" w:color="auto" w:fill="E0EEE0"/>
                      </w:tcPr>
                      <w:p>
                        <w:pPr>
                          <w:pStyle w:val="TableParagraph"/>
                          <w:spacing w:line="159" w:lineRule="exact"/>
                          <w:ind w:left="76" w:right="61"/>
                          <w:rPr>
                            <w:b/>
                            <w:sz w:val="14"/>
                          </w:rPr>
                        </w:pPr>
                        <w:r>
                          <w:rPr>
                            <w:b/>
                            <w:sz w:val="14"/>
                          </w:rPr>
                          <w:t>möllersten</w:t>
                        </w:r>
                      </w:p>
                      <w:p>
                        <w:pPr>
                          <w:pStyle w:val="TableParagraph"/>
                          <w:spacing w:before="7"/>
                          <w:ind w:left="76" w:right="61"/>
                          <w:rPr>
                            <w:b/>
                            <w:i/>
                            <w:sz w:val="14"/>
                          </w:rPr>
                        </w:pPr>
                        <w:r>
                          <w:rPr>
                            <w:b/>
                            <w:i/>
                            <w:sz w:val="14"/>
                          </w:rPr>
                          <w:t>et al.</w:t>
                        </w:r>
                      </w:p>
                    </w:tc>
                    <w:tc>
                      <w:tcPr>
                        <w:tcW w:w="718" w:type="dxa"/>
                        <w:shd w:val="clear" w:color="auto" w:fill="E0EEE0"/>
                      </w:tcPr>
                      <w:p>
                        <w:pPr>
                          <w:pStyle w:val="TableParagraph"/>
                          <w:spacing w:line="159" w:lineRule="exact"/>
                          <w:ind w:left="36" w:right="13"/>
                          <w:rPr>
                            <w:b/>
                            <w:sz w:val="14"/>
                          </w:rPr>
                        </w:pPr>
                        <w:r>
                          <w:rPr>
                            <w:b/>
                            <w:sz w:val="14"/>
                          </w:rPr>
                          <w:t>CCP</w:t>
                        </w:r>
                      </w:p>
                    </w:tc>
                    <w:tc>
                      <w:tcPr>
                        <w:tcW w:w="622" w:type="dxa"/>
                        <w:shd w:val="clear" w:color="auto" w:fill="E0EEE0"/>
                      </w:tcPr>
                      <w:p>
                        <w:pPr>
                          <w:pStyle w:val="TableParagraph"/>
                          <w:spacing w:line="159" w:lineRule="exact"/>
                          <w:ind w:left="31" w:right="7"/>
                          <w:rPr>
                            <w:b/>
                            <w:sz w:val="14"/>
                          </w:rPr>
                        </w:pPr>
                        <w:r>
                          <w:rPr>
                            <w:b/>
                            <w:sz w:val="14"/>
                          </w:rPr>
                          <w:t>CCP</w:t>
                        </w:r>
                      </w:p>
                    </w:tc>
                    <w:tc>
                      <w:tcPr>
                        <w:tcW w:w="94" w:type="dxa"/>
                        <w:shd w:val="clear" w:color="auto" w:fill="E0EEE0"/>
                      </w:tcPr>
                      <w:p>
                        <w:pPr>
                          <w:pStyle w:val="TableParagraph"/>
                          <w:jc w:val="left"/>
                          <w:rPr>
                            <w:sz w:val="12"/>
                          </w:rPr>
                        </w:pPr>
                      </w:p>
                    </w:tc>
                    <w:tc>
                      <w:tcPr>
                        <w:tcW w:w="774" w:type="dxa"/>
                        <w:shd w:val="clear" w:color="auto" w:fill="E0EEE0"/>
                      </w:tcPr>
                      <w:p>
                        <w:pPr>
                          <w:pStyle w:val="TableParagraph"/>
                          <w:spacing w:line="159" w:lineRule="exact"/>
                          <w:ind w:left="65" w:right="39"/>
                          <w:rPr>
                            <w:b/>
                            <w:sz w:val="14"/>
                          </w:rPr>
                        </w:pPr>
                        <w:r>
                          <w:rPr>
                            <w:b/>
                            <w:sz w:val="14"/>
                          </w:rPr>
                          <w:t>CCP</w:t>
                        </w:r>
                      </w:p>
                    </w:tc>
                    <w:tc>
                      <w:tcPr>
                        <w:tcW w:w="682" w:type="dxa"/>
                        <w:shd w:val="clear" w:color="auto" w:fill="E0EEE0"/>
                      </w:tcPr>
                      <w:p>
                        <w:pPr>
                          <w:pStyle w:val="TableParagraph"/>
                          <w:spacing w:line="159" w:lineRule="exact"/>
                          <w:ind w:left="28" w:right="1"/>
                          <w:rPr>
                            <w:b/>
                            <w:sz w:val="14"/>
                          </w:rPr>
                        </w:pPr>
                        <w:r>
                          <w:rPr>
                            <w:b/>
                            <w:sz w:val="14"/>
                          </w:rPr>
                          <w:t>CCP</w:t>
                        </w:r>
                      </w:p>
                    </w:tc>
                    <w:tc>
                      <w:tcPr>
                        <w:tcW w:w="764" w:type="dxa"/>
                        <w:shd w:val="clear" w:color="auto" w:fill="E0EEE0"/>
                      </w:tcPr>
                      <w:p>
                        <w:pPr>
                          <w:pStyle w:val="TableParagraph"/>
                          <w:spacing w:line="159" w:lineRule="exact"/>
                          <w:ind w:left="247"/>
                          <w:jc w:val="left"/>
                          <w:rPr>
                            <w:b/>
                            <w:sz w:val="14"/>
                          </w:rPr>
                        </w:pPr>
                        <w:r>
                          <w:rPr>
                            <w:b/>
                            <w:sz w:val="14"/>
                          </w:rPr>
                          <w:t>CCP</w:t>
                        </w:r>
                      </w:p>
                    </w:tc>
                    <w:tc>
                      <w:tcPr>
                        <w:tcW w:w="1420" w:type="dxa"/>
                        <w:shd w:val="clear" w:color="auto" w:fill="E0EEE0"/>
                      </w:tcPr>
                      <w:p>
                        <w:pPr>
                          <w:pStyle w:val="TableParagraph"/>
                          <w:spacing w:line="159" w:lineRule="exact"/>
                          <w:ind w:left="94" w:right="64"/>
                          <w:rPr>
                            <w:b/>
                            <w:sz w:val="14"/>
                          </w:rPr>
                        </w:pPr>
                        <w:r>
                          <w:rPr>
                            <w:b/>
                            <w:sz w:val="14"/>
                          </w:rPr>
                          <w:t>CCP</w:t>
                        </w:r>
                      </w:p>
                    </w:tc>
                  </w:tr>
                  <w:tr>
                    <w:trPr>
                      <w:trHeight w:val="151" w:hRule="atLeast"/>
                    </w:trPr>
                    <w:tc>
                      <w:tcPr>
                        <w:tcW w:w="2334" w:type="dxa"/>
                        <w:vMerge/>
                        <w:tcBorders>
                          <w:top w:val="nil"/>
                        </w:tcBorders>
                        <w:shd w:val="clear" w:color="auto" w:fill="E0EEE0"/>
                      </w:tcPr>
                      <w:p>
                        <w:pPr>
                          <w:rPr>
                            <w:sz w:val="2"/>
                            <w:szCs w:val="2"/>
                          </w:rPr>
                        </w:pPr>
                      </w:p>
                    </w:tc>
                    <w:tc>
                      <w:tcPr>
                        <w:tcW w:w="980" w:type="dxa"/>
                        <w:shd w:val="clear" w:color="auto" w:fill="E0EEE0"/>
                      </w:tcPr>
                      <w:p>
                        <w:pPr>
                          <w:pStyle w:val="TableParagraph"/>
                          <w:spacing w:line="132" w:lineRule="exact"/>
                          <w:ind w:left="33" w:right="21"/>
                          <w:rPr>
                            <w:b/>
                            <w:sz w:val="14"/>
                          </w:rPr>
                        </w:pPr>
                        <w:r>
                          <w:rPr>
                            <w:b/>
                            <w:sz w:val="14"/>
                          </w:rPr>
                          <w:t>1995</w:t>
                        </w:r>
                      </w:p>
                    </w:tc>
                    <w:tc>
                      <w:tcPr>
                        <w:tcW w:w="840" w:type="dxa"/>
                        <w:shd w:val="clear" w:color="auto" w:fill="E0EEE0"/>
                      </w:tcPr>
                      <w:p>
                        <w:pPr>
                          <w:pStyle w:val="TableParagraph"/>
                          <w:spacing w:line="132" w:lineRule="exact"/>
                          <w:ind w:left="73" w:right="61"/>
                          <w:rPr>
                            <w:b/>
                            <w:sz w:val="14"/>
                          </w:rPr>
                        </w:pPr>
                        <w:r>
                          <w:rPr>
                            <w:b/>
                            <w:sz w:val="14"/>
                          </w:rPr>
                          <w:t>2000c</w:t>
                        </w:r>
                      </w:p>
                    </w:tc>
                    <w:tc>
                      <w:tcPr>
                        <w:tcW w:w="820" w:type="dxa"/>
                        <w:shd w:val="clear" w:color="auto" w:fill="E0EEE0"/>
                      </w:tcPr>
                      <w:p>
                        <w:pPr>
                          <w:pStyle w:val="TableParagraph"/>
                          <w:spacing w:line="132" w:lineRule="exact"/>
                          <w:ind w:left="63" w:right="51"/>
                          <w:rPr>
                            <w:b/>
                            <w:sz w:val="14"/>
                          </w:rPr>
                        </w:pPr>
                        <w:r>
                          <w:rPr>
                            <w:b/>
                            <w:sz w:val="14"/>
                          </w:rPr>
                          <w:t>2000c</w:t>
                        </w:r>
                      </w:p>
                    </w:tc>
                    <w:tc>
                      <w:tcPr>
                        <w:tcW w:w="902" w:type="dxa"/>
                        <w:shd w:val="clear" w:color="auto" w:fill="E0EEE0"/>
                      </w:tcPr>
                      <w:p>
                        <w:pPr>
                          <w:pStyle w:val="TableParagraph"/>
                          <w:spacing w:line="132" w:lineRule="exact"/>
                          <w:ind w:left="62" w:right="50"/>
                          <w:rPr>
                            <w:b/>
                            <w:sz w:val="14"/>
                          </w:rPr>
                        </w:pPr>
                        <w:r>
                          <w:rPr>
                            <w:b/>
                            <w:sz w:val="14"/>
                          </w:rPr>
                          <w:t>2002b</w:t>
                        </w:r>
                      </w:p>
                    </w:tc>
                    <w:tc>
                      <w:tcPr>
                        <w:tcW w:w="872" w:type="dxa"/>
                        <w:shd w:val="clear" w:color="auto" w:fill="E0EEE0"/>
                      </w:tcPr>
                      <w:p>
                        <w:pPr>
                          <w:pStyle w:val="TableParagraph"/>
                          <w:spacing w:line="132" w:lineRule="exact"/>
                          <w:ind w:left="40" w:right="27"/>
                          <w:rPr>
                            <w:b/>
                            <w:sz w:val="14"/>
                          </w:rPr>
                        </w:pPr>
                        <w:r>
                          <w:rPr>
                            <w:b/>
                            <w:sz w:val="14"/>
                          </w:rPr>
                          <w:t>2003</w:t>
                        </w:r>
                      </w:p>
                    </w:tc>
                    <w:tc>
                      <w:tcPr>
                        <w:tcW w:w="830" w:type="dxa"/>
                        <w:shd w:val="clear" w:color="auto" w:fill="E0EEE0"/>
                      </w:tcPr>
                      <w:p>
                        <w:pPr>
                          <w:pStyle w:val="TableParagraph"/>
                          <w:spacing w:line="132" w:lineRule="exact"/>
                          <w:ind w:left="19" w:right="5"/>
                          <w:rPr>
                            <w:b/>
                            <w:sz w:val="14"/>
                          </w:rPr>
                        </w:pPr>
                        <w:r>
                          <w:rPr>
                            <w:b/>
                            <w:sz w:val="14"/>
                          </w:rPr>
                          <w:t>2003</w:t>
                        </w:r>
                      </w:p>
                    </w:tc>
                    <w:tc>
                      <w:tcPr>
                        <w:tcW w:w="898" w:type="dxa"/>
                        <w:shd w:val="clear" w:color="auto" w:fill="E0EEE0"/>
                      </w:tcPr>
                      <w:p>
                        <w:pPr>
                          <w:pStyle w:val="TableParagraph"/>
                          <w:spacing w:line="132" w:lineRule="exact"/>
                          <w:ind w:left="76" w:right="61"/>
                          <w:rPr>
                            <w:b/>
                            <w:sz w:val="14"/>
                          </w:rPr>
                        </w:pPr>
                        <w:r>
                          <w:rPr>
                            <w:b/>
                            <w:sz w:val="14"/>
                          </w:rPr>
                          <w:t>2003</w:t>
                        </w:r>
                      </w:p>
                    </w:tc>
                    <w:tc>
                      <w:tcPr>
                        <w:tcW w:w="718" w:type="dxa"/>
                        <w:shd w:val="clear" w:color="auto" w:fill="E0EEE0"/>
                      </w:tcPr>
                      <w:p>
                        <w:pPr>
                          <w:pStyle w:val="TableParagraph"/>
                          <w:spacing w:line="132" w:lineRule="exact"/>
                          <w:ind w:left="36" w:right="21"/>
                          <w:rPr>
                            <w:b/>
                            <w:sz w:val="14"/>
                          </w:rPr>
                        </w:pPr>
                        <w:r>
                          <w:rPr>
                            <w:b/>
                            <w:sz w:val="14"/>
                          </w:rPr>
                          <w:t>2005</w:t>
                        </w:r>
                      </w:p>
                    </w:tc>
                    <w:tc>
                      <w:tcPr>
                        <w:tcW w:w="622" w:type="dxa"/>
                        <w:shd w:val="clear" w:color="auto" w:fill="E0EEE0"/>
                      </w:tcPr>
                      <w:p>
                        <w:pPr>
                          <w:pStyle w:val="TableParagraph"/>
                          <w:spacing w:line="132" w:lineRule="exact"/>
                          <w:ind w:left="24" w:right="7"/>
                          <w:rPr>
                            <w:b/>
                            <w:sz w:val="14"/>
                          </w:rPr>
                        </w:pPr>
                        <w:r>
                          <w:rPr>
                            <w:b/>
                            <w:sz w:val="14"/>
                          </w:rPr>
                          <w:t>2005</w:t>
                        </w:r>
                      </w:p>
                    </w:tc>
                    <w:tc>
                      <w:tcPr>
                        <w:tcW w:w="94" w:type="dxa"/>
                        <w:shd w:val="clear" w:color="auto" w:fill="E0EEE0"/>
                      </w:tcPr>
                      <w:p>
                        <w:pPr>
                          <w:pStyle w:val="TableParagraph"/>
                          <w:jc w:val="left"/>
                          <w:rPr>
                            <w:sz w:val="8"/>
                          </w:rPr>
                        </w:pPr>
                      </w:p>
                    </w:tc>
                    <w:tc>
                      <w:tcPr>
                        <w:tcW w:w="774" w:type="dxa"/>
                        <w:shd w:val="clear" w:color="auto" w:fill="E0EEE0"/>
                      </w:tcPr>
                      <w:p>
                        <w:pPr>
                          <w:pStyle w:val="TableParagraph"/>
                          <w:spacing w:line="132" w:lineRule="exact"/>
                          <w:ind w:left="65" w:right="47"/>
                          <w:rPr>
                            <w:b/>
                            <w:sz w:val="14"/>
                          </w:rPr>
                        </w:pPr>
                        <w:r>
                          <w:rPr>
                            <w:b/>
                            <w:sz w:val="14"/>
                          </w:rPr>
                          <w:t>2005</w:t>
                        </w:r>
                      </w:p>
                    </w:tc>
                    <w:tc>
                      <w:tcPr>
                        <w:tcW w:w="682" w:type="dxa"/>
                        <w:shd w:val="clear" w:color="auto" w:fill="E0EEE0"/>
                      </w:tcPr>
                      <w:p>
                        <w:pPr>
                          <w:pStyle w:val="TableParagraph"/>
                          <w:spacing w:line="132" w:lineRule="exact"/>
                          <w:ind w:left="20" w:right="1"/>
                          <w:rPr>
                            <w:b/>
                            <w:sz w:val="14"/>
                          </w:rPr>
                        </w:pPr>
                        <w:r>
                          <w:rPr>
                            <w:b/>
                            <w:sz w:val="14"/>
                          </w:rPr>
                          <w:t>2005</w:t>
                        </w:r>
                      </w:p>
                    </w:tc>
                    <w:tc>
                      <w:tcPr>
                        <w:tcW w:w="764" w:type="dxa"/>
                        <w:shd w:val="clear" w:color="auto" w:fill="E0EEE0"/>
                      </w:tcPr>
                      <w:p>
                        <w:pPr>
                          <w:pStyle w:val="TableParagraph"/>
                          <w:spacing w:line="132" w:lineRule="exact"/>
                          <w:ind w:left="247"/>
                          <w:jc w:val="left"/>
                          <w:rPr>
                            <w:b/>
                            <w:sz w:val="14"/>
                          </w:rPr>
                        </w:pPr>
                        <w:r>
                          <w:rPr>
                            <w:b/>
                            <w:sz w:val="14"/>
                          </w:rPr>
                          <w:t>2005</w:t>
                        </w:r>
                      </w:p>
                    </w:tc>
                    <w:tc>
                      <w:tcPr>
                        <w:tcW w:w="1420" w:type="dxa"/>
                        <w:shd w:val="clear" w:color="auto" w:fill="E0EEE0"/>
                      </w:tcPr>
                      <w:p>
                        <w:pPr>
                          <w:pStyle w:val="TableParagraph"/>
                          <w:spacing w:line="132" w:lineRule="exact"/>
                          <w:ind w:left="92" w:right="70"/>
                          <w:rPr>
                            <w:b/>
                            <w:sz w:val="14"/>
                          </w:rPr>
                        </w:pPr>
                        <w:r>
                          <w:rPr>
                            <w:b/>
                            <w:sz w:val="14"/>
                          </w:rPr>
                          <w:t>2005</w:t>
                        </w:r>
                      </w:p>
                    </w:tc>
                  </w:tr>
                  <w:tr>
                    <w:trPr>
                      <w:trHeight w:val="151" w:hRule="atLeast"/>
                    </w:trPr>
                    <w:tc>
                      <w:tcPr>
                        <w:tcW w:w="2334" w:type="dxa"/>
                        <w:shd w:val="clear" w:color="auto" w:fill="F9FCF9"/>
                      </w:tcPr>
                      <w:p>
                        <w:pPr>
                          <w:pStyle w:val="TableParagraph"/>
                          <w:spacing w:line="132" w:lineRule="exact"/>
                          <w:ind w:left="166"/>
                          <w:jc w:val="left"/>
                          <w:rPr>
                            <w:b/>
                            <w:i/>
                            <w:sz w:val="14"/>
                          </w:rPr>
                        </w:pPr>
                        <w:r>
                          <w:rPr>
                            <w:b/>
                            <w:i/>
                            <w:sz w:val="14"/>
                          </w:rPr>
                          <w:t>Reference Plant (without capture)</w:t>
                        </w:r>
                      </w:p>
                    </w:tc>
                    <w:tc>
                      <w:tcPr>
                        <w:tcW w:w="980" w:type="dxa"/>
                        <w:shd w:val="clear" w:color="auto" w:fill="F9FCF9"/>
                      </w:tcPr>
                      <w:p>
                        <w:pPr>
                          <w:pStyle w:val="TableParagraph"/>
                          <w:jc w:val="left"/>
                          <w:rPr>
                            <w:sz w:val="8"/>
                          </w:rPr>
                        </w:pPr>
                      </w:p>
                    </w:tc>
                    <w:tc>
                      <w:tcPr>
                        <w:tcW w:w="840" w:type="dxa"/>
                        <w:shd w:val="clear" w:color="auto" w:fill="F9FCF9"/>
                      </w:tcPr>
                      <w:p>
                        <w:pPr>
                          <w:pStyle w:val="TableParagraph"/>
                          <w:jc w:val="left"/>
                          <w:rPr>
                            <w:sz w:val="8"/>
                          </w:rPr>
                        </w:pPr>
                      </w:p>
                    </w:tc>
                    <w:tc>
                      <w:tcPr>
                        <w:tcW w:w="820" w:type="dxa"/>
                        <w:shd w:val="clear" w:color="auto" w:fill="F9FCF9"/>
                      </w:tcPr>
                      <w:p>
                        <w:pPr>
                          <w:pStyle w:val="TableParagraph"/>
                          <w:jc w:val="left"/>
                          <w:rPr>
                            <w:sz w:val="8"/>
                          </w:rPr>
                        </w:pPr>
                      </w:p>
                    </w:tc>
                    <w:tc>
                      <w:tcPr>
                        <w:tcW w:w="902" w:type="dxa"/>
                        <w:shd w:val="clear" w:color="auto" w:fill="F9FCF9"/>
                      </w:tcPr>
                      <w:p>
                        <w:pPr>
                          <w:pStyle w:val="TableParagraph"/>
                          <w:jc w:val="left"/>
                          <w:rPr>
                            <w:sz w:val="8"/>
                          </w:rPr>
                        </w:pPr>
                      </w:p>
                    </w:tc>
                    <w:tc>
                      <w:tcPr>
                        <w:tcW w:w="872" w:type="dxa"/>
                        <w:shd w:val="clear" w:color="auto" w:fill="F9FCF9"/>
                      </w:tcPr>
                      <w:p>
                        <w:pPr>
                          <w:pStyle w:val="TableParagraph"/>
                          <w:jc w:val="left"/>
                          <w:rPr>
                            <w:sz w:val="8"/>
                          </w:rPr>
                        </w:pPr>
                      </w:p>
                    </w:tc>
                    <w:tc>
                      <w:tcPr>
                        <w:tcW w:w="830" w:type="dxa"/>
                        <w:shd w:val="clear" w:color="auto" w:fill="F9FCF9"/>
                      </w:tcPr>
                      <w:p>
                        <w:pPr>
                          <w:pStyle w:val="TableParagraph"/>
                          <w:jc w:val="left"/>
                          <w:rPr>
                            <w:sz w:val="8"/>
                          </w:rPr>
                        </w:pPr>
                      </w:p>
                    </w:tc>
                    <w:tc>
                      <w:tcPr>
                        <w:tcW w:w="898" w:type="dxa"/>
                        <w:shd w:val="clear" w:color="auto" w:fill="F9FCF9"/>
                      </w:tcPr>
                      <w:p>
                        <w:pPr>
                          <w:pStyle w:val="TableParagraph"/>
                          <w:jc w:val="left"/>
                          <w:rPr>
                            <w:sz w:val="8"/>
                          </w:rPr>
                        </w:pPr>
                      </w:p>
                    </w:tc>
                    <w:tc>
                      <w:tcPr>
                        <w:tcW w:w="718" w:type="dxa"/>
                        <w:shd w:val="clear" w:color="auto" w:fill="F9FCF9"/>
                      </w:tcPr>
                      <w:p>
                        <w:pPr>
                          <w:pStyle w:val="TableParagraph"/>
                          <w:jc w:val="left"/>
                          <w:rPr>
                            <w:sz w:val="8"/>
                          </w:rPr>
                        </w:pPr>
                      </w:p>
                    </w:tc>
                    <w:tc>
                      <w:tcPr>
                        <w:tcW w:w="622" w:type="dxa"/>
                        <w:shd w:val="clear" w:color="auto" w:fill="F9FCF9"/>
                      </w:tcPr>
                      <w:p>
                        <w:pPr>
                          <w:pStyle w:val="TableParagraph"/>
                          <w:jc w:val="left"/>
                          <w:rPr>
                            <w:sz w:val="8"/>
                          </w:rPr>
                        </w:pPr>
                      </w:p>
                    </w:tc>
                    <w:tc>
                      <w:tcPr>
                        <w:tcW w:w="94" w:type="dxa"/>
                        <w:shd w:val="clear" w:color="auto" w:fill="F9FCF9"/>
                      </w:tcPr>
                      <w:p>
                        <w:pPr>
                          <w:pStyle w:val="TableParagraph"/>
                          <w:jc w:val="left"/>
                          <w:rPr>
                            <w:sz w:val="8"/>
                          </w:rPr>
                        </w:pPr>
                      </w:p>
                    </w:tc>
                    <w:tc>
                      <w:tcPr>
                        <w:tcW w:w="774" w:type="dxa"/>
                        <w:shd w:val="clear" w:color="auto" w:fill="F9FCF9"/>
                      </w:tcPr>
                      <w:p>
                        <w:pPr>
                          <w:pStyle w:val="TableParagraph"/>
                          <w:jc w:val="left"/>
                          <w:rPr>
                            <w:sz w:val="8"/>
                          </w:rPr>
                        </w:pPr>
                      </w:p>
                    </w:tc>
                    <w:tc>
                      <w:tcPr>
                        <w:tcW w:w="682" w:type="dxa"/>
                        <w:shd w:val="clear" w:color="auto" w:fill="F9FCF9"/>
                      </w:tcPr>
                      <w:p>
                        <w:pPr>
                          <w:pStyle w:val="TableParagraph"/>
                          <w:jc w:val="left"/>
                          <w:rPr>
                            <w:sz w:val="8"/>
                          </w:rPr>
                        </w:pPr>
                      </w:p>
                    </w:tc>
                    <w:tc>
                      <w:tcPr>
                        <w:tcW w:w="764" w:type="dxa"/>
                        <w:shd w:val="clear" w:color="auto" w:fill="F9FCF9"/>
                      </w:tcPr>
                      <w:p>
                        <w:pPr>
                          <w:pStyle w:val="TableParagraph"/>
                          <w:jc w:val="left"/>
                          <w:rPr>
                            <w:sz w:val="8"/>
                          </w:rPr>
                        </w:pPr>
                      </w:p>
                    </w:tc>
                    <w:tc>
                      <w:tcPr>
                        <w:tcW w:w="1420" w:type="dxa"/>
                        <w:shd w:val="clear" w:color="auto" w:fill="F9FCF9"/>
                      </w:tcPr>
                      <w:p>
                        <w:pPr>
                          <w:pStyle w:val="TableParagraph"/>
                          <w:jc w:val="left"/>
                          <w:rPr>
                            <w:sz w:val="8"/>
                          </w:rPr>
                        </w:pPr>
                      </w:p>
                    </w:tc>
                  </w:tr>
                  <w:tr>
                    <w:trPr>
                      <w:trHeight w:val="151" w:hRule="atLeast"/>
                    </w:trPr>
                    <w:tc>
                      <w:tcPr>
                        <w:tcW w:w="2334" w:type="dxa"/>
                        <w:shd w:val="clear" w:color="auto" w:fill="F9FCF9"/>
                      </w:tcPr>
                      <w:p>
                        <w:pPr>
                          <w:pStyle w:val="TableParagraph"/>
                          <w:spacing w:line="132" w:lineRule="exact"/>
                          <w:ind w:left="26"/>
                          <w:jc w:val="left"/>
                          <w:rPr>
                            <w:sz w:val="14"/>
                          </w:rPr>
                        </w:pPr>
                        <w:r>
                          <w:rPr>
                            <w:sz w:val="14"/>
                          </w:rPr>
                          <w:t>Industrial process</w:t>
                        </w:r>
                      </w:p>
                    </w:tc>
                    <w:tc>
                      <w:tcPr>
                        <w:tcW w:w="980" w:type="dxa"/>
                        <w:shd w:val="clear" w:color="auto" w:fill="F9FCF9"/>
                      </w:tcPr>
                      <w:p>
                        <w:pPr>
                          <w:pStyle w:val="TableParagraph"/>
                          <w:spacing w:line="132" w:lineRule="exact"/>
                          <w:ind w:left="33" w:right="21"/>
                          <w:rPr>
                            <w:sz w:val="14"/>
                          </w:rPr>
                        </w:pPr>
                        <w:r>
                          <w:rPr>
                            <w:sz w:val="14"/>
                          </w:rPr>
                          <w:t>Iron production</w:t>
                        </w:r>
                      </w:p>
                    </w:tc>
                    <w:tc>
                      <w:tcPr>
                        <w:tcW w:w="840" w:type="dxa"/>
                        <w:shd w:val="clear" w:color="auto" w:fill="F9FCF9"/>
                      </w:tcPr>
                      <w:p>
                        <w:pPr>
                          <w:pStyle w:val="TableParagraph"/>
                          <w:jc w:val="left"/>
                          <w:rPr>
                            <w:sz w:val="8"/>
                          </w:rPr>
                        </w:pPr>
                      </w:p>
                    </w:tc>
                    <w:tc>
                      <w:tcPr>
                        <w:tcW w:w="820" w:type="dxa"/>
                        <w:shd w:val="clear" w:color="auto" w:fill="F9FCF9"/>
                      </w:tcPr>
                      <w:p>
                        <w:pPr>
                          <w:pStyle w:val="TableParagraph"/>
                          <w:jc w:val="left"/>
                          <w:rPr>
                            <w:sz w:val="8"/>
                          </w:rPr>
                        </w:pPr>
                      </w:p>
                    </w:tc>
                    <w:tc>
                      <w:tcPr>
                        <w:tcW w:w="902" w:type="dxa"/>
                        <w:shd w:val="clear" w:color="auto" w:fill="F9FCF9"/>
                      </w:tcPr>
                      <w:p>
                        <w:pPr>
                          <w:pStyle w:val="TableParagraph"/>
                          <w:jc w:val="left"/>
                          <w:rPr>
                            <w:sz w:val="8"/>
                          </w:rPr>
                        </w:pPr>
                      </w:p>
                    </w:tc>
                    <w:tc>
                      <w:tcPr>
                        <w:tcW w:w="872" w:type="dxa"/>
                        <w:shd w:val="clear" w:color="auto" w:fill="F9FCF9"/>
                      </w:tcPr>
                      <w:p>
                        <w:pPr>
                          <w:pStyle w:val="TableParagraph"/>
                          <w:jc w:val="left"/>
                          <w:rPr>
                            <w:sz w:val="8"/>
                          </w:rPr>
                        </w:pPr>
                      </w:p>
                    </w:tc>
                    <w:tc>
                      <w:tcPr>
                        <w:tcW w:w="830" w:type="dxa"/>
                        <w:shd w:val="clear" w:color="auto" w:fill="F9FCF9"/>
                      </w:tcPr>
                      <w:p>
                        <w:pPr>
                          <w:pStyle w:val="TableParagraph"/>
                          <w:jc w:val="left"/>
                          <w:rPr>
                            <w:sz w:val="8"/>
                          </w:rPr>
                        </w:pPr>
                      </w:p>
                    </w:tc>
                    <w:tc>
                      <w:tcPr>
                        <w:tcW w:w="898" w:type="dxa"/>
                        <w:shd w:val="clear" w:color="auto" w:fill="F9FCF9"/>
                      </w:tcPr>
                      <w:p>
                        <w:pPr>
                          <w:pStyle w:val="TableParagraph"/>
                          <w:jc w:val="left"/>
                          <w:rPr>
                            <w:sz w:val="8"/>
                          </w:rPr>
                        </w:pPr>
                      </w:p>
                    </w:tc>
                    <w:tc>
                      <w:tcPr>
                        <w:tcW w:w="718" w:type="dxa"/>
                        <w:shd w:val="clear" w:color="auto" w:fill="F9FCF9"/>
                      </w:tcPr>
                      <w:p>
                        <w:pPr>
                          <w:pStyle w:val="TableParagraph"/>
                          <w:jc w:val="left"/>
                          <w:rPr>
                            <w:sz w:val="8"/>
                          </w:rPr>
                        </w:pPr>
                      </w:p>
                    </w:tc>
                    <w:tc>
                      <w:tcPr>
                        <w:tcW w:w="622" w:type="dxa"/>
                        <w:shd w:val="clear" w:color="auto" w:fill="F9FCF9"/>
                      </w:tcPr>
                      <w:p>
                        <w:pPr>
                          <w:pStyle w:val="TableParagraph"/>
                          <w:jc w:val="left"/>
                          <w:rPr>
                            <w:sz w:val="8"/>
                          </w:rPr>
                        </w:pPr>
                      </w:p>
                    </w:tc>
                    <w:tc>
                      <w:tcPr>
                        <w:tcW w:w="94" w:type="dxa"/>
                        <w:shd w:val="clear" w:color="auto" w:fill="F9FCF9"/>
                      </w:tcPr>
                      <w:p>
                        <w:pPr>
                          <w:pStyle w:val="TableParagraph"/>
                          <w:jc w:val="left"/>
                          <w:rPr>
                            <w:sz w:val="8"/>
                          </w:rPr>
                        </w:pPr>
                      </w:p>
                    </w:tc>
                    <w:tc>
                      <w:tcPr>
                        <w:tcW w:w="774" w:type="dxa"/>
                        <w:shd w:val="clear" w:color="auto" w:fill="F9FCF9"/>
                      </w:tcPr>
                      <w:p>
                        <w:pPr>
                          <w:pStyle w:val="TableParagraph"/>
                          <w:jc w:val="left"/>
                          <w:rPr>
                            <w:sz w:val="8"/>
                          </w:rPr>
                        </w:pPr>
                      </w:p>
                    </w:tc>
                    <w:tc>
                      <w:tcPr>
                        <w:tcW w:w="682" w:type="dxa"/>
                        <w:shd w:val="clear" w:color="auto" w:fill="F9FCF9"/>
                      </w:tcPr>
                      <w:p>
                        <w:pPr>
                          <w:pStyle w:val="TableParagraph"/>
                          <w:jc w:val="left"/>
                          <w:rPr>
                            <w:sz w:val="8"/>
                          </w:rPr>
                        </w:pPr>
                      </w:p>
                    </w:tc>
                    <w:tc>
                      <w:tcPr>
                        <w:tcW w:w="764" w:type="dxa"/>
                        <w:shd w:val="clear" w:color="auto" w:fill="F9FCF9"/>
                      </w:tcPr>
                      <w:p>
                        <w:pPr>
                          <w:pStyle w:val="TableParagraph"/>
                          <w:jc w:val="left"/>
                          <w:rPr>
                            <w:sz w:val="8"/>
                          </w:rPr>
                        </w:pPr>
                      </w:p>
                    </w:tc>
                    <w:tc>
                      <w:tcPr>
                        <w:tcW w:w="1420" w:type="dxa"/>
                        <w:shd w:val="clear" w:color="auto" w:fill="F9FCF9"/>
                      </w:tcPr>
                      <w:p>
                        <w:pPr>
                          <w:pStyle w:val="TableParagraph"/>
                          <w:jc w:val="left"/>
                          <w:rPr>
                            <w:sz w:val="8"/>
                          </w:rPr>
                        </w:pPr>
                      </w:p>
                    </w:tc>
                  </w:tr>
                  <w:tr>
                    <w:trPr>
                      <w:trHeight w:val="487" w:hRule="atLeast"/>
                    </w:trPr>
                    <w:tc>
                      <w:tcPr>
                        <w:tcW w:w="2334" w:type="dxa"/>
                        <w:shd w:val="clear" w:color="auto" w:fill="F9FCF9"/>
                      </w:tcPr>
                      <w:p>
                        <w:pPr>
                          <w:pStyle w:val="TableParagraph"/>
                          <w:spacing w:line="159" w:lineRule="exact"/>
                          <w:ind w:left="26"/>
                          <w:jc w:val="left"/>
                          <w:rPr>
                            <w:sz w:val="14"/>
                          </w:rPr>
                        </w:pPr>
                        <w:r>
                          <w:rPr>
                            <w:sz w:val="14"/>
                          </w:rPr>
                          <w:t>Oil refining petrochemical</w:t>
                        </w:r>
                      </w:p>
                    </w:tc>
                    <w:tc>
                      <w:tcPr>
                        <w:tcW w:w="980" w:type="dxa"/>
                        <w:shd w:val="clear" w:color="auto" w:fill="F9FCF9"/>
                      </w:tcPr>
                      <w:p>
                        <w:pPr>
                          <w:pStyle w:val="TableParagraph"/>
                          <w:spacing w:line="159" w:lineRule="exact"/>
                          <w:ind w:left="166"/>
                          <w:jc w:val="left"/>
                          <w:rPr>
                            <w:sz w:val="14"/>
                          </w:rPr>
                        </w:pPr>
                        <w:r>
                          <w:rPr>
                            <w:sz w:val="14"/>
                          </w:rPr>
                          <w:t>Oil refining</w:t>
                        </w:r>
                      </w:p>
                      <w:p>
                        <w:pPr>
                          <w:pStyle w:val="TableParagraph"/>
                          <w:spacing w:before="7"/>
                          <w:ind w:left="94"/>
                          <w:jc w:val="left"/>
                          <w:rPr>
                            <w:sz w:val="14"/>
                          </w:rPr>
                        </w:pPr>
                        <w:r>
                          <w:rPr>
                            <w:sz w:val="14"/>
                          </w:rPr>
                          <w:t>petrochemical</w:t>
                        </w:r>
                      </w:p>
                    </w:tc>
                    <w:tc>
                      <w:tcPr>
                        <w:tcW w:w="840" w:type="dxa"/>
                        <w:shd w:val="clear" w:color="auto" w:fill="F9FCF9"/>
                      </w:tcPr>
                      <w:p>
                        <w:pPr>
                          <w:pStyle w:val="TableParagraph"/>
                          <w:spacing w:line="249" w:lineRule="auto"/>
                          <w:ind w:left="76" w:right="59" w:firstLine="20"/>
                          <w:jc w:val="left"/>
                          <w:rPr>
                            <w:sz w:val="14"/>
                          </w:rPr>
                        </w:pPr>
                        <w:r>
                          <w:rPr>
                            <w:sz w:val="14"/>
                          </w:rPr>
                          <w:t>High purity CO</w:t>
                        </w:r>
                        <w:r>
                          <w:rPr>
                            <w:position w:val="-4"/>
                            <w:sz w:val="8"/>
                          </w:rPr>
                          <w:t>2 </w:t>
                        </w:r>
                        <w:r>
                          <w:rPr>
                            <w:sz w:val="14"/>
                          </w:rPr>
                          <w:t>sources</w:t>
                        </w:r>
                      </w:p>
                    </w:tc>
                    <w:tc>
                      <w:tcPr>
                        <w:tcW w:w="820" w:type="dxa"/>
                        <w:shd w:val="clear" w:color="auto" w:fill="F9FCF9"/>
                      </w:tcPr>
                      <w:p>
                        <w:pPr>
                          <w:pStyle w:val="TableParagraph"/>
                          <w:spacing w:line="159" w:lineRule="exact"/>
                          <w:ind w:left="62" w:right="51"/>
                          <w:rPr>
                            <w:sz w:val="14"/>
                          </w:rPr>
                        </w:pPr>
                        <w:r>
                          <w:rPr>
                            <w:sz w:val="14"/>
                          </w:rPr>
                          <w:t>Pulp mill</w:t>
                        </w:r>
                      </w:p>
                    </w:tc>
                    <w:tc>
                      <w:tcPr>
                        <w:tcW w:w="902" w:type="dxa"/>
                        <w:shd w:val="clear" w:color="auto" w:fill="F9FCF9"/>
                      </w:tcPr>
                      <w:p>
                        <w:pPr>
                          <w:pStyle w:val="TableParagraph"/>
                          <w:spacing w:line="159" w:lineRule="exact"/>
                          <w:ind w:left="62" w:right="50"/>
                          <w:rPr>
                            <w:sz w:val="14"/>
                          </w:rPr>
                        </w:pPr>
                        <w:r>
                          <w:rPr>
                            <w:sz w:val="14"/>
                          </w:rPr>
                          <w:t>Pulp mill</w:t>
                        </w:r>
                      </w:p>
                    </w:tc>
                    <w:tc>
                      <w:tcPr>
                        <w:tcW w:w="872" w:type="dxa"/>
                        <w:shd w:val="clear" w:color="auto" w:fill="F9FCF9"/>
                      </w:tcPr>
                      <w:p>
                        <w:pPr>
                          <w:pStyle w:val="TableParagraph"/>
                          <w:spacing w:line="249" w:lineRule="auto"/>
                          <w:ind w:left="80" w:right="46" w:firstLine="139"/>
                          <w:jc w:val="left"/>
                          <w:rPr>
                            <w:sz w:val="14"/>
                          </w:rPr>
                        </w:pPr>
                        <w:r>
                          <w:rPr>
                            <w:sz w:val="14"/>
                          </w:rPr>
                          <w:t>Ethanol fermentation</w:t>
                        </w:r>
                      </w:p>
                    </w:tc>
                    <w:tc>
                      <w:tcPr>
                        <w:tcW w:w="830" w:type="dxa"/>
                        <w:shd w:val="clear" w:color="auto" w:fill="F9FCF9"/>
                      </w:tcPr>
                      <w:p>
                        <w:pPr>
                          <w:pStyle w:val="TableParagraph"/>
                          <w:spacing w:line="159" w:lineRule="exact"/>
                          <w:ind w:left="176"/>
                          <w:jc w:val="left"/>
                          <w:rPr>
                            <w:sz w:val="14"/>
                          </w:rPr>
                        </w:pPr>
                        <w:r>
                          <w:rPr>
                            <w:sz w:val="14"/>
                          </w:rPr>
                          <w:t>Refinery</w:t>
                        </w:r>
                      </w:p>
                      <w:p>
                        <w:pPr>
                          <w:pStyle w:val="TableParagraph"/>
                          <w:spacing w:line="170" w:lineRule="atLeast"/>
                          <w:ind w:left="226" w:hanging="80"/>
                          <w:jc w:val="left"/>
                          <w:rPr>
                            <w:sz w:val="14"/>
                          </w:rPr>
                        </w:pPr>
                        <w:r>
                          <w:rPr>
                            <w:sz w:val="14"/>
                          </w:rPr>
                          <w:t>heaters </w:t>
                        </w:r>
                        <w:r>
                          <w:rPr>
                            <w:spacing w:val="-17"/>
                            <w:sz w:val="14"/>
                          </w:rPr>
                          <w:t>&amp; </w:t>
                        </w:r>
                        <w:r>
                          <w:rPr>
                            <w:sz w:val="14"/>
                          </w:rPr>
                          <w:t>boilers</w:t>
                        </w:r>
                      </w:p>
                    </w:tc>
                    <w:tc>
                      <w:tcPr>
                        <w:tcW w:w="898" w:type="dxa"/>
                        <w:shd w:val="clear" w:color="auto" w:fill="F9FCF9"/>
                      </w:tcPr>
                      <w:p>
                        <w:pPr>
                          <w:pStyle w:val="TableParagraph"/>
                          <w:spacing w:line="249" w:lineRule="auto"/>
                          <w:ind w:left="226" w:right="142" w:hanging="49"/>
                          <w:jc w:val="left"/>
                          <w:rPr>
                            <w:sz w:val="14"/>
                          </w:rPr>
                        </w:pPr>
                        <w:r>
                          <w:rPr>
                            <w:sz w:val="14"/>
                          </w:rPr>
                          <w:t>Small gas turbines</w:t>
                        </w:r>
                      </w:p>
                    </w:tc>
                    <w:tc>
                      <w:tcPr>
                        <w:tcW w:w="718" w:type="dxa"/>
                        <w:shd w:val="clear" w:color="auto" w:fill="F9FCF9"/>
                      </w:tcPr>
                      <w:p>
                        <w:pPr>
                          <w:pStyle w:val="TableParagraph"/>
                          <w:jc w:val="left"/>
                          <w:rPr>
                            <w:sz w:val="12"/>
                          </w:rPr>
                        </w:pPr>
                      </w:p>
                    </w:tc>
                    <w:tc>
                      <w:tcPr>
                        <w:tcW w:w="622" w:type="dxa"/>
                        <w:shd w:val="clear" w:color="auto" w:fill="F9FCF9"/>
                      </w:tcPr>
                      <w:p>
                        <w:pPr>
                          <w:pStyle w:val="TableParagraph"/>
                          <w:spacing w:line="159" w:lineRule="exact"/>
                          <w:ind w:left="73"/>
                          <w:jc w:val="left"/>
                          <w:rPr>
                            <w:sz w:val="14"/>
                          </w:rPr>
                        </w:pPr>
                        <w:r>
                          <w:rPr>
                            <w:sz w:val="14"/>
                          </w:rPr>
                          <w:t>Refinery</w:t>
                        </w:r>
                      </w:p>
                      <w:p>
                        <w:pPr>
                          <w:pStyle w:val="TableParagraph"/>
                          <w:spacing w:line="170" w:lineRule="atLeast"/>
                          <w:ind w:left="124" w:hanging="80"/>
                          <w:jc w:val="left"/>
                          <w:rPr>
                            <w:sz w:val="14"/>
                          </w:rPr>
                        </w:pPr>
                        <w:r>
                          <w:rPr>
                            <w:sz w:val="14"/>
                          </w:rPr>
                          <w:t>heaters </w:t>
                        </w:r>
                        <w:r>
                          <w:rPr>
                            <w:spacing w:val="-18"/>
                            <w:sz w:val="14"/>
                          </w:rPr>
                          <w:t>&amp; </w:t>
                        </w:r>
                        <w:r>
                          <w:rPr>
                            <w:sz w:val="14"/>
                          </w:rPr>
                          <w:t>boilers</w:t>
                        </w:r>
                      </w:p>
                    </w:tc>
                    <w:tc>
                      <w:tcPr>
                        <w:tcW w:w="94" w:type="dxa"/>
                        <w:shd w:val="clear" w:color="auto" w:fill="F9FCF9"/>
                      </w:tcPr>
                      <w:p>
                        <w:pPr>
                          <w:pStyle w:val="TableParagraph"/>
                          <w:jc w:val="left"/>
                          <w:rPr>
                            <w:sz w:val="12"/>
                          </w:rPr>
                        </w:pPr>
                      </w:p>
                    </w:tc>
                    <w:tc>
                      <w:tcPr>
                        <w:tcW w:w="774" w:type="dxa"/>
                        <w:shd w:val="clear" w:color="auto" w:fill="F9FCF9"/>
                      </w:tcPr>
                      <w:p>
                        <w:pPr>
                          <w:pStyle w:val="TableParagraph"/>
                          <w:spacing w:line="249" w:lineRule="auto"/>
                          <w:ind w:left="165" w:right="79" w:hanging="49"/>
                          <w:jc w:val="left"/>
                          <w:rPr>
                            <w:sz w:val="14"/>
                          </w:rPr>
                        </w:pPr>
                        <w:r>
                          <w:rPr>
                            <w:sz w:val="14"/>
                          </w:rPr>
                          <w:t>Small gas turbines</w:t>
                        </w:r>
                      </w:p>
                    </w:tc>
                    <w:tc>
                      <w:tcPr>
                        <w:tcW w:w="682" w:type="dxa"/>
                        <w:shd w:val="clear" w:color="auto" w:fill="F9FCF9"/>
                      </w:tcPr>
                      <w:p>
                        <w:pPr>
                          <w:pStyle w:val="TableParagraph"/>
                          <w:spacing w:line="249" w:lineRule="auto"/>
                          <w:ind w:left="120" w:right="32" w:hanging="49"/>
                          <w:jc w:val="left"/>
                          <w:rPr>
                            <w:sz w:val="14"/>
                          </w:rPr>
                        </w:pPr>
                        <w:r>
                          <w:rPr>
                            <w:sz w:val="14"/>
                          </w:rPr>
                          <w:t>Small gas turbines</w:t>
                        </w:r>
                      </w:p>
                    </w:tc>
                    <w:tc>
                      <w:tcPr>
                        <w:tcW w:w="764" w:type="dxa"/>
                        <w:shd w:val="clear" w:color="auto" w:fill="F9FCF9"/>
                      </w:tcPr>
                      <w:p>
                        <w:pPr>
                          <w:pStyle w:val="TableParagraph"/>
                          <w:jc w:val="left"/>
                          <w:rPr>
                            <w:sz w:val="12"/>
                          </w:rPr>
                        </w:pPr>
                      </w:p>
                    </w:tc>
                    <w:tc>
                      <w:tcPr>
                        <w:tcW w:w="1420" w:type="dxa"/>
                        <w:shd w:val="clear" w:color="auto" w:fill="F9FCF9"/>
                      </w:tcPr>
                      <w:p>
                        <w:pPr>
                          <w:pStyle w:val="TableParagraph"/>
                          <w:jc w:val="left"/>
                          <w:rPr>
                            <w:sz w:val="12"/>
                          </w:rPr>
                        </w:pPr>
                      </w:p>
                    </w:tc>
                  </w:tr>
                  <w:tr>
                    <w:trPr>
                      <w:trHeight w:val="308" w:hRule="atLeast"/>
                    </w:trPr>
                    <w:tc>
                      <w:tcPr>
                        <w:tcW w:w="2334" w:type="dxa"/>
                        <w:shd w:val="clear" w:color="auto" w:fill="F9FCF9"/>
                      </w:tcPr>
                      <w:p>
                        <w:pPr>
                          <w:pStyle w:val="TableParagraph"/>
                          <w:spacing w:line="148" w:lineRule="exact"/>
                          <w:ind w:left="26"/>
                          <w:jc w:val="left"/>
                          <w:rPr>
                            <w:sz w:val="14"/>
                          </w:rPr>
                        </w:pPr>
                        <w:r>
                          <w:rPr>
                            <w:sz w:val="14"/>
                          </w:rPr>
                          <w:t>Feedstock type</w:t>
                        </w:r>
                      </w:p>
                    </w:tc>
                    <w:tc>
                      <w:tcPr>
                        <w:tcW w:w="980" w:type="dxa"/>
                        <w:shd w:val="clear" w:color="auto" w:fill="F9FCF9"/>
                      </w:tcPr>
                      <w:p>
                        <w:pPr>
                          <w:pStyle w:val="TableParagraph"/>
                          <w:spacing w:line="148" w:lineRule="exact"/>
                          <w:ind w:left="33" w:right="21"/>
                          <w:rPr>
                            <w:sz w:val="14"/>
                          </w:rPr>
                        </w:pPr>
                        <w:r>
                          <w:rPr>
                            <w:sz w:val="14"/>
                          </w:rPr>
                          <w:t>Coke</w:t>
                        </w:r>
                      </w:p>
                    </w:tc>
                    <w:tc>
                      <w:tcPr>
                        <w:tcW w:w="840" w:type="dxa"/>
                        <w:shd w:val="clear" w:color="auto" w:fill="F9FCF9"/>
                      </w:tcPr>
                      <w:p>
                        <w:pPr>
                          <w:pStyle w:val="TableParagraph"/>
                          <w:spacing w:line="148" w:lineRule="exact"/>
                          <w:ind w:left="49"/>
                          <w:jc w:val="left"/>
                          <w:rPr>
                            <w:sz w:val="14"/>
                          </w:rPr>
                        </w:pPr>
                        <w:r>
                          <w:rPr>
                            <w:sz w:val="14"/>
                          </w:rPr>
                          <w:t>Refinery gas/</w:t>
                        </w:r>
                      </w:p>
                      <w:p>
                        <w:pPr>
                          <w:pStyle w:val="TableParagraph"/>
                          <w:spacing w:line="134" w:lineRule="exact" w:before="7"/>
                          <w:ind w:left="115"/>
                          <w:jc w:val="left"/>
                          <w:rPr>
                            <w:sz w:val="14"/>
                          </w:rPr>
                        </w:pPr>
                        <w:r>
                          <w:rPr>
                            <w:sz w:val="14"/>
                          </w:rPr>
                          <w:t>natural gas</w:t>
                        </w:r>
                      </w:p>
                    </w:tc>
                    <w:tc>
                      <w:tcPr>
                        <w:tcW w:w="820" w:type="dxa"/>
                        <w:shd w:val="clear" w:color="auto" w:fill="F9FCF9"/>
                      </w:tcPr>
                      <w:p>
                        <w:pPr>
                          <w:pStyle w:val="TableParagraph"/>
                          <w:spacing w:line="148" w:lineRule="exact"/>
                          <w:ind w:left="39"/>
                          <w:jc w:val="left"/>
                          <w:rPr>
                            <w:sz w:val="14"/>
                          </w:rPr>
                        </w:pPr>
                        <w:r>
                          <w:rPr>
                            <w:sz w:val="14"/>
                          </w:rPr>
                          <w:t>Refinery gas/</w:t>
                        </w:r>
                      </w:p>
                      <w:p>
                        <w:pPr>
                          <w:pStyle w:val="TableParagraph"/>
                          <w:spacing w:line="134" w:lineRule="exact" w:before="7"/>
                          <w:ind w:left="105"/>
                          <w:jc w:val="left"/>
                          <w:rPr>
                            <w:sz w:val="14"/>
                          </w:rPr>
                        </w:pPr>
                        <w:r>
                          <w:rPr>
                            <w:sz w:val="14"/>
                          </w:rPr>
                          <w:t>natural gas</w:t>
                        </w:r>
                      </w:p>
                    </w:tc>
                    <w:tc>
                      <w:tcPr>
                        <w:tcW w:w="902" w:type="dxa"/>
                        <w:shd w:val="clear" w:color="auto" w:fill="F9FCF9"/>
                      </w:tcPr>
                      <w:p>
                        <w:pPr>
                          <w:pStyle w:val="TableParagraph"/>
                          <w:jc w:val="left"/>
                          <w:rPr>
                            <w:sz w:val="12"/>
                          </w:rPr>
                        </w:pPr>
                      </w:p>
                    </w:tc>
                    <w:tc>
                      <w:tcPr>
                        <w:tcW w:w="872" w:type="dxa"/>
                        <w:shd w:val="clear" w:color="auto" w:fill="F9FCF9"/>
                      </w:tcPr>
                      <w:p>
                        <w:pPr>
                          <w:pStyle w:val="TableParagraph"/>
                          <w:spacing w:line="148" w:lineRule="exact"/>
                          <w:ind w:left="40" w:right="27"/>
                          <w:rPr>
                            <w:sz w:val="14"/>
                          </w:rPr>
                        </w:pPr>
                        <w:r>
                          <w:rPr>
                            <w:sz w:val="14"/>
                          </w:rPr>
                          <w:t>Black liquor</w:t>
                        </w:r>
                      </w:p>
                      <w:p>
                        <w:pPr>
                          <w:pStyle w:val="TableParagraph"/>
                          <w:spacing w:line="134" w:lineRule="exact" w:before="7"/>
                          <w:ind w:left="40" w:right="27"/>
                          <w:rPr>
                            <w:sz w:val="14"/>
                          </w:rPr>
                        </w:pPr>
                        <w:r>
                          <w:rPr>
                            <w:sz w:val="14"/>
                          </w:rPr>
                          <w:t>and bark</w:t>
                        </w:r>
                      </w:p>
                    </w:tc>
                    <w:tc>
                      <w:tcPr>
                        <w:tcW w:w="830" w:type="dxa"/>
                        <w:shd w:val="clear" w:color="auto" w:fill="F9FCF9"/>
                      </w:tcPr>
                      <w:p>
                        <w:pPr>
                          <w:pStyle w:val="TableParagraph"/>
                          <w:spacing w:line="148" w:lineRule="exact"/>
                          <w:ind w:left="19" w:right="5"/>
                          <w:rPr>
                            <w:sz w:val="14"/>
                          </w:rPr>
                        </w:pPr>
                        <w:r>
                          <w:rPr>
                            <w:sz w:val="14"/>
                          </w:rPr>
                          <w:t>Black liquor</w:t>
                        </w:r>
                      </w:p>
                    </w:tc>
                    <w:tc>
                      <w:tcPr>
                        <w:tcW w:w="898" w:type="dxa"/>
                        <w:shd w:val="clear" w:color="auto" w:fill="F9FCF9"/>
                      </w:tcPr>
                      <w:p>
                        <w:pPr>
                          <w:pStyle w:val="TableParagraph"/>
                          <w:spacing w:line="148" w:lineRule="exact"/>
                          <w:ind w:left="76" w:right="61"/>
                          <w:rPr>
                            <w:sz w:val="14"/>
                          </w:rPr>
                        </w:pPr>
                        <w:r>
                          <w:rPr>
                            <w:sz w:val="14"/>
                          </w:rPr>
                          <w:t>Sugar cane</w:t>
                        </w:r>
                      </w:p>
                    </w:tc>
                    <w:tc>
                      <w:tcPr>
                        <w:tcW w:w="718" w:type="dxa"/>
                        <w:shd w:val="clear" w:color="auto" w:fill="F9FCF9"/>
                      </w:tcPr>
                      <w:p>
                        <w:pPr>
                          <w:pStyle w:val="TableParagraph"/>
                          <w:spacing w:line="148" w:lineRule="exact"/>
                          <w:ind w:left="36" w:right="21"/>
                          <w:rPr>
                            <w:sz w:val="14"/>
                          </w:rPr>
                        </w:pPr>
                        <w:r>
                          <w:rPr>
                            <w:sz w:val="14"/>
                          </w:rPr>
                          <w:t>Mixed</w:t>
                        </w:r>
                      </w:p>
                    </w:tc>
                    <w:tc>
                      <w:tcPr>
                        <w:tcW w:w="622" w:type="dxa"/>
                        <w:shd w:val="clear" w:color="auto" w:fill="F9FCF9"/>
                      </w:tcPr>
                      <w:p>
                        <w:pPr>
                          <w:pStyle w:val="TableParagraph"/>
                          <w:spacing w:line="148" w:lineRule="exact"/>
                          <w:ind w:left="23" w:right="7"/>
                          <w:rPr>
                            <w:sz w:val="14"/>
                          </w:rPr>
                        </w:pPr>
                        <w:r>
                          <w:rPr>
                            <w:sz w:val="14"/>
                          </w:rPr>
                          <w:t>NG</w:t>
                        </w:r>
                      </w:p>
                    </w:tc>
                    <w:tc>
                      <w:tcPr>
                        <w:tcW w:w="94" w:type="dxa"/>
                        <w:shd w:val="clear" w:color="auto" w:fill="F9FCF9"/>
                      </w:tcPr>
                      <w:p>
                        <w:pPr>
                          <w:pStyle w:val="TableParagraph"/>
                          <w:jc w:val="left"/>
                          <w:rPr>
                            <w:sz w:val="12"/>
                          </w:rPr>
                        </w:pPr>
                      </w:p>
                    </w:tc>
                    <w:tc>
                      <w:tcPr>
                        <w:tcW w:w="774" w:type="dxa"/>
                        <w:shd w:val="clear" w:color="auto" w:fill="F9FCF9"/>
                      </w:tcPr>
                      <w:p>
                        <w:pPr>
                          <w:pStyle w:val="TableParagraph"/>
                          <w:spacing w:line="148" w:lineRule="exact"/>
                          <w:ind w:left="65" w:right="47"/>
                          <w:rPr>
                            <w:sz w:val="14"/>
                          </w:rPr>
                        </w:pPr>
                        <w:r>
                          <w:rPr>
                            <w:sz w:val="14"/>
                          </w:rPr>
                          <w:t>Mixed</w:t>
                        </w:r>
                      </w:p>
                    </w:tc>
                    <w:tc>
                      <w:tcPr>
                        <w:tcW w:w="682" w:type="dxa"/>
                        <w:shd w:val="clear" w:color="auto" w:fill="F9FCF9"/>
                      </w:tcPr>
                      <w:p>
                        <w:pPr>
                          <w:pStyle w:val="TableParagraph"/>
                          <w:spacing w:line="148" w:lineRule="exact"/>
                          <w:ind w:left="20" w:right="1"/>
                          <w:rPr>
                            <w:sz w:val="14"/>
                          </w:rPr>
                        </w:pPr>
                        <w:r>
                          <w:rPr>
                            <w:sz w:val="14"/>
                          </w:rPr>
                          <w:t>Mixed</w:t>
                        </w:r>
                      </w:p>
                    </w:tc>
                    <w:tc>
                      <w:tcPr>
                        <w:tcW w:w="764" w:type="dxa"/>
                        <w:shd w:val="clear" w:color="auto" w:fill="F9FCF9"/>
                      </w:tcPr>
                      <w:p>
                        <w:pPr>
                          <w:pStyle w:val="TableParagraph"/>
                          <w:spacing w:line="148" w:lineRule="exact"/>
                          <w:ind w:right="44"/>
                          <w:jc w:val="right"/>
                          <w:rPr>
                            <w:sz w:val="14"/>
                          </w:rPr>
                        </w:pPr>
                        <w:r>
                          <w:rPr>
                            <w:sz w:val="14"/>
                          </w:rPr>
                          <w:t>Natural gas</w:t>
                        </w:r>
                      </w:p>
                    </w:tc>
                    <w:tc>
                      <w:tcPr>
                        <w:tcW w:w="1420" w:type="dxa"/>
                        <w:shd w:val="clear" w:color="auto" w:fill="F9FCF9"/>
                      </w:tcPr>
                      <w:p>
                        <w:pPr>
                          <w:pStyle w:val="TableParagraph"/>
                          <w:spacing w:line="148" w:lineRule="exact"/>
                          <w:ind w:left="92" w:right="70"/>
                          <w:rPr>
                            <w:sz w:val="14"/>
                          </w:rPr>
                        </w:pPr>
                        <w:r>
                          <w:rPr>
                            <w:sz w:val="14"/>
                          </w:rPr>
                          <w:t>Natural gas</w:t>
                        </w:r>
                      </w:p>
                    </w:tc>
                  </w:tr>
                  <w:tr>
                    <w:trPr>
                      <w:trHeight w:val="319" w:hRule="atLeast"/>
                    </w:trPr>
                    <w:tc>
                      <w:tcPr>
                        <w:tcW w:w="2334" w:type="dxa"/>
                        <w:shd w:val="clear" w:color="auto" w:fill="F9FCF9"/>
                      </w:tcPr>
                      <w:p>
                        <w:pPr>
                          <w:pStyle w:val="TableParagraph"/>
                          <w:spacing w:line="159" w:lineRule="exact"/>
                          <w:ind w:left="26"/>
                          <w:jc w:val="left"/>
                          <w:rPr>
                            <w:sz w:val="14"/>
                          </w:rPr>
                        </w:pPr>
                        <w:r>
                          <w:rPr>
                            <w:sz w:val="14"/>
                          </w:rPr>
                          <w:t>Plant size (specify units)</w:t>
                        </w:r>
                      </w:p>
                    </w:tc>
                    <w:tc>
                      <w:tcPr>
                        <w:tcW w:w="980" w:type="dxa"/>
                        <w:shd w:val="clear" w:color="auto" w:fill="F9FCF9"/>
                      </w:tcPr>
                      <w:p>
                        <w:pPr>
                          <w:pStyle w:val="TableParagraph"/>
                          <w:spacing w:line="159" w:lineRule="exact"/>
                          <w:ind w:left="33" w:right="21"/>
                          <w:rPr>
                            <w:sz w:val="14"/>
                          </w:rPr>
                        </w:pPr>
                        <w:r>
                          <w:rPr>
                            <w:sz w:val="14"/>
                          </w:rPr>
                          <w:t>168 kg s</w:t>
                        </w:r>
                        <w:r>
                          <w:rPr>
                            <w:position w:val="5"/>
                            <w:sz w:val="8"/>
                          </w:rPr>
                          <w:t>−1 </w:t>
                        </w:r>
                        <w:r>
                          <w:rPr>
                            <w:sz w:val="14"/>
                          </w:rPr>
                          <w:t>iron</w:t>
                        </w:r>
                      </w:p>
                    </w:tc>
                    <w:tc>
                      <w:tcPr>
                        <w:tcW w:w="840" w:type="dxa"/>
                        <w:shd w:val="clear" w:color="auto" w:fill="F9FCF9"/>
                      </w:tcPr>
                      <w:p>
                        <w:pPr>
                          <w:pStyle w:val="TableParagraph"/>
                          <w:spacing w:line="159" w:lineRule="exact"/>
                          <w:ind w:left="140"/>
                          <w:jc w:val="left"/>
                          <w:rPr>
                            <w:sz w:val="8"/>
                          </w:rPr>
                        </w:pPr>
                        <w:r>
                          <w:rPr>
                            <w:sz w:val="14"/>
                          </w:rPr>
                          <w:t>315 kg</w:t>
                        </w:r>
                        <w:r>
                          <w:rPr>
                            <w:spacing w:val="1"/>
                            <w:sz w:val="14"/>
                          </w:rPr>
                          <w:t> </w:t>
                        </w:r>
                        <w:r>
                          <w:rPr>
                            <w:sz w:val="14"/>
                          </w:rPr>
                          <w:t>s</w:t>
                        </w:r>
                        <w:r>
                          <w:rPr>
                            <w:position w:val="5"/>
                            <w:sz w:val="8"/>
                          </w:rPr>
                          <w:t>−1</w:t>
                        </w:r>
                      </w:p>
                      <w:p>
                        <w:pPr>
                          <w:pStyle w:val="TableParagraph"/>
                          <w:spacing w:line="134" w:lineRule="exact" w:before="7"/>
                          <w:ind w:left="174"/>
                          <w:jc w:val="left"/>
                          <w:rPr>
                            <w:sz w:val="14"/>
                          </w:rPr>
                        </w:pPr>
                        <w:r>
                          <w:rPr>
                            <w:sz w:val="14"/>
                          </w:rPr>
                          <w:t>crude oil</w:t>
                        </w:r>
                      </w:p>
                    </w:tc>
                    <w:tc>
                      <w:tcPr>
                        <w:tcW w:w="820" w:type="dxa"/>
                        <w:shd w:val="clear" w:color="auto" w:fill="F9FCF9"/>
                      </w:tcPr>
                      <w:p>
                        <w:pPr>
                          <w:pStyle w:val="TableParagraph"/>
                          <w:spacing w:line="159" w:lineRule="exact"/>
                          <w:ind w:left="130"/>
                          <w:jc w:val="left"/>
                          <w:rPr>
                            <w:sz w:val="8"/>
                          </w:rPr>
                        </w:pPr>
                        <w:r>
                          <w:rPr>
                            <w:sz w:val="14"/>
                          </w:rPr>
                          <w:t>315 kg</w:t>
                        </w:r>
                        <w:r>
                          <w:rPr>
                            <w:spacing w:val="1"/>
                            <w:sz w:val="14"/>
                          </w:rPr>
                          <w:t> </w:t>
                        </w:r>
                        <w:r>
                          <w:rPr>
                            <w:sz w:val="14"/>
                          </w:rPr>
                          <w:t>s</w:t>
                        </w:r>
                        <w:r>
                          <w:rPr>
                            <w:position w:val="5"/>
                            <w:sz w:val="8"/>
                          </w:rPr>
                          <w:t>−1</w:t>
                        </w:r>
                      </w:p>
                      <w:p>
                        <w:pPr>
                          <w:pStyle w:val="TableParagraph"/>
                          <w:spacing w:line="134" w:lineRule="exact" w:before="7"/>
                          <w:ind w:left="164"/>
                          <w:jc w:val="left"/>
                          <w:rPr>
                            <w:sz w:val="14"/>
                          </w:rPr>
                        </w:pPr>
                        <w:r>
                          <w:rPr>
                            <w:sz w:val="14"/>
                          </w:rPr>
                          <w:t>crude oil</w:t>
                        </w:r>
                      </w:p>
                    </w:tc>
                    <w:tc>
                      <w:tcPr>
                        <w:tcW w:w="902" w:type="dxa"/>
                        <w:shd w:val="clear" w:color="auto" w:fill="F9FCF9"/>
                      </w:tcPr>
                      <w:p>
                        <w:pPr>
                          <w:pStyle w:val="TableParagraph"/>
                          <w:jc w:val="left"/>
                          <w:rPr>
                            <w:sz w:val="12"/>
                          </w:rPr>
                        </w:pPr>
                      </w:p>
                    </w:tc>
                    <w:tc>
                      <w:tcPr>
                        <w:tcW w:w="872" w:type="dxa"/>
                        <w:shd w:val="clear" w:color="auto" w:fill="F9FCF9"/>
                      </w:tcPr>
                      <w:p>
                        <w:pPr>
                          <w:pStyle w:val="TableParagraph"/>
                          <w:spacing w:line="159" w:lineRule="exact"/>
                          <w:ind w:left="139"/>
                          <w:jc w:val="left"/>
                          <w:rPr>
                            <w:sz w:val="8"/>
                          </w:rPr>
                        </w:pPr>
                        <w:r>
                          <w:rPr>
                            <w:sz w:val="14"/>
                          </w:rPr>
                          <w:t>17.9 kg s</w:t>
                        </w:r>
                        <w:r>
                          <w:rPr>
                            <w:position w:val="5"/>
                            <w:sz w:val="8"/>
                          </w:rPr>
                          <w:t>−1</w:t>
                        </w:r>
                      </w:p>
                      <w:p>
                        <w:pPr>
                          <w:pStyle w:val="TableParagraph"/>
                          <w:spacing w:line="134" w:lineRule="exact" w:before="7"/>
                          <w:ind w:left="313"/>
                          <w:jc w:val="left"/>
                          <w:rPr>
                            <w:sz w:val="14"/>
                          </w:rPr>
                        </w:pPr>
                        <w:r>
                          <w:rPr>
                            <w:sz w:val="14"/>
                          </w:rPr>
                          <w:t>pulp</w:t>
                        </w:r>
                      </w:p>
                    </w:tc>
                    <w:tc>
                      <w:tcPr>
                        <w:tcW w:w="830" w:type="dxa"/>
                        <w:shd w:val="clear" w:color="auto" w:fill="F9FCF9"/>
                      </w:tcPr>
                      <w:p>
                        <w:pPr>
                          <w:pStyle w:val="TableParagraph"/>
                          <w:spacing w:line="159" w:lineRule="exact"/>
                          <w:ind w:left="119"/>
                          <w:jc w:val="left"/>
                          <w:rPr>
                            <w:sz w:val="8"/>
                          </w:rPr>
                        </w:pPr>
                        <w:r>
                          <w:rPr>
                            <w:sz w:val="14"/>
                          </w:rPr>
                          <w:t>17.9 kg s</w:t>
                        </w:r>
                        <w:r>
                          <w:rPr>
                            <w:position w:val="5"/>
                            <w:sz w:val="8"/>
                          </w:rPr>
                          <w:t>−1</w:t>
                        </w:r>
                      </w:p>
                      <w:p>
                        <w:pPr>
                          <w:pStyle w:val="TableParagraph"/>
                          <w:spacing w:line="134" w:lineRule="exact" w:before="7"/>
                          <w:ind w:left="292"/>
                          <w:jc w:val="left"/>
                          <w:rPr>
                            <w:sz w:val="14"/>
                          </w:rPr>
                        </w:pPr>
                        <w:r>
                          <w:rPr>
                            <w:sz w:val="14"/>
                          </w:rPr>
                          <w:t>pulp</w:t>
                        </w:r>
                      </w:p>
                    </w:tc>
                    <w:tc>
                      <w:tcPr>
                        <w:tcW w:w="898" w:type="dxa"/>
                        <w:shd w:val="clear" w:color="auto" w:fill="F9FCF9"/>
                      </w:tcPr>
                      <w:p>
                        <w:pPr>
                          <w:pStyle w:val="TableParagraph"/>
                          <w:spacing w:line="159" w:lineRule="exact"/>
                          <w:ind w:left="188"/>
                          <w:jc w:val="left"/>
                          <w:rPr>
                            <w:sz w:val="8"/>
                          </w:rPr>
                        </w:pPr>
                        <w:r>
                          <w:rPr>
                            <w:sz w:val="14"/>
                          </w:rPr>
                          <w:t>9.1 kg s</w:t>
                        </w:r>
                        <w:r>
                          <w:rPr>
                            <w:position w:val="5"/>
                            <w:sz w:val="8"/>
                          </w:rPr>
                          <w:t>−1</w:t>
                        </w:r>
                      </w:p>
                      <w:p>
                        <w:pPr>
                          <w:pStyle w:val="TableParagraph"/>
                          <w:spacing w:line="134" w:lineRule="exact" w:before="7"/>
                          <w:ind w:left="245"/>
                          <w:jc w:val="left"/>
                          <w:rPr>
                            <w:sz w:val="14"/>
                          </w:rPr>
                        </w:pPr>
                        <w:r>
                          <w:rPr>
                            <w:sz w:val="14"/>
                          </w:rPr>
                          <w:t>ethanol</w:t>
                        </w:r>
                      </w:p>
                    </w:tc>
                    <w:tc>
                      <w:tcPr>
                        <w:tcW w:w="718" w:type="dxa"/>
                        <w:shd w:val="clear" w:color="auto" w:fill="F9FCF9"/>
                      </w:tcPr>
                      <w:p>
                        <w:pPr>
                          <w:pStyle w:val="TableParagraph"/>
                          <w:spacing w:line="159" w:lineRule="exact"/>
                          <w:ind w:left="36" w:right="21"/>
                          <w:rPr>
                            <w:sz w:val="14"/>
                          </w:rPr>
                        </w:pPr>
                        <w:r>
                          <w:rPr>
                            <w:sz w:val="14"/>
                          </w:rPr>
                          <w:t>1351 MWt</w:t>
                        </w:r>
                      </w:p>
                    </w:tc>
                    <w:tc>
                      <w:tcPr>
                        <w:tcW w:w="622" w:type="dxa"/>
                        <w:shd w:val="clear" w:color="auto" w:fill="F9FCF9"/>
                      </w:tcPr>
                      <w:p>
                        <w:pPr>
                          <w:pStyle w:val="TableParagraph"/>
                          <w:spacing w:line="159" w:lineRule="exact"/>
                          <w:ind w:left="23" w:right="7"/>
                          <w:rPr>
                            <w:sz w:val="14"/>
                          </w:rPr>
                        </w:pPr>
                        <w:r>
                          <w:rPr>
                            <w:sz w:val="14"/>
                          </w:rPr>
                          <w:t>358 MWt</w:t>
                        </w:r>
                      </w:p>
                    </w:tc>
                    <w:tc>
                      <w:tcPr>
                        <w:tcW w:w="94" w:type="dxa"/>
                        <w:shd w:val="clear" w:color="auto" w:fill="F9FCF9"/>
                      </w:tcPr>
                      <w:p>
                        <w:pPr>
                          <w:pStyle w:val="TableParagraph"/>
                          <w:jc w:val="left"/>
                          <w:rPr>
                            <w:sz w:val="12"/>
                          </w:rPr>
                        </w:pPr>
                      </w:p>
                    </w:tc>
                    <w:tc>
                      <w:tcPr>
                        <w:tcW w:w="774" w:type="dxa"/>
                        <w:shd w:val="clear" w:color="auto" w:fill="F9FCF9"/>
                      </w:tcPr>
                      <w:p>
                        <w:pPr>
                          <w:pStyle w:val="TableParagraph"/>
                          <w:spacing w:line="159" w:lineRule="exact"/>
                          <w:ind w:left="65" w:right="47"/>
                          <w:rPr>
                            <w:sz w:val="14"/>
                          </w:rPr>
                        </w:pPr>
                        <w:r>
                          <w:rPr>
                            <w:sz w:val="14"/>
                          </w:rPr>
                          <w:t>1351 MWt</w:t>
                        </w:r>
                      </w:p>
                    </w:tc>
                    <w:tc>
                      <w:tcPr>
                        <w:tcW w:w="682" w:type="dxa"/>
                        <w:shd w:val="clear" w:color="auto" w:fill="F9FCF9"/>
                      </w:tcPr>
                      <w:p>
                        <w:pPr>
                          <w:pStyle w:val="TableParagraph"/>
                          <w:spacing w:line="159" w:lineRule="exact"/>
                          <w:ind w:left="20" w:right="1"/>
                          <w:rPr>
                            <w:sz w:val="14"/>
                          </w:rPr>
                        </w:pPr>
                        <w:r>
                          <w:rPr>
                            <w:sz w:val="14"/>
                          </w:rPr>
                          <w:t>1351 MWt</w:t>
                        </w:r>
                      </w:p>
                    </w:tc>
                    <w:tc>
                      <w:tcPr>
                        <w:tcW w:w="764" w:type="dxa"/>
                        <w:shd w:val="clear" w:color="auto" w:fill="F9FCF9"/>
                      </w:tcPr>
                      <w:p>
                        <w:pPr>
                          <w:pStyle w:val="TableParagraph"/>
                          <w:spacing w:line="159" w:lineRule="exact"/>
                          <w:ind w:right="94"/>
                          <w:jc w:val="right"/>
                          <w:rPr>
                            <w:sz w:val="14"/>
                          </w:rPr>
                        </w:pPr>
                        <w:r>
                          <w:rPr>
                            <w:sz w:val="14"/>
                          </w:rPr>
                          <w:t>358 MWt</w:t>
                        </w:r>
                      </w:p>
                    </w:tc>
                    <w:tc>
                      <w:tcPr>
                        <w:tcW w:w="1420" w:type="dxa"/>
                        <w:shd w:val="clear" w:color="auto" w:fill="F9FCF9"/>
                      </w:tcPr>
                      <w:p>
                        <w:pPr>
                          <w:pStyle w:val="TableParagraph"/>
                          <w:spacing w:line="159" w:lineRule="exact"/>
                          <w:ind w:left="92" w:right="70"/>
                          <w:rPr>
                            <w:sz w:val="14"/>
                          </w:rPr>
                        </w:pPr>
                        <w:r>
                          <w:rPr>
                            <w:sz w:val="14"/>
                          </w:rPr>
                          <w:t>358 MWt</w:t>
                        </w:r>
                      </w:p>
                    </w:tc>
                  </w:tr>
                  <w:tr>
                    <w:trPr>
                      <w:trHeight w:val="151" w:hRule="atLeast"/>
                    </w:trPr>
                    <w:tc>
                      <w:tcPr>
                        <w:tcW w:w="2334" w:type="dxa"/>
                        <w:shd w:val="clear" w:color="auto" w:fill="F9FCF9"/>
                      </w:tcPr>
                      <w:p>
                        <w:pPr>
                          <w:pStyle w:val="TableParagraph"/>
                          <w:spacing w:line="132" w:lineRule="exact"/>
                          <w:ind w:left="26"/>
                          <w:jc w:val="left"/>
                          <w:rPr>
                            <w:sz w:val="14"/>
                          </w:rPr>
                        </w:pPr>
                        <w:r>
                          <w:rPr>
                            <w:sz w:val="14"/>
                          </w:rPr>
                          <w:t>Plant capacity factor (%)</w:t>
                        </w:r>
                      </w:p>
                    </w:tc>
                    <w:tc>
                      <w:tcPr>
                        <w:tcW w:w="980" w:type="dxa"/>
                        <w:shd w:val="clear" w:color="auto" w:fill="F9FCF9"/>
                      </w:tcPr>
                      <w:p>
                        <w:pPr>
                          <w:pStyle w:val="TableParagraph"/>
                          <w:spacing w:line="132" w:lineRule="exact"/>
                          <w:ind w:left="33" w:right="21"/>
                          <w:rPr>
                            <w:sz w:val="14"/>
                          </w:rPr>
                        </w:pPr>
                        <w:r>
                          <w:rPr>
                            <w:sz w:val="14"/>
                          </w:rPr>
                          <w:t>95.3</w:t>
                        </w:r>
                      </w:p>
                    </w:tc>
                    <w:tc>
                      <w:tcPr>
                        <w:tcW w:w="840" w:type="dxa"/>
                        <w:shd w:val="clear" w:color="auto" w:fill="F9FCF9"/>
                      </w:tcPr>
                      <w:p>
                        <w:pPr>
                          <w:pStyle w:val="TableParagraph"/>
                          <w:spacing w:line="132" w:lineRule="exact"/>
                          <w:ind w:left="73" w:right="61"/>
                          <w:rPr>
                            <w:sz w:val="14"/>
                          </w:rPr>
                        </w:pPr>
                        <w:r>
                          <w:rPr>
                            <w:sz w:val="14"/>
                          </w:rPr>
                          <w:t>90</w:t>
                        </w:r>
                      </w:p>
                    </w:tc>
                    <w:tc>
                      <w:tcPr>
                        <w:tcW w:w="820" w:type="dxa"/>
                        <w:shd w:val="clear" w:color="auto" w:fill="F9FCF9"/>
                      </w:tcPr>
                      <w:p>
                        <w:pPr>
                          <w:pStyle w:val="TableParagraph"/>
                          <w:spacing w:line="132" w:lineRule="exact"/>
                          <w:ind w:left="63" w:right="51"/>
                          <w:rPr>
                            <w:sz w:val="14"/>
                          </w:rPr>
                        </w:pPr>
                        <w:r>
                          <w:rPr>
                            <w:sz w:val="14"/>
                          </w:rPr>
                          <w:t>90</w:t>
                        </w:r>
                      </w:p>
                    </w:tc>
                    <w:tc>
                      <w:tcPr>
                        <w:tcW w:w="902" w:type="dxa"/>
                        <w:shd w:val="clear" w:color="auto" w:fill="F9FCF9"/>
                      </w:tcPr>
                      <w:p>
                        <w:pPr>
                          <w:pStyle w:val="TableParagraph"/>
                          <w:spacing w:line="132" w:lineRule="exact"/>
                          <w:ind w:left="62" w:right="50"/>
                          <w:rPr>
                            <w:sz w:val="14"/>
                          </w:rPr>
                        </w:pPr>
                        <w:r>
                          <w:rPr>
                            <w:sz w:val="14"/>
                          </w:rPr>
                          <w:t>90</w:t>
                        </w:r>
                      </w:p>
                    </w:tc>
                    <w:tc>
                      <w:tcPr>
                        <w:tcW w:w="872" w:type="dxa"/>
                        <w:shd w:val="clear" w:color="auto" w:fill="F9FCF9"/>
                      </w:tcPr>
                      <w:p>
                        <w:pPr>
                          <w:pStyle w:val="TableParagraph"/>
                          <w:spacing w:line="132" w:lineRule="exact"/>
                          <w:ind w:left="40" w:right="27"/>
                          <w:rPr>
                            <w:sz w:val="14"/>
                          </w:rPr>
                        </w:pPr>
                        <w:r>
                          <w:rPr>
                            <w:sz w:val="14"/>
                          </w:rPr>
                          <w:t>90.4</w:t>
                        </w:r>
                      </w:p>
                    </w:tc>
                    <w:tc>
                      <w:tcPr>
                        <w:tcW w:w="830" w:type="dxa"/>
                        <w:shd w:val="clear" w:color="auto" w:fill="F9FCF9"/>
                      </w:tcPr>
                      <w:p>
                        <w:pPr>
                          <w:pStyle w:val="TableParagraph"/>
                          <w:spacing w:line="132" w:lineRule="exact"/>
                          <w:ind w:left="19" w:right="5"/>
                          <w:rPr>
                            <w:sz w:val="14"/>
                          </w:rPr>
                        </w:pPr>
                        <w:r>
                          <w:rPr>
                            <w:sz w:val="14"/>
                          </w:rPr>
                          <w:t>90.4</w:t>
                        </w:r>
                      </w:p>
                    </w:tc>
                    <w:tc>
                      <w:tcPr>
                        <w:tcW w:w="898" w:type="dxa"/>
                        <w:shd w:val="clear" w:color="auto" w:fill="F9FCF9"/>
                      </w:tcPr>
                      <w:p>
                        <w:pPr>
                          <w:pStyle w:val="TableParagraph"/>
                          <w:spacing w:line="132" w:lineRule="exact"/>
                          <w:ind w:left="76" w:right="61"/>
                          <w:rPr>
                            <w:sz w:val="14"/>
                          </w:rPr>
                        </w:pPr>
                        <w:r>
                          <w:rPr>
                            <w:sz w:val="14"/>
                          </w:rPr>
                          <w:t>49.3</w:t>
                        </w:r>
                      </w:p>
                    </w:tc>
                    <w:tc>
                      <w:tcPr>
                        <w:tcW w:w="718" w:type="dxa"/>
                        <w:shd w:val="clear" w:color="auto" w:fill="F9FCF9"/>
                      </w:tcPr>
                      <w:p>
                        <w:pPr>
                          <w:pStyle w:val="TableParagraph"/>
                          <w:spacing w:line="132" w:lineRule="exact"/>
                          <w:ind w:left="36" w:right="21"/>
                          <w:rPr>
                            <w:sz w:val="14"/>
                          </w:rPr>
                        </w:pPr>
                        <w:r>
                          <w:rPr>
                            <w:sz w:val="14"/>
                          </w:rPr>
                          <w:t>90.4</w:t>
                        </w:r>
                      </w:p>
                    </w:tc>
                    <w:tc>
                      <w:tcPr>
                        <w:tcW w:w="622" w:type="dxa"/>
                        <w:shd w:val="clear" w:color="auto" w:fill="F9FCF9"/>
                      </w:tcPr>
                      <w:p>
                        <w:pPr>
                          <w:pStyle w:val="TableParagraph"/>
                          <w:spacing w:line="132" w:lineRule="exact"/>
                          <w:ind w:left="24" w:right="7"/>
                          <w:rPr>
                            <w:sz w:val="14"/>
                          </w:rPr>
                        </w:pPr>
                        <w:r>
                          <w:rPr>
                            <w:sz w:val="14"/>
                          </w:rPr>
                          <w:t>98.5</w:t>
                        </w:r>
                      </w:p>
                    </w:tc>
                    <w:tc>
                      <w:tcPr>
                        <w:tcW w:w="94" w:type="dxa"/>
                        <w:shd w:val="clear" w:color="auto" w:fill="F9FCF9"/>
                      </w:tcPr>
                      <w:p>
                        <w:pPr>
                          <w:pStyle w:val="TableParagraph"/>
                          <w:jc w:val="left"/>
                          <w:rPr>
                            <w:sz w:val="8"/>
                          </w:rPr>
                        </w:pPr>
                      </w:p>
                    </w:tc>
                    <w:tc>
                      <w:tcPr>
                        <w:tcW w:w="774" w:type="dxa"/>
                        <w:shd w:val="clear" w:color="auto" w:fill="F9FCF9"/>
                      </w:tcPr>
                      <w:p>
                        <w:pPr>
                          <w:pStyle w:val="TableParagraph"/>
                          <w:spacing w:line="132" w:lineRule="exact"/>
                          <w:ind w:left="65" w:right="47"/>
                          <w:rPr>
                            <w:sz w:val="14"/>
                          </w:rPr>
                        </w:pPr>
                        <w:r>
                          <w:rPr>
                            <w:sz w:val="14"/>
                          </w:rPr>
                          <w:t>90.4</w:t>
                        </w:r>
                      </w:p>
                    </w:tc>
                    <w:tc>
                      <w:tcPr>
                        <w:tcW w:w="682" w:type="dxa"/>
                        <w:shd w:val="clear" w:color="auto" w:fill="F9FCF9"/>
                      </w:tcPr>
                      <w:p>
                        <w:pPr>
                          <w:pStyle w:val="TableParagraph"/>
                          <w:spacing w:line="132" w:lineRule="exact"/>
                          <w:ind w:left="20" w:right="1"/>
                          <w:rPr>
                            <w:sz w:val="14"/>
                          </w:rPr>
                        </w:pPr>
                        <w:r>
                          <w:rPr>
                            <w:sz w:val="14"/>
                          </w:rPr>
                          <w:t>90.4</w:t>
                        </w:r>
                      </w:p>
                    </w:tc>
                    <w:tc>
                      <w:tcPr>
                        <w:tcW w:w="764" w:type="dxa"/>
                        <w:shd w:val="clear" w:color="auto" w:fill="F9FCF9"/>
                      </w:tcPr>
                      <w:p>
                        <w:pPr>
                          <w:pStyle w:val="TableParagraph"/>
                          <w:spacing w:line="132" w:lineRule="exact"/>
                          <w:ind w:left="264"/>
                          <w:jc w:val="left"/>
                          <w:rPr>
                            <w:sz w:val="14"/>
                          </w:rPr>
                        </w:pPr>
                        <w:r>
                          <w:rPr>
                            <w:sz w:val="14"/>
                          </w:rPr>
                          <w:t>98.5</w:t>
                        </w:r>
                      </w:p>
                    </w:tc>
                    <w:tc>
                      <w:tcPr>
                        <w:tcW w:w="1420" w:type="dxa"/>
                        <w:shd w:val="clear" w:color="auto" w:fill="F9FCF9"/>
                      </w:tcPr>
                      <w:p>
                        <w:pPr>
                          <w:pStyle w:val="TableParagraph"/>
                          <w:spacing w:line="132" w:lineRule="exact"/>
                          <w:ind w:left="92" w:right="70"/>
                          <w:rPr>
                            <w:sz w:val="14"/>
                          </w:rPr>
                        </w:pPr>
                        <w:r>
                          <w:rPr>
                            <w:sz w:val="14"/>
                          </w:rPr>
                          <w:t>98.5</w:t>
                        </w:r>
                      </w:p>
                    </w:tc>
                  </w:tr>
                  <w:tr>
                    <w:trPr>
                      <w:trHeight w:val="319" w:hRule="atLeast"/>
                    </w:trPr>
                    <w:tc>
                      <w:tcPr>
                        <w:tcW w:w="2334" w:type="dxa"/>
                        <w:shd w:val="clear" w:color="auto" w:fill="F9FCF9"/>
                      </w:tcPr>
                      <w:p>
                        <w:pPr>
                          <w:pStyle w:val="TableParagraph"/>
                          <w:spacing w:line="159" w:lineRule="exact"/>
                          <w:ind w:left="26"/>
                          <w:jc w:val="left"/>
                          <w:rPr>
                            <w:sz w:val="14"/>
                          </w:rPr>
                        </w:pPr>
                        <w:r>
                          <w:rPr>
                            <w:sz w:val="14"/>
                          </w:rPr>
                          <w:t>Feedstock cost (US$ per unit specified)</w:t>
                        </w:r>
                      </w:p>
                    </w:tc>
                    <w:tc>
                      <w:tcPr>
                        <w:tcW w:w="980" w:type="dxa"/>
                        <w:shd w:val="clear" w:color="auto" w:fill="F9FCF9"/>
                      </w:tcPr>
                      <w:p>
                        <w:pPr>
                          <w:pStyle w:val="TableParagraph"/>
                          <w:jc w:val="left"/>
                          <w:rPr>
                            <w:sz w:val="12"/>
                          </w:rPr>
                        </w:pPr>
                      </w:p>
                    </w:tc>
                    <w:tc>
                      <w:tcPr>
                        <w:tcW w:w="840" w:type="dxa"/>
                        <w:shd w:val="clear" w:color="auto" w:fill="F9FCF9"/>
                      </w:tcPr>
                      <w:p>
                        <w:pPr>
                          <w:pStyle w:val="TableParagraph"/>
                          <w:jc w:val="left"/>
                          <w:rPr>
                            <w:sz w:val="12"/>
                          </w:rPr>
                        </w:pPr>
                      </w:p>
                    </w:tc>
                    <w:tc>
                      <w:tcPr>
                        <w:tcW w:w="820" w:type="dxa"/>
                        <w:shd w:val="clear" w:color="auto" w:fill="F9FCF9"/>
                      </w:tcPr>
                      <w:p>
                        <w:pPr>
                          <w:pStyle w:val="TableParagraph"/>
                          <w:jc w:val="left"/>
                          <w:rPr>
                            <w:sz w:val="12"/>
                          </w:rPr>
                        </w:pPr>
                      </w:p>
                    </w:tc>
                    <w:tc>
                      <w:tcPr>
                        <w:tcW w:w="902" w:type="dxa"/>
                        <w:shd w:val="clear" w:color="auto" w:fill="F9FCF9"/>
                      </w:tcPr>
                      <w:p>
                        <w:pPr>
                          <w:pStyle w:val="TableParagraph"/>
                          <w:jc w:val="left"/>
                          <w:rPr>
                            <w:sz w:val="12"/>
                          </w:rPr>
                        </w:pPr>
                      </w:p>
                    </w:tc>
                    <w:tc>
                      <w:tcPr>
                        <w:tcW w:w="872" w:type="dxa"/>
                        <w:shd w:val="clear" w:color="auto" w:fill="F9FCF9"/>
                      </w:tcPr>
                      <w:p>
                        <w:pPr>
                          <w:pStyle w:val="TableParagraph"/>
                          <w:spacing w:line="159" w:lineRule="exact"/>
                          <w:ind w:left="40" w:right="27"/>
                          <w:rPr>
                            <w:sz w:val="8"/>
                          </w:rPr>
                        </w:pPr>
                        <w:r>
                          <w:rPr>
                            <w:sz w:val="14"/>
                          </w:rPr>
                          <w:t>US$3 GJ</w:t>
                        </w:r>
                        <w:r>
                          <w:rPr>
                            <w:position w:val="5"/>
                            <w:sz w:val="8"/>
                          </w:rPr>
                          <w:t>−1</w:t>
                        </w:r>
                      </w:p>
                      <w:p>
                        <w:pPr>
                          <w:pStyle w:val="TableParagraph"/>
                          <w:spacing w:line="134" w:lineRule="exact" w:before="7"/>
                          <w:ind w:left="40" w:right="25"/>
                          <w:rPr>
                            <w:sz w:val="14"/>
                          </w:rPr>
                        </w:pPr>
                        <w:r>
                          <w:rPr>
                            <w:sz w:val="14"/>
                          </w:rPr>
                          <w:t>LHV</w:t>
                        </w:r>
                      </w:p>
                    </w:tc>
                    <w:tc>
                      <w:tcPr>
                        <w:tcW w:w="830" w:type="dxa"/>
                        <w:shd w:val="clear" w:color="auto" w:fill="F9FCF9"/>
                      </w:tcPr>
                      <w:p>
                        <w:pPr>
                          <w:pStyle w:val="TableParagraph"/>
                          <w:spacing w:line="159" w:lineRule="exact"/>
                          <w:ind w:left="19" w:right="5"/>
                          <w:rPr>
                            <w:sz w:val="8"/>
                          </w:rPr>
                        </w:pPr>
                        <w:r>
                          <w:rPr>
                            <w:sz w:val="14"/>
                          </w:rPr>
                          <w:t>US$3 GJ</w:t>
                        </w:r>
                        <w:r>
                          <w:rPr>
                            <w:position w:val="5"/>
                            <w:sz w:val="8"/>
                          </w:rPr>
                          <w:t>−1</w:t>
                        </w:r>
                      </w:p>
                      <w:p>
                        <w:pPr>
                          <w:pStyle w:val="TableParagraph"/>
                          <w:spacing w:line="134" w:lineRule="exact" w:before="7"/>
                          <w:ind w:left="19" w:right="2"/>
                          <w:rPr>
                            <w:sz w:val="14"/>
                          </w:rPr>
                        </w:pPr>
                        <w:r>
                          <w:rPr>
                            <w:sz w:val="14"/>
                          </w:rPr>
                          <w:t>LHV</w:t>
                        </w:r>
                      </w:p>
                    </w:tc>
                    <w:tc>
                      <w:tcPr>
                        <w:tcW w:w="898" w:type="dxa"/>
                        <w:shd w:val="clear" w:color="auto" w:fill="F9FCF9"/>
                      </w:tcPr>
                      <w:p>
                        <w:pPr>
                          <w:pStyle w:val="TableParagraph"/>
                          <w:jc w:val="left"/>
                          <w:rPr>
                            <w:sz w:val="12"/>
                          </w:rPr>
                        </w:pPr>
                      </w:p>
                    </w:tc>
                    <w:tc>
                      <w:tcPr>
                        <w:tcW w:w="718" w:type="dxa"/>
                        <w:shd w:val="clear" w:color="auto" w:fill="F9FCF9"/>
                      </w:tcPr>
                      <w:p>
                        <w:pPr>
                          <w:pStyle w:val="TableParagraph"/>
                          <w:jc w:val="left"/>
                          <w:rPr>
                            <w:sz w:val="12"/>
                          </w:rPr>
                        </w:pPr>
                      </w:p>
                    </w:tc>
                    <w:tc>
                      <w:tcPr>
                        <w:tcW w:w="622" w:type="dxa"/>
                        <w:shd w:val="clear" w:color="auto" w:fill="F9FCF9"/>
                      </w:tcPr>
                      <w:p>
                        <w:pPr>
                          <w:pStyle w:val="TableParagraph"/>
                          <w:jc w:val="left"/>
                          <w:rPr>
                            <w:sz w:val="12"/>
                          </w:rPr>
                        </w:pPr>
                      </w:p>
                    </w:tc>
                    <w:tc>
                      <w:tcPr>
                        <w:tcW w:w="94" w:type="dxa"/>
                        <w:shd w:val="clear" w:color="auto" w:fill="F9FCF9"/>
                      </w:tcPr>
                      <w:p>
                        <w:pPr>
                          <w:pStyle w:val="TableParagraph"/>
                          <w:jc w:val="left"/>
                          <w:rPr>
                            <w:sz w:val="12"/>
                          </w:rPr>
                        </w:pPr>
                      </w:p>
                    </w:tc>
                    <w:tc>
                      <w:tcPr>
                        <w:tcW w:w="774" w:type="dxa"/>
                        <w:shd w:val="clear" w:color="auto" w:fill="F9FCF9"/>
                      </w:tcPr>
                      <w:p>
                        <w:pPr>
                          <w:pStyle w:val="TableParagraph"/>
                          <w:jc w:val="left"/>
                          <w:rPr>
                            <w:sz w:val="12"/>
                          </w:rPr>
                        </w:pPr>
                      </w:p>
                    </w:tc>
                    <w:tc>
                      <w:tcPr>
                        <w:tcW w:w="682" w:type="dxa"/>
                        <w:shd w:val="clear" w:color="auto" w:fill="F9FCF9"/>
                      </w:tcPr>
                      <w:p>
                        <w:pPr>
                          <w:pStyle w:val="TableParagraph"/>
                          <w:jc w:val="left"/>
                          <w:rPr>
                            <w:sz w:val="12"/>
                          </w:rPr>
                        </w:pPr>
                      </w:p>
                    </w:tc>
                    <w:tc>
                      <w:tcPr>
                        <w:tcW w:w="764" w:type="dxa"/>
                        <w:shd w:val="clear" w:color="auto" w:fill="F9FCF9"/>
                      </w:tcPr>
                      <w:p>
                        <w:pPr>
                          <w:pStyle w:val="TableParagraph"/>
                          <w:jc w:val="left"/>
                          <w:rPr>
                            <w:sz w:val="12"/>
                          </w:rPr>
                        </w:pPr>
                      </w:p>
                    </w:tc>
                    <w:tc>
                      <w:tcPr>
                        <w:tcW w:w="1420" w:type="dxa"/>
                        <w:shd w:val="clear" w:color="auto" w:fill="F9FCF9"/>
                      </w:tcPr>
                      <w:p>
                        <w:pPr>
                          <w:pStyle w:val="TableParagraph"/>
                          <w:jc w:val="left"/>
                          <w:rPr>
                            <w:sz w:val="12"/>
                          </w:rPr>
                        </w:pPr>
                      </w:p>
                    </w:tc>
                  </w:tr>
                  <w:tr>
                    <w:trPr>
                      <w:trHeight w:val="151" w:hRule="atLeast"/>
                    </w:trPr>
                    <w:tc>
                      <w:tcPr>
                        <w:tcW w:w="2334" w:type="dxa"/>
                        <w:shd w:val="clear" w:color="auto" w:fill="F9FCF9"/>
                      </w:tcPr>
                      <w:p>
                        <w:pPr>
                          <w:pStyle w:val="TableParagraph"/>
                          <w:spacing w:line="132" w:lineRule="exact"/>
                          <w:ind w:left="26"/>
                          <w:jc w:val="left"/>
                          <w:rPr>
                            <w:sz w:val="14"/>
                          </w:rPr>
                        </w:pPr>
                        <w:r>
                          <w:rPr>
                            <w:sz w:val="14"/>
                          </w:rPr>
                          <w:t>Ref. plant emission rate (kgCO MWh</w:t>
                        </w:r>
                        <w:r>
                          <w:rPr>
                            <w:position w:val="5"/>
                            <w:sz w:val="8"/>
                          </w:rPr>
                          <w:t>−1</w:t>
                        </w:r>
                        <w:r>
                          <w:rPr>
                            <w:sz w:val="14"/>
                          </w:rPr>
                          <w:t>)</w:t>
                        </w:r>
                      </w:p>
                    </w:tc>
                    <w:tc>
                      <w:tcPr>
                        <w:tcW w:w="980" w:type="dxa"/>
                        <w:shd w:val="clear" w:color="auto" w:fill="F9FCF9"/>
                      </w:tcPr>
                      <w:p>
                        <w:pPr>
                          <w:pStyle w:val="TableParagraph"/>
                          <w:jc w:val="left"/>
                          <w:rPr>
                            <w:sz w:val="8"/>
                          </w:rPr>
                        </w:pPr>
                      </w:p>
                    </w:tc>
                    <w:tc>
                      <w:tcPr>
                        <w:tcW w:w="840" w:type="dxa"/>
                        <w:shd w:val="clear" w:color="auto" w:fill="F9FCF9"/>
                      </w:tcPr>
                      <w:p>
                        <w:pPr>
                          <w:pStyle w:val="TableParagraph"/>
                          <w:jc w:val="left"/>
                          <w:rPr>
                            <w:sz w:val="8"/>
                          </w:rPr>
                        </w:pPr>
                      </w:p>
                    </w:tc>
                    <w:tc>
                      <w:tcPr>
                        <w:tcW w:w="820" w:type="dxa"/>
                        <w:shd w:val="clear" w:color="auto" w:fill="F9FCF9"/>
                      </w:tcPr>
                      <w:p>
                        <w:pPr>
                          <w:pStyle w:val="TableParagraph"/>
                          <w:jc w:val="left"/>
                          <w:rPr>
                            <w:sz w:val="8"/>
                          </w:rPr>
                        </w:pPr>
                      </w:p>
                    </w:tc>
                    <w:tc>
                      <w:tcPr>
                        <w:tcW w:w="902" w:type="dxa"/>
                        <w:shd w:val="clear" w:color="auto" w:fill="F9FCF9"/>
                      </w:tcPr>
                      <w:p>
                        <w:pPr>
                          <w:pStyle w:val="TableParagraph"/>
                          <w:jc w:val="left"/>
                          <w:rPr>
                            <w:sz w:val="8"/>
                          </w:rPr>
                        </w:pPr>
                      </w:p>
                    </w:tc>
                    <w:tc>
                      <w:tcPr>
                        <w:tcW w:w="872" w:type="dxa"/>
                        <w:shd w:val="clear" w:color="auto" w:fill="F9FCF9"/>
                      </w:tcPr>
                      <w:p>
                        <w:pPr>
                          <w:pStyle w:val="TableParagraph"/>
                          <w:jc w:val="left"/>
                          <w:rPr>
                            <w:sz w:val="8"/>
                          </w:rPr>
                        </w:pPr>
                      </w:p>
                    </w:tc>
                    <w:tc>
                      <w:tcPr>
                        <w:tcW w:w="830" w:type="dxa"/>
                        <w:shd w:val="clear" w:color="auto" w:fill="F9FCF9"/>
                      </w:tcPr>
                      <w:p>
                        <w:pPr>
                          <w:pStyle w:val="TableParagraph"/>
                          <w:jc w:val="left"/>
                          <w:rPr>
                            <w:sz w:val="8"/>
                          </w:rPr>
                        </w:pPr>
                      </w:p>
                    </w:tc>
                    <w:tc>
                      <w:tcPr>
                        <w:tcW w:w="898" w:type="dxa"/>
                        <w:shd w:val="clear" w:color="auto" w:fill="F9FCF9"/>
                      </w:tcPr>
                      <w:p>
                        <w:pPr>
                          <w:pStyle w:val="TableParagraph"/>
                          <w:jc w:val="left"/>
                          <w:rPr>
                            <w:sz w:val="8"/>
                          </w:rPr>
                        </w:pPr>
                      </w:p>
                    </w:tc>
                    <w:tc>
                      <w:tcPr>
                        <w:tcW w:w="718" w:type="dxa"/>
                        <w:shd w:val="clear" w:color="auto" w:fill="F9FCF9"/>
                      </w:tcPr>
                      <w:p>
                        <w:pPr>
                          <w:pStyle w:val="TableParagraph"/>
                          <w:spacing w:line="132" w:lineRule="exact"/>
                          <w:ind w:left="36" w:right="21"/>
                          <w:rPr>
                            <w:sz w:val="14"/>
                          </w:rPr>
                        </w:pPr>
                        <w:r>
                          <w:rPr>
                            <w:sz w:val="14"/>
                          </w:rPr>
                          <w:t>0.22</w:t>
                        </w:r>
                      </w:p>
                    </w:tc>
                    <w:tc>
                      <w:tcPr>
                        <w:tcW w:w="622" w:type="dxa"/>
                        <w:shd w:val="clear" w:color="auto" w:fill="F9FCF9"/>
                      </w:tcPr>
                      <w:p>
                        <w:pPr>
                          <w:pStyle w:val="TableParagraph"/>
                          <w:spacing w:line="132" w:lineRule="exact"/>
                          <w:ind w:left="24" w:right="7"/>
                          <w:rPr>
                            <w:sz w:val="14"/>
                          </w:rPr>
                        </w:pPr>
                        <w:r>
                          <w:rPr>
                            <w:sz w:val="14"/>
                          </w:rPr>
                          <w:t>0.82</w:t>
                        </w:r>
                      </w:p>
                    </w:tc>
                    <w:tc>
                      <w:tcPr>
                        <w:tcW w:w="94" w:type="dxa"/>
                        <w:shd w:val="clear" w:color="auto" w:fill="F9FCF9"/>
                      </w:tcPr>
                      <w:p>
                        <w:pPr>
                          <w:pStyle w:val="TableParagraph"/>
                          <w:jc w:val="left"/>
                          <w:rPr>
                            <w:sz w:val="8"/>
                          </w:rPr>
                        </w:pPr>
                      </w:p>
                    </w:tc>
                    <w:tc>
                      <w:tcPr>
                        <w:tcW w:w="774" w:type="dxa"/>
                        <w:shd w:val="clear" w:color="auto" w:fill="F9FCF9"/>
                      </w:tcPr>
                      <w:p>
                        <w:pPr>
                          <w:pStyle w:val="TableParagraph"/>
                          <w:spacing w:line="132" w:lineRule="exact"/>
                          <w:ind w:left="65" w:right="47"/>
                          <w:rPr>
                            <w:sz w:val="14"/>
                          </w:rPr>
                        </w:pPr>
                        <w:r>
                          <w:rPr>
                            <w:sz w:val="14"/>
                          </w:rPr>
                          <w:t>0.22</w:t>
                        </w:r>
                      </w:p>
                    </w:tc>
                    <w:tc>
                      <w:tcPr>
                        <w:tcW w:w="682" w:type="dxa"/>
                        <w:shd w:val="clear" w:color="auto" w:fill="F9FCF9"/>
                      </w:tcPr>
                      <w:p>
                        <w:pPr>
                          <w:pStyle w:val="TableParagraph"/>
                          <w:spacing w:line="132" w:lineRule="exact"/>
                          <w:ind w:left="20" w:right="1"/>
                          <w:rPr>
                            <w:sz w:val="14"/>
                          </w:rPr>
                        </w:pPr>
                        <w:r>
                          <w:rPr>
                            <w:sz w:val="14"/>
                          </w:rPr>
                          <w:t>0.22</w:t>
                        </w:r>
                      </w:p>
                    </w:tc>
                    <w:tc>
                      <w:tcPr>
                        <w:tcW w:w="764" w:type="dxa"/>
                        <w:shd w:val="clear" w:color="auto" w:fill="F9FCF9"/>
                      </w:tcPr>
                      <w:p>
                        <w:pPr>
                          <w:pStyle w:val="TableParagraph"/>
                          <w:spacing w:line="132" w:lineRule="exact"/>
                          <w:ind w:left="264"/>
                          <w:jc w:val="left"/>
                          <w:rPr>
                            <w:sz w:val="14"/>
                          </w:rPr>
                        </w:pPr>
                        <w:r>
                          <w:rPr>
                            <w:sz w:val="14"/>
                          </w:rPr>
                          <w:t>0.82</w:t>
                        </w:r>
                      </w:p>
                    </w:tc>
                    <w:tc>
                      <w:tcPr>
                        <w:tcW w:w="1420" w:type="dxa"/>
                        <w:shd w:val="clear" w:color="auto" w:fill="F9FCF9"/>
                      </w:tcPr>
                      <w:p>
                        <w:pPr>
                          <w:pStyle w:val="TableParagraph"/>
                          <w:spacing w:line="132" w:lineRule="exact"/>
                          <w:ind w:left="92" w:right="70"/>
                          <w:rPr>
                            <w:sz w:val="14"/>
                          </w:rPr>
                        </w:pPr>
                        <w:r>
                          <w:rPr>
                            <w:sz w:val="14"/>
                          </w:rPr>
                          <w:t>0.82</w:t>
                        </w:r>
                      </w:p>
                    </w:tc>
                  </w:tr>
                  <w:tr>
                    <w:trPr>
                      <w:trHeight w:val="151" w:hRule="atLeast"/>
                    </w:trPr>
                    <w:tc>
                      <w:tcPr>
                        <w:tcW w:w="2334" w:type="dxa"/>
                        <w:shd w:val="clear" w:color="auto" w:fill="F9FCF9"/>
                      </w:tcPr>
                      <w:p>
                        <w:pPr>
                          <w:pStyle w:val="TableParagraph"/>
                          <w:spacing w:line="132" w:lineRule="exact"/>
                          <w:ind w:left="166"/>
                          <w:jc w:val="left"/>
                          <w:rPr>
                            <w:b/>
                            <w:i/>
                            <w:sz w:val="14"/>
                          </w:rPr>
                        </w:pPr>
                        <w:r>
                          <w:rPr>
                            <w:b/>
                            <w:i/>
                            <w:sz w:val="14"/>
                          </w:rPr>
                          <w:t>Capture Plant Design</w:t>
                        </w:r>
                      </w:p>
                    </w:tc>
                    <w:tc>
                      <w:tcPr>
                        <w:tcW w:w="980" w:type="dxa"/>
                        <w:shd w:val="clear" w:color="auto" w:fill="F9FCF9"/>
                      </w:tcPr>
                      <w:p>
                        <w:pPr>
                          <w:pStyle w:val="TableParagraph"/>
                          <w:jc w:val="left"/>
                          <w:rPr>
                            <w:sz w:val="8"/>
                          </w:rPr>
                        </w:pPr>
                      </w:p>
                    </w:tc>
                    <w:tc>
                      <w:tcPr>
                        <w:tcW w:w="840" w:type="dxa"/>
                        <w:shd w:val="clear" w:color="auto" w:fill="F9FCF9"/>
                      </w:tcPr>
                      <w:p>
                        <w:pPr>
                          <w:pStyle w:val="TableParagraph"/>
                          <w:jc w:val="left"/>
                          <w:rPr>
                            <w:sz w:val="8"/>
                          </w:rPr>
                        </w:pPr>
                      </w:p>
                    </w:tc>
                    <w:tc>
                      <w:tcPr>
                        <w:tcW w:w="820" w:type="dxa"/>
                        <w:shd w:val="clear" w:color="auto" w:fill="F9FCF9"/>
                      </w:tcPr>
                      <w:p>
                        <w:pPr>
                          <w:pStyle w:val="TableParagraph"/>
                          <w:jc w:val="left"/>
                          <w:rPr>
                            <w:sz w:val="8"/>
                          </w:rPr>
                        </w:pPr>
                      </w:p>
                    </w:tc>
                    <w:tc>
                      <w:tcPr>
                        <w:tcW w:w="902" w:type="dxa"/>
                        <w:shd w:val="clear" w:color="auto" w:fill="F9FCF9"/>
                      </w:tcPr>
                      <w:p>
                        <w:pPr>
                          <w:pStyle w:val="TableParagraph"/>
                          <w:jc w:val="left"/>
                          <w:rPr>
                            <w:sz w:val="8"/>
                          </w:rPr>
                        </w:pPr>
                      </w:p>
                    </w:tc>
                    <w:tc>
                      <w:tcPr>
                        <w:tcW w:w="872" w:type="dxa"/>
                        <w:shd w:val="clear" w:color="auto" w:fill="F9FCF9"/>
                      </w:tcPr>
                      <w:p>
                        <w:pPr>
                          <w:pStyle w:val="TableParagraph"/>
                          <w:jc w:val="left"/>
                          <w:rPr>
                            <w:sz w:val="8"/>
                          </w:rPr>
                        </w:pPr>
                      </w:p>
                    </w:tc>
                    <w:tc>
                      <w:tcPr>
                        <w:tcW w:w="830" w:type="dxa"/>
                        <w:shd w:val="clear" w:color="auto" w:fill="F9FCF9"/>
                      </w:tcPr>
                      <w:p>
                        <w:pPr>
                          <w:pStyle w:val="TableParagraph"/>
                          <w:jc w:val="left"/>
                          <w:rPr>
                            <w:sz w:val="8"/>
                          </w:rPr>
                        </w:pPr>
                      </w:p>
                    </w:tc>
                    <w:tc>
                      <w:tcPr>
                        <w:tcW w:w="898" w:type="dxa"/>
                        <w:shd w:val="clear" w:color="auto" w:fill="F9FCF9"/>
                      </w:tcPr>
                      <w:p>
                        <w:pPr>
                          <w:pStyle w:val="TableParagraph"/>
                          <w:jc w:val="left"/>
                          <w:rPr>
                            <w:sz w:val="8"/>
                          </w:rPr>
                        </w:pPr>
                      </w:p>
                    </w:tc>
                    <w:tc>
                      <w:tcPr>
                        <w:tcW w:w="718" w:type="dxa"/>
                        <w:shd w:val="clear" w:color="auto" w:fill="F9FCF9"/>
                      </w:tcPr>
                      <w:p>
                        <w:pPr>
                          <w:pStyle w:val="TableParagraph"/>
                          <w:jc w:val="left"/>
                          <w:rPr>
                            <w:sz w:val="8"/>
                          </w:rPr>
                        </w:pPr>
                      </w:p>
                    </w:tc>
                    <w:tc>
                      <w:tcPr>
                        <w:tcW w:w="622" w:type="dxa"/>
                        <w:shd w:val="clear" w:color="auto" w:fill="F9FCF9"/>
                      </w:tcPr>
                      <w:p>
                        <w:pPr>
                          <w:pStyle w:val="TableParagraph"/>
                          <w:jc w:val="left"/>
                          <w:rPr>
                            <w:sz w:val="8"/>
                          </w:rPr>
                        </w:pPr>
                      </w:p>
                    </w:tc>
                    <w:tc>
                      <w:tcPr>
                        <w:tcW w:w="94" w:type="dxa"/>
                        <w:shd w:val="clear" w:color="auto" w:fill="F9FCF9"/>
                      </w:tcPr>
                      <w:p>
                        <w:pPr>
                          <w:pStyle w:val="TableParagraph"/>
                          <w:jc w:val="left"/>
                          <w:rPr>
                            <w:sz w:val="8"/>
                          </w:rPr>
                        </w:pPr>
                      </w:p>
                    </w:tc>
                    <w:tc>
                      <w:tcPr>
                        <w:tcW w:w="774" w:type="dxa"/>
                        <w:shd w:val="clear" w:color="auto" w:fill="F9FCF9"/>
                      </w:tcPr>
                      <w:p>
                        <w:pPr>
                          <w:pStyle w:val="TableParagraph"/>
                          <w:jc w:val="left"/>
                          <w:rPr>
                            <w:sz w:val="8"/>
                          </w:rPr>
                        </w:pPr>
                      </w:p>
                    </w:tc>
                    <w:tc>
                      <w:tcPr>
                        <w:tcW w:w="682" w:type="dxa"/>
                        <w:shd w:val="clear" w:color="auto" w:fill="F9FCF9"/>
                      </w:tcPr>
                      <w:p>
                        <w:pPr>
                          <w:pStyle w:val="TableParagraph"/>
                          <w:jc w:val="left"/>
                          <w:rPr>
                            <w:sz w:val="8"/>
                          </w:rPr>
                        </w:pPr>
                      </w:p>
                    </w:tc>
                    <w:tc>
                      <w:tcPr>
                        <w:tcW w:w="764" w:type="dxa"/>
                        <w:shd w:val="clear" w:color="auto" w:fill="F9FCF9"/>
                      </w:tcPr>
                      <w:p>
                        <w:pPr>
                          <w:pStyle w:val="TableParagraph"/>
                          <w:jc w:val="left"/>
                          <w:rPr>
                            <w:sz w:val="8"/>
                          </w:rPr>
                        </w:pPr>
                      </w:p>
                    </w:tc>
                    <w:tc>
                      <w:tcPr>
                        <w:tcW w:w="1420" w:type="dxa"/>
                        <w:shd w:val="clear" w:color="auto" w:fill="F9FCF9"/>
                      </w:tcPr>
                      <w:p>
                        <w:pPr>
                          <w:pStyle w:val="TableParagraph"/>
                          <w:jc w:val="left"/>
                          <w:rPr>
                            <w:sz w:val="8"/>
                          </w:rPr>
                        </w:pPr>
                      </w:p>
                    </w:tc>
                  </w:tr>
                  <w:tr>
                    <w:trPr>
                      <w:trHeight w:val="319" w:hRule="atLeast"/>
                    </w:trPr>
                    <w:tc>
                      <w:tcPr>
                        <w:tcW w:w="2334" w:type="dxa"/>
                        <w:shd w:val="clear" w:color="auto" w:fill="F9FCF9"/>
                      </w:tcPr>
                      <w:p>
                        <w:pPr>
                          <w:pStyle w:val="TableParagraph"/>
                          <w:spacing w:line="235" w:lineRule="auto"/>
                          <w:ind w:left="26"/>
                          <w:jc w:val="left"/>
                          <w:rPr>
                            <w:sz w:val="14"/>
                          </w:rPr>
                        </w:pPr>
                        <w:r>
                          <w:rPr>
                            <w:sz w:val="14"/>
                          </w:rPr>
                          <w:t>CO</w:t>
                        </w:r>
                        <w:r>
                          <w:rPr>
                            <w:position w:val="-4"/>
                            <w:sz w:val="8"/>
                          </w:rPr>
                          <w:t>2 </w:t>
                        </w:r>
                        <w:r>
                          <w:rPr>
                            <w:sz w:val="14"/>
                          </w:rPr>
                          <w:t>capture/separation technology</w:t>
                        </w:r>
                      </w:p>
                    </w:tc>
                    <w:tc>
                      <w:tcPr>
                        <w:tcW w:w="980" w:type="dxa"/>
                        <w:shd w:val="clear" w:color="auto" w:fill="F9FCF9"/>
                      </w:tcPr>
                      <w:p>
                        <w:pPr>
                          <w:pStyle w:val="TableParagraph"/>
                          <w:spacing w:line="159" w:lineRule="exact"/>
                          <w:ind w:left="33" w:right="14"/>
                          <w:rPr>
                            <w:sz w:val="14"/>
                          </w:rPr>
                        </w:pPr>
                        <w:r>
                          <w:rPr>
                            <w:sz w:val="14"/>
                          </w:rPr>
                          <w:t>MDEA</w:t>
                        </w:r>
                      </w:p>
                    </w:tc>
                    <w:tc>
                      <w:tcPr>
                        <w:tcW w:w="840" w:type="dxa"/>
                        <w:shd w:val="clear" w:color="auto" w:fill="F9FCF9"/>
                      </w:tcPr>
                      <w:p>
                        <w:pPr>
                          <w:pStyle w:val="TableParagraph"/>
                          <w:spacing w:line="159" w:lineRule="exact"/>
                          <w:ind w:left="73" w:right="54"/>
                          <w:rPr>
                            <w:sz w:val="14"/>
                          </w:rPr>
                        </w:pPr>
                        <w:r>
                          <w:rPr>
                            <w:sz w:val="14"/>
                          </w:rPr>
                          <w:t>MEA</w:t>
                        </w:r>
                      </w:p>
                    </w:tc>
                    <w:tc>
                      <w:tcPr>
                        <w:tcW w:w="820" w:type="dxa"/>
                        <w:shd w:val="clear" w:color="auto" w:fill="F9FCF9"/>
                      </w:tcPr>
                      <w:p>
                        <w:pPr>
                          <w:pStyle w:val="TableParagraph"/>
                          <w:spacing w:line="159" w:lineRule="exact"/>
                          <w:ind w:left="62" w:right="51"/>
                          <w:rPr>
                            <w:sz w:val="14"/>
                          </w:rPr>
                        </w:pPr>
                        <w:r>
                          <w:rPr>
                            <w:sz w:val="14"/>
                          </w:rPr>
                          <w:t>Pre-</w:t>
                        </w:r>
                      </w:p>
                      <w:p>
                        <w:pPr>
                          <w:pStyle w:val="TableParagraph"/>
                          <w:spacing w:line="134" w:lineRule="exact" w:before="7"/>
                          <w:ind w:left="63" w:right="51"/>
                          <w:rPr>
                            <w:sz w:val="14"/>
                          </w:rPr>
                        </w:pPr>
                        <w:r>
                          <w:rPr>
                            <w:sz w:val="14"/>
                          </w:rPr>
                          <w:t>combustion</w:t>
                        </w:r>
                      </w:p>
                    </w:tc>
                    <w:tc>
                      <w:tcPr>
                        <w:tcW w:w="902" w:type="dxa"/>
                        <w:shd w:val="clear" w:color="auto" w:fill="F9FCF9"/>
                      </w:tcPr>
                      <w:p>
                        <w:pPr>
                          <w:pStyle w:val="TableParagraph"/>
                          <w:spacing w:line="159" w:lineRule="exact"/>
                          <w:ind w:left="62" w:right="50"/>
                          <w:rPr>
                            <w:sz w:val="14"/>
                          </w:rPr>
                        </w:pPr>
                        <w:r>
                          <w:rPr>
                            <w:sz w:val="14"/>
                          </w:rPr>
                          <w:t>Compression</w:t>
                        </w:r>
                      </w:p>
                      <w:p>
                        <w:pPr>
                          <w:pStyle w:val="TableParagraph"/>
                          <w:spacing w:line="134" w:lineRule="exact" w:before="7"/>
                          <w:ind w:left="62" w:right="50"/>
                          <w:rPr>
                            <w:sz w:val="14"/>
                          </w:rPr>
                        </w:pPr>
                        <w:r>
                          <w:rPr>
                            <w:sz w:val="14"/>
                          </w:rPr>
                          <w:t>only</w:t>
                        </w:r>
                      </w:p>
                    </w:tc>
                    <w:tc>
                      <w:tcPr>
                        <w:tcW w:w="872" w:type="dxa"/>
                        <w:shd w:val="clear" w:color="auto" w:fill="F9FCF9"/>
                      </w:tcPr>
                      <w:p>
                        <w:pPr>
                          <w:pStyle w:val="TableParagraph"/>
                          <w:spacing w:line="159" w:lineRule="exact"/>
                          <w:ind w:left="40" w:right="27"/>
                          <w:rPr>
                            <w:sz w:val="14"/>
                          </w:rPr>
                        </w:pPr>
                        <w:r>
                          <w:rPr>
                            <w:sz w:val="14"/>
                          </w:rPr>
                          <w:t>Amine</w:t>
                        </w:r>
                      </w:p>
                    </w:tc>
                    <w:tc>
                      <w:tcPr>
                        <w:tcW w:w="830" w:type="dxa"/>
                        <w:shd w:val="clear" w:color="auto" w:fill="F9FCF9"/>
                      </w:tcPr>
                      <w:p>
                        <w:pPr>
                          <w:pStyle w:val="TableParagraph"/>
                          <w:spacing w:line="159" w:lineRule="exact"/>
                          <w:ind w:left="180"/>
                          <w:jc w:val="left"/>
                          <w:rPr>
                            <w:sz w:val="14"/>
                          </w:rPr>
                        </w:pPr>
                        <w:r>
                          <w:rPr>
                            <w:sz w:val="14"/>
                          </w:rPr>
                          <w:t>Physical</w:t>
                        </w:r>
                      </w:p>
                      <w:p>
                        <w:pPr>
                          <w:pStyle w:val="TableParagraph"/>
                          <w:spacing w:line="134" w:lineRule="exact" w:before="7"/>
                          <w:ind w:left="215"/>
                          <w:jc w:val="left"/>
                          <w:rPr>
                            <w:sz w:val="14"/>
                          </w:rPr>
                        </w:pPr>
                        <w:r>
                          <w:rPr>
                            <w:sz w:val="14"/>
                          </w:rPr>
                          <w:t>solvent</w:t>
                        </w:r>
                      </w:p>
                    </w:tc>
                    <w:tc>
                      <w:tcPr>
                        <w:tcW w:w="898" w:type="dxa"/>
                        <w:shd w:val="clear" w:color="auto" w:fill="F9FCF9"/>
                      </w:tcPr>
                      <w:p>
                        <w:pPr>
                          <w:pStyle w:val="TableParagraph"/>
                          <w:jc w:val="left"/>
                          <w:rPr>
                            <w:sz w:val="12"/>
                          </w:rPr>
                        </w:pPr>
                      </w:p>
                    </w:tc>
                    <w:tc>
                      <w:tcPr>
                        <w:tcW w:w="718" w:type="dxa"/>
                        <w:shd w:val="clear" w:color="auto" w:fill="F9FCF9"/>
                      </w:tcPr>
                      <w:p>
                        <w:pPr>
                          <w:pStyle w:val="TableParagraph"/>
                          <w:jc w:val="left"/>
                          <w:rPr>
                            <w:sz w:val="12"/>
                          </w:rPr>
                        </w:pPr>
                      </w:p>
                    </w:tc>
                    <w:tc>
                      <w:tcPr>
                        <w:tcW w:w="622" w:type="dxa"/>
                        <w:shd w:val="clear" w:color="auto" w:fill="F9FCF9"/>
                      </w:tcPr>
                      <w:p>
                        <w:pPr>
                          <w:pStyle w:val="TableParagraph"/>
                          <w:jc w:val="left"/>
                          <w:rPr>
                            <w:sz w:val="12"/>
                          </w:rPr>
                        </w:pPr>
                      </w:p>
                    </w:tc>
                    <w:tc>
                      <w:tcPr>
                        <w:tcW w:w="94" w:type="dxa"/>
                        <w:shd w:val="clear" w:color="auto" w:fill="F9FCF9"/>
                      </w:tcPr>
                      <w:p>
                        <w:pPr>
                          <w:pStyle w:val="TableParagraph"/>
                          <w:jc w:val="left"/>
                          <w:rPr>
                            <w:sz w:val="12"/>
                          </w:rPr>
                        </w:pPr>
                      </w:p>
                    </w:tc>
                    <w:tc>
                      <w:tcPr>
                        <w:tcW w:w="774" w:type="dxa"/>
                        <w:shd w:val="clear" w:color="auto" w:fill="F9FCF9"/>
                      </w:tcPr>
                      <w:p>
                        <w:pPr>
                          <w:pStyle w:val="TableParagraph"/>
                          <w:jc w:val="left"/>
                          <w:rPr>
                            <w:sz w:val="12"/>
                          </w:rPr>
                        </w:pPr>
                      </w:p>
                    </w:tc>
                    <w:tc>
                      <w:tcPr>
                        <w:tcW w:w="682" w:type="dxa"/>
                        <w:shd w:val="clear" w:color="auto" w:fill="F9FCF9"/>
                      </w:tcPr>
                      <w:p>
                        <w:pPr>
                          <w:pStyle w:val="TableParagraph"/>
                          <w:jc w:val="left"/>
                          <w:rPr>
                            <w:sz w:val="12"/>
                          </w:rPr>
                        </w:pPr>
                      </w:p>
                    </w:tc>
                    <w:tc>
                      <w:tcPr>
                        <w:tcW w:w="764" w:type="dxa"/>
                        <w:shd w:val="clear" w:color="auto" w:fill="F9FCF9"/>
                      </w:tcPr>
                      <w:p>
                        <w:pPr>
                          <w:pStyle w:val="TableParagraph"/>
                          <w:jc w:val="left"/>
                          <w:rPr>
                            <w:sz w:val="12"/>
                          </w:rPr>
                        </w:pPr>
                      </w:p>
                    </w:tc>
                    <w:tc>
                      <w:tcPr>
                        <w:tcW w:w="1420" w:type="dxa"/>
                        <w:shd w:val="clear" w:color="auto" w:fill="F9FCF9"/>
                      </w:tcPr>
                      <w:p>
                        <w:pPr>
                          <w:pStyle w:val="TableParagraph"/>
                          <w:jc w:val="left"/>
                          <w:rPr>
                            <w:sz w:val="12"/>
                          </w:rPr>
                        </w:pPr>
                      </w:p>
                    </w:tc>
                  </w:tr>
                  <w:tr>
                    <w:trPr>
                      <w:trHeight w:val="655" w:hRule="atLeast"/>
                    </w:trPr>
                    <w:tc>
                      <w:tcPr>
                        <w:tcW w:w="2334" w:type="dxa"/>
                        <w:shd w:val="clear" w:color="auto" w:fill="F9FCF9"/>
                      </w:tcPr>
                      <w:p>
                        <w:pPr>
                          <w:pStyle w:val="TableParagraph"/>
                          <w:spacing w:line="235" w:lineRule="auto"/>
                          <w:ind w:left="26"/>
                          <w:jc w:val="left"/>
                          <w:rPr>
                            <w:sz w:val="14"/>
                          </w:rPr>
                        </w:pPr>
                        <w:r>
                          <w:rPr>
                            <w:sz w:val="14"/>
                          </w:rPr>
                          <w:t>Location of CO</w:t>
                        </w:r>
                        <w:r>
                          <w:rPr>
                            <w:position w:val="-4"/>
                            <w:sz w:val="8"/>
                          </w:rPr>
                          <w:t>2 </w:t>
                        </w:r>
                        <w:r>
                          <w:rPr>
                            <w:sz w:val="14"/>
                          </w:rPr>
                          <w:t>capture</w:t>
                        </w:r>
                      </w:p>
                    </w:tc>
                    <w:tc>
                      <w:tcPr>
                        <w:tcW w:w="980" w:type="dxa"/>
                        <w:shd w:val="clear" w:color="auto" w:fill="F9FCF9"/>
                      </w:tcPr>
                      <w:p>
                        <w:pPr>
                          <w:pStyle w:val="TableParagraph"/>
                          <w:spacing w:line="249" w:lineRule="auto"/>
                          <w:ind w:left="397" w:right="88" w:hanging="278"/>
                          <w:jc w:val="left"/>
                          <w:rPr>
                            <w:sz w:val="14"/>
                          </w:rPr>
                        </w:pPr>
                        <w:r>
                          <w:rPr>
                            <w:sz w:val="14"/>
                          </w:rPr>
                          <w:t>Blast furnace gas</w:t>
                        </w:r>
                      </w:p>
                    </w:tc>
                    <w:tc>
                      <w:tcPr>
                        <w:tcW w:w="840" w:type="dxa"/>
                        <w:shd w:val="clear" w:color="auto" w:fill="F9FCF9"/>
                      </w:tcPr>
                      <w:p>
                        <w:pPr>
                          <w:pStyle w:val="TableParagraph"/>
                          <w:spacing w:line="249" w:lineRule="auto"/>
                          <w:ind w:left="74" w:right="26" w:hanging="17"/>
                          <w:jc w:val="left"/>
                          <w:rPr>
                            <w:sz w:val="14"/>
                          </w:rPr>
                        </w:pPr>
                        <w:r>
                          <w:rPr>
                            <w:sz w:val="14"/>
                          </w:rPr>
                          <w:t>Fired heaters and H</w:t>
                        </w:r>
                        <w:r>
                          <w:rPr>
                            <w:position w:val="-4"/>
                            <w:sz w:val="8"/>
                          </w:rPr>
                          <w:t>2 </w:t>
                        </w:r>
                        <w:r>
                          <w:rPr>
                            <w:sz w:val="14"/>
                          </w:rPr>
                          <w:t>plant</w:t>
                        </w:r>
                      </w:p>
                    </w:tc>
                    <w:tc>
                      <w:tcPr>
                        <w:tcW w:w="820" w:type="dxa"/>
                        <w:shd w:val="clear" w:color="auto" w:fill="F9FCF9"/>
                      </w:tcPr>
                      <w:p>
                        <w:pPr>
                          <w:pStyle w:val="TableParagraph"/>
                          <w:spacing w:line="249" w:lineRule="auto"/>
                          <w:ind w:left="64" w:right="16" w:hanging="17"/>
                          <w:jc w:val="left"/>
                          <w:rPr>
                            <w:sz w:val="14"/>
                          </w:rPr>
                        </w:pPr>
                        <w:r>
                          <w:rPr>
                            <w:sz w:val="14"/>
                          </w:rPr>
                          <w:t>Fired heaters and H</w:t>
                        </w:r>
                        <w:r>
                          <w:rPr>
                            <w:position w:val="-4"/>
                            <w:sz w:val="8"/>
                          </w:rPr>
                          <w:t>2 </w:t>
                        </w:r>
                        <w:r>
                          <w:rPr>
                            <w:sz w:val="14"/>
                          </w:rPr>
                          <w:t>plant</w:t>
                        </w:r>
                      </w:p>
                    </w:tc>
                    <w:tc>
                      <w:tcPr>
                        <w:tcW w:w="902" w:type="dxa"/>
                        <w:shd w:val="clear" w:color="auto" w:fill="F9FCF9"/>
                      </w:tcPr>
                      <w:p>
                        <w:pPr>
                          <w:pStyle w:val="TableParagraph"/>
                          <w:jc w:val="left"/>
                          <w:rPr>
                            <w:sz w:val="12"/>
                          </w:rPr>
                        </w:pPr>
                      </w:p>
                    </w:tc>
                    <w:tc>
                      <w:tcPr>
                        <w:tcW w:w="872" w:type="dxa"/>
                        <w:shd w:val="clear" w:color="auto" w:fill="F9FCF9"/>
                      </w:tcPr>
                      <w:p>
                        <w:pPr>
                          <w:pStyle w:val="TableParagraph"/>
                          <w:spacing w:line="159" w:lineRule="exact"/>
                          <w:ind w:left="40" w:right="27"/>
                          <w:rPr>
                            <w:sz w:val="14"/>
                          </w:rPr>
                        </w:pPr>
                        <w:r>
                          <w:rPr>
                            <w:sz w:val="14"/>
                          </w:rPr>
                          <w:t>Boiler</w:t>
                        </w:r>
                      </w:p>
                    </w:tc>
                    <w:tc>
                      <w:tcPr>
                        <w:tcW w:w="830" w:type="dxa"/>
                        <w:shd w:val="clear" w:color="auto" w:fill="F9FCF9"/>
                      </w:tcPr>
                      <w:p>
                        <w:pPr>
                          <w:pStyle w:val="TableParagraph"/>
                          <w:spacing w:line="159" w:lineRule="exact"/>
                          <w:ind w:left="19" w:right="5"/>
                          <w:rPr>
                            <w:sz w:val="14"/>
                          </w:rPr>
                        </w:pPr>
                        <w:r>
                          <w:rPr>
                            <w:sz w:val="14"/>
                          </w:rPr>
                          <w:t>IGCC</w:t>
                        </w:r>
                      </w:p>
                    </w:tc>
                    <w:tc>
                      <w:tcPr>
                        <w:tcW w:w="898" w:type="dxa"/>
                        <w:shd w:val="clear" w:color="auto" w:fill="F9FCF9"/>
                      </w:tcPr>
                      <w:p>
                        <w:pPr>
                          <w:pStyle w:val="TableParagraph"/>
                          <w:spacing w:line="249" w:lineRule="auto"/>
                          <w:ind w:left="78" w:right="61"/>
                          <w:rPr>
                            <w:sz w:val="14"/>
                          </w:rPr>
                        </w:pPr>
                        <w:r>
                          <w:rPr>
                            <w:sz w:val="14"/>
                          </w:rPr>
                          <w:t>Fermentation and bagasse boiler</w:t>
                        </w:r>
                      </w:p>
                    </w:tc>
                    <w:tc>
                      <w:tcPr>
                        <w:tcW w:w="718" w:type="dxa"/>
                        <w:shd w:val="clear" w:color="auto" w:fill="F9FCF9"/>
                      </w:tcPr>
                      <w:p>
                        <w:pPr>
                          <w:pStyle w:val="TableParagraph"/>
                          <w:spacing w:line="159" w:lineRule="exact"/>
                          <w:ind w:left="210"/>
                          <w:jc w:val="left"/>
                          <w:rPr>
                            <w:sz w:val="14"/>
                          </w:rPr>
                        </w:pPr>
                        <w:r>
                          <w:rPr>
                            <w:sz w:val="14"/>
                          </w:rPr>
                          <w:t>MEA</w:t>
                        </w:r>
                      </w:p>
                      <w:p>
                        <w:pPr>
                          <w:pStyle w:val="TableParagraph"/>
                          <w:spacing w:line="249" w:lineRule="auto" w:before="7"/>
                          <w:ind w:left="198" w:right="102" w:hanging="78"/>
                          <w:jc w:val="left"/>
                          <w:rPr>
                            <w:sz w:val="14"/>
                          </w:rPr>
                        </w:pPr>
                        <w:r>
                          <w:rPr>
                            <w:sz w:val="14"/>
                          </w:rPr>
                          <w:t>Baseline (post-</w:t>
                        </w:r>
                      </w:p>
                      <w:p>
                        <w:pPr>
                          <w:pStyle w:val="TableParagraph"/>
                          <w:spacing w:line="134" w:lineRule="exact" w:before="1"/>
                          <w:ind w:left="165"/>
                          <w:jc w:val="left"/>
                          <w:rPr>
                            <w:sz w:val="14"/>
                          </w:rPr>
                        </w:pPr>
                        <w:r>
                          <w:rPr>
                            <w:sz w:val="14"/>
                          </w:rPr>
                          <w:t>comb.)</w:t>
                        </w:r>
                      </w:p>
                    </w:tc>
                    <w:tc>
                      <w:tcPr>
                        <w:tcW w:w="622" w:type="dxa"/>
                        <w:shd w:val="clear" w:color="auto" w:fill="F9FCF9"/>
                      </w:tcPr>
                      <w:p>
                        <w:pPr>
                          <w:pStyle w:val="TableParagraph"/>
                          <w:spacing w:line="159" w:lineRule="exact"/>
                          <w:ind w:left="162"/>
                          <w:jc w:val="left"/>
                          <w:rPr>
                            <w:sz w:val="14"/>
                          </w:rPr>
                        </w:pPr>
                        <w:r>
                          <w:rPr>
                            <w:sz w:val="14"/>
                          </w:rPr>
                          <w:t>MEA</w:t>
                        </w:r>
                      </w:p>
                      <w:p>
                        <w:pPr>
                          <w:pStyle w:val="TableParagraph"/>
                          <w:spacing w:line="249" w:lineRule="auto" w:before="7"/>
                          <w:ind w:left="151" w:right="54" w:hanging="78"/>
                          <w:jc w:val="left"/>
                          <w:rPr>
                            <w:sz w:val="14"/>
                          </w:rPr>
                        </w:pPr>
                        <w:r>
                          <w:rPr>
                            <w:sz w:val="14"/>
                          </w:rPr>
                          <w:t>Baseline (post-</w:t>
                        </w:r>
                      </w:p>
                      <w:p>
                        <w:pPr>
                          <w:pStyle w:val="TableParagraph"/>
                          <w:spacing w:line="134" w:lineRule="exact" w:before="1"/>
                          <w:ind w:left="118"/>
                          <w:jc w:val="left"/>
                          <w:rPr>
                            <w:sz w:val="14"/>
                          </w:rPr>
                        </w:pPr>
                        <w:r>
                          <w:rPr>
                            <w:sz w:val="14"/>
                          </w:rPr>
                          <w:t>comb.)</w:t>
                        </w:r>
                      </w:p>
                    </w:tc>
                    <w:tc>
                      <w:tcPr>
                        <w:tcW w:w="94" w:type="dxa"/>
                        <w:shd w:val="clear" w:color="auto" w:fill="F9FCF9"/>
                      </w:tcPr>
                      <w:p>
                        <w:pPr>
                          <w:pStyle w:val="TableParagraph"/>
                          <w:jc w:val="left"/>
                          <w:rPr>
                            <w:sz w:val="12"/>
                          </w:rPr>
                        </w:pPr>
                      </w:p>
                    </w:tc>
                    <w:tc>
                      <w:tcPr>
                        <w:tcW w:w="774" w:type="dxa"/>
                        <w:shd w:val="clear" w:color="auto" w:fill="F9FCF9"/>
                      </w:tcPr>
                      <w:p>
                        <w:pPr>
                          <w:pStyle w:val="TableParagraph"/>
                          <w:spacing w:line="249" w:lineRule="auto"/>
                          <w:ind w:left="99" w:right="67" w:hanging="12"/>
                          <w:jc w:val="both"/>
                          <w:rPr>
                            <w:sz w:val="14"/>
                          </w:rPr>
                        </w:pPr>
                        <w:r>
                          <w:rPr>
                            <w:sz w:val="14"/>
                          </w:rPr>
                          <w:t>Membrane Water Gas Shift (pre-</w:t>
                        </w:r>
                      </w:p>
                      <w:p>
                        <w:pPr>
                          <w:pStyle w:val="TableParagraph"/>
                          <w:spacing w:line="134" w:lineRule="exact"/>
                          <w:ind w:left="195"/>
                          <w:jc w:val="left"/>
                          <w:rPr>
                            <w:sz w:val="14"/>
                          </w:rPr>
                        </w:pPr>
                        <w:r>
                          <w:rPr>
                            <w:sz w:val="14"/>
                          </w:rPr>
                          <w:t>comb.)</w:t>
                        </w:r>
                      </w:p>
                    </w:tc>
                    <w:tc>
                      <w:tcPr>
                        <w:tcW w:w="682" w:type="dxa"/>
                        <w:shd w:val="clear" w:color="auto" w:fill="F9FCF9"/>
                      </w:tcPr>
                      <w:p>
                        <w:pPr>
                          <w:pStyle w:val="TableParagraph"/>
                          <w:spacing w:line="249" w:lineRule="auto"/>
                          <w:ind w:left="48" w:right="26" w:hanging="1"/>
                          <w:rPr>
                            <w:sz w:val="14"/>
                          </w:rPr>
                        </w:pPr>
                        <w:r>
                          <w:rPr>
                            <w:sz w:val="14"/>
                          </w:rPr>
                          <w:t>Flue Gas Recycle &amp; ITM (oxy-</w:t>
                        </w:r>
                      </w:p>
                      <w:p>
                        <w:pPr>
                          <w:pStyle w:val="TableParagraph"/>
                          <w:spacing w:line="134" w:lineRule="exact"/>
                          <w:ind w:left="20" w:right="1"/>
                          <w:rPr>
                            <w:sz w:val="14"/>
                          </w:rPr>
                        </w:pPr>
                        <w:r>
                          <w:rPr>
                            <w:sz w:val="14"/>
                          </w:rPr>
                          <w:t>fuel)</w:t>
                        </w:r>
                      </w:p>
                    </w:tc>
                    <w:tc>
                      <w:tcPr>
                        <w:tcW w:w="764" w:type="dxa"/>
                        <w:shd w:val="clear" w:color="auto" w:fill="F9FCF9"/>
                      </w:tcPr>
                      <w:p>
                        <w:pPr>
                          <w:pStyle w:val="TableParagraph"/>
                          <w:spacing w:line="249" w:lineRule="auto"/>
                          <w:ind w:left="33" w:right="10"/>
                          <w:rPr>
                            <w:sz w:val="14"/>
                          </w:rPr>
                        </w:pPr>
                        <w:r>
                          <w:rPr>
                            <w:sz w:val="14"/>
                          </w:rPr>
                          <w:t>Very Large- scale ATR (pre-comb.)</w:t>
                        </w:r>
                      </w:p>
                    </w:tc>
                    <w:tc>
                      <w:tcPr>
                        <w:tcW w:w="1420" w:type="dxa"/>
                        <w:shd w:val="clear" w:color="auto" w:fill="F9FCF9"/>
                      </w:tcPr>
                      <w:p>
                        <w:pPr>
                          <w:pStyle w:val="TableParagraph"/>
                          <w:spacing w:line="249" w:lineRule="auto"/>
                          <w:ind w:left="94" w:right="70"/>
                          <w:rPr>
                            <w:sz w:val="14"/>
                          </w:rPr>
                        </w:pPr>
                        <w:r>
                          <w:rPr>
                            <w:sz w:val="14"/>
                          </w:rPr>
                          <w:t>Sorption Enhanced Water Gas Shift (pre- comb.)</w:t>
                        </w:r>
                      </w:p>
                    </w:tc>
                  </w:tr>
                  <w:tr>
                    <w:trPr>
                      <w:trHeight w:val="151" w:hRule="atLeast"/>
                    </w:trPr>
                    <w:tc>
                      <w:tcPr>
                        <w:tcW w:w="2334" w:type="dxa"/>
                        <w:shd w:val="clear" w:color="auto" w:fill="F9FCF9"/>
                      </w:tcPr>
                      <w:p>
                        <w:pPr>
                          <w:pStyle w:val="TableParagraph"/>
                          <w:spacing w:line="132" w:lineRule="exact"/>
                          <w:ind w:left="26"/>
                          <w:jc w:val="left"/>
                          <w:rPr>
                            <w:sz w:val="14"/>
                          </w:rPr>
                        </w:pPr>
                        <w:r>
                          <w:rPr>
                            <w:sz w:val="14"/>
                          </w:rPr>
                          <w:t>Capture unit size (specify units)</w:t>
                        </w:r>
                      </w:p>
                    </w:tc>
                    <w:tc>
                      <w:tcPr>
                        <w:tcW w:w="980" w:type="dxa"/>
                        <w:shd w:val="clear" w:color="auto" w:fill="F9FCF9"/>
                      </w:tcPr>
                      <w:p>
                        <w:pPr>
                          <w:pStyle w:val="TableParagraph"/>
                          <w:jc w:val="left"/>
                          <w:rPr>
                            <w:sz w:val="8"/>
                          </w:rPr>
                        </w:pPr>
                      </w:p>
                    </w:tc>
                    <w:tc>
                      <w:tcPr>
                        <w:tcW w:w="840" w:type="dxa"/>
                        <w:shd w:val="clear" w:color="auto" w:fill="F9FCF9"/>
                      </w:tcPr>
                      <w:p>
                        <w:pPr>
                          <w:pStyle w:val="TableParagraph"/>
                          <w:jc w:val="left"/>
                          <w:rPr>
                            <w:sz w:val="8"/>
                          </w:rPr>
                        </w:pPr>
                      </w:p>
                    </w:tc>
                    <w:tc>
                      <w:tcPr>
                        <w:tcW w:w="820" w:type="dxa"/>
                        <w:shd w:val="clear" w:color="auto" w:fill="F9FCF9"/>
                      </w:tcPr>
                      <w:p>
                        <w:pPr>
                          <w:pStyle w:val="TableParagraph"/>
                          <w:jc w:val="left"/>
                          <w:rPr>
                            <w:sz w:val="8"/>
                          </w:rPr>
                        </w:pPr>
                      </w:p>
                    </w:tc>
                    <w:tc>
                      <w:tcPr>
                        <w:tcW w:w="902" w:type="dxa"/>
                        <w:shd w:val="clear" w:color="auto" w:fill="F9FCF9"/>
                      </w:tcPr>
                      <w:p>
                        <w:pPr>
                          <w:pStyle w:val="TableParagraph"/>
                          <w:jc w:val="left"/>
                          <w:rPr>
                            <w:sz w:val="8"/>
                          </w:rPr>
                        </w:pPr>
                      </w:p>
                    </w:tc>
                    <w:tc>
                      <w:tcPr>
                        <w:tcW w:w="872" w:type="dxa"/>
                        <w:shd w:val="clear" w:color="auto" w:fill="F9FCF9"/>
                      </w:tcPr>
                      <w:p>
                        <w:pPr>
                          <w:pStyle w:val="TableParagraph"/>
                          <w:spacing w:line="132" w:lineRule="exact"/>
                          <w:ind w:left="40" w:right="27"/>
                          <w:rPr>
                            <w:sz w:val="14"/>
                          </w:rPr>
                        </w:pPr>
                        <w:r>
                          <w:rPr>
                            <w:sz w:val="14"/>
                          </w:rPr>
                          <w:t>392 MW fuel</w:t>
                        </w:r>
                      </w:p>
                    </w:tc>
                    <w:tc>
                      <w:tcPr>
                        <w:tcW w:w="830" w:type="dxa"/>
                        <w:shd w:val="clear" w:color="auto" w:fill="F9FCF9"/>
                      </w:tcPr>
                      <w:p>
                        <w:pPr>
                          <w:pStyle w:val="TableParagraph"/>
                          <w:spacing w:line="132" w:lineRule="exact"/>
                          <w:ind w:left="19" w:right="5"/>
                          <w:rPr>
                            <w:sz w:val="14"/>
                          </w:rPr>
                        </w:pPr>
                        <w:r>
                          <w:rPr>
                            <w:sz w:val="14"/>
                          </w:rPr>
                          <w:t>338 MW fuel</w:t>
                        </w:r>
                      </w:p>
                    </w:tc>
                    <w:tc>
                      <w:tcPr>
                        <w:tcW w:w="898" w:type="dxa"/>
                        <w:shd w:val="clear" w:color="auto" w:fill="F9FCF9"/>
                      </w:tcPr>
                      <w:p>
                        <w:pPr>
                          <w:pStyle w:val="TableParagraph"/>
                          <w:jc w:val="left"/>
                          <w:rPr>
                            <w:sz w:val="8"/>
                          </w:rPr>
                        </w:pPr>
                      </w:p>
                    </w:tc>
                    <w:tc>
                      <w:tcPr>
                        <w:tcW w:w="718" w:type="dxa"/>
                        <w:shd w:val="clear" w:color="auto" w:fill="F9FCF9"/>
                      </w:tcPr>
                      <w:p>
                        <w:pPr>
                          <w:pStyle w:val="TableParagraph"/>
                          <w:spacing w:line="132" w:lineRule="exact"/>
                          <w:ind w:left="36" w:right="21"/>
                          <w:rPr>
                            <w:sz w:val="14"/>
                          </w:rPr>
                        </w:pPr>
                        <w:r>
                          <w:rPr>
                            <w:sz w:val="14"/>
                          </w:rPr>
                          <w:t>1351 MWt</w:t>
                        </w:r>
                      </w:p>
                    </w:tc>
                    <w:tc>
                      <w:tcPr>
                        <w:tcW w:w="622" w:type="dxa"/>
                        <w:shd w:val="clear" w:color="auto" w:fill="F9FCF9"/>
                      </w:tcPr>
                      <w:p>
                        <w:pPr>
                          <w:pStyle w:val="TableParagraph"/>
                          <w:spacing w:line="132" w:lineRule="exact"/>
                          <w:ind w:left="23" w:right="7"/>
                          <w:rPr>
                            <w:sz w:val="14"/>
                          </w:rPr>
                        </w:pPr>
                        <w:r>
                          <w:rPr>
                            <w:sz w:val="14"/>
                          </w:rPr>
                          <w:t>358 MWt</w:t>
                        </w:r>
                      </w:p>
                    </w:tc>
                    <w:tc>
                      <w:tcPr>
                        <w:tcW w:w="94" w:type="dxa"/>
                        <w:shd w:val="clear" w:color="auto" w:fill="F9FCF9"/>
                      </w:tcPr>
                      <w:p>
                        <w:pPr>
                          <w:pStyle w:val="TableParagraph"/>
                          <w:jc w:val="left"/>
                          <w:rPr>
                            <w:sz w:val="8"/>
                          </w:rPr>
                        </w:pPr>
                      </w:p>
                    </w:tc>
                    <w:tc>
                      <w:tcPr>
                        <w:tcW w:w="774" w:type="dxa"/>
                        <w:shd w:val="clear" w:color="auto" w:fill="F9FCF9"/>
                      </w:tcPr>
                      <w:p>
                        <w:pPr>
                          <w:pStyle w:val="TableParagraph"/>
                          <w:spacing w:line="132" w:lineRule="exact"/>
                          <w:ind w:left="65" w:right="47"/>
                          <w:rPr>
                            <w:sz w:val="14"/>
                          </w:rPr>
                        </w:pPr>
                        <w:r>
                          <w:rPr>
                            <w:sz w:val="14"/>
                          </w:rPr>
                          <w:t>1351 MWt</w:t>
                        </w:r>
                      </w:p>
                    </w:tc>
                    <w:tc>
                      <w:tcPr>
                        <w:tcW w:w="682" w:type="dxa"/>
                        <w:shd w:val="clear" w:color="auto" w:fill="F9FCF9"/>
                      </w:tcPr>
                      <w:p>
                        <w:pPr>
                          <w:pStyle w:val="TableParagraph"/>
                          <w:spacing w:line="132" w:lineRule="exact"/>
                          <w:ind w:left="20" w:right="1"/>
                          <w:rPr>
                            <w:sz w:val="14"/>
                          </w:rPr>
                        </w:pPr>
                        <w:r>
                          <w:rPr>
                            <w:sz w:val="14"/>
                          </w:rPr>
                          <w:t>1351 MWt</w:t>
                        </w:r>
                      </w:p>
                    </w:tc>
                    <w:tc>
                      <w:tcPr>
                        <w:tcW w:w="764" w:type="dxa"/>
                        <w:shd w:val="clear" w:color="auto" w:fill="F9FCF9"/>
                      </w:tcPr>
                      <w:p>
                        <w:pPr>
                          <w:pStyle w:val="TableParagraph"/>
                          <w:spacing w:line="132" w:lineRule="exact"/>
                          <w:ind w:right="94"/>
                          <w:jc w:val="right"/>
                          <w:rPr>
                            <w:sz w:val="14"/>
                          </w:rPr>
                        </w:pPr>
                        <w:r>
                          <w:rPr>
                            <w:sz w:val="14"/>
                          </w:rPr>
                          <w:t>358 MWt</w:t>
                        </w:r>
                      </w:p>
                    </w:tc>
                    <w:tc>
                      <w:tcPr>
                        <w:tcW w:w="1420" w:type="dxa"/>
                        <w:shd w:val="clear" w:color="auto" w:fill="F9FCF9"/>
                      </w:tcPr>
                      <w:p>
                        <w:pPr>
                          <w:pStyle w:val="TableParagraph"/>
                          <w:spacing w:line="132" w:lineRule="exact"/>
                          <w:ind w:left="92" w:right="70"/>
                          <w:rPr>
                            <w:sz w:val="14"/>
                          </w:rPr>
                        </w:pPr>
                        <w:r>
                          <w:rPr>
                            <w:sz w:val="14"/>
                          </w:rPr>
                          <w:t>358 MWt</w:t>
                        </w:r>
                      </w:p>
                    </w:tc>
                  </w:tr>
                  <w:tr>
                    <w:trPr>
                      <w:trHeight w:val="151" w:hRule="atLeast"/>
                    </w:trPr>
                    <w:tc>
                      <w:tcPr>
                        <w:tcW w:w="2334" w:type="dxa"/>
                        <w:shd w:val="clear" w:color="auto" w:fill="F9FCF9"/>
                      </w:tcPr>
                      <w:p>
                        <w:pPr>
                          <w:pStyle w:val="TableParagraph"/>
                          <w:spacing w:line="132" w:lineRule="exact"/>
                          <w:ind w:left="26"/>
                          <w:jc w:val="left"/>
                          <w:rPr>
                            <w:sz w:val="14"/>
                          </w:rPr>
                        </w:pPr>
                        <w:r>
                          <w:rPr>
                            <w:sz w:val="14"/>
                          </w:rPr>
                          <w:t>CO</w:t>
                        </w:r>
                        <w:r>
                          <w:rPr>
                            <w:position w:val="-4"/>
                            <w:sz w:val="8"/>
                          </w:rPr>
                          <w:t>2</w:t>
                        </w:r>
                        <w:r>
                          <w:rPr>
                            <w:sz w:val="14"/>
                          </w:rPr>
                          <w:t>capture system efficiency (%)</w:t>
                        </w:r>
                      </w:p>
                    </w:tc>
                    <w:tc>
                      <w:tcPr>
                        <w:tcW w:w="980" w:type="dxa"/>
                        <w:shd w:val="clear" w:color="auto" w:fill="F9FCF9"/>
                      </w:tcPr>
                      <w:p>
                        <w:pPr>
                          <w:pStyle w:val="TableParagraph"/>
                          <w:spacing w:line="132" w:lineRule="exact"/>
                          <w:ind w:left="33" w:right="21"/>
                          <w:rPr>
                            <w:sz w:val="14"/>
                          </w:rPr>
                        </w:pPr>
                        <w:r>
                          <w:rPr>
                            <w:sz w:val="14"/>
                          </w:rPr>
                          <w:t>90</w:t>
                        </w:r>
                      </w:p>
                    </w:tc>
                    <w:tc>
                      <w:tcPr>
                        <w:tcW w:w="840" w:type="dxa"/>
                        <w:shd w:val="clear" w:color="auto" w:fill="F9FCF9"/>
                      </w:tcPr>
                      <w:p>
                        <w:pPr>
                          <w:pStyle w:val="TableParagraph"/>
                          <w:spacing w:line="132" w:lineRule="exact"/>
                          <w:ind w:left="73" w:right="61"/>
                          <w:rPr>
                            <w:sz w:val="14"/>
                          </w:rPr>
                        </w:pPr>
                        <w:r>
                          <w:rPr>
                            <w:sz w:val="14"/>
                          </w:rPr>
                          <w:t>95</w:t>
                        </w:r>
                      </w:p>
                    </w:tc>
                    <w:tc>
                      <w:tcPr>
                        <w:tcW w:w="820" w:type="dxa"/>
                        <w:shd w:val="clear" w:color="auto" w:fill="F9FCF9"/>
                      </w:tcPr>
                      <w:p>
                        <w:pPr>
                          <w:pStyle w:val="TableParagraph"/>
                          <w:spacing w:line="132" w:lineRule="exact"/>
                          <w:ind w:left="63" w:right="51"/>
                          <w:rPr>
                            <w:sz w:val="14"/>
                          </w:rPr>
                        </w:pPr>
                        <w:r>
                          <w:rPr>
                            <w:sz w:val="14"/>
                          </w:rPr>
                          <w:t>91</w:t>
                        </w:r>
                      </w:p>
                    </w:tc>
                    <w:tc>
                      <w:tcPr>
                        <w:tcW w:w="902" w:type="dxa"/>
                        <w:shd w:val="clear" w:color="auto" w:fill="F9FCF9"/>
                      </w:tcPr>
                      <w:p>
                        <w:pPr>
                          <w:pStyle w:val="TableParagraph"/>
                          <w:jc w:val="left"/>
                          <w:rPr>
                            <w:sz w:val="8"/>
                          </w:rPr>
                        </w:pPr>
                      </w:p>
                    </w:tc>
                    <w:tc>
                      <w:tcPr>
                        <w:tcW w:w="872" w:type="dxa"/>
                        <w:shd w:val="clear" w:color="auto" w:fill="F9FCF9"/>
                      </w:tcPr>
                      <w:p>
                        <w:pPr>
                          <w:pStyle w:val="TableParagraph"/>
                          <w:spacing w:line="132" w:lineRule="exact"/>
                          <w:ind w:left="40" w:right="27"/>
                          <w:rPr>
                            <w:sz w:val="14"/>
                          </w:rPr>
                        </w:pPr>
                        <w:r>
                          <w:rPr>
                            <w:sz w:val="14"/>
                          </w:rPr>
                          <w:t>90</w:t>
                        </w:r>
                      </w:p>
                    </w:tc>
                    <w:tc>
                      <w:tcPr>
                        <w:tcW w:w="830" w:type="dxa"/>
                        <w:shd w:val="clear" w:color="auto" w:fill="F9FCF9"/>
                      </w:tcPr>
                      <w:p>
                        <w:pPr>
                          <w:pStyle w:val="TableParagraph"/>
                          <w:spacing w:line="132" w:lineRule="exact"/>
                          <w:ind w:left="19" w:right="5"/>
                          <w:rPr>
                            <w:sz w:val="14"/>
                          </w:rPr>
                        </w:pPr>
                        <w:r>
                          <w:rPr>
                            <w:sz w:val="14"/>
                          </w:rPr>
                          <w:t>90</w:t>
                        </w:r>
                      </w:p>
                    </w:tc>
                    <w:tc>
                      <w:tcPr>
                        <w:tcW w:w="898" w:type="dxa"/>
                        <w:shd w:val="clear" w:color="auto" w:fill="F9FCF9"/>
                      </w:tcPr>
                      <w:p>
                        <w:pPr>
                          <w:pStyle w:val="TableParagraph"/>
                          <w:spacing w:line="132" w:lineRule="exact"/>
                          <w:ind w:left="76" w:right="61"/>
                          <w:rPr>
                            <w:sz w:val="14"/>
                          </w:rPr>
                        </w:pPr>
                        <w:r>
                          <w:rPr>
                            <w:sz w:val="14"/>
                          </w:rPr>
                          <w:t>100/90</w:t>
                        </w:r>
                      </w:p>
                    </w:tc>
                    <w:tc>
                      <w:tcPr>
                        <w:tcW w:w="718" w:type="dxa"/>
                        <w:shd w:val="clear" w:color="auto" w:fill="F9FCF9"/>
                      </w:tcPr>
                      <w:p>
                        <w:pPr>
                          <w:pStyle w:val="TableParagraph"/>
                          <w:jc w:val="left"/>
                          <w:rPr>
                            <w:sz w:val="8"/>
                          </w:rPr>
                        </w:pPr>
                      </w:p>
                    </w:tc>
                    <w:tc>
                      <w:tcPr>
                        <w:tcW w:w="622" w:type="dxa"/>
                        <w:shd w:val="clear" w:color="auto" w:fill="F9FCF9"/>
                      </w:tcPr>
                      <w:p>
                        <w:pPr>
                          <w:pStyle w:val="TableParagraph"/>
                          <w:jc w:val="left"/>
                          <w:rPr>
                            <w:sz w:val="8"/>
                          </w:rPr>
                        </w:pPr>
                      </w:p>
                    </w:tc>
                    <w:tc>
                      <w:tcPr>
                        <w:tcW w:w="94" w:type="dxa"/>
                        <w:shd w:val="clear" w:color="auto" w:fill="F9FCF9"/>
                      </w:tcPr>
                      <w:p>
                        <w:pPr>
                          <w:pStyle w:val="TableParagraph"/>
                          <w:jc w:val="left"/>
                          <w:rPr>
                            <w:sz w:val="8"/>
                          </w:rPr>
                        </w:pPr>
                      </w:p>
                    </w:tc>
                    <w:tc>
                      <w:tcPr>
                        <w:tcW w:w="774" w:type="dxa"/>
                        <w:shd w:val="clear" w:color="auto" w:fill="F9FCF9"/>
                      </w:tcPr>
                      <w:p>
                        <w:pPr>
                          <w:pStyle w:val="TableParagraph"/>
                          <w:jc w:val="left"/>
                          <w:rPr>
                            <w:sz w:val="8"/>
                          </w:rPr>
                        </w:pPr>
                      </w:p>
                    </w:tc>
                    <w:tc>
                      <w:tcPr>
                        <w:tcW w:w="682" w:type="dxa"/>
                        <w:shd w:val="clear" w:color="auto" w:fill="F9FCF9"/>
                      </w:tcPr>
                      <w:p>
                        <w:pPr>
                          <w:pStyle w:val="TableParagraph"/>
                          <w:jc w:val="left"/>
                          <w:rPr>
                            <w:sz w:val="8"/>
                          </w:rPr>
                        </w:pPr>
                      </w:p>
                    </w:tc>
                    <w:tc>
                      <w:tcPr>
                        <w:tcW w:w="764" w:type="dxa"/>
                        <w:shd w:val="clear" w:color="auto" w:fill="F9FCF9"/>
                      </w:tcPr>
                      <w:p>
                        <w:pPr>
                          <w:pStyle w:val="TableParagraph"/>
                          <w:jc w:val="left"/>
                          <w:rPr>
                            <w:sz w:val="8"/>
                          </w:rPr>
                        </w:pPr>
                      </w:p>
                    </w:tc>
                    <w:tc>
                      <w:tcPr>
                        <w:tcW w:w="1420" w:type="dxa"/>
                        <w:shd w:val="clear" w:color="auto" w:fill="F9FCF9"/>
                      </w:tcPr>
                      <w:p>
                        <w:pPr>
                          <w:pStyle w:val="TableParagraph"/>
                          <w:jc w:val="left"/>
                          <w:rPr>
                            <w:sz w:val="8"/>
                          </w:rPr>
                        </w:pPr>
                      </w:p>
                    </w:tc>
                  </w:tr>
                  <w:tr>
                    <w:trPr>
                      <w:trHeight w:val="319" w:hRule="atLeast"/>
                    </w:trPr>
                    <w:tc>
                      <w:tcPr>
                        <w:tcW w:w="2334" w:type="dxa"/>
                        <w:shd w:val="clear" w:color="auto" w:fill="F9FCF9"/>
                      </w:tcPr>
                      <w:p>
                        <w:pPr>
                          <w:pStyle w:val="TableParagraph"/>
                          <w:spacing w:line="159" w:lineRule="exact"/>
                          <w:ind w:left="26"/>
                          <w:jc w:val="left"/>
                          <w:rPr>
                            <w:sz w:val="14"/>
                          </w:rPr>
                        </w:pPr>
                        <w:r>
                          <w:rPr>
                            <w:sz w:val="14"/>
                          </w:rPr>
                          <w:t>Energy source(s) for capture (type</w:t>
                        </w:r>
                      </w:p>
                      <w:p>
                        <w:pPr>
                          <w:pStyle w:val="TableParagraph"/>
                          <w:spacing w:line="134" w:lineRule="exact" w:before="7"/>
                          <w:ind w:left="26"/>
                          <w:jc w:val="left"/>
                          <w:rPr>
                            <w:sz w:val="14"/>
                          </w:rPr>
                        </w:pPr>
                        <w:r>
                          <w:rPr>
                            <w:sz w:val="14"/>
                          </w:rPr>
                          <w:t>+onsite or offsite)</w:t>
                        </w:r>
                      </w:p>
                    </w:tc>
                    <w:tc>
                      <w:tcPr>
                        <w:tcW w:w="980" w:type="dxa"/>
                        <w:shd w:val="clear" w:color="auto" w:fill="F9FCF9"/>
                      </w:tcPr>
                      <w:p>
                        <w:pPr>
                          <w:pStyle w:val="TableParagraph"/>
                          <w:jc w:val="left"/>
                          <w:rPr>
                            <w:sz w:val="12"/>
                          </w:rPr>
                        </w:pPr>
                      </w:p>
                    </w:tc>
                    <w:tc>
                      <w:tcPr>
                        <w:tcW w:w="840" w:type="dxa"/>
                        <w:shd w:val="clear" w:color="auto" w:fill="F9FCF9"/>
                      </w:tcPr>
                      <w:p>
                        <w:pPr>
                          <w:pStyle w:val="TableParagraph"/>
                          <w:jc w:val="left"/>
                          <w:rPr>
                            <w:sz w:val="12"/>
                          </w:rPr>
                        </w:pPr>
                      </w:p>
                    </w:tc>
                    <w:tc>
                      <w:tcPr>
                        <w:tcW w:w="820" w:type="dxa"/>
                        <w:shd w:val="clear" w:color="auto" w:fill="F9FCF9"/>
                      </w:tcPr>
                      <w:p>
                        <w:pPr>
                          <w:pStyle w:val="TableParagraph"/>
                          <w:jc w:val="left"/>
                          <w:rPr>
                            <w:sz w:val="12"/>
                          </w:rPr>
                        </w:pPr>
                      </w:p>
                    </w:tc>
                    <w:tc>
                      <w:tcPr>
                        <w:tcW w:w="902" w:type="dxa"/>
                        <w:shd w:val="clear" w:color="auto" w:fill="F9FCF9"/>
                      </w:tcPr>
                      <w:p>
                        <w:pPr>
                          <w:pStyle w:val="TableParagraph"/>
                          <w:jc w:val="left"/>
                          <w:rPr>
                            <w:sz w:val="12"/>
                          </w:rPr>
                        </w:pPr>
                      </w:p>
                    </w:tc>
                    <w:tc>
                      <w:tcPr>
                        <w:tcW w:w="872" w:type="dxa"/>
                        <w:shd w:val="clear" w:color="auto" w:fill="F9FCF9"/>
                      </w:tcPr>
                      <w:p>
                        <w:pPr>
                          <w:pStyle w:val="TableParagraph"/>
                          <w:jc w:val="left"/>
                          <w:rPr>
                            <w:sz w:val="12"/>
                          </w:rPr>
                        </w:pPr>
                      </w:p>
                    </w:tc>
                    <w:tc>
                      <w:tcPr>
                        <w:tcW w:w="830" w:type="dxa"/>
                        <w:shd w:val="clear" w:color="auto" w:fill="F9FCF9"/>
                      </w:tcPr>
                      <w:p>
                        <w:pPr>
                          <w:pStyle w:val="TableParagraph"/>
                          <w:jc w:val="left"/>
                          <w:rPr>
                            <w:sz w:val="12"/>
                          </w:rPr>
                        </w:pPr>
                      </w:p>
                    </w:tc>
                    <w:tc>
                      <w:tcPr>
                        <w:tcW w:w="898" w:type="dxa"/>
                        <w:shd w:val="clear" w:color="auto" w:fill="F9FCF9"/>
                      </w:tcPr>
                      <w:p>
                        <w:pPr>
                          <w:pStyle w:val="TableParagraph"/>
                          <w:jc w:val="left"/>
                          <w:rPr>
                            <w:sz w:val="12"/>
                          </w:rPr>
                        </w:pPr>
                      </w:p>
                    </w:tc>
                    <w:tc>
                      <w:tcPr>
                        <w:tcW w:w="718" w:type="dxa"/>
                        <w:shd w:val="clear" w:color="auto" w:fill="F9FCF9"/>
                      </w:tcPr>
                      <w:p>
                        <w:pPr>
                          <w:pStyle w:val="TableParagraph"/>
                          <w:jc w:val="left"/>
                          <w:rPr>
                            <w:sz w:val="12"/>
                          </w:rPr>
                        </w:pPr>
                      </w:p>
                    </w:tc>
                    <w:tc>
                      <w:tcPr>
                        <w:tcW w:w="622" w:type="dxa"/>
                        <w:shd w:val="clear" w:color="auto" w:fill="F9FCF9"/>
                      </w:tcPr>
                      <w:p>
                        <w:pPr>
                          <w:pStyle w:val="TableParagraph"/>
                          <w:jc w:val="left"/>
                          <w:rPr>
                            <w:sz w:val="12"/>
                          </w:rPr>
                        </w:pPr>
                      </w:p>
                    </w:tc>
                    <w:tc>
                      <w:tcPr>
                        <w:tcW w:w="94" w:type="dxa"/>
                        <w:shd w:val="clear" w:color="auto" w:fill="F9FCF9"/>
                      </w:tcPr>
                      <w:p>
                        <w:pPr>
                          <w:pStyle w:val="TableParagraph"/>
                          <w:jc w:val="left"/>
                          <w:rPr>
                            <w:sz w:val="12"/>
                          </w:rPr>
                        </w:pPr>
                      </w:p>
                    </w:tc>
                    <w:tc>
                      <w:tcPr>
                        <w:tcW w:w="774" w:type="dxa"/>
                        <w:shd w:val="clear" w:color="auto" w:fill="F9FCF9"/>
                      </w:tcPr>
                      <w:p>
                        <w:pPr>
                          <w:pStyle w:val="TableParagraph"/>
                          <w:jc w:val="left"/>
                          <w:rPr>
                            <w:sz w:val="12"/>
                          </w:rPr>
                        </w:pPr>
                      </w:p>
                    </w:tc>
                    <w:tc>
                      <w:tcPr>
                        <w:tcW w:w="682" w:type="dxa"/>
                        <w:shd w:val="clear" w:color="auto" w:fill="F9FCF9"/>
                      </w:tcPr>
                      <w:p>
                        <w:pPr>
                          <w:pStyle w:val="TableParagraph"/>
                          <w:jc w:val="left"/>
                          <w:rPr>
                            <w:sz w:val="12"/>
                          </w:rPr>
                        </w:pPr>
                      </w:p>
                    </w:tc>
                    <w:tc>
                      <w:tcPr>
                        <w:tcW w:w="764" w:type="dxa"/>
                        <w:shd w:val="clear" w:color="auto" w:fill="F9FCF9"/>
                      </w:tcPr>
                      <w:p>
                        <w:pPr>
                          <w:pStyle w:val="TableParagraph"/>
                          <w:jc w:val="left"/>
                          <w:rPr>
                            <w:sz w:val="12"/>
                          </w:rPr>
                        </w:pPr>
                      </w:p>
                    </w:tc>
                    <w:tc>
                      <w:tcPr>
                        <w:tcW w:w="1420" w:type="dxa"/>
                        <w:shd w:val="clear" w:color="auto" w:fill="F9FCF9"/>
                      </w:tcPr>
                      <w:p>
                        <w:pPr>
                          <w:pStyle w:val="TableParagraph"/>
                          <w:jc w:val="left"/>
                          <w:rPr>
                            <w:sz w:val="12"/>
                          </w:rPr>
                        </w:pPr>
                      </w:p>
                    </w:tc>
                  </w:tr>
                  <w:tr>
                    <w:trPr>
                      <w:trHeight w:val="319" w:hRule="atLeast"/>
                    </w:trPr>
                    <w:tc>
                      <w:tcPr>
                        <w:tcW w:w="2334" w:type="dxa"/>
                        <w:shd w:val="clear" w:color="auto" w:fill="F9FCF9"/>
                      </w:tcPr>
                      <w:p>
                        <w:pPr>
                          <w:pStyle w:val="TableParagraph"/>
                          <w:spacing w:line="181" w:lineRule="exact"/>
                          <w:ind w:left="26"/>
                          <w:jc w:val="left"/>
                          <w:rPr>
                            <w:sz w:val="14"/>
                          </w:rPr>
                        </w:pPr>
                        <w:r>
                          <w:rPr>
                            <w:sz w:val="14"/>
                          </w:rPr>
                          <w:t>Are all energy-related CO</w:t>
                        </w:r>
                        <w:r>
                          <w:rPr>
                            <w:position w:val="-4"/>
                            <w:sz w:val="8"/>
                          </w:rPr>
                          <w:t>2 </w:t>
                        </w:r>
                        <w:r>
                          <w:rPr>
                            <w:sz w:val="14"/>
                          </w:rPr>
                          <w:t>emissions</w:t>
                        </w:r>
                      </w:p>
                      <w:p>
                        <w:pPr>
                          <w:pStyle w:val="TableParagraph"/>
                          <w:spacing w:line="119" w:lineRule="exact"/>
                          <w:ind w:left="26"/>
                          <w:jc w:val="left"/>
                          <w:rPr>
                            <w:sz w:val="14"/>
                          </w:rPr>
                        </w:pPr>
                        <w:r>
                          <w:rPr>
                            <w:sz w:val="14"/>
                          </w:rPr>
                          <w:t>included?</w:t>
                        </w:r>
                      </w:p>
                    </w:tc>
                    <w:tc>
                      <w:tcPr>
                        <w:tcW w:w="980" w:type="dxa"/>
                        <w:shd w:val="clear" w:color="auto" w:fill="F9FCF9"/>
                      </w:tcPr>
                      <w:p>
                        <w:pPr>
                          <w:pStyle w:val="TableParagraph"/>
                          <w:jc w:val="left"/>
                          <w:rPr>
                            <w:sz w:val="12"/>
                          </w:rPr>
                        </w:pPr>
                      </w:p>
                    </w:tc>
                    <w:tc>
                      <w:tcPr>
                        <w:tcW w:w="840" w:type="dxa"/>
                        <w:shd w:val="clear" w:color="auto" w:fill="F9FCF9"/>
                      </w:tcPr>
                      <w:p>
                        <w:pPr>
                          <w:pStyle w:val="TableParagraph"/>
                          <w:jc w:val="left"/>
                          <w:rPr>
                            <w:sz w:val="12"/>
                          </w:rPr>
                        </w:pPr>
                      </w:p>
                    </w:tc>
                    <w:tc>
                      <w:tcPr>
                        <w:tcW w:w="820" w:type="dxa"/>
                        <w:shd w:val="clear" w:color="auto" w:fill="F9FCF9"/>
                      </w:tcPr>
                      <w:p>
                        <w:pPr>
                          <w:pStyle w:val="TableParagraph"/>
                          <w:jc w:val="left"/>
                          <w:rPr>
                            <w:sz w:val="12"/>
                          </w:rPr>
                        </w:pPr>
                      </w:p>
                    </w:tc>
                    <w:tc>
                      <w:tcPr>
                        <w:tcW w:w="902" w:type="dxa"/>
                        <w:shd w:val="clear" w:color="auto" w:fill="F9FCF9"/>
                      </w:tcPr>
                      <w:p>
                        <w:pPr>
                          <w:pStyle w:val="TableParagraph"/>
                          <w:jc w:val="left"/>
                          <w:rPr>
                            <w:sz w:val="12"/>
                          </w:rPr>
                        </w:pPr>
                      </w:p>
                    </w:tc>
                    <w:tc>
                      <w:tcPr>
                        <w:tcW w:w="872" w:type="dxa"/>
                        <w:shd w:val="clear" w:color="auto" w:fill="F9FCF9"/>
                      </w:tcPr>
                      <w:p>
                        <w:pPr>
                          <w:pStyle w:val="TableParagraph"/>
                          <w:jc w:val="left"/>
                          <w:rPr>
                            <w:sz w:val="12"/>
                          </w:rPr>
                        </w:pPr>
                      </w:p>
                    </w:tc>
                    <w:tc>
                      <w:tcPr>
                        <w:tcW w:w="830" w:type="dxa"/>
                        <w:shd w:val="clear" w:color="auto" w:fill="F9FCF9"/>
                      </w:tcPr>
                      <w:p>
                        <w:pPr>
                          <w:pStyle w:val="TableParagraph"/>
                          <w:jc w:val="left"/>
                          <w:rPr>
                            <w:sz w:val="12"/>
                          </w:rPr>
                        </w:pPr>
                      </w:p>
                    </w:tc>
                    <w:tc>
                      <w:tcPr>
                        <w:tcW w:w="898" w:type="dxa"/>
                        <w:shd w:val="clear" w:color="auto" w:fill="F9FCF9"/>
                      </w:tcPr>
                      <w:p>
                        <w:pPr>
                          <w:pStyle w:val="TableParagraph"/>
                          <w:jc w:val="left"/>
                          <w:rPr>
                            <w:sz w:val="12"/>
                          </w:rPr>
                        </w:pPr>
                      </w:p>
                    </w:tc>
                    <w:tc>
                      <w:tcPr>
                        <w:tcW w:w="718" w:type="dxa"/>
                        <w:shd w:val="clear" w:color="auto" w:fill="F9FCF9"/>
                      </w:tcPr>
                      <w:p>
                        <w:pPr>
                          <w:pStyle w:val="TableParagraph"/>
                          <w:spacing w:line="159" w:lineRule="exact"/>
                          <w:ind w:left="36" w:right="21"/>
                          <w:rPr>
                            <w:sz w:val="14"/>
                          </w:rPr>
                        </w:pPr>
                        <w:r>
                          <w:rPr>
                            <w:sz w:val="14"/>
                          </w:rPr>
                          <w:t>yes</w:t>
                        </w:r>
                      </w:p>
                    </w:tc>
                    <w:tc>
                      <w:tcPr>
                        <w:tcW w:w="622" w:type="dxa"/>
                        <w:shd w:val="clear" w:color="auto" w:fill="F9FCF9"/>
                      </w:tcPr>
                      <w:p>
                        <w:pPr>
                          <w:pStyle w:val="TableParagraph"/>
                          <w:spacing w:line="159" w:lineRule="exact"/>
                          <w:ind w:left="24" w:right="7"/>
                          <w:rPr>
                            <w:sz w:val="14"/>
                          </w:rPr>
                        </w:pPr>
                        <w:r>
                          <w:rPr>
                            <w:sz w:val="14"/>
                          </w:rPr>
                          <w:t>yes</w:t>
                        </w:r>
                      </w:p>
                    </w:tc>
                    <w:tc>
                      <w:tcPr>
                        <w:tcW w:w="94" w:type="dxa"/>
                        <w:shd w:val="clear" w:color="auto" w:fill="F9FCF9"/>
                      </w:tcPr>
                      <w:p>
                        <w:pPr>
                          <w:pStyle w:val="TableParagraph"/>
                          <w:jc w:val="left"/>
                          <w:rPr>
                            <w:sz w:val="12"/>
                          </w:rPr>
                        </w:pPr>
                      </w:p>
                    </w:tc>
                    <w:tc>
                      <w:tcPr>
                        <w:tcW w:w="774" w:type="dxa"/>
                        <w:shd w:val="clear" w:color="auto" w:fill="F9FCF9"/>
                      </w:tcPr>
                      <w:p>
                        <w:pPr>
                          <w:pStyle w:val="TableParagraph"/>
                          <w:spacing w:line="159" w:lineRule="exact"/>
                          <w:ind w:left="65" w:right="47"/>
                          <w:rPr>
                            <w:sz w:val="14"/>
                          </w:rPr>
                        </w:pPr>
                        <w:r>
                          <w:rPr>
                            <w:sz w:val="14"/>
                          </w:rPr>
                          <w:t>yes</w:t>
                        </w:r>
                      </w:p>
                    </w:tc>
                    <w:tc>
                      <w:tcPr>
                        <w:tcW w:w="682" w:type="dxa"/>
                        <w:shd w:val="clear" w:color="auto" w:fill="F9FCF9"/>
                      </w:tcPr>
                      <w:p>
                        <w:pPr>
                          <w:pStyle w:val="TableParagraph"/>
                          <w:spacing w:line="159" w:lineRule="exact"/>
                          <w:ind w:left="20" w:right="1"/>
                          <w:rPr>
                            <w:sz w:val="14"/>
                          </w:rPr>
                        </w:pPr>
                        <w:r>
                          <w:rPr>
                            <w:sz w:val="14"/>
                          </w:rPr>
                          <w:t>yes</w:t>
                        </w:r>
                      </w:p>
                    </w:tc>
                    <w:tc>
                      <w:tcPr>
                        <w:tcW w:w="764" w:type="dxa"/>
                        <w:shd w:val="clear" w:color="auto" w:fill="F9FCF9"/>
                      </w:tcPr>
                      <w:p>
                        <w:pPr>
                          <w:pStyle w:val="TableParagraph"/>
                          <w:spacing w:line="159" w:lineRule="exact"/>
                          <w:ind w:left="30" w:right="10"/>
                          <w:rPr>
                            <w:sz w:val="14"/>
                          </w:rPr>
                        </w:pPr>
                        <w:r>
                          <w:rPr>
                            <w:sz w:val="14"/>
                          </w:rPr>
                          <w:t>yes</w:t>
                        </w:r>
                      </w:p>
                    </w:tc>
                    <w:tc>
                      <w:tcPr>
                        <w:tcW w:w="1420" w:type="dxa"/>
                        <w:shd w:val="clear" w:color="auto" w:fill="F9FCF9"/>
                      </w:tcPr>
                      <w:p>
                        <w:pPr>
                          <w:pStyle w:val="TableParagraph"/>
                          <w:spacing w:line="159" w:lineRule="exact"/>
                          <w:ind w:left="92" w:right="70"/>
                          <w:rPr>
                            <w:sz w:val="14"/>
                          </w:rPr>
                        </w:pPr>
                        <w:r>
                          <w:rPr>
                            <w:sz w:val="14"/>
                          </w:rPr>
                          <w:t>yes</w:t>
                        </w:r>
                      </w:p>
                    </w:tc>
                  </w:tr>
                  <w:tr>
                    <w:trPr>
                      <w:trHeight w:val="319" w:hRule="atLeast"/>
                    </w:trPr>
                    <w:tc>
                      <w:tcPr>
                        <w:tcW w:w="2334" w:type="dxa"/>
                        <w:shd w:val="clear" w:color="auto" w:fill="F9FCF9"/>
                      </w:tcPr>
                      <w:p>
                        <w:pPr>
                          <w:pStyle w:val="TableParagraph"/>
                          <w:spacing w:line="181" w:lineRule="exact"/>
                          <w:ind w:left="26"/>
                          <w:jc w:val="left"/>
                          <w:rPr>
                            <w:sz w:val="14"/>
                          </w:rPr>
                        </w:pPr>
                        <w:r>
                          <w:rPr>
                            <w:sz w:val="14"/>
                          </w:rPr>
                          <w:t>CO</w:t>
                        </w:r>
                        <w:r>
                          <w:rPr>
                            <w:position w:val="-4"/>
                            <w:sz w:val="8"/>
                          </w:rPr>
                          <w:t>2</w:t>
                        </w:r>
                        <w:r>
                          <w:rPr>
                            <w:sz w:val="14"/>
                          </w:rPr>
                          <w:t>emission rate after capture</w:t>
                        </w:r>
                      </w:p>
                      <w:p>
                        <w:pPr>
                          <w:pStyle w:val="TableParagraph"/>
                          <w:spacing w:line="119" w:lineRule="exact"/>
                          <w:ind w:left="26"/>
                          <w:jc w:val="left"/>
                          <w:rPr>
                            <w:sz w:val="14"/>
                          </w:rPr>
                        </w:pPr>
                        <w:r>
                          <w:rPr>
                            <w:sz w:val="14"/>
                          </w:rPr>
                          <w:t>(kgCO MWh</w:t>
                        </w:r>
                        <w:r>
                          <w:rPr>
                            <w:position w:val="5"/>
                            <w:sz w:val="8"/>
                          </w:rPr>
                          <w:t>−1</w:t>
                        </w:r>
                        <w:r>
                          <w:rPr>
                            <w:sz w:val="14"/>
                          </w:rPr>
                          <w:t>)</w:t>
                        </w:r>
                      </w:p>
                    </w:tc>
                    <w:tc>
                      <w:tcPr>
                        <w:tcW w:w="980" w:type="dxa"/>
                        <w:shd w:val="clear" w:color="auto" w:fill="F9FCF9"/>
                      </w:tcPr>
                      <w:p>
                        <w:pPr>
                          <w:pStyle w:val="TableParagraph"/>
                          <w:jc w:val="left"/>
                          <w:rPr>
                            <w:sz w:val="12"/>
                          </w:rPr>
                        </w:pPr>
                      </w:p>
                    </w:tc>
                    <w:tc>
                      <w:tcPr>
                        <w:tcW w:w="840" w:type="dxa"/>
                        <w:shd w:val="clear" w:color="auto" w:fill="F9FCF9"/>
                      </w:tcPr>
                      <w:p>
                        <w:pPr>
                          <w:pStyle w:val="TableParagraph"/>
                          <w:jc w:val="left"/>
                          <w:rPr>
                            <w:sz w:val="12"/>
                          </w:rPr>
                        </w:pPr>
                      </w:p>
                    </w:tc>
                    <w:tc>
                      <w:tcPr>
                        <w:tcW w:w="820" w:type="dxa"/>
                        <w:shd w:val="clear" w:color="auto" w:fill="F9FCF9"/>
                      </w:tcPr>
                      <w:p>
                        <w:pPr>
                          <w:pStyle w:val="TableParagraph"/>
                          <w:jc w:val="left"/>
                          <w:rPr>
                            <w:sz w:val="12"/>
                          </w:rPr>
                        </w:pPr>
                      </w:p>
                    </w:tc>
                    <w:tc>
                      <w:tcPr>
                        <w:tcW w:w="902" w:type="dxa"/>
                        <w:shd w:val="clear" w:color="auto" w:fill="F9FCF9"/>
                      </w:tcPr>
                      <w:p>
                        <w:pPr>
                          <w:pStyle w:val="TableParagraph"/>
                          <w:jc w:val="left"/>
                          <w:rPr>
                            <w:sz w:val="12"/>
                          </w:rPr>
                        </w:pPr>
                      </w:p>
                    </w:tc>
                    <w:tc>
                      <w:tcPr>
                        <w:tcW w:w="872" w:type="dxa"/>
                        <w:shd w:val="clear" w:color="auto" w:fill="F9FCF9"/>
                      </w:tcPr>
                      <w:p>
                        <w:pPr>
                          <w:pStyle w:val="TableParagraph"/>
                          <w:jc w:val="left"/>
                          <w:rPr>
                            <w:sz w:val="12"/>
                          </w:rPr>
                        </w:pPr>
                      </w:p>
                    </w:tc>
                    <w:tc>
                      <w:tcPr>
                        <w:tcW w:w="830" w:type="dxa"/>
                        <w:shd w:val="clear" w:color="auto" w:fill="F9FCF9"/>
                      </w:tcPr>
                      <w:p>
                        <w:pPr>
                          <w:pStyle w:val="TableParagraph"/>
                          <w:jc w:val="left"/>
                          <w:rPr>
                            <w:sz w:val="12"/>
                          </w:rPr>
                        </w:pPr>
                      </w:p>
                    </w:tc>
                    <w:tc>
                      <w:tcPr>
                        <w:tcW w:w="898" w:type="dxa"/>
                        <w:shd w:val="clear" w:color="auto" w:fill="F9FCF9"/>
                      </w:tcPr>
                      <w:p>
                        <w:pPr>
                          <w:pStyle w:val="TableParagraph"/>
                          <w:jc w:val="left"/>
                          <w:rPr>
                            <w:sz w:val="12"/>
                          </w:rPr>
                        </w:pPr>
                      </w:p>
                    </w:tc>
                    <w:tc>
                      <w:tcPr>
                        <w:tcW w:w="718" w:type="dxa"/>
                        <w:shd w:val="clear" w:color="auto" w:fill="F9FCF9"/>
                      </w:tcPr>
                      <w:p>
                        <w:pPr>
                          <w:pStyle w:val="TableParagraph"/>
                          <w:spacing w:line="159" w:lineRule="exact"/>
                          <w:ind w:left="36" w:right="21"/>
                          <w:rPr>
                            <w:sz w:val="14"/>
                          </w:rPr>
                        </w:pPr>
                        <w:r>
                          <w:rPr>
                            <w:sz w:val="14"/>
                          </w:rPr>
                          <w:t>0.09</w:t>
                        </w:r>
                      </w:p>
                    </w:tc>
                    <w:tc>
                      <w:tcPr>
                        <w:tcW w:w="622" w:type="dxa"/>
                        <w:shd w:val="clear" w:color="auto" w:fill="F9FCF9"/>
                      </w:tcPr>
                      <w:p>
                        <w:pPr>
                          <w:pStyle w:val="TableParagraph"/>
                          <w:spacing w:line="159" w:lineRule="exact"/>
                          <w:ind w:left="24" w:right="7"/>
                          <w:rPr>
                            <w:sz w:val="14"/>
                          </w:rPr>
                        </w:pPr>
                        <w:r>
                          <w:rPr>
                            <w:sz w:val="14"/>
                          </w:rPr>
                          <w:t>0.19</w:t>
                        </w:r>
                      </w:p>
                    </w:tc>
                    <w:tc>
                      <w:tcPr>
                        <w:tcW w:w="94" w:type="dxa"/>
                        <w:shd w:val="clear" w:color="auto" w:fill="F9FCF9"/>
                      </w:tcPr>
                      <w:p>
                        <w:pPr>
                          <w:pStyle w:val="TableParagraph"/>
                          <w:jc w:val="left"/>
                          <w:rPr>
                            <w:sz w:val="12"/>
                          </w:rPr>
                        </w:pPr>
                      </w:p>
                    </w:tc>
                    <w:tc>
                      <w:tcPr>
                        <w:tcW w:w="774" w:type="dxa"/>
                        <w:shd w:val="clear" w:color="auto" w:fill="F9FCF9"/>
                      </w:tcPr>
                      <w:p>
                        <w:pPr>
                          <w:pStyle w:val="TableParagraph"/>
                          <w:spacing w:line="159" w:lineRule="exact"/>
                          <w:ind w:left="65" w:right="47"/>
                          <w:rPr>
                            <w:sz w:val="14"/>
                          </w:rPr>
                        </w:pPr>
                        <w:r>
                          <w:rPr>
                            <w:sz w:val="14"/>
                          </w:rPr>
                          <w:t>0.09</w:t>
                        </w:r>
                      </w:p>
                    </w:tc>
                    <w:tc>
                      <w:tcPr>
                        <w:tcW w:w="682" w:type="dxa"/>
                        <w:shd w:val="clear" w:color="auto" w:fill="F9FCF9"/>
                      </w:tcPr>
                      <w:p>
                        <w:pPr>
                          <w:pStyle w:val="TableParagraph"/>
                          <w:spacing w:line="159" w:lineRule="exact"/>
                          <w:ind w:left="20" w:right="1"/>
                          <w:rPr>
                            <w:sz w:val="14"/>
                          </w:rPr>
                        </w:pPr>
                        <w:r>
                          <w:rPr>
                            <w:sz w:val="14"/>
                          </w:rPr>
                          <w:t>0.05</w:t>
                        </w:r>
                      </w:p>
                    </w:tc>
                    <w:tc>
                      <w:tcPr>
                        <w:tcW w:w="764" w:type="dxa"/>
                        <w:shd w:val="clear" w:color="auto" w:fill="F9FCF9"/>
                      </w:tcPr>
                      <w:p>
                        <w:pPr>
                          <w:pStyle w:val="TableParagraph"/>
                          <w:spacing w:line="159" w:lineRule="exact"/>
                          <w:ind w:left="264"/>
                          <w:jc w:val="left"/>
                          <w:rPr>
                            <w:sz w:val="14"/>
                          </w:rPr>
                        </w:pPr>
                        <w:r>
                          <w:rPr>
                            <w:sz w:val="14"/>
                          </w:rPr>
                          <w:t>0.10</w:t>
                        </w:r>
                      </w:p>
                    </w:tc>
                    <w:tc>
                      <w:tcPr>
                        <w:tcW w:w="1420" w:type="dxa"/>
                        <w:shd w:val="clear" w:color="auto" w:fill="F9FCF9"/>
                      </w:tcPr>
                      <w:p>
                        <w:pPr>
                          <w:pStyle w:val="TableParagraph"/>
                          <w:spacing w:line="159" w:lineRule="exact"/>
                          <w:ind w:left="92" w:right="70"/>
                          <w:rPr>
                            <w:sz w:val="14"/>
                          </w:rPr>
                        </w:pPr>
                        <w:r>
                          <w:rPr>
                            <w:sz w:val="14"/>
                          </w:rPr>
                          <w:t>0.14</w:t>
                        </w:r>
                      </w:p>
                    </w:tc>
                  </w:tr>
                  <w:tr>
                    <w:trPr>
                      <w:trHeight w:val="151" w:hRule="atLeast"/>
                    </w:trPr>
                    <w:tc>
                      <w:tcPr>
                        <w:tcW w:w="2334" w:type="dxa"/>
                        <w:shd w:val="clear" w:color="auto" w:fill="F9FCF9"/>
                      </w:tcPr>
                      <w:p>
                        <w:pPr>
                          <w:pStyle w:val="TableParagraph"/>
                          <w:spacing w:line="132" w:lineRule="exact"/>
                          <w:ind w:left="26"/>
                          <w:jc w:val="left"/>
                          <w:rPr>
                            <w:sz w:val="14"/>
                          </w:rPr>
                        </w:pPr>
                        <w:r>
                          <w:rPr>
                            <w:sz w:val="14"/>
                          </w:rPr>
                          <w:t>CO captured (Mt yr</w:t>
                        </w:r>
                        <w:r>
                          <w:rPr>
                            <w:position w:val="5"/>
                            <w:sz w:val="8"/>
                          </w:rPr>
                          <w:t>−1</w:t>
                        </w:r>
                        <w:r>
                          <w:rPr>
                            <w:sz w:val="14"/>
                          </w:rPr>
                          <w:t>)</w:t>
                        </w:r>
                      </w:p>
                    </w:tc>
                    <w:tc>
                      <w:tcPr>
                        <w:tcW w:w="980" w:type="dxa"/>
                        <w:shd w:val="clear" w:color="auto" w:fill="F9FCF9"/>
                      </w:tcPr>
                      <w:p>
                        <w:pPr>
                          <w:pStyle w:val="TableParagraph"/>
                          <w:spacing w:line="132" w:lineRule="exact"/>
                          <w:ind w:left="33" w:right="21"/>
                          <w:rPr>
                            <w:sz w:val="14"/>
                          </w:rPr>
                        </w:pPr>
                        <w:r>
                          <w:rPr>
                            <w:sz w:val="14"/>
                          </w:rPr>
                          <w:t>2.795</w:t>
                        </w:r>
                      </w:p>
                    </w:tc>
                    <w:tc>
                      <w:tcPr>
                        <w:tcW w:w="840" w:type="dxa"/>
                        <w:shd w:val="clear" w:color="auto" w:fill="F9FCF9"/>
                      </w:tcPr>
                      <w:p>
                        <w:pPr>
                          <w:pStyle w:val="TableParagraph"/>
                          <w:spacing w:line="132" w:lineRule="exact"/>
                          <w:ind w:left="73" w:right="61"/>
                          <w:rPr>
                            <w:sz w:val="14"/>
                          </w:rPr>
                        </w:pPr>
                        <w:r>
                          <w:rPr>
                            <w:sz w:val="14"/>
                          </w:rPr>
                          <w:t>1.013</w:t>
                        </w:r>
                      </w:p>
                    </w:tc>
                    <w:tc>
                      <w:tcPr>
                        <w:tcW w:w="820" w:type="dxa"/>
                        <w:shd w:val="clear" w:color="auto" w:fill="F9FCF9"/>
                      </w:tcPr>
                      <w:p>
                        <w:pPr>
                          <w:pStyle w:val="TableParagraph"/>
                          <w:spacing w:line="132" w:lineRule="exact"/>
                          <w:ind w:left="63" w:right="51"/>
                          <w:rPr>
                            <w:sz w:val="14"/>
                          </w:rPr>
                        </w:pPr>
                        <w:r>
                          <w:rPr>
                            <w:sz w:val="14"/>
                          </w:rPr>
                          <w:t>1.175</w:t>
                        </w:r>
                      </w:p>
                    </w:tc>
                    <w:tc>
                      <w:tcPr>
                        <w:tcW w:w="902" w:type="dxa"/>
                        <w:shd w:val="clear" w:color="auto" w:fill="F9FCF9"/>
                      </w:tcPr>
                      <w:p>
                        <w:pPr>
                          <w:pStyle w:val="TableParagraph"/>
                          <w:spacing w:line="132" w:lineRule="exact"/>
                          <w:ind w:left="62" w:right="50"/>
                          <w:rPr>
                            <w:sz w:val="14"/>
                          </w:rPr>
                        </w:pPr>
                        <w:r>
                          <w:rPr>
                            <w:sz w:val="14"/>
                          </w:rPr>
                          <w:t>1.970</w:t>
                        </w:r>
                      </w:p>
                    </w:tc>
                    <w:tc>
                      <w:tcPr>
                        <w:tcW w:w="872" w:type="dxa"/>
                        <w:shd w:val="clear" w:color="auto" w:fill="F9FCF9"/>
                      </w:tcPr>
                      <w:p>
                        <w:pPr>
                          <w:pStyle w:val="TableParagraph"/>
                          <w:spacing w:line="132" w:lineRule="exact"/>
                          <w:ind w:left="40" w:right="27"/>
                          <w:rPr>
                            <w:sz w:val="14"/>
                          </w:rPr>
                        </w:pPr>
                        <w:r>
                          <w:rPr>
                            <w:sz w:val="14"/>
                          </w:rPr>
                          <w:t>0.969</w:t>
                        </w:r>
                      </w:p>
                    </w:tc>
                    <w:tc>
                      <w:tcPr>
                        <w:tcW w:w="830" w:type="dxa"/>
                        <w:shd w:val="clear" w:color="auto" w:fill="F9FCF9"/>
                      </w:tcPr>
                      <w:p>
                        <w:pPr>
                          <w:pStyle w:val="TableParagraph"/>
                          <w:spacing w:line="132" w:lineRule="exact"/>
                          <w:ind w:left="19" w:right="5"/>
                          <w:rPr>
                            <w:sz w:val="14"/>
                          </w:rPr>
                        </w:pPr>
                        <w:r>
                          <w:rPr>
                            <w:sz w:val="14"/>
                          </w:rPr>
                          <w:t>0.399</w:t>
                        </w:r>
                      </w:p>
                    </w:tc>
                    <w:tc>
                      <w:tcPr>
                        <w:tcW w:w="898" w:type="dxa"/>
                        <w:shd w:val="clear" w:color="auto" w:fill="F9FCF9"/>
                      </w:tcPr>
                      <w:p>
                        <w:pPr>
                          <w:pStyle w:val="TableParagraph"/>
                          <w:spacing w:line="132" w:lineRule="exact"/>
                          <w:ind w:left="76" w:right="61"/>
                          <w:rPr>
                            <w:sz w:val="14"/>
                          </w:rPr>
                        </w:pPr>
                        <w:r>
                          <w:rPr>
                            <w:sz w:val="14"/>
                          </w:rPr>
                          <w:t>0.560</w:t>
                        </w:r>
                      </w:p>
                    </w:tc>
                    <w:tc>
                      <w:tcPr>
                        <w:tcW w:w="718" w:type="dxa"/>
                        <w:shd w:val="clear" w:color="auto" w:fill="F9FCF9"/>
                      </w:tcPr>
                      <w:p>
                        <w:pPr>
                          <w:pStyle w:val="TableParagraph"/>
                          <w:jc w:val="left"/>
                          <w:rPr>
                            <w:sz w:val="8"/>
                          </w:rPr>
                        </w:pPr>
                      </w:p>
                    </w:tc>
                    <w:tc>
                      <w:tcPr>
                        <w:tcW w:w="622" w:type="dxa"/>
                        <w:shd w:val="clear" w:color="auto" w:fill="F9FCF9"/>
                      </w:tcPr>
                      <w:p>
                        <w:pPr>
                          <w:pStyle w:val="TableParagraph"/>
                          <w:jc w:val="left"/>
                          <w:rPr>
                            <w:sz w:val="8"/>
                          </w:rPr>
                        </w:pPr>
                      </w:p>
                    </w:tc>
                    <w:tc>
                      <w:tcPr>
                        <w:tcW w:w="94" w:type="dxa"/>
                        <w:shd w:val="clear" w:color="auto" w:fill="F9FCF9"/>
                      </w:tcPr>
                      <w:p>
                        <w:pPr>
                          <w:pStyle w:val="TableParagraph"/>
                          <w:jc w:val="left"/>
                          <w:rPr>
                            <w:sz w:val="8"/>
                          </w:rPr>
                        </w:pPr>
                      </w:p>
                    </w:tc>
                    <w:tc>
                      <w:tcPr>
                        <w:tcW w:w="774" w:type="dxa"/>
                        <w:shd w:val="clear" w:color="auto" w:fill="F9FCF9"/>
                      </w:tcPr>
                      <w:p>
                        <w:pPr>
                          <w:pStyle w:val="TableParagraph"/>
                          <w:jc w:val="left"/>
                          <w:rPr>
                            <w:sz w:val="8"/>
                          </w:rPr>
                        </w:pPr>
                      </w:p>
                    </w:tc>
                    <w:tc>
                      <w:tcPr>
                        <w:tcW w:w="682" w:type="dxa"/>
                        <w:shd w:val="clear" w:color="auto" w:fill="F9FCF9"/>
                      </w:tcPr>
                      <w:p>
                        <w:pPr>
                          <w:pStyle w:val="TableParagraph"/>
                          <w:jc w:val="left"/>
                          <w:rPr>
                            <w:sz w:val="8"/>
                          </w:rPr>
                        </w:pPr>
                      </w:p>
                    </w:tc>
                    <w:tc>
                      <w:tcPr>
                        <w:tcW w:w="764" w:type="dxa"/>
                        <w:shd w:val="clear" w:color="auto" w:fill="F9FCF9"/>
                      </w:tcPr>
                      <w:p>
                        <w:pPr>
                          <w:pStyle w:val="TableParagraph"/>
                          <w:jc w:val="left"/>
                          <w:rPr>
                            <w:sz w:val="8"/>
                          </w:rPr>
                        </w:pPr>
                      </w:p>
                    </w:tc>
                    <w:tc>
                      <w:tcPr>
                        <w:tcW w:w="1420" w:type="dxa"/>
                        <w:shd w:val="clear" w:color="auto" w:fill="F9FCF9"/>
                      </w:tcPr>
                      <w:p>
                        <w:pPr>
                          <w:pStyle w:val="TableParagraph"/>
                          <w:jc w:val="left"/>
                          <w:rPr>
                            <w:sz w:val="8"/>
                          </w:rPr>
                        </w:pPr>
                      </w:p>
                    </w:tc>
                  </w:tr>
                  <w:tr>
                    <w:trPr>
                      <w:trHeight w:val="151" w:hRule="atLeast"/>
                    </w:trPr>
                    <w:tc>
                      <w:tcPr>
                        <w:tcW w:w="2334" w:type="dxa"/>
                        <w:shd w:val="clear" w:color="auto" w:fill="F9FCF9"/>
                      </w:tcPr>
                      <w:p>
                        <w:pPr>
                          <w:pStyle w:val="TableParagraph"/>
                          <w:spacing w:line="132" w:lineRule="exact"/>
                          <w:ind w:left="26"/>
                          <w:jc w:val="left"/>
                          <w:rPr>
                            <w:sz w:val="14"/>
                          </w:rPr>
                        </w:pPr>
                        <w:r>
                          <w:rPr>
                            <w:sz w:val="14"/>
                          </w:rPr>
                          <w:t>CO</w:t>
                        </w:r>
                        <w:r>
                          <w:rPr>
                            <w:position w:val="-4"/>
                            <w:sz w:val="8"/>
                          </w:rPr>
                          <w:t>2</w:t>
                        </w:r>
                        <w:r>
                          <w:rPr>
                            <w:sz w:val="14"/>
                          </w:rPr>
                          <w:t>product pressure (MPa)</w:t>
                        </w:r>
                      </w:p>
                    </w:tc>
                    <w:tc>
                      <w:tcPr>
                        <w:tcW w:w="980" w:type="dxa"/>
                        <w:shd w:val="clear" w:color="auto" w:fill="F9FCF9"/>
                      </w:tcPr>
                      <w:p>
                        <w:pPr>
                          <w:pStyle w:val="TableParagraph"/>
                          <w:spacing w:line="132" w:lineRule="exact"/>
                          <w:ind w:left="33" w:right="21"/>
                          <w:rPr>
                            <w:sz w:val="14"/>
                          </w:rPr>
                        </w:pPr>
                        <w:r>
                          <w:rPr>
                            <w:sz w:val="14"/>
                          </w:rPr>
                          <w:t>11.0</w:t>
                        </w:r>
                      </w:p>
                    </w:tc>
                    <w:tc>
                      <w:tcPr>
                        <w:tcW w:w="840" w:type="dxa"/>
                        <w:shd w:val="clear" w:color="auto" w:fill="F9FCF9"/>
                      </w:tcPr>
                      <w:p>
                        <w:pPr>
                          <w:pStyle w:val="TableParagraph"/>
                          <w:spacing w:line="132" w:lineRule="exact"/>
                          <w:ind w:left="73" w:right="61"/>
                          <w:rPr>
                            <w:sz w:val="14"/>
                          </w:rPr>
                        </w:pPr>
                        <w:r>
                          <w:rPr>
                            <w:sz w:val="14"/>
                          </w:rPr>
                          <w:t>11.0</w:t>
                        </w:r>
                      </w:p>
                    </w:tc>
                    <w:tc>
                      <w:tcPr>
                        <w:tcW w:w="820" w:type="dxa"/>
                        <w:shd w:val="clear" w:color="auto" w:fill="F9FCF9"/>
                      </w:tcPr>
                      <w:p>
                        <w:pPr>
                          <w:pStyle w:val="TableParagraph"/>
                          <w:spacing w:line="132" w:lineRule="exact"/>
                          <w:ind w:left="63" w:right="51"/>
                          <w:rPr>
                            <w:sz w:val="14"/>
                          </w:rPr>
                        </w:pPr>
                        <w:r>
                          <w:rPr>
                            <w:sz w:val="14"/>
                          </w:rPr>
                          <w:t>11.0</w:t>
                        </w:r>
                      </w:p>
                    </w:tc>
                    <w:tc>
                      <w:tcPr>
                        <w:tcW w:w="902" w:type="dxa"/>
                        <w:shd w:val="clear" w:color="auto" w:fill="F9FCF9"/>
                      </w:tcPr>
                      <w:p>
                        <w:pPr>
                          <w:pStyle w:val="TableParagraph"/>
                          <w:spacing w:line="132" w:lineRule="exact"/>
                          <w:ind w:left="62" w:right="50"/>
                          <w:rPr>
                            <w:sz w:val="14"/>
                          </w:rPr>
                        </w:pPr>
                        <w:r>
                          <w:rPr>
                            <w:sz w:val="14"/>
                          </w:rPr>
                          <w:t>8.0</w:t>
                        </w:r>
                      </w:p>
                    </w:tc>
                    <w:tc>
                      <w:tcPr>
                        <w:tcW w:w="872" w:type="dxa"/>
                        <w:shd w:val="clear" w:color="auto" w:fill="F9FCF9"/>
                      </w:tcPr>
                      <w:p>
                        <w:pPr>
                          <w:pStyle w:val="TableParagraph"/>
                          <w:spacing w:line="132" w:lineRule="exact"/>
                          <w:ind w:left="40" w:right="27"/>
                          <w:rPr>
                            <w:sz w:val="14"/>
                          </w:rPr>
                        </w:pPr>
                        <w:r>
                          <w:rPr>
                            <w:sz w:val="14"/>
                          </w:rPr>
                          <w:t>10.0</w:t>
                        </w:r>
                      </w:p>
                    </w:tc>
                    <w:tc>
                      <w:tcPr>
                        <w:tcW w:w="830" w:type="dxa"/>
                        <w:shd w:val="clear" w:color="auto" w:fill="F9FCF9"/>
                      </w:tcPr>
                      <w:p>
                        <w:pPr>
                          <w:pStyle w:val="TableParagraph"/>
                          <w:spacing w:line="132" w:lineRule="exact"/>
                          <w:ind w:left="19" w:right="5"/>
                          <w:rPr>
                            <w:sz w:val="14"/>
                          </w:rPr>
                        </w:pPr>
                        <w:r>
                          <w:rPr>
                            <w:sz w:val="14"/>
                          </w:rPr>
                          <w:t>10.0</w:t>
                        </w:r>
                      </w:p>
                    </w:tc>
                    <w:tc>
                      <w:tcPr>
                        <w:tcW w:w="898" w:type="dxa"/>
                        <w:shd w:val="clear" w:color="auto" w:fill="F9FCF9"/>
                      </w:tcPr>
                      <w:p>
                        <w:pPr>
                          <w:pStyle w:val="TableParagraph"/>
                          <w:spacing w:line="132" w:lineRule="exact"/>
                          <w:ind w:left="76" w:right="61"/>
                          <w:rPr>
                            <w:sz w:val="14"/>
                          </w:rPr>
                        </w:pPr>
                        <w:r>
                          <w:rPr>
                            <w:sz w:val="14"/>
                          </w:rPr>
                          <w:t>10.0</w:t>
                        </w:r>
                      </w:p>
                    </w:tc>
                    <w:tc>
                      <w:tcPr>
                        <w:tcW w:w="718" w:type="dxa"/>
                        <w:shd w:val="clear" w:color="auto" w:fill="F9FCF9"/>
                      </w:tcPr>
                      <w:p>
                        <w:pPr>
                          <w:pStyle w:val="TableParagraph"/>
                          <w:jc w:val="left"/>
                          <w:rPr>
                            <w:sz w:val="8"/>
                          </w:rPr>
                        </w:pPr>
                      </w:p>
                    </w:tc>
                    <w:tc>
                      <w:tcPr>
                        <w:tcW w:w="622" w:type="dxa"/>
                        <w:shd w:val="clear" w:color="auto" w:fill="F9FCF9"/>
                      </w:tcPr>
                      <w:p>
                        <w:pPr>
                          <w:pStyle w:val="TableParagraph"/>
                          <w:jc w:val="left"/>
                          <w:rPr>
                            <w:sz w:val="8"/>
                          </w:rPr>
                        </w:pPr>
                      </w:p>
                    </w:tc>
                    <w:tc>
                      <w:tcPr>
                        <w:tcW w:w="94" w:type="dxa"/>
                        <w:shd w:val="clear" w:color="auto" w:fill="F9FCF9"/>
                      </w:tcPr>
                      <w:p>
                        <w:pPr>
                          <w:pStyle w:val="TableParagraph"/>
                          <w:jc w:val="left"/>
                          <w:rPr>
                            <w:sz w:val="8"/>
                          </w:rPr>
                        </w:pPr>
                      </w:p>
                    </w:tc>
                    <w:tc>
                      <w:tcPr>
                        <w:tcW w:w="774" w:type="dxa"/>
                        <w:shd w:val="clear" w:color="auto" w:fill="F9FCF9"/>
                      </w:tcPr>
                      <w:p>
                        <w:pPr>
                          <w:pStyle w:val="TableParagraph"/>
                          <w:jc w:val="left"/>
                          <w:rPr>
                            <w:sz w:val="8"/>
                          </w:rPr>
                        </w:pPr>
                      </w:p>
                    </w:tc>
                    <w:tc>
                      <w:tcPr>
                        <w:tcW w:w="682" w:type="dxa"/>
                        <w:shd w:val="clear" w:color="auto" w:fill="F9FCF9"/>
                      </w:tcPr>
                      <w:p>
                        <w:pPr>
                          <w:pStyle w:val="TableParagraph"/>
                          <w:jc w:val="left"/>
                          <w:rPr>
                            <w:sz w:val="8"/>
                          </w:rPr>
                        </w:pPr>
                      </w:p>
                    </w:tc>
                    <w:tc>
                      <w:tcPr>
                        <w:tcW w:w="764" w:type="dxa"/>
                        <w:shd w:val="clear" w:color="auto" w:fill="F9FCF9"/>
                      </w:tcPr>
                      <w:p>
                        <w:pPr>
                          <w:pStyle w:val="TableParagraph"/>
                          <w:jc w:val="left"/>
                          <w:rPr>
                            <w:sz w:val="8"/>
                          </w:rPr>
                        </w:pPr>
                      </w:p>
                    </w:tc>
                    <w:tc>
                      <w:tcPr>
                        <w:tcW w:w="1420" w:type="dxa"/>
                        <w:shd w:val="clear" w:color="auto" w:fill="F9FCF9"/>
                      </w:tcPr>
                      <w:p>
                        <w:pPr>
                          <w:pStyle w:val="TableParagraph"/>
                          <w:jc w:val="left"/>
                          <w:rPr>
                            <w:sz w:val="8"/>
                          </w:rPr>
                        </w:pPr>
                      </w:p>
                    </w:tc>
                  </w:tr>
                  <w:tr>
                    <w:trPr>
                      <w:trHeight w:val="319" w:hRule="atLeast"/>
                    </w:trPr>
                    <w:tc>
                      <w:tcPr>
                        <w:tcW w:w="2334" w:type="dxa"/>
                        <w:shd w:val="clear" w:color="auto" w:fill="F9FCF9"/>
                      </w:tcPr>
                      <w:p>
                        <w:pPr>
                          <w:pStyle w:val="TableParagraph"/>
                          <w:spacing w:line="181" w:lineRule="exact"/>
                          <w:ind w:left="26"/>
                          <w:jc w:val="left"/>
                          <w:rPr>
                            <w:b/>
                            <w:sz w:val="14"/>
                          </w:rPr>
                        </w:pPr>
                        <w:r>
                          <w:rPr>
                            <w:b/>
                            <w:sz w:val="14"/>
                          </w:rPr>
                          <w:t>CO</w:t>
                        </w:r>
                        <w:r>
                          <w:rPr>
                            <w:b/>
                            <w:position w:val="-4"/>
                            <w:sz w:val="8"/>
                          </w:rPr>
                          <w:t>2 </w:t>
                        </w:r>
                        <w:r>
                          <w:rPr>
                            <w:b/>
                            <w:sz w:val="14"/>
                          </w:rPr>
                          <w:t>reduction per unit of product</w:t>
                        </w:r>
                      </w:p>
                      <w:p>
                        <w:pPr>
                          <w:pStyle w:val="TableParagraph"/>
                          <w:spacing w:line="119" w:lineRule="exact"/>
                          <w:ind w:left="26"/>
                          <w:jc w:val="left"/>
                          <w:rPr>
                            <w:b/>
                            <w:sz w:val="14"/>
                          </w:rPr>
                        </w:pPr>
                        <w:r>
                          <w:rPr>
                            <w:b/>
                            <w:sz w:val="14"/>
                          </w:rPr>
                          <w:t>(%)</w:t>
                        </w:r>
                      </w:p>
                    </w:tc>
                    <w:tc>
                      <w:tcPr>
                        <w:tcW w:w="980" w:type="dxa"/>
                        <w:shd w:val="clear" w:color="auto" w:fill="F9FCF9"/>
                      </w:tcPr>
                      <w:p>
                        <w:pPr>
                          <w:pStyle w:val="TableParagraph"/>
                          <w:jc w:val="left"/>
                          <w:rPr>
                            <w:sz w:val="12"/>
                          </w:rPr>
                        </w:pPr>
                      </w:p>
                    </w:tc>
                    <w:tc>
                      <w:tcPr>
                        <w:tcW w:w="840" w:type="dxa"/>
                        <w:shd w:val="clear" w:color="auto" w:fill="F9FCF9"/>
                      </w:tcPr>
                      <w:p>
                        <w:pPr>
                          <w:pStyle w:val="TableParagraph"/>
                          <w:jc w:val="left"/>
                          <w:rPr>
                            <w:sz w:val="12"/>
                          </w:rPr>
                        </w:pPr>
                      </w:p>
                    </w:tc>
                    <w:tc>
                      <w:tcPr>
                        <w:tcW w:w="820" w:type="dxa"/>
                        <w:shd w:val="clear" w:color="auto" w:fill="F9FCF9"/>
                      </w:tcPr>
                      <w:p>
                        <w:pPr>
                          <w:pStyle w:val="TableParagraph"/>
                          <w:jc w:val="left"/>
                          <w:rPr>
                            <w:sz w:val="12"/>
                          </w:rPr>
                        </w:pPr>
                      </w:p>
                    </w:tc>
                    <w:tc>
                      <w:tcPr>
                        <w:tcW w:w="902" w:type="dxa"/>
                        <w:shd w:val="clear" w:color="auto" w:fill="F9FCF9"/>
                      </w:tcPr>
                      <w:p>
                        <w:pPr>
                          <w:pStyle w:val="TableParagraph"/>
                          <w:jc w:val="left"/>
                          <w:rPr>
                            <w:sz w:val="12"/>
                          </w:rPr>
                        </w:pPr>
                      </w:p>
                    </w:tc>
                    <w:tc>
                      <w:tcPr>
                        <w:tcW w:w="872" w:type="dxa"/>
                        <w:shd w:val="clear" w:color="auto" w:fill="F9FCF9"/>
                      </w:tcPr>
                      <w:p>
                        <w:pPr>
                          <w:pStyle w:val="TableParagraph"/>
                          <w:jc w:val="left"/>
                          <w:rPr>
                            <w:sz w:val="12"/>
                          </w:rPr>
                        </w:pPr>
                      </w:p>
                    </w:tc>
                    <w:tc>
                      <w:tcPr>
                        <w:tcW w:w="830" w:type="dxa"/>
                        <w:shd w:val="clear" w:color="auto" w:fill="F9FCF9"/>
                      </w:tcPr>
                      <w:p>
                        <w:pPr>
                          <w:pStyle w:val="TableParagraph"/>
                          <w:jc w:val="left"/>
                          <w:rPr>
                            <w:sz w:val="12"/>
                          </w:rPr>
                        </w:pPr>
                      </w:p>
                    </w:tc>
                    <w:tc>
                      <w:tcPr>
                        <w:tcW w:w="898" w:type="dxa"/>
                        <w:shd w:val="clear" w:color="auto" w:fill="F9FCF9"/>
                      </w:tcPr>
                      <w:p>
                        <w:pPr>
                          <w:pStyle w:val="TableParagraph"/>
                          <w:jc w:val="left"/>
                          <w:rPr>
                            <w:sz w:val="12"/>
                          </w:rPr>
                        </w:pPr>
                      </w:p>
                    </w:tc>
                    <w:tc>
                      <w:tcPr>
                        <w:tcW w:w="718" w:type="dxa"/>
                        <w:shd w:val="clear" w:color="auto" w:fill="F9FCF9"/>
                      </w:tcPr>
                      <w:p>
                        <w:pPr>
                          <w:pStyle w:val="TableParagraph"/>
                          <w:spacing w:line="159" w:lineRule="exact"/>
                          <w:ind w:left="36" w:right="21"/>
                          <w:rPr>
                            <w:sz w:val="14"/>
                          </w:rPr>
                        </w:pPr>
                        <w:r>
                          <w:rPr>
                            <w:sz w:val="14"/>
                          </w:rPr>
                          <w:t>60.3</w:t>
                        </w:r>
                      </w:p>
                    </w:tc>
                    <w:tc>
                      <w:tcPr>
                        <w:tcW w:w="622" w:type="dxa"/>
                        <w:shd w:val="clear" w:color="auto" w:fill="F9FCF9"/>
                      </w:tcPr>
                      <w:p>
                        <w:pPr>
                          <w:pStyle w:val="TableParagraph"/>
                          <w:spacing w:line="159" w:lineRule="exact"/>
                          <w:ind w:left="24" w:right="7"/>
                          <w:rPr>
                            <w:sz w:val="14"/>
                          </w:rPr>
                        </w:pPr>
                        <w:r>
                          <w:rPr>
                            <w:sz w:val="14"/>
                          </w:rPr>
                          <w:t>76.5</w:t>
                        </w:r>
                      </w:p>
                    </w:tc>
                    <w:tc>
                      <w:tcPr>
                        <w:tcW w:w="94" w:type="dxa"/>
                        <w:shd w:val="clear" w:color="auto" w:fill="F9FCF9"/>
                      </w:tcPr>
                      <w:p>
                        <w:pPr>
                          <w:pStyle w:val="TableParagraph"/>
                          <w:jc w:val="left"/>
                          <w:rPr>
                            <w:sz w:val="12"/>
                          </w:rPr>
                        </w:pPr>
                      </w:p>
                    </w:tc>
                    <w:tc>
                      <w:tcPr>
                        <w:tcW w:w="774" w:type="dxa"/>
                        <w:shd w:val="clear" w:color="auto" w:fill="F9FCF9"/>
                      </w:tcPr>
                      <w:p>
                        <w:pPr>
                          <w:pStyle w:val="TableParagraph"/>
                          <w:spacing w:line="159" w:lineRule="exact"/>
                          <w:ind w:left="65" w:right="47"/>
                          <w:rPr>
                            <w:sz w:val="14"/>
                          </w:rPr>
                        </w:pPr>
                        <w:r>
                          <w:rPr>
                            <w:sz w:val="14"/>
                          </w:rPr>
                          <w:t>58.4</w:t>
                        </w:r>
                      </w:p>
                    </w:tc>
                    <w:tc>
                      <w:tcPr>
                        <w:tcW w:w="682" w:type="dxa"/>
                        <w:shd w:val="clear" w:color="auto" w:fill="F9FCF9"/>
                      </w:tcPr>
                      <w:p>
                        <w:pPr>
                          <w:pStyle w:val="TableParagraph"/>
                          <w:spacing w:line="159" w:lineRule="exact"/>
                          <w:ind w:left="20" w:right="1"/>
                          <w:rPr>
                            <w:sz w:val="14"/>
                          </w:rPr>
                        </w:pPr>
                        <w:r>
                          <w:rPr>
                            <w:sz w:val="14"/>
                          </w:rPr>
                          <w:t>75.8</w:t>
                        </w:r>
                      </w:p>
                    </w:tc>
                    <w:tc>
                      <w:tcPr>
                        <w:tcW w:w="764" w:type="dxa"/>
                        <w:shd w:val="clear" w:color="auto" w:fill="F9FCF9"/>
                      </w:tcPr>
                      <w:p>
                        <w:pPr>
                          <w:pStyle w:val="TableParagraph"/>
                          <w:spacing w:line="159" w:lineRule="exact"/>
                          <w:ind w:left="264"/>
                          <w:jc w:val="left"/>
                          <w:rPr>
                            <w:sz w:val="14"/>
                          </w:rPr>
                        </w:pPr>
                        <w:r>
                          <w:rPr>
                            <w:sz w:val="14"/>
                          </w:rPr>
                          <w:t>87.4</w:t>
                        </w:r>
                      </w:p>
                    </w:tc>
                    <w:tc>
                      <w:tcPr>
                        <w:tcW w:w="1420" w:type="dxa"/>
                        <w:shd w:val="clear" w:color="auto" w:fill="F9FCF9"/>
                      </w:tcPr>
                      <w:p>
                        <w:pPr>
                          <w:pStyle w:val="TableParagraph"/>
                          <w:spacing w:line="159" w:lineRule="exact"/>
                          <w:ind w:left="92" w:right="70"/>
                          <w:rPr>
                            <w:sz w:val="14"/>
                          </w:rPr>
                        </w:pPr>
                        <w:r>
                          <w:rPr>
                            <w:sz w:val="14"/>
                          </w:rPr>
                          <w:t>82.2</w:t>
                        </w:r>
                      </w:p>
                    </w:tc>
                  </w:tr>
                  <w:tr>
                    <w:trPr>
                      <w:trHeight w:val="151" w:hRule="atLeast"/>
                    </w:trPr>
                    <w:tc>
                      <w:tcPr>
                        <w:tcW w:w="2334" w:type="dxa"/>
                        <w:shd w:val="clear" w:color="auto" w:fill="F9FCF9"/>
                      </w:tcPr>
                      <w:p>
                        <w:pPr>
                          <w:pStyle w:val="TableParagraph"/>
                          <w:spacing w:line="132" w:lineRule="exact"/>
                          <w:ind w:left="166"/>
                          <w:jc w:val="left"/>
                          <w:rPr>
                            <w:b/>
                            <w:i/>
                            <w:sz w:val="14"/>
                          </w:rPr>
                        </w:pPr>
                        <w:r>
                          <w:rPr>
                            <w:b/>
                            <w:i/>
                            <w:sz w:val="14"/>
                          </w:rPr>
                          <w:t>Cost Results</w:t>
                        </w:r>
                      </w:p>
                    </w:tc>
                    <w:tc>
                      <w:tcPr>
                        <w:tcW w:w="980" w:type="dxa"/>
                        <w:shd w:val="clear" w:color="auto" w:fill="F9FCF9"/>
                      </w:tcPr>
                      <w:p>
                        <w:pPr>
                          <w:pStyle w:val="TableParagraph"/>
                          <w:jc w:val="left"/>
                          <w:rPr>
                            <w:sz w:val="8"/>
                          </w:rPr>
                        </w:pPr>
                      </w:p>
                    </w:tc>
                    <w:tc>
                      <w:tcPr>
                        <w:tcW w:w="840" w:type="dxa"/>
                        <w:shd w:val="clear" w:color="auto" w:fill="F9FCF9"/>
                      </w:tcPr>
                      <w:p>
                        <w:pPr>
                          <w:pStyle w:val="TableParagraph"/>
                          <w:jc w:val="left"/>
                          <w:rPr>
                            <w:sz w:val="8"/>
                          </w:rPr>
                        </w:pPr>
                      </w:p>
                    </w:tc>
                    <w:tc>
                      <w:tcPr>
                        <w:tcW w:w="820" w:type="dxa"/>
                        <w:shd w:val="clear" w:color="auto" w:fill="F9FCF9"/>
                      </w:tcPr>
                      <w:p>
                        <w:pPr>
                          <w:pStyle w:val="TableParagraph"/>
                          <w:jc w:val="left"/>
                          <w:rPr>
                            <w:sz w:val="8"/>
                          </w:rPr>
                        </w:pPr>
                      </w:p>
                    </w:tc>
                    <w:tc>
                      <w:tcPr>
                        <w:tcW w:w="902" w:type="dxa"/>
                        <w:shd w:val="clear" w:color="auto" w:fill="F9FCF9"/>
                      </w:tcPr>
                      <w:p>
                        <w:pPr>
                          <w:pStyle w:val="TableParagraph"/>
                          <w:jc w:val="left"/>
                          <w:rPr>
                            <w:sz w:val="8"/>
                          </w:rPr>
                        </w:pPr>
                      </w:p>
                    </w:tc>
                    <w:tc>
                      <w:tcPr>
                        <w:tcW w:w="872" w:type="dxa"/>
                        <w:shd w:val="clear" w:color="auto" w:fill="F9FCF9"/>
                      </w:tcPr>
                      <w:p>
                        <w:pPr>
                          <w:pStyle w:val="TableParagraph"/>
                          <w:jc w:val="left"/>
                          <w:rPr>
                            <w:sz w:val="8"/>
                          </w:rPr>
                        </w:pPr>
                      </w:p>
                    </w:tc>
                    <w:tc>
                      <w:tcPr>
                        <w:tcW w:w="830" w:type="dxa"/>
                        <w:shd w:val="clear" w:color="auto" w:fill="F9FCF9"/>
                      </w:tcPr>
                      <w:p>
                        <w:pPr>
                          <w:pStyle w:val="TableParagraph"/>
                          <w:jc w:val="left"/>
                          <w:rPr>
                            <w:sz w:val="8"/>
                          </w:rPr>
                        </w:pPr>
                      </w:p>
                    </w:tc>
                    <w:tc>
                      <w:tcPr>
                        <w:tcW w:w="898" w:type="dxa"/>
                        <w:shd w:val="clear" w:color="auto" w:fill="F9FCF9"/>
                      </w:tcPr>
                      <w:p>
                        <w:pPr>
                          <w:pStyle w:val="TableParagraph"/>
                          <w:jc w:val="left"/>
                          <w:rPr>
                            <w:sz w:val="8"/>
                          </w:rPr>
                        </w:pPr>
                      </w:p>
                    </w:tc>
                    <w:tc>
                      <w:tcPr>
                        <w:tcW w:w="718" w:type="dxa"/>
                        <w:shd w:val="clear" w:color="auto" w:fill="F9FCF9"/>
                      </w:tcPr>
                      <w:p>
                        <w:pPr>
                          <w:pStyle w:val="TableParagraph"/>
                          <w:jc w:val="left"/>
                          <w:rPr>
                            <w:sz w:val="8"/>
                          </w:rPr>
                        </w:pPr>
                      </w:p>
                    </w:tc>
                    <w:tc>
                      <w:tcPr>
                        <w:tcW w:w="622" w:type="dxa"/>
                        <w:shd w:val="clear" w:color="auto" w:fill="F9FCF9"/>
                      </w:tcPr>
                      <w:p>
                        <w:pPr>
                          <w:pStyle w:val="TableParagraph"/>
                          <w:jc w:val="left"/>
                          <w:rPr>
                            <w:sz w:val="8"/>
                          </w:rPr>
                        </w:pPr>
                      </w:p>
                    </w:tc>
                    <w:tc>
                      <w:tcPr>
                        <w:tcW w:w="94" w:type="dxa"/>
                        <w:shd w:val="clear" w:color="auto" w:fill="F9FCF9"/>
                      </w:tcPr>
                      <w:p>
                        <w:pPr>
                          <w:pStyle w:val="TableParagraph"/>
                          <w:jc w:val="left"/>
                          <w:rPr>
                            <w:sz w:val="8"/>
                          </w:rPr>
                        </w:pPr>
                      </w:p>
                    </w:tc>
                    <w:tc>
                      <w:tcPr>
                        <w:tcW w:w="774" w:type="dxa"/>
                        <w:shd w:val="clear" w:color="auto" w:fill="F9FCF9"/>
                      </w:tcPr>
                      <w:p>
                        <w:pPr>
                          <w:pStyle w:val="TableParagraph"/>
                          <w:jc w:val="left"/>
                          <w:rPr>
                            <w:sz w:val="8"/>
                          </w:rPr>
                        </w:pPr>
                      </w:p>
                    </w:tc>
                    <w:tc>
                      <w:tcPr>
                        <w:tcW w:w="682" w:type="dxa"/>
                        <w:shd w:val="clear" w:color="auto" w:fill="F9FCF9"/>
                      </w:tcPr>
                      <w:p>
                        <w:pPr>
                          <w:pStyle w:val="TableParagraph"/>
                          <w:jc w:val="left"/>
                          <w:rPr>
                            <w:sz w:val="8"/>
                          </w:rPr>
                        </w:pPr>
                      </w:p>
                    </w:tc>
                    <w:tc>
                      <w:tcPr>
                        <w:tcW w:w="764" w:type="dxa"/>
                        <w:shd w:val="clear" w:color="auto" w:fill="F9FCF9"/>
                      </w:tcPr>
                      <w:p>
                        <w:pPr>
                          <w:pStyle w:val="TableParagraph"/>
                          <w:jc w:val="left"/>
                          <w:rPr>
                            <w:sz w:val="8"/>
                          </w:rPr>
                        </w:pPr>
                      </w:p>
                    </w:tc>
                    <w:tc>
                      <w:tcPr>
                        <w:tcW w:w="1420" w:type="dxa"/>
                        <w:shd w:val="clear" w:color="auto" w:fill="F9FCF9"/>
                      </w:tcPr>
                      <w:p>
                        <w:pPr>
                          <w:pStyle w:val="TableParagraph"/>
                          <w:jc w:val="left"/>
                          <w:rPr>
                            <w:sz w:val="8"/>
                          </w:rPr>
                        </w:pPr>
                      </w:p>
                    </w:tc>
                  </w:tr>
                  <w:tr>
                    <w:trPr>
                      <w:trHeight w:val="151" w:hRule="atLeast"/>
                    </w:trPr>
                    <w:tc>
                      <w:tcPr>
                        <w:tcW w:w="2334" w:type="dxa"/>
                        <w:shd w:val="clear" w:color="auto" w:fill="F9FCF9"/>
                      </w:tcPr>
                      <w:p>
                        <w:pPr>
                          <w:pStyle w:val="TableParagraph"/>
                          <w:spacing w:line="132" w:lineRule="exact"/>
                          <w:ind w:left="26"/>
                          <w:jc w:val="left"/>
                          <w:rPr>
                            <w:sz w:val="14"/>
                          </w:rPr>
                        </w:pPr>
                        <w:r>
                          <w:rPr>
                            <w:sz w:val="14"/>
                          </w:rPr>
                          <w:t>Cost year basis (constant dollars)</w:t>
                        </w:r>
                      </w:p>
                    </w:tc>
                    <w:tc>
                      <w:tcPr>
                        <w:tcW w:w="980" w:type="dxa"/>
                        <w:shd w:val="clear" w:color="auto" w:fill="F9FCF9"/>
                      </w:tcPr>
                      <w:p>
                        <w:pPr>
                          <w:pStyle w:val="TableParagraph"/>
                          <w:jc w:val="left"/>
                          <w:rPr>
                            <w:sz w:val="8"/>
                          </w:rPr>
                        </w:pPr>
                      </w:p>
                    </w:tc>
                    <w:tc>
                      <w:tcPr>
                        <w:tcW w:w="840" w:type="dxa"/>
                        <w:shd w:val="clear" w:color="auto" w:fill="F9FCF9"/>
                      </w:tcPr>
                      <w:p>
                        <w:pPr>
                          <w:pStyle w:val="TableParagraph"/>
                          <w:jc w:val="left"/>
                          <w:rPr>
                            <w:sz w:val="8"/>
                          </w:rPr>
                        </w:pPr>
                      </w:p>
                    </w:tc>
                    <w:tc>
                      <w:tcPr>
                        <w:tcW w:w="820" w:type="dxa"/>
                        <w:shd w:val="clear" w:color="auto" w:fill="F9FCF9"/>
                      </w:tcPr>
                      <w:p>
                        <w:pPr>
                          <w:pStyle w:val="TableParagraph"/>
                          <w:jc w:val="left"/>
                          <w:rPr>
                            <w:sz w:val="8"/>
                          </w:rPr>
                        </w:pPr>
                      </w:p>
                    </w:tc>
                    <w:tc>
                      <w:tcPr>
                        <w:tcW w:w="902" w:type="dxa"/>
                        <w:shd w:val="clear" w:color="auto" w:fill="F9FCF9"/>
                      </w:tcPr>
                      <w:p>
                        <w:pPr>
                          <w:pStyle w:val="TableParagraph"/>
                          <w:jc w:val="left"/>
                          <w:rPr>
                            <w:sz w:val="8"/>
                          </w:rPr>
                        </w:pPr>
                      </w:p>
                    </w:tc>
                    <w:tc>
                      <w:tcPr>
                        <w:tcW w:w="872" w:type="dxa"/>
                        <w:shd w:val="clear" w:color="auto" w:fill="F9FCF9"/>
                      </w:tcPr>
                      <w:p>
                        <w:pPr>
                          <w:pStyle w:val="TableParagraph"/>
                          <w:jc w:val="left"/>
                          <w:rPr>
                            <w:sz w:val="8"/>
                          </w:rPr>
                        </w:pPr>
                      </w:p>
                    </w:tc>
                    <w:tc>
                      <w:tcPr>
                        <w:tcW w:w="830" w:type="dxa"/>
                        <w:shd w:val="clear" w:color="auto" w:fill="F9FCF9"/>
                      </w:tcPr>
                      <w:p>
                        <w:pPr>
                          <w:pStyle w:val="TableParagraph"/>
                          <w:jc w:val="left"/>
                          <w:rPr>
                            <w:sz w:val="8"/>
                          </w:rPr>
                        </w:pPr>
                      </w:p>
                    </w:tc>
                    <w:tc>
                      <w:tcPr>
                        <w:tcW w:w="898" w:type="dxa"/>
                        <w:shd w:val="clear" w:color="auto" w:fill="F9FCF9"/>
                      </w:tcPr>
                      <w:p>
                        <w:pPr>
                          <w:pStyle w:val="TableParagraph"/>
                          <w:jc w:val="left"/>
                          <w:rPr>
                            <w:sz w:val="8"/>
                          </w:rPr>
                        </w:pPr>
                      </w:p>
                    </w:tc>
                    <w:tc>
                      <w:tcPr>
                        <w:tcW w:w="718" w:type="dxa"/>
                        <w:shd w:val="clear" w:color="auto" w:fill="F9FCF9"/>
                      </w:tcPr>
                      <w:p>
                        <w:pPr>
                          <w:pStyle w:val="TableParagraph"/>
                          <w:jc w:val="left"/>
                          <w:rPr>
                            <w:sz w:val="8"/>
                          </w:rPr>
                        </w:pPr>
                      </w:p>
                    </w:tc>
                    <w:tc>
                      <w:tcPr>
                        <w:tcW w:w="622" w:type="dxa"/>
                        <w:shd w:val="clear" w:color="auto" w:fill="F9FCF9"/>
                      </w:tcPr>
                      <w:p>
                        <w:pPr>
                          <w:pStyle w:val="TableParagraph"/>
                          <w:jc w:val="left"/>
                          <w:rPr>
                            <w:sz w:val="8"/>
                          </w:rPr>
                        </w:pPr>
                      </w:p>
                    </w:tc>
                    <w:tc>
                      <w:tcPr>
                        <w:tcW w:w="94" w:type="dxa"/>
                        <w:shd w:val="clear" w:color="auto" w:fill="F9FCF9"/>
                      </w:tcPr>
                      <w:p>
                        <w:pPr>
                          <w:pStyle w:val="TableParagraph"/>
                          <w:jc w:val="left"/>
                          <w:rPr>
                            <w:sz w:val="8"/>
                          </w:rPr>
                        </w:pPr>
                      </w:p>
                    </w:tc>
                    <w:tc>
                      <w:tcPr>
                        <w:tcW w:w="774" w:type="dxa"/>
                        <w:shd w:val="clear" w:color="auto" w:fill="F9FCF9"/>
                      </w:tcPr>
                      <w:p>
                        <w:pPr>
                          <w:pStyle w:val="TableParagraph"/>
                          <w:jc w:val="left"/>
                          <w:rPr>
                            <w:sz w:val="8"/>
                          </w:rPr>
                        </w:pPr>
                      </w:p>
                    </w:tc>
                    <w:tc>
                      <w:tcPr>
                        <w:tcW w:w="682" w:type="dxa"/>
                        <w:shd w:val="clear" w:color="auto" w:fill="F9FCF9"/>
                      </w:tcPr>
                      <w:p>
                        <w:pPr>
                          <w:pStyle w:val="TableParagraph"/>
                          <w:jc w:val="left"/>
                          <w:rPr>
                            <w:sz w:val="8"/>
                          </w:rPr>
                        </w:pPr>
                      </w:p>
                    </w:tc>
                    <w:tc>
                      <w:tcPr>
                        <w:tcW w:w="764" w:type="dxa"/>
                        <w:shd w:val="clear" w:color="auto" w:fill="F9FCF9"/>
                      </w:tcPr>
                      <w:p>
                        <w:pPr>
                          <w:pStyle w:val="TableParagraph"/>
                          <w:jc w:val="left"/>
                          <w:rPr>
                            <w:sz w:val="8"/>
                          </w:rPr>
                        </w:pPr>
                      </w:p>
                    </w:tc>
                    <w:tc>
                      <w:tcPr>
                        <w:tcW w:w="1420" w:type="dxa"/>
                        <w:shd w:val="clear" w:color="auto" w:fill="F9FCF9"/>
                      </w:tcPr>
                      <w:p>
                        <w:pPr>
                          <w:pStyle w:val="TableParagraph"/>
                          <w:jc w:val="left"/>
                          <w:rPr>
                            <w:sz w:val="8"/>
                          </w:rPr>
                        </w:pPr>
                      </w:p>
                    </w:tc>
                  </w:tr>
                  <w:tr>
                    <w:trPr>
                      <w:trHeight w:val="151" w:hRule="atLeast"/>
                    </w:trPr>
                    <w:tc>
                      <w:tcPr>
                        <w:tcW w:w="2334" w:type="dxa"/>
                        <w:shd w:val="clear" w:color="auto" w:fill="F9FCF9"/>
                      </w:tcPr>
                      <w:p>
                        <w:pPr>
                          <w:pStyle w:val="TableParagraph"/>
                          <w:spacing w:line="132" w:lineRule="exact"/>
                          <w:ind w:left="26"/>
                          <w:jc w:val="left"/>
                          <w:rPr>
                            <w:sz w:val="14"/>
                          </w:rPr>
                        </w:pPr>
                        <w:r>
                          <w:rPr>
                            <w:sz w:val="14"/>
                          </w:rPr>
                          <w:t>Fixed charge factor (%)</w:t>
                        </w:r>
                      </w:p>
                    </w:tc>
                    <w:tc>
                      <w:tcPr>
                        <w:tcW w:w="980" w:type="dxa"/>
                        <w:shd w:val="clear" w:color="auto" w:fill="F9FCF9"/>
                      </w:tcPr>
                      <w:p>
                        <w:pPr>
                          <w:pStyle w:val="TableParagraph"/>
                          <w:jc w:val="left"/>
                          <w:rPr>
                            <w:sz w:val="8"/>
                          </w:rPr>
                        </w:pPr>
                      </w:p>
                    </w:tc>
                    <w:tc>
                      <w:tcPr>
                        <w:tcW w:w="840" w:type="dxa"/>
                        <w:shd w:val="clear" w:color="auto" w:fill="F9FCF9"/>
                      </w:tcPr>
                      <w:p>
                        <w:pPr>
                          <w:pStyle w:val="TableParagraph"/>
                          <w:jc w:val="left"/>
                          <w:rPr>
                            <w:sz w:val="8"/>
                          </w:rPr>
                        </w:pPr>
                      </w:p>
                    </w:tc>
                    <w:tc>
                      <w:tcPr>
                        <w:tcW w:w="820" w:type="dxa"/>
                        <w:shd w:val="clear" w:color="auto" w:fill="F9FCF9"/>
                      </w:tcPr>
                      <w:p>
                        <w:pPr>
                          <w:pStyle w:val="TableParagraph"/>
                          <w:jc w:val="left"/>
                          <w:rPr>
                            <w:sz w:val="8"/>
                          </w:rPr>
                        </w:pPr>
                      </w:p>
                    </w:tc>
                    <w:tc>
                      <w:tcPr>
                        <w:tcW w:w="902" w:type="dxa"/>
                        <w:shd w:val="clear" w:color="auto" w:fill="F9FCF9"/>
                      </w:tcPr>
                      <w:p>
                        <w:pPr>
                          <w:pStyle w:val="TableParagraph"/>
                          <w:jc w:val="left"/>
                          <w:rPr>
                            <w:sz w:val="8"/>
                          </w:rPr>
                        </w:pPr>
                      </w:p>
                    </w:tc>
                    <w:tc>
                      <w:tcPr>
                        <w:tcW w:w="872" w:type="dxa"/>
                        <w:shd w:val="clear" w:color="auto" w:fill="F9FCF9"/>
                      </w:tcPr>
                      <w:p>
                        <w:pPr>
                          <w:pStyle w:val="TableParagraph"/>
                          <w:spacing w:line="132" w:lineRule="exact"/>
                          <w:ind w:left="40" w:right="27"/>
                          <w:rPr>
                            <w:sz w:val="14"/>
                          </w:rPr>
                        </w:pPr>
                        <w:r>
                          <w:rPr>
                            <w:sz w:val="14"/>
                          </w:rPr>
                          <w:t>15</w:t>
                        </w:r>
                      </w:p>
                    </w:tc>
                    <w:tc>
                      <w:tcPr>
                        <w:tcW w:w="830" w:type="dxa"/>
                        <w:shd w:val="clear" w:color="auto" w:fill="F9FCF9"/>
                      </w:tcPr>
                      <w:p>
                        <w:pPr>
                          <w:pStyle w:val="TableParagraph"/>
                          <w:spacing w:line="132" w:lineRule="exact"/>
                          <w:ind w:left="19" w:right="5"/>
                          <w:rPr>
                            <w:sz w:val="14"/>
                          </w:rPr>
                        </w:pPr>
                        <w:r>
                          <w:rPr>
                            <w:sz w:val="14"/>
                          </w:rPr>
                          <w:t>15</w:t>
                        </w:r>
                      </w:p>
                    </w:tc>
                    <w:tc>
                      <w:tcPr>
                        <w:tcW w:w="898" w:type="dxa"/>
                        <w:shd w:val="clear" w:color="auto" w:fill="F9FCF9"/>
                      </w:tcPr>
                      <w:p>
                        <w:pPr>
                          <w:pStyle w:val="TableParagraph"/>
                          <w:spacing w:line="132" w:lineRule="exact"/>
                          <w:ind w:left="76" w:right="61"/>
                          <w:rPr>
                            <w:sz w:val="14"/>
                          </w:rPr>
                        </w:pPr>
                        <w:r>
                          <w:rPr>
                            <w:sz w:val="14"/>
                          </w:rPr>
                          <w:t>15</w:t>
                        </w:r>
                      </w:p>
                    </w:tc>
                    <w:tc>
                      <w:tcPr>
                        <w:tcW w:w="718" w:type="dxa"/>
                        <w:shd w:val="clear" w:color="auto" w:fill="F9FCF9"/>
                      </w:tcPr>
                      <w:p>
                        <w:pPr>
                          <w:pStyle w:val="TableParagraph"/>
                          <w:spacing w:line="132" w:lineRule="exact"/>
                          <w:ind w:left="36" w:right="21"/>
                          <w:rPr>
                            <w:sz w:val="14"/>
                          </w:rPr>
                        </w:pPr>
                        <w:r>
                          <w:rPr>
                            <w:sz w:val="14"/>
                          </w:rPr>
                          <w:t>11.0</w:t>
                        </w:r>
                      </w:p>
                    </w:tc>
                    <w:tc>
                      <w:tcPr>
                        <w:tcW w:w="622" w:type="dxa"/>
                        <w:shd w:val="clear" w:color="auto" w:fill="F9FCF9"/>
                      </w:tcPr>
                      <w:p>
                        <w:pPr>
                          <w:pStyle w:val="TableParagraph"/>
                          <w:spacing w:line="132" w:lineRule="exact"/>
                          <w:ind w:left="23" w:right="7"/>
                          <w:rPr>
                            <w:sz w:val="14"/>
                          </w:rPr>
                        </w:pPr>
                        <w:r>
                          <w:rPr>
                            <w:sz w:val="14"/>
                          </w:rPr>
                          <w:t>11.0</w:t>
                        </w:r>
                      </w:p>
                    </w:tc>
                    <w:tc>
                      <w:tcPr>
                        <w:tcW w:w="94" w:type="dxa"/>
                        <w:shd w:val="clear" w:color="auto" w:fill="F9FCF9"/>
                      </w:tcPr>
                      <w:p>
                        <w:pPr>
                          <w:pStyle w:val="TableParagraph"/>
                          <w:jc w:val="left"/>
                          <w:rPr>
                            <w:sz w:val="8"/>
                          </w:rPr>
                        </w:pPr>
                      </w:p>
                    </w:tc>
                    <w:tc>
                      <w:tcPr>
                        <w:tcW w:w="774" w:type="dxa"/>
                        <w:shd w:val="clear" w:color="auto" w:fill="F9FCF9"/>
                      </w:tcPr>
                      <w:p>
                        <w:pPr>
                          <w:pStyle w:val="TableParagraph"/>
                          <w:spacing w:line="132" w:lineRule="exact"/>
                          <w:ind w:left="65" w:right="47"/>
                          <w:rPr>
                            <w:sz w:val="14"/>
                          </w:rPr>
                        </w:pPr>
                        <w:r>
                          <w:rPr>
                            <w:sz w:val="14"/>
                          </w:rPr>
                          <w:t>11.0</w:t>
                        </w:r>
                      </w:p>
                    </w:tc>
                    <w:tc>
                      <w:tcPr>
                        <w:tcW w:w="682" w:type="dxa"/>
                        <w:shd w:val="clear" w:color="auto" w:fill="F9FCF9"/>
                      </w:tcPr>
                      <w:p>
                        <w:pPr>
                          <w:pStyle w:val="TableParagraph"/>
                          <w:spacing w:line="132" w:lineRule="exact"/>
                          <w:ind w:left="20" w:right="1"/>
                          <w:rPr>
                            <w:sz w:val="14"/>
                          </w:rPr>
                        </w:pPr>
                        <w:r>
                          <w:rPr>
                            <w:sz w:val="14"/>
                          </w:rPr>
                          <w:t>11.0</w:t>
                        </w:r>
                      </w:p>
                    </w:tc>
                    <w:tc>
                      <w:tcPr>
                        <w:tcW w:w="764" w:type="dxa"/>
                        <w:shd w:val="clear" w:color="auto" w:fill="F9FCF9"/>
                      </w:tcPr>
                      <w:p>
                        <w:pPr>
                          <w:pStyle w:val="TableParagraph"/>
                          <w:spacing w:line="132" w:lineRule="exact"/>
                          <w:ind w:left="267"/>
                          <w:jc w:val="left"/>
                          <w:rPr>
                            <w:sz w:val="14"/>
                          </w:rPr>
                        </w:pPr>
                        <w:r>
                          <w:rPr>
                            <w:sz w:val="14"/>
                          </w:rPr>
                          <w:t>11.0</w:t>
                        </w:r>
                      </w:p>
                    </w:tc>
                    <w:tc>
                      <w:tcPr>
                        <w:tcW w:w="1420" w:type="dxa"/>
                        <w:shd w:val="clear" w:color="auto" w:fill="F9FCF9"/>
                      </w:tcPr>
                      <w:p>
                        <w:pPr>
                          <w:pStyle w:val="TableParagraph"/>
                          <w:spacing w:line="132" w:lineRule="exact"/>
                          <w:ind w:left="92" w:right="70"/>
                          <w:rPr>
                            <w:sz w:val="14"/>
                          </w:rPr>
                        </w:pPr>
                        <w:r>
                          <w:rPr>
                            <w:sz w:val="14"/>
                          </w:rPr>
                          <w:t>11.0</w:t>
                        </w:r>
                      </w:p>
                    </w:tc>
                  </w:tr>
                  <w:tr>
                    <w:trPr>
                      <w:trHeight w:val="319" w:hRule="atLeast"/>
                    </w:trPr>
                    <w:tc>
                      <w:tcPr>
                        <w:tcW w:w="2334" w:type="dxa"/>
                        <w:shd w:val="clear" w:color="auto" w:fill="F9FCF9"/>
                      </w:tcPr>
                      <w:p>
                        <w:pPr>
                          <w:pStyle w:val="TableParagraph"/>
                          <w:spacing w:line="159" w:lineRule="exact"/>
                          <w:ind w:left="26"/>
                          <w:jc w:val="left"/>
                          <w:rPr>
                            <w:sz w:val="14"/>
                          </w:rPr>
                        </w:pPr>
                        <w:r>
                          <w:rPr>
                            <w:sz w:val="14"/>
                          </w:rPr>
                          <w:t>Ref. plant capital cost (US$ per unit</w:t>
                        </w:r>
                      </w:p>
                      <w:p>
                        <w:pPr>
                          <w:pStyle w:val="TableParagraph"/>
                          <w:spacing w:line="134" w:lineRule="exact" w:before="7"/>
                          <w:ind w:left="26"/>
                          <w:jc w:val="left"/>
                          <w:rPr>
                            <w:sz w:val="14"/>
                          </w:rPr>
                        </w:pPr>
                        <w:r>
                          <w:rPr>
                            <w:sz w:val="14"/>
                          </w:rPr>
                          <w:t>capacity)</w:t>
                        </w:r>
                      </w:p>
                    </w:tc>
                    <w:tc>
                      <w:tcPr>
                        <w:tcW w:w="980" w:type="dxa"/>
                        <w:shd w:val="clear" w:color="auto" w:fill="F9FCF9"/>
                      </w:tcPr>
                      <w:p>
                        <w:pPr>
                          <w:pStyle w:val="TableParagraph"/>
                          <w:jc w:val="left"/>
                          <w:rPr>
                            <w:sz w:val="12"/>
                          </w:rPr>
                        </w:pPr>
                      </w:p>
                    </w:tc>
                    <w:tc>
                      <w:tcPr>
                        <w:tcW w:w="840" w:type="dxa"/>
                        <w:shd w:val="clear" w:color="auto" w:fill="F9FCF9"/>
                      </w:tcPr>
                      <w:p>
                        <w:pPr>
                          <w:pStyle w:val="TableParagraph"/>
                          <w:jc w:val="left"/>
                          <w:rPr>
                            <w:sz w:val="12"/>
                          </w:rPr>
                        </w:pPr>
                      </w:p>
                    </w:tc>
                    <w:tc>
                      <w:tcPr>
                        <w:tcW w:w="820" w:type="dxa"/>
                        <w:shd w:val="clear" w:color="auto" w:fill="F9FCF9"/>
                      </w:tcPr>
                      <w:p>
                        <w:pPr>
                          <w:pStyle w:val="TableParagraph"/>
                          <w:jc w:val="left"/>
                          <w:rPr>
                            <w:sz w:val="12"/>
                          </w:rPr>
                        </w:pPr>
                      </w:p>
                    </w:tc>
                    <w:tc>
                      <w:tcPr>
                        <w:tcW w:w="902" w:type="dxa"/>
                        <w:shd w:val="clear" w:color="auto" w:fill="F9FCF9"/>
                      </w:tcPr>
                      <w:p>
                        <w:pPr>
                          <w:pStyle w:val="TableParagraph"/>
                          <w:jc w:val="left"/>
                          <w:rPr>
                            <w:sz w:val="12"/>
                          </w:rPr>
                        </w:pPr>
                      </w:p>
                    </w:tc>
                    <w:tc>
                      <w:tcPr>
                        <w:tcW w:w="872" w:type="dxa"/>
                        <w:shd w:val="clear" w:color="auto" w:fill="F9FCF9"/>
                      </w:tcPr>
                      <w:p>
                        <w:pPr>
                          <w:pStyle w:val="TableParagraph"/>
                          <w:jc w:val="left"/>
                          <w:rPr>
                            <w:sz w:val="12"/>
                          </w:rPr>
                        </w:pPr>
                      </w:p>
                    </w:tc>
                    <w:tc>
                      <w:tcPr>
                        <w:tcW w:w="830" w:type="dxa"/>
                        <w:shd w:val="clear" w:color="auto" w:fill="F9FCF9"/>
                      </w:tcPr>
                      <w:p>
                        <w:pPr>
                          <w:pStyle w:val="TableParagraph"/>
                          <w:jc w:val="left"/>
                          <w:rPr>
                            <w:sz w:val="12"/>
                          </w:rPr>
                        </w:pPr>
                      </w:p>
                    </w:tc>
                    <w:tc>
                      <w:tcPr>
                        <w:tcW w:w="898" w:type="dxa"/>
                        <w:shd w:val="clear" w:color="auto" w:fill="F9FCF9"/>
                      </w:tcPr>
                      <w:p>
                        <w:pPr>
                          <w:pStyle w:val="TableParagraph"/>
                          <w:jc w:val="left"/>
                          <w:rPr>
                            <w:sz w:val="12"/>
                          </w:rPr>
                        </w:pPr>
                      </w:p>
                    </w:tc>
                    <w:tc>
                      <w:tcPr>
                        <w:tcW w:w="718" w:type="dxa"/>
                        <w:shd w:val="clear" w:color="auto" w:fill="F9FCF9"/>
                      </w:tcPr>
                      <w:p>
                        <w:pPr>
                          <w:pStyle w:val="TableParagraph"/>
                          <w:jc w:val="left"/>
                          <w:rPr>
                            <w:sz w:val="12"/>
                          </w:rPr>
                        </w:pPr>
                      </w:p>
                    </w:tc>
                    <w:tc>
                      <w:tcPr>
                        <w:tcW w:w="622" w:type="dxa"/>
                        <w:shd w:val="clear" w:color="auto" w:fill="F9FCF9"/>
                      </w:tcPr>
                      <w:p>
                        <w:pPr>
                          <w:pStyle w:val="TableParagraph"/>
                          <w:jc w:val="left"/>
                          <w:rPr>
                            <w:sz w:val="12"/>
                          </w:rPr>
                        </w:pPr>
                      </w:p>
                    </w:tc>
                    <w:tc>
                      <w:tcPr>
                        <w:tcW w:w="94" w:type="dxa"/>
                        <w:shd w:val="clear" w:color="auto" w:fill="F9FCF9"/>
                      </w:tcPr>
                      <w:p>
                        <w:pPr>
                          <w:pStyle w:val="TableParagraph"/>
                          <w:jc w:val="left"/>
                          <w:rPr>
                            <w:sz w:val="12"/>
                          </w:rPr>
                        </w:pPr>
                      </w:p>
                    </w:tc>
                    <w:tc>
                      <w:tcPr>
                        <w:tcW w:w="774" w:type="dxa"/>
                        <w:shd w:val="clear" w:color="auto" w:fill="F9FCF9"/>
                      </w:tcPr>
                      <w:p>
                        <w:pPr>
                          <w:pStyle w:val="TableParagraph"/>
                          <w:jc w:val="left"/>
                          <w:rPr>
                            <w:sz w:val="12"/>
                          </w:rPr>
                        </w:pPr>
                      </w:p>
                    </w:tc>
                    <w:tc>
                      <w:tcPr>
                        <w:tcW w:w="682" w:type="dxa"/>
                        <w:shd w:val="clear" w:color="auto" w:fill="F9FCF9"/>
                      </w:tcPr>
                      <w:p>
                        <w:pPr>
                          <w:pStyle w:val="TableParagraph"/>
                          <w:jc w:val="left"/>
                          <w:rPr>
                            <w:sz w:val="12"/>
                          </w:rPr>
                        </w:pPr>
                      </w:p>
                    </w:tc>
                    <w:tc>
                      <w:tcPr>
                        <w:tcW w:w="764" w:type="dxa"/>
                        <w:shd w:val="clear" w:color="auto" w:fill="F9FCF9"/>
                      </w:tcPr>
                      <w:p>
                        <w:pPr>
                          <w:pStyle w:val="TableParagraph"/>
                          <w:jc w:val="left"/>
                          <w:rPr>
                            <w:sz w:val="12"/>
                          </w:rPr>
                        </w:pPr>
                      </w:p>
                    </w:tc>
                    <w:tc>
                      <w:tcPr>
                        <w:tcW w:w="1420" w:type="dxa"/>
                        <w:shd w:val="clear" w:color="auto" w:fill="F9FCF9"/>
                      </w:tcPr>
                      <w:p>
                        <w:pPr>
                          <w:pStyle w:val="TableParagraph"/>
                          <w:jc w:val="left"/>
                          <w:rPr>
                            <w:sz w:val="12"/>
                          </w:rPr>
                        </w:pPr>
                      </w:p>
                    </w:tc>
                  </w:tr>
                  <w:tr>
                    <w:trPr>
                      <w:trHeight w:val="319" w:hRule="atLeast"/>
                    </w:trPr>
                    <w:tc>
                      <w:tcPr>
                        <w:tcW w:w="2334" w:type="dxa"/>
                        <w:shd w:val="clear" w:color="auto" w:fill="F9FCF9"/>
                      </w:tcPr>
                      <w:p>
                        <w:pPr>
                          <w:pStyle w:val="TableParagraph"/>
                          <w:spacing w:line="159" w:lineRule="exact"/>
                          <w:ind w:left="26"/>
                          <w:jc w:val="left"/>
                          <w:rPr>
                            <w:sz w:val="14"/>
                          </w:rPr>
                        </w:pPr>
                        <w:r>
                          <w:rPr>
                            <w:sz w:val="14"/>
                          </w:rPr>
                          <w:t>Capture plant capital cost</w:t>
                        </w:r>
                      </w:p>
                      <w:p>
                        <w:pPr>
                          <w:pStyle w:val="TableParagraph"/>
                          <w:spacing w:line="134" w:lineRule="exact" w:before="7"/>
                          <w:ind w:left="26"/>
                          <w:jc w:val="left"/>
                          <w:rPr>
                            <w:sz w:val="14"/>
                          </w:rPr>
                        </w:pPr>
                        <w:r>
                          <w:rPr>
                            <w:sz w:val="14"/>
                          </w:rPr>
                          <w:t>(US$ per unit capacity)</w:t>
                        </w:r>
                      </w:p>
                    </w:tc>
                    <w:tc>
                      <w:tcPr>
                        <w:tcW w:w="980" w:type="dxa"/>
                        <w:shd w:val="clear" w:color="auto" w:fill="F9FCF9"/>
                      </w:tcPr>
                      <w:p>
                        <w:pPr>
                          <w:pStyle w:val="TableParagraph"/>
                          <w:jc w:val="left"/>
                          <w:rPr>
                            <w:sz w:val="12"/>
                          </w:rPr>
                        </w:pPr>
                      </w:p>
                    </w:tc>
                    <w:tc>
                      <w:tcPr>
                        <w:tcW w:w="840" w:type="dxa"/>
                        <w:shd w:val="clear" w:color="auto" w:fill="F9FCF9"/>
                      </w:tcPr>
                      <w:p>
                        <w:pPr>
                          <w:pStyle w:val="TableParagraph"/>
                          <w:jc w:val="left"/>
                          <w:rPr>
                            <w:sz w:val="12"/>
                          </w:rPr>
                        </w:pPr>
                      </w:p>
                    </w:tc>
                    <w:tc>
                      <w:tcPr>
                        <w:tcW w:w="820" w:type="dxa"/>
                        <w:shd w:val="clear" w:color="auto" w:fill="F9FCF9"/>
                      </w:tcPr>
                      <w:p>
                        <w:pPr>
                          <w:pStyle w:val="TableParagraph"/>
                          <w:jc w:val="left"/>
                          <w:rPr>
                            <w:sz w:val="12"/>
                          </w:rPr>
                        </w:pPr>
                      </w:p>
                    </w:tc>
                    <w:tc>
                      <w:tcPr>
                        <w:tcW w:w="902" w:type="dxa"/>
                        <w:shd w:val="clear" w:color="auto" w:fill="F9FCF9"/>
                      </w:tcPr>
                      <w:p>
                        <w:pPr>
                          <w:pStyle w:val="TableParagraph"/>
                          <w:jc w:val="left"/>
                          <w:rPr>
                            <w:sz w:val="12"/>
                          </w:rPr>
                        </w:pPr>
                      </w:p>
                    </w:tc>
                    <w:tc>
                      <w:tcPr>
                        <w:tcW w:w="872" w:type="dxa"/>
                        <w:shd w:val="clear" w:color="auto" w:fill="F9FCF9"/>
                      </w:tcPr>
                      <w:p>
                        <w:pPr>
                          <w:pStyle w:val="TableParagraph"/>
                          <w:jc w:val="left"/>
                          <w:rPr>
                            <w:sz w:val="12"/>
                          </w:rPr>
                        </w:pPr>
                      </w:p>
                    </w:tc>
                    <w:tc>
                      <w:tcPr>
                        <w:tcW w:w="830" w:type="dxa"/>
                        <w:shd w:val="clear" w:color="auto" w:fill="F9FCF9"/>
                      </w:tcPr>
                      <w:p>
                        <w:pPr>
                          <w:pStyle w:val="TableParagraph"/>
                          <w:jc w:val="left"/>
                          <w:rPr>
                            <w:sz w:val="12"/>
                          </w:rPr>
                        </w:pPr>
                      </w:p>
                    </w:tc>
                    <w:tc>
                      <w:tcPr>
                        <w:tcW w:w="898" w:type="dxa"/>
                        <w:shd w:val="clear" w:color="auto" w:fill="F9FCF9"/>
                      </w:tcPr>
                      <w:p>
                        <w:pPr>
                          <w:pStyle w:val="TableParagraph"/>
                          <w:jc w:val="left"/>
                          <w:rPr>
                            <w:sz w:val="12"/>
                          </w:rPr>
                        </w:pPr>
                      </w:p>
                    </w:tc>
                    <w:tc>
                      <w:tcPr>
                        <w:tcW w:w="718" w:type="dxa"/>
                        <w:shd w:val="clear" w:color="auto" w:fill="F9FCF9"/>
                      </w:tcPr>
                      <w:p>
                        <w:pPr>
                          <w:pStyle w:val="TableParagraph"/>
                          <w:jc w:val="left"/>
                          <w:rPr>
                            <w:sz w:val="12"/>
                          </w:rPr>
                        </w:pPr>
                      </w:p>
                    </w:tc>
                    <w:tc>
                      <w:tcPr>
                        <w:tcW w:w="622" w:type="dxa"/>
                        <w:shd w:val="clear" w:color="auto" w:fill="F9FCF9"/>
                      </w:tcPr>
                      <w:p>
                        <w:pPr>
                          <w:pStyle w:val="TableParagraph"/>
                          <w:jc w:val="left"/>
                          <w:rPr>
                            <w:sz w:val="12"/>
                          </w:rPr>
                        </w:pPr>
                      </w:p>
                    </w:tc>
                    <w:tc>
                      <w:tcPr>
                        <w:tcW w:w="94" w:type="dxa"/>
                        <w:shd w:val="clear" w:color="auto" w:fill="F9FCF9"/>
                      </w:tcPr>
                      <w:p>
                        <w:pPr>
                          <w:pStyle w:val="TableParagraph"/>
                          <w:jc w:val="left"/>
                          <w:rPr>
                            <w:sz w:val="12"/>
                          </w:rPr>
                        </w:pPr>
                      </w:p>
                    </w:tc>
                    <w:tc>
                      <w:tcPr>
                        <w:tcW w:w="774" w:type="dxa"/>
                        <w:shd w:val="clear" w:color="auto" w:fill="F9FCF9"/>
                      </w:tcPr>
                      <w:p>
                        <w:pPr>
                          <w:pStyle w:val="TableParagraph"/>
                          <w:jc w:val="left"/>
                          <w:rPr>
                            <w:sz w:val="12"/>
                          </w:rPr>
                        </w:pPr>
                      </w:p>
                    </w:tc>
                    <w:tc>
                      <w:tcPr>
                        <w:tcW w:w="682" w:type="dxa"/>
                        <w:shd w:val="clear" w:color="auto" w:fill="F9FCF9"/>
                      </w:tcPr>
                      <w:p>
                        <w:pPr>
                          <w:pStyle w:val="TableParagraph"/>
                          <w:jc w:val="left"/>
                          <w:rPr>
                            <w:sz w:val="12"/>
                          </w:rPr>
                        </w:pPr>
                      </w:p>
                    </w:tc>
                    <w:tc>
                      <w:tcPr>
                        <w:tcW w:w="764" w:type="dxa"/>
                        <w:shd w:val="clear" w:color="auto" w:fill="F9FCF9"/>
                      </w:tcPr>
                      <w:p>
                        <w:pPr>
                          <w:pStyle w:val="TableParagraph"/>
                          <w:jc w:val="left"/>
                          <w:rPr>
                            <w:sz w:val="12"/>
                          </w:rPr>
                        </w:pPr>
                      </w:p>
                    </w:tc>
                    <w:tc>
                      <w:tcPr>
                        <w:tcW w:w="1420" w:type="dxa"/>
                        <w:shd w:val="clear" w:color="auto" w:fill="F9FCF9"/>
                      </w:tcPr>
                      <w:p>
                        <w:pPr>
                          <w:pStyle w:val="TableParagraph"/>
                          <w:jc w:val="left"/>
                          <w:rPr>
                            <w:sz w:val="12"/>
                          </w:rPr>
                        </w:pPr>
                      </w:p>
                    </w:tc>
                  </w:tr>
                  <w:tr>
                    <w:trPr>
                      <w:trHeight w:val="319" w:hRule="atLeast"/>
                    </w:trPr>
                    <w:tc>
                      <w:tcPr>
                        <w:tcW w:w="2334" w:type="dxa"/>
                        <w:shd w:val="clear" w:color="auto" w:fill="F9FCF9"/>
                      </w:tcPr>
                      <w:p>
                        <w:pPr>
                          <w:pStyle w:val="TableParagraph"/>
                          <w:spacing w:line="159" w:lineRule="exact"/>
                          <w:ind w:left="26"/>
                          <w:jc w:val="left"/>
                          <w:rPr>
                            <w:sz w:val="14"/>
                          </w:rPr>
                        </w:pPr>
                        <w:r>
                          <w:rPr>
                            <w:sz w:val="14"/>
                          </w:rPr>
                          <w:t>Incremental capital cost</w:t>
                        </w:r>
                      </w:p>
                      <w:p>
                        <w:pPr>
                          <w:pStyle w:val="TableParagraph"/>
                          <w:spacing w:line="134" w:lineRule="exact" w:before="7"/>
                          <w:ind w:left="26"/>
                          <w:jc w:val="left"/>
                          <w:rPr>
                            <w:sz w:val="14"/>
                          </w:rPr>
                        </w:pPr>
                        <w:r>
                          <w:rPr>
                            <w:sz w:val="14"/>
                          </w:rPr>
                          <w:t>(million US$ per kg s</w:t>
                        </w:r>
                        <w:r>
                          <w:rPr>
                            <w:position w:val="5"/>
                            <w:sz w:val="8"/>
                          </w:rPr>
                          <w:t>−1 </w:t>
                        </w:r>
                        <w:r>
                          <w:rPr>
                            <w:sz w:val="14"/>
                          </w:rPr>
                          <w:t>CO )*</w:t>
                        </w:r>
                      </w:p>
                    </w:tc>
                    <w:tc>
                      <w:tcPr>
                        <w:tcW w:w="980" w:type="dxa"/>
                        <w:shd w:val="clear" w:color="auto" w:fill="F9FCF9"/>
                      </w:tcPr>
                      <w:p>
                        <w:pPr>
                          <w:pStyle w:val="TableParagraph"/>
                          <w:spacing w:line="159" w:lineRule="exact"/>
                          <w:ind w:left="33" w:right="21"/>
                          <w:rPr>
                            <w:sz w:val="14"/>
                          </w:rPr>
                        </w:pPr>
                        <w:r>
                          <w:rPr>
                            <w:sz w:val="14"/>
                          </w:rPr>
                          <w:t>3.8</w:t>
                        </w:r>
                      </w:p>
                    </w:tc>
                    <w:tc>
                      <w:tcPr>
                        <w:tcW w:w="840" w:type="dxa"/>
                        <w:shd w:val="clear" w:color="auto" w:fill="F9FCF9"/>
                      </w:tcPr>
                      <w:p>
                        <w:pPr>
                          <w:pStyle w:val="TableParagraph"/>
                          <w:spacing w:line="159" w:lineRule="exact"/>
                          <w:ind w:left="73" w:right="61"/>
                          <w:rPr>
                            <w:sz w:val="14"/>
                          </w:rPr>
                        </w:pPr>
                        <w:r>
                          <w:rPr>
                            <w:sz w:val="14"/>
                          </w:rPr>
                          <w:t>4.1</w:t>
                        </w:r>
                      </w:p>
                    </w:tc>
                    <w:tc>
                      <w:tcPr>
                        <w:tcW w:w="820" w:type="dxa"/>
                        <w:shd w:val="clear" w:color="auto" w:fill="F9FCF9"/>
                      </w:tcPr>
                      <w:p>
                        <w:pPr>
                          <w:pStyle w:val="TableParagraph"/>
                          <w:spacing w:line="159" w:lineRule="exact"/>
                          <w:ind w:left="63" w:right="51"/>
                          <w:rPr>
                            <w:sz w:val="14"/>
                          </w:rPr>
                        </w:pPr>
                        <w:r>
                          <w:rPr>
                            <w:sz w:val="14"/>
                          </w:rPr>
                          <w:t>4.9</w:t>
                        </w:r>
                      </w:p>
                    </w:tc>
                    <w:tc>
                      <w:tcPr>
                        <w:tcW w:w="902" w:type="dxa"/>
                        <w:shd w:val="clear" w:color="auto" w:fill="F9FCF9"/>
                      </w:tcPr>
                      <w:p>
                        <w:pPr>
                          <w:pStyle w:val="TableParagraph"/>
                          <w:spacing w:line="159" w:lineRule="exact"/>
                          <w:ind w:left="62" w:right="50"/>
                          <w:rPr>
                            <w:sz w:val="14"/>
                          </w:rPr>
                        </w:pPr>
                        <w:r>
                          <w:rPr>
                            <w:sz w:val="14"/>
                          </w:rPr>
                          <w:t>0.3</w:t>
                        </w:r>
                      </w:p>
                    </w:tc>
                    <w:tc>
                      <w:tcPr>
                        <w:tcW w:w="872" w:type="dxa"/>
                        <w:shd w:val="clear" w:color="auto" w:fill="F9FCF9"/>
                      </w:tcPr>
                      <w:p>
                        <w:pPr>
                          <w:pStyle w:val="TableParagraph"/>
                          <w:spacing w:line="159" w:lineRule="exact"/>
                          <w:ind w:left="40" w:right="27"/>
                          <w:rPr>
                            <w:sz w:val="14"/>
                          </w:rPr>
                        </w:pPr>
                        <w:r>
                          <w:rPr>
                            <w:sz w:val="14"/>
                          </w:rPr>
                          <w:t>3.2</w:t>
                        </w:r>
                      </w:p>
                    </w:tc>
                    <w:tc>
                      <w:tcPr>
                        <w:tcW w:w="830" w:type="dxa"/>
                        <w:shd w:val="clear" w:color="auto" w:fill="F9FCF9"/>
                      </w:tcPr>
                      <w:p>
                        <w:pPr>
                          <w:pStyle w:val="TableParagraph"/>
                          <w:spacing w:line="159" w:lineRule="exact"/>
                          <w:ind w:left="19" w:right="5"/>
                          <w:rPr>
                            <w:sz w:val="14"/>
                          </w:rPr>
                        </w:pPr>
                        <w:r>
                          <w:rPr>
                            <w:sz w:val="14"/>
                          </w:rPr>
                          <w:t>1.9</w:t>
                        </w:r>
                      </w:p>
                    </w:tc>
                    <w:tc>
                      <w:tcPr>
                        <w:tcW w:w="898" w:type="dxa"/>
                        <w:shd w:val="clear" w:color="auto" w:fill="F9FCF9"/>
                      </w:tcPr>
                      <w:p>
                        <w:pPr>
                          <w:pStyle w:val="TableParagraph"/>
                          <w:spacing w:line="159" w:lineRule="exact"/>
                          <w:ind w:left="76" w:right="61"/>
                          <w:rPr>
                            <w:sz w:val="14"/>
                          </w:rPr>
                        </w:pPr>
                        <w:r>
                          <w:rPr>
                            <w:sz w:val="14"/>
                          </w:rPr>
                          <w:t>2.6</w:t>
                        </w:r>
                      </w:p>
                    </w:tc>
                    <w:tc>
                      <w:tcPr>
                        <w:tcW w:w="718" w:type="dxa"/>
                        <w:shd w:val="clear" w:color="auto" w:fill="F9FCF9"/>
                      </w:tcPr>
                      <w:p>
                        <w:pPr>
                          <w:pStyle w:val="TableParagraph"/>
                          <w:jc w:val="left"/>
                          <w:rPr>
                            <w:sz w:val="12"/>
                          </w:rPr>
                        </w:pPr>
                      </w:p>
                    </w:tc>
                    <w:tc>
                      <w:tcPr>
                        <w:tcW w:w="622" w:type="dxa"/>
                        <w:shd w:val="clear" w:color="auto" w:fill="F9FCF9"/>
                      </w:tcPr>
                      <w:p>
                        <w:pPr>
                          <w:pStyle w:val="TableParagraph"/>
                          <w:jc w:val="left"/>
                          <w:rPr>
                            <w:sz w:val="12"/>
                          </w:rPr>
                        </w:pPr>
                      </w:p>
                    </w:tc>
                    <w:tc>
                      <w:tcPr>
                        <w:tcW w:w="94" w:type="dxa"/>
                        <w:shd w:val="clear" w:color="auto" w:fill="F9FCF9"/>
                      </w:tcPr>
                      <w:p>
                        <w:pPr>
                          <w:pStyle w:val="TableParagraph"/>
                          <w:jc w:val="left"/>
                          <w:rPr>
                            <w:sz w:val="12"/>
                          </w:rPr>
                        </w:pPr>
                      </w:p>
                    </w:tc>
                    <w:tc>
                      <w:tcPr>
                        <w:tcW w:w="774" w:type="dxa"/>
                        <w:shd w:val="clear" w:color="auto" w:fill="F9FCF9"/>
                      </w:tcPr>
                      <w:p>
                        <w:pPr>
                          <w:pStyle w:val="TableParagraph"/>
                          <w:jc w:val="left"/>
                          <w:rPr>
                            <w:sz w:val="12"/>
                          </w:rPr>
                        </w:pPr>
                      </w:p>
                    </w:tc>
                    <w:tc>
                      <w:tcPr>
                        <w:tcW w:w="682" w:type="dxa"/>
                        <w:shd w:val="clear" w:color="auto" w:fill="F9FCF9"/>
                      </w:tcPr>
                      <w:p>
                        <w:pPr>
                          <w:pStyle w:val="TableParagraph"/>
                          <w:jc w:val="left"/>
                          <w:rPr>
                            <w:sz w:val="12"/>
                          </w:rPr>
                        </w:pPr>
                      </w:p>
                    </w:tc>
                    <w:tc>
                      <w:tcPr>
                        <w:tcW w:w="764" w:type="dxa"/>
                        <w:shd w:val="clear" w:color="auto" w:fill="F9FCF9"/>
                      </w:tcPr>
                      <w:p>
                        <w:pPr>
                          <w:pStyle w:val="TableParagraph"/>
                          <w:jc w:val="left"/>
                          <w:rPr>
                            <w:sz w:val="12"/>
                          </w:rPr>
                        </w:pPr>
                      </w:p>
                    </w:tc>
                    <w:tc>
                      <w:tcPr>
                        <w:tcW w:w="1420" w:type="dxa"/>
                        <w:shd w:val="clear" w:color="auto" w:fill="F9FCF9"/>
                      </w:tcPr>
                      <w:p>
                        <w:pPr>
                          <w:pStyle w:val="TableParagraph"/>
                          <w:jc w:val="left"/>
                          <w:rPr>
                            <w:sz w:val="12"/>
                          </w:rPr>
                        </w:pPr>
                      </w:p>
                    </w:tc>
                  </w:tr>
                  <w:tr>
                    <w:trPr>
                      <w:trHeight w:val="151" w:hRule="atLeast"/>
                    </w:trPr>
                    <w:tc>
                      <w:tcPr>
                        <w:tcW w:w="2334" w:type="dxa"/>
                        <w:shd w:val="clear" w:color="auto" w:fill="F9FCF9"/>
                      </w:tcPr>
                      <w:p>
                        <w:pPr>
                          <w:pStyle w:val="TableParagraph"/>
                          <w:spacing w:line="132" w:lineRule="exact"/>
                          <w:ind w:left="26"/>
                          <w:jc w:val="left"/>
                          <w:rPr>
                            <w:b/>
                            <w:sz w:val="14"/>
                          </w:rPr>
                        </w:pPr>
                        <w:r>
                          <w:rPr>
                            <w:b/>
                            <w:sz w:val="14"/>
                          </w:rPr>
                          <w:t>Ref. plant cost of product (uS$/unit)</w:t>
                        </w:r>
                      </w:p>
                    </w:tc>
                    <w:tc>
                      <w:tcPr>
                        <w:tcW w:w="980" w:type="dxa"/>
                        <w:shd w:val="clear" w:color="auto" w:fill="F9FCF9"/>
                      </w:tcPr>
                      <w:p>
                        <w:pPr>
                          <w:pStyle w:val="TableParagraph"/>
                          <w:jc w:val="left"/>
                          <w:rPr>
                            <w:sz w:val="8"/>
                          </w:rPr>
                        </w:pPr>
                      </w:p>
                    </w:tc>
                    <w:tc>
                      <w:tcPr>
                        <w:tcW w:w="840" w:type="dxa"/>
                        <w:shd w:val="clear" w:color="auto" w:fill="F9FCF9"/>
                      </w:tcPr>
                      <w:p>
                        <w:pPr>
                          <w:pStyle w:val="TableParagraph"/>
                          <w:jc w:val="left"/>
                          <w:rPr>
                            <w:sz w:val="8"/>
                          </w:rPr>
                        </w:pPr>
                      </w:p>
                    </w:tc>
                    <w:tc>
                      <w:tcPr>
                        <w:tcW w:w="820" w:type="dxa"/>
                        <w:shd w:val="clear" w:color="auto" w:fill="F9FCF9"/>
                      </w:tcPr>
                      <w:p>
                        <w:pPr>
                          <w:pStyle w:val="TableParagraph"/>
                          <w:jc w:val="left"/>
                          <w:rPr>
                            <w:sz w:val="8"/>
                          </w:rPr>
                        </w:pPr>
                      </w:p>
                    </w:tc>
                    <w:tc>
                      <w:tcPr>
                        <w:tcW w:w="902" w:type="dxa"/>
                        <w:shd w:val="clear" w:color="auto" w:fill="F9FCF9"/>
                      </w:tcPr>
                      <w:p>
                        <w:pPr>
                          <w:pStyle w:val="TableParagraph"/>
                          <w:jc w:val="left"/>
                          <w:rPr>
                            <w:sz w:val="8"/>
                          </w:rPr>
                        </w:pPr>
                      </w:p>
                    </w:tc>
                    <w:tc>
                      <w:tcPr>
                        <w:tcW w:w="872" w:type="dxa"/>
                        <w:shd w:val="clear" w:color="auto" w:fill="F9FCF9"/>
                      </w:tcPr>
                      <w:p>
                        <w:pPr>
                          <w:pStyle w:val="TableParagraph"/>
                          <w:jc w:val="left"/>
                          <w:rPr>
                            <w:sz w:val="8"/>
                          </w:rPr>
                        </w:pPr>
                      </w:p>
                    </w:tc>
                    <w:tc>
                      <w:tcPr>
                        <w:tcW w:w="830" w:type="dxa"/>
                        <w:shd w:val="clear" w:color="auto" w:fill="F9FCF9"/>
                      </w:tcPr>
                      <w:p>
                        <w:pPr>
                          <w:pStyle w:val="TableParagraph"/>
                          <w:jc w:val="left"/>
                          <w:rPr>
                            <w:sz w:val="8"/>
                          </w:rPr>
                        </w:pPr>
                      </w:p>
                    </w:tc>
                    <w:tc>
                      <w:tcPr>
                        <w:tcW w:w="898" w:type="dxa"/>
                        <w:shd w:val="clear" w:color="auto" w:fill="F9FCF9"/>
                      </w:tcPr>
                      <w:p>
                        <w:pPr>
                          <w:pStyle w:val="TableParagraph"/>
                          <w:jc w:val="left"/>
                          <w:rPr>
                            <w:sz w:val="8"/>
                          </w:rPr>
                        </w:pPr>
                      </w:p>
                    </w:tc>
                    <w:tc>
                      <w:tcPr>
                        <w:tcW w:w="718" w:type="dxa"/>
                        <w:shd w:val="clear" w:color="auto" w:fill="F9FCF9"/>
                      </w:tcPr>
                      <w:p>
                        <w:pPr>
                          <w:pStyle w:val="TableParagraph"/>
                          <w:jc w:val="left"/>
                          <w:rPr>
                            <w:sz w:val="8"/>
                          </w:rPr>
                        </w:pPr>
                      </w:p>
                    </w:tc>
                    <w:tc>
                      <w:tcPr>
                        <w:tcW w:w="622" w:type="dxa"/>
                        <w:shd w:val="clear" w:color="auto" w:fill="F9FCF9"/>
                      </w:tcPr>
                      <w:p>
                        <w:pPr>
                          <w:pStyle w:val="TableParagraph"/>
                          <w:jc w:val="left"/>
                          <w:rPr>
                            <w:sz w:val="8"/>
                          </w:rPr>
                        </w:pPr>
                      </w:p>
                    </w:tc>
                    <w:tc>
                      <w:tcPr>
                        <w:tcW w:w="94" w:type="dxa"/>
                        <w:shd w:val="clear" w:color="auto" w:fill="F9FCF9"/>
                      </w:tcPr>
                      <w:p>
                        <w:pPr>
                          <w:pStyle w:val="TableParagraph"/>
                          <w:jc w:val="left"/>
                          <w:rPr>
                            <w:sz w:val="8"/>
                          </w:rPr>
                        </w:pPr>
                      </w:p>
                    </w:tc>
                    <w:tc>
                      <w:tcPr>
                        <w:tcW w:w="774" w:type="dxa"/>
                        <w:shd w:val="clear" w:color="auto" w:fill="F9FCF9"/>
                      </w:tcPr>
                      <w:p>
                        <w:pPr>
                          <w:pStyle w:val="TableParagraph"/>
                          <w:jc w:val="left"/>
                          <w:rPr>
                            <w:sz w:val="8"/>
                          </w:rPr>
                        </w:pPr>
                      </w:p>
                    </w:tc>
                    <w:tc>
                      <w:tcPr>
                        <w:tcW w:w="682" w:type="dxa"/>
                        <w:shd w:val="clear" w:color="auto" w:fill="F9FCF9"/>
                      </w:tcPr>
                      <w:p>
                        <w:pPr>
                          <w:pStyle w:val="TableParagraph"/>
                          <w:jc w:val="left"/>
                          <w:rPr>
                            <w:sz w:val="8"/>
                          </w:rPr>
                        </w:pPr>
                      </w:p>
                    </w:tc>
                    <w:tc>
                      <w:tcPr>
                        <w:tcW w:w="764" w:type="dxa"/>
                        <w:shd w:val="clear" w:color="auto" w:fill="F9FCF9"/>
                      </w:tcPr>
                      <w:p>
                        <w:pPr>
                          <w:pStyle w:val="TableParagraph"/>
                          <w:jc w:val="left"/>
                          <w:rPr>
                            <w:sz w:val="8"/>
                          </w:rPr>
                        </w:pPr>
                      </w:p>
                    </w:tc>
                    <w:tc>
                      <w:tcPr>
                        <w:tcW w:w="1420" w:type="dxa"/>
                        <w:shd w:val="clear" w:color="auto" w:fill="F9FCF9"/>
                      </w:tcPr>
                      <w:p>
                        <w:pPr>
                          <w:pStyle w:val="TableParagraph"/>
                          <w:jc w:val="left"/>
                          <w:rPr>
                            <w:sz w:val="8"/>
                          </w:rPr>
                        </w:pPr>
                      </w:p>
                    </w:tc>
                  </w:tr>
                  <w:tr>
                    <w:trPr>
                      <w:trHeight w:val="319" w:hRule="atLeast"/>
                    </w:trPr>
                    <w:tc>
                      <w:tcPr>
                        <w:tcW w:w="2334" w:type="dxa"/>
                        <w:shd w:val="clear" w:color="auto" w:fill="F9FCF9"/>
                      </w:tcPr>
                      <w:p>
                        <w:pPr>
                          <w:pStyle w:val="TableParagraph"/>
                          <w:spacing w:line="159" w:lineRule="exact"/>
                          <w:ind w:left="26"/>
                          <w:jc w:val="left"/>
                          <w:rPr>
                            <w:b/>
                            <w:sz w:val="14"/>
                          </w:rPr>
                        </w:pPr>
                        <w:r>
                          <w:rPr>
                            <w:b/>
                            <w:sz w:val="14"/>
                          </w:rPr>
                          <w:t>Capture plant cost of product</w:t>
                        </w:r>
                      </w:p>
                      <w:p>
                        <w:pPr>
                          <w:pStyle w:val="TableParagraph"/>
                          <w:spacing w:line="134" w:lineRule="exact" w:before="7"/>
                          <w:ind w:left="26"/>
                          <w:jc w:val="left"/>
                          <w:rPr>
                            <w:b/>
                            <w:sz w:val="14"/>
                          </w:rPr>
                        </w:pPr>
                        <w:r>
                          <w:rPr>
                            <w:b/>
                            <w:w w:val="105"/>
                            <w:sz w:val="14"/>
                          </w:rPr>
                          <w:t>(uS$/unit)</w:t>
                        </w:r>
                      </w:p>
                    </w:tc>
                    <w:tc>
                      <w:tcPr>
                        <w:tcW w:w="980" w:type="dxa"/>
                        <w:shd w:val="clear" w:color="auto" w:fill="F9FCF9"/>
                      </w:tcPr>
                      <w:p>
                        <w:pPr>
                          <w:pStyle w:val="TableParagraph"/>
                          <w:jc w:val="left"/>
                          <w:rPr>
                            <w:sz w:val="12"/>
                          </w:rPr>
                        </w:pPr>
                      </w:p>
                    </w:tc>
                    <w:tc>
                      <w:tcPr>
                        <w:tcW w:w="840" w:type="dxa"/>
                        <w:shd w:val="clear" w:color="auto" w:fill="F9FCF9"/>
                      </w:tcPr>
                      <w:p>
                        <w:pPr>
                          <w:pStyle w:val="TableParagraph"/>
                          <w:jc w:val="left"/>
                          <w:rPr>
                            <w:sz w:val="12"/>
                          </w:rPr>
                        </w:pPr>
                      </w:p>
                    </w:tc>
                    <w:tc>
                      <w:tcPr>
                        <w:tcW w:w="820" w:type="dxa"/>
                        <w:shd w:val="clear" w:color="auto" w:fill="F9FCF9"/>
                      </w:tcPr>
                      <w:p>
                        <w:pPr>
                          <w:pStyle w:val="TableParagraph"/>
                          <w:jc w:val="left"/>
                          <w:rPr>
                            <w:sz w:val="12"/>
                          </w:rPr>
                        </w:pPr>
                      </w:p>
                    </w:tc>
                    <w:tc>
                      <w:tcPr>
                        <w:tcW w:w="902" w:type="dxa"/>
                        <w:shd w:val="clear" w:color="auto" w:fill="F9FCF9"/>
                      </w:tcPr>
                      <w:p>
                        <w:pPr>
                          <w:pStyle w:val="TableParagraph"/>
                          <w:jc w:val="left"/>
                          <w:rPr>
                            <w:sz w:val="12"/>
                          </w:rPr>
                        </w:pPr>
                      </w:p>
                    </w:tc>
                    <w:tc>
                      <w:tcPr>
                        <w:tcW w:w="872" w:type="dxa"/>
                        <w:shd w:val="clear" w:color="auto" w:fill="F9FCF9"/>
                      </w:tcPr>
                      <w:p>
                        <w:pPr>
                          <w:pStyle w:val="TableParagraph"/>
                          <w:jc w:val="left"/>
                          <w:rPr>
                            <w:sz w:val="12"/>
                          </w:rPr>
                        </w:pPr>
                      </w:p>
                    </w:tc>
                    <w:tc>
                      <w:tcPr>
                        <w:tcW w:w="830" w:type="dxa"/>
                        <w:shd w:val="clear" w:color="auto" w:fill="F9FCF9"/>
                      </w:tcPr>
                      <w:p>
                        <w:pPr>
                          <w:pStyle w:val="TableParagraph"/>
                          <w:jc w:val="left"/>
                          <w:rPr>
                            <w:sz w:val="12"/>
                          </w:rPr>
                        </w:pPr>
                      </w:p>
                    </w:tc>
                    <w:tc>
                      <w:tcPr>
                        <w:tcW w:w="898" w:type="dxa"/>
                        <w:shd w:val="clear" w:color="auto" w:fill="F9FCF9"/>
                      </w:tcPr>
                      <w:p>
                        <w:pPr>
                          <w:pStyle w:val="TableParagraph"/>
                          <w:jc w:val="left"/>
                          <w:rPr>
                            <w:sz w:val="12"/>
                          </w:rPr>
                        </w:pPr>
                      </w:p>
                    </w:tc>
                    <w:tc>
                      <w:tcPr>
                        <w:tcW w:w="718" w:type="dxa"/>
                        <w:shd w:val="clear" w:color="auto" w:fill="F9FCF9"/>
                      </w:tcPr>
                      <w:p>
                        <w:pPr>
                          <w:pStyle w:val="TableParagraph"/>
                          <w:spacing w:line="159" w:lineRule="exact"/>
                          <w:ind w:left="36" w:right="21"/>
                          <w:rPr>
                            <w:sz w:val="14"/>
                          </w:rPr>
                        </w:pPr>
                        <w:r>
                          <w:rPr>
                            <w:sz w:val="14"/>
                          </w:rPr>
                          <w:t>10.2</w:t>
                        </w:r>
                      </w:p>
                    </w:tc>
                    <w:tc>
                      <w:tcPr>
                        <w:tcW w:w="622" w:type="dxa"/>
                        <w:shd w:val="clear" w:color="auto" w:fill="F9FCF9"/>
                      </w:tcPr>
                      <w:p>
                        <w:pPr>
                          <w:pStyle w:val="TableParagraph"/>
                          <w:spacing w:line="159" w:lineRule="exact"/>
                          <w:ind w:left="24" w:right="7"/>
                          <w:rPr>
                            <w:sz w:val="14"/>
                          </w:rPr>
                        </w:pPr>
                        <w:r>
                          <w:rPr>
                            <w:sz w:val="14"/>
                          </w:rPr>
                          <w:t>55.1</w:t>
                        </w:r>
                      </w:p>
                    </w:tc>
                    <w:tc>
                      <w:tcPr>
                        <w:tcW w:w="94" w:type="dxa"/>
                        <w:shd w:val="clear" w:color="auto" w:fill="F9FCF9"/>
                      </w:tcPr>
                      <w:p>
                        <w:pPr>
                          <w:pStyle w:val="TableParagraph"/>
                          <w:jc w:val="left"/>
                          <w:rPr>
                            <w:sz w:val="12"/>
                          </w:rPr>
                        </w:pPr>
                      </w:p>
                    </w:tc>
                    <w:tc>
                      <w:tcPr>
                        <w:tcW w:w="774" w:type="dxa"/>
                        <w:shd w:val="clear" w:color="auto" w:fill="F9FCF9"/>
                      </w:tcPr>
                      <w:p>
                        <w:pPr>
                          <w:pStyle w:val="TableParagraph"/>
                          <w:spacing w:line="159" w:lineRule="exact"/>
                          <w:ind w:left="65" w:right="47"/>
                          <w:rPr>
                            <w:sz w:val="14"/>
                          </w:rPr>
                        </w:pPr>
                        <w:r>
                          <w:rPr>
                            <w:sz w:val="14"/>
                          </w:rPr>
                          <w:t>6.1</w:t>
                        </w:r>
                      </w:p>
                    </w:tc>
                    <w:tc>
                      <w:tcPr>
                        <w:tcW w:w="682" w:type="dxa"/>
                        <w:shd w:val="clear" w:color="auto" w:fill="F9FCF9"/>
                      </w:tcPr>
                      <w:p>
                        <w:pPr>
                          <w:pStyle w:val="TableParagraph"/>
                          <w:spacing w:line="159" w:lineRule="exact"/>
                          <w:ind w:left="20" w:right="1"/>
                          <w:rPr>
                            <w:sz w:val="14"/>
                          </w:rPr>
                        </w:pPr>
                        <w:r>
                          <w:rPr>
                            <w:sz w:val="14"/>
                          </w:rPr>
                          <w:t>6.8</w:t>
                        </w:r>
                      </w:p>
                    </w:tc>
                    <w:tc>
                      <w:tcPr>
                        <w:tcW w:w="764" w:type="dxa"/>
                        <w:shd w:val="clear" w:color="auto" w:fill="F9FCF9"/>
                      </w:tcPr>
                      <w:p>
                        <w:pPr>
                          <w:pStyle w:val="TableParagraph"/>
                          <w:spacing w:line="159" w:lineRule="exact"/>
                          <w:ind w:left="264"/>
                          <w:jc w:val="left"/>
                          <w:rPr>
                            <w:sz w:val="14"/>
                          </w:rPr>
                        </w:pPr>
                        <w:r>
                          <w:rPr>
                            <w:sz w:val="14"/>
                          </w:rPr>
                          <w:t>54.2</w:t>
                        </w:r>
                      </w:p>
                    </w:tc>
                    <w:tc>
                      <w:tcPr>
                        <w:tcW w:w="1420" w:type="dxa"/>
                        <w:shd w:val="clear" w:color="auto" w:fill="F9FCF9"/>
                      </w:tcPr>
                      <w:p>
                        <w:pPr>
                          <w:pStyle w:val="TableParagraph"/>
                          <w:spacing w:line="159" w:lineRule="exact"/>
                          <w:ind w:left="92" w:right="70"/>
                          <w:rPr>
                            <w:sz w:val="14"/>
                          </w:rPr>
                        </w:pPr>
                        <w:r>
                          <w:rPr>
                            <w:sz w:val="14"/>
                          </w:rPr>
                          <w:t>48.2</w:t>
                        </w:r>
                      </w:p>
                    </w:tc>
                  </w:tr>
                  <w:tr>
                    <w:trPr>
                      <w:trHeight w:val="319" w:hRule="atLeast"/>
                    </w:trPr>
                    <w:tc>
                      <w:tcPr>
                        <w:tcW w:w="2334" w:type="dxa"/>
                        <w:shd w:val="clear" w:color="auto" w:fill="F9FCF9"/>
                      </w:tcPr>
                      <w:p>
                        <w:pPr>
                          <w:pStyle w:val="TableParagraph"/>
                          <w:spacing w:line="159" w:lineRule="exact"/>
                          <w:ind w:left="26"/>
                          <w:jc w:val="left"/>
                          <w:rPr>
                            <w:b/>
                            <w:sz w:val="14"/>
                          </w:rPr>
                        </w:pPr>
                        <w:r>
                          <w:rPr>
                            <w:b/>
                            <w:sz w:val="14"/>
                          </w:rPr>
                          <w:t>incremental cost of product (uS$/</w:t>
                        </w:r>
                      </w:p>
                      <w:p>
                        <w:pPr>
                          <w:pStyle w:val="TableParagraph"/>
                          <w:spacing w:line="134" w:lineRule="exact" w:before="7"/>
                          <w:ind w:left="26"/>
                          <w:jc w:val="left"/>
                          <w:rPr>
                            <w:b/>
                            <w:sz w:val="14"/>
                          </w:rPr>
                        </w:pPr>
                        <w:r>
                          <w:rPr>
                            <w:b/>
                            <w:sz w:val="14"/>
                          </w:rPr>
                          <w:t>unit)</w:t>
                        </w:r>
                      </w:p>
                    </w:tc>
                    <w:tc>
                      <w:tcPr>
                        <w:tcW w:w="980" w:type="dxa"/>
                        <w:shd w:val="clear" w:color="auto" w:fill="F9FCF9"/>
                      </w:tcPr>
                      <w:p>
                        <w:pPr>
                          <w:pStyle w:val="TableParagraph"/>
                          <w:jc w:val="left"/>
                          <w:rPr>
                            <w:sz w:val="12"/>
                          </w:rPr>
                        </w:pPr>
                      </w:p>
                    </w:tc>
                    <w:tc>
                      <w:tcPr>
                        <w:tcW w:w="840" w:type="dxa"/>
                        <w:shd w:val="clear" w:color="auto" w:fill="F9FCF9"/>
                      </w:tcPr>
                      <w:p>
                        <w:pPr>
                          <w:pStyle w:val="TableParagraph"/>
                          <w:jc w:val="left"/>
                          <w:rPr>
                            <w:sz w:val="12"/>
                          </w:rPr>
                        </w:pPr>
                      </w:p>
                    </w:tc>
                    <w:tc>
                      <w:tcPr>
                        <w:tcW w:w="820" w:type="dxa"/>
                        <w:shd w:val="clear" w:color="auto" w:fill="F9FCF9"/>
                      </w:tcPr>
                      <w:p>
                        <w:pPr>
                          <w:pStyle w:val="TableParagraph"/>
                          <w:jc w:val="left"/>
                          <w:rPr>
                            <w:sz w:val="12"/>
                          </w:rPr>
                        </w:pPr>
                      </w:p>
                    </w:tc>
                    <w:tc>
                      <w:tcPr>
                        <w:tcW w:w="902" w:type="dxa"/>
                        <w:shd w:val="clear" w:color="auto" w:fill="F9FCF9"/>
                      </w:tcPr>
                      <w:p>
                        <w:pPr>
                          <w:pStyle w:val="TableParagraph"/>
                          <w:jc w:val="left"/>
                          <w:rPr>
                            <w:sz w:val="12"/>
                          </w:rPr>
                        </w:pPr>
                      </w:p>
                    </w:tc>
                    <w:tc>
                      <w:tcPr>
                        <w:tcW w:w="872" w:type="dxa"/>
                        <w:shd w:val="clear" w:color="auto" w:fill="F9FCF9"/>
                      </w:tcPr>
                      <w:p>
                        <w:pPr>
                          <w:pStyle w:val="TableParagraph"/>
                          <w:jc w:val="left"/>
                          <w:rPr>
                            <w:sz w:val="12"/>
                          </w:rPr>
                        </w:pPr>
                      </w:p>
                    </w:tc>
                    <w:tc>
                      <w:tcPr>
                        <w:tcW w:w="830" w:type="dxa"/>
                        <w:shd w:val="clear" w:color="auto" w:fill="F9FCF9"/>
                      </w:tcPr>
                      <w:p>
                        <w:pPr>
                          <w:pStyle w:val="TableParagraph"/>
                          <w:jc w:val="left"/>
                          <w:rPr>
                            <w:sz w:val="12"/>
                          </w:rPr>
                        </w:pPr>
                      </w:p>
                    </w:tc>
                    <w:tc>
                      <w:tcPr>
                        <w:tcW w:w="898" w:type="dxa"/>
                        <w:shd w:val="clear" w:color="auto" w:fill="F9FCF9"/>
                      </w:tcPr>
                      <w:p>
                        <w:pPr>
                          <w:pStyle w:val="TableParagraph"/>
                          <w:jc w:val="left"/>
                          <w:rPr>
                            <w:sz w:val="12"/>
                          </w:rPr>
                        </w:pPr>
                      </w:p>
                    </w:tc>
                    <w:tc>
                      <w:tcPr>
                        <w:tcW w:w="718" w:type="dxa"/>
                        <w:shd w:val="clear" w:color="auto" w:fill="F9FCF9"/>
                      </w:tcPr>
                      <w:p>
                        <w:pPr>
                          <w:pStyle w:val="TableParagraph"/>
                          <w:spacing w:line="159" w:lineRule="exact"/>
                          <w:ind w:left="36" w:right="21"/>
                          <w:rPr>
                            <w:sz w:val="14"/>
                          </w:rPr>
                        </w:pPr>
                        <w:r>
                          <w:rPr>
                            <w:sz w:val="14"/>
                          </w:rPr>
                          <w:t>10.2</w:t>
                        </w:r>
                      </w:p>
                    </w:tc>
                    <w:tc>
                      <w:tcPr>
                        <w:tcW w:w="622" w:type="dxa"/>
                        <w:shd w:val="clear" w:color="auto" w:fill="F9FCF9"/>
                      </w:tcPr>
                      <w:p>
                        <w:pPr>
                          <w:pStyle w:val="TableParagraph"/>
                          <w:spacing w:line="159" w:lineRule="exact"/>
                          <w:ind w:left="24" w:right="7"/>
                          <w:rPr>
                            <w:sz w:val="14"/>
                          </w:rPr>
                        </w:pPr>
                        <w:r>
                          <w:rPr>
                            <w:sz w:val="14"/>
                          </w:rPr>
                          <w:t>55.1</w:t>
                        </w:r>
                      </w:p>
                    </w:tc>
                    <w:tc>
                      <w:tcPr>
                        <w:tcW w:w="94" w:type="dxa"/>
                        <w:shd w:val="clear" w:color="auto" w:fill="F9FCF9"/>
                      </w:tcPr>
                      <w:p>
                        <w:pPr>
                          <w:pStyle w:val="TableParagraph"/>
                          <w:jc w:val="left"/>
                          <w:rPr>
                            <w:sz w:val="12"/>
                          </w:rPr>
                        </w:pPr>
                      </w:p>
                    </w:tc>
                    <w:tc>
                      <w:tcPr>
                        <w:tcW w:w="774" w:type="dxa"/>
                        <w:shd w:val="clear" w:color="auto" w:fill="F9FCF9"/>
                      </w:tcPr>
                      <w:p>
                        <w:pPr>
                          <w:pStyle w:val="TableParagraph"/>
                          <w:spacing w:line="159" w:lineRule="exact"/>
                          <w:ind w:left="65" w:right="47"/>
                          <w:rPr>
                            <w:sz w:val="14"/>
                          </w:rPr>
                        </w:pPr>
                        <w:r>
                          <w:rPr>
                            <w:sz w:val="14"/>
                          </w:rPr>
                          <w:t>6.1</w:t>
                        </w:r>
                      </w:p>
                    </w:tc>
                    <w:tc>
                      <w:tcPr>
                        <w:tcW w:w="682" w:type="dxa"/>
                        <w:shd w:val="clear" w:color="auto" w:fill="F9FCF9"/>
                      </w:tcPr>
                      <w:p>
                        <w:pPr>
                          <w:pStyle w:val="TableParagraph"/>
                          <w:spacing w:line="159" w:lineRule="exact"/>
                          <w:ind w:left="20" w:right="1"/>
                          <w:rPr>
                            <w:sz w:val="14"/>
                          </w:rPr>
                        </w:pPr>
                        <w:r>
                          <w:rPr>
                            <w:sz w:val="14"/>
                          </w:rPr>
                          <w:t>6.8</w:t>
                        </w:r>
                      </w:p>
                    </w:tc>
                    <w:tc>
                      <w:tcPr>
                        <w:tcW w:w="764" w:type="dxa"/>
                        <w:shd w:val="clear" w:color="auto" w:fill="F9FCF9"/>
                      </w:tcPr>
                      <w:p>
                        <w:pPr>
                          <w:pStyle w:val="TableParagraph"/>
                          <w:spacing w:line="159" w:lineRule="exact"/>
                          <w:ind w:left="264"/>
                          <w:jc w:val="left"/>
                          <w:rPr>
                            <w:sz w:val="14"/>
                          </w:rPr>
                        </w:pPr>
                        <w:r>
                          <w:rPr>
                            <w:sz w:val="14"/>
                          </w:rPr>
                          <w:t>54.2</w:t>
                        </w:r>
                      </w:p>
                    </w:tc>
                    <w:tc>
                      <w:tcPr>
                        <w:tcW w:w="1420" w:type="dxa"/>
                        <w:shd w:val="clear" w:color="auto" w:fill="F9FCF9"/>
                      </w:tcPr>
                      <w:p>
                        <w:pPr>
                          <w:pStyle w:val="TableParagraph"/>
                          <w:spacing w:line="159" w:lineRule="exact"/>
                          <w:ind w:left="92" w:right="70"/>
                          <w:rPr>
                            <w:sz w:val="14"/>
                          </w:rPr>
                        </w:pPr>
                        <w:r>
                          <w:rPr>
                            <w:sz w:val="14"/>
                          </w:rPr>
                          <w:t>48.2</w:t>
                        </w:r>
                      </w:p>
                    </w:tc>
                  </w:tr>
                  <w:tr>
                    <w:trPr>
                      <w:trHeight w:val="319" w:hRule="atLeast"/>
                    </w:trPr>
                    <w:tc>
                      <w:tcPr>
                        <w:tcW w:w="2334" w:type="dxa"/>
                        <w:shd w:val="clear" w:color="auto" w:fill="F9FCF9"/>
                      </w:tcPr>
                      <w:p>
                        <w:pPr>
                          <w:pStyle w:val="TableParagraph"/>
                          <w:spacing w:line="159" w:lineRule="exact"/>
                          <w:ind w:left="26"/>
                          <w:jc w:val="left"/>
                          <w:rPr>
                            <w:sz w:val="14"/>
                          </w:rPr>
                        </w:pPr>
                        <w:r>
                          <w:rPr>
                            <w:sz w:val="14"/>
                          </w:rPr>
                          <w:t>% increase in capital cost (over ref.</w:t>
                        </w:r>
                      </w:p>
                      <w:p>
                        <w:pPr>
                          <w:pStyle w:val="TableParagraph"/>
                          <w:spacing w:line="134" w:lineRule="exact" w:before="7"/>
                          <w:ind w:left="26"/>
                          <w:jc w:val="left"/>
                          <w:rPr>
                            <w:sz w:val="14"/>
                          </w:rPr>
                        </w:pPr>
                        <w:r>
                          <w:rPr>
                            <w:sz w:val="14"/>
                          </w:rPr>
                          <w:t>plant)</w:t>
                        </w:r>
                      </w:p>
                    </w:tc>
                    <w:tc>
                      <w:tcPr>
                        <w:tcW w:w="980" w:type="dxa"/>
                        <w:shd w:val="clear" w:color="auto" w:fill="F9FCF9"/>
                      </w:tcPr>
                      <w:p>
                        <w:pPr>
                          <w:pStyle w:val="TableParagraph"/>
                          <w:jc w:val="left"/>
                          <w:rPr>
                            <w:sz w:val="12"/>
                          </w:rPr>
                        </w:pPr>
                      </w:p>
                    </w:tc>
                    <w:tc>
                      <w:tcPr>
                        <w:tcW w:w="840" w:type="dxa"/>
                        <w:shd w:val="clear" w:color="auto" w:fill="F9FCF9"/>
                      </w:tcPr>
                      <w:p>
                        <w:pPr>
                          <w:pStyle w:val="TableParagraph"/>
                          <w:jc w:val="left"/>
                          <w:rPr>
                            <w:sz w:val="12"/>
                          </w:rPr>
                        </w:pPr>
                      </w:p>
                    </w:tc>
                    <w:tc>
                      <w:tcPr>
                        <w:tcW w:w="820" w:type="dxa"/>
                        <w:shd w:val="clear" w:color="auto" w:fill="F9FCF9"/>
                      </w:tcPr>
                      <w:p>
                        <w:pPr>
                          <w:pStyle w:val="TableParagraph"/>
                          <w:jc w:val="left"/>
                          <w:rPr>
                            <w:sz w:val="12"/>
                          </w:rPr>
                        </w:pPr>
                      </w:p>
                    </w:tc>
                    <w:tc>
                      <w:tcPr>
                        <w:tcW w:w="902" w:type="dxa"/>
                        <w:shd w:val="clear" w:color="auto" w:fill="F9FCF9"/>
                      </w:tcPr>
                      <w:p>
                        <w:pPr>
                          <w:pStyle w:val="TableParagraph"/>
                          <w:jc w:val="left"/>
                          <w:rPr>
                            <w:sz w:val="12"/>
                          </w:rPr>
                        </w:pPr>
                      </w:p>
                    </w:tc>
                    <w:tc>
                      <w:tcPr>
                        <w:tcW w:w="872" w:type="dxa"/>
                        <w:shd w:val="clear" w:color="auto" w:fill="F9FCF9"/>
                      </w:tcPr>
                      <w:p>
                        <w:pPr>
                          <w:pStyle w:val="TableParagraph"/>
                          <w:jc w:val="left"/>
                          <w:rPr>
                            <w:sz w:val="12"/>
                          </w:rPr>
                        </w:pPr>
                      </w:p>
                    </w:tc>
                    <w:tc>
                      <w:tcPr>
                        <w:tcW w:w="830" w:type="dxa"/>
                        <w:shd w:val="clear" w:color="auto" w:fill="F9FCF9"/>
                      </w:tcPr>
                      <w:p>
                        <w:pPr>
                          <w:pStyle w:val="TableParagraph"/>
                          <w:jc w:val="left"/>
                          <w:rPr>
                            <w:sz w:val="12"/>
                          </w:rPr>
                        </w:pPr>
                      </w:p>
                    </w:tc>
                    <w:tc>
                      <w:tcPr>
                        <w:tcW w:w="898" w:type="dxa"/>
                        <w:shd w:val="clear" w:color="auto" w:fill="F9FCF9"/>
                      </w:tcPr>
                      <w:p>
                        <w:pPr>
                          <w:pStyle w:val="TableParagraph"/>
                          <w:jc w:val="left"/>
                          <w:rPr>
                            <w:sz w:val="12"/>
                          </w:rPr>
                        </w:pPr>
                      </w:p>
                    </w:tc>
                    <w:tc>
                      <w:tcPr>
                        <w:tcW w:w="718" w:type="dxa"/>
                        <w:shd w:val="clear" w:color="auto" w:fill="F9FCF9"/>
                      </w:tcPr>
                      <w:p>
                        <w:pPr>
                          <w:pStyle w:val="TableParagraph"/>
                          <w:jc w:val="left"/>
                          <w:rPr>
                            <w:sz w:val="12"/>
                          </w:rPr>
                        </w:pPr>
                      </w:p>
                    </w:tc>
                    <w:tc>
                      <w:tcPr>
                        <w:tcW w:w="622" w:type="dxa"/>
                        <w:shd w:val="clear" w:color="auto" w:fill="F9FCF9"/>
                      </w:tcPr>
                      <w:p>
                        <w:pPr>
                          <w:pStyle w:val="TableParagraph"/>
                          <w:jc w:val="left"/>
                          <w:rPr>
                            <w:sz w:val="12"/>
                          </w:rPr>
                        </w:pPr>
                      </w:p>
                    </w:tc>
                    <w:tc>
                      <w:tcPr>
                        <w:tcW w:w="94" w:type="dxa"/>
                        <w:shd w:val="clear" w:color="auto" w:fill="F9FCF9"/>
                      </w:tcPr>
                      <w:p>
                        <w:pPr>
                          <w:pStyle w:val="TableParagraph"/>
                          <w:jc w:val="left"/>
                          <w:rPr>
                            <w:sz w:val="12"/>
                          </w:rPr>
                        </w:pPr>
                      </w:p>
                    </w:tc>
                    <w:tc>
                      <w:tcPr>
                        <w:tcW w:w="774" w:type="dxa"/>
                        <w:shd w:val="clear" w:color="auto" w:fill="F9FCF9"/>
                      </w:tcPr>
                      <w:p>
                        <w:pPr>
                          <w:pStyle w:val="TableParagraph"/>
                          <w:jc w:val="left"/>
                          <w:rPr>
                            <w:sz w:val="12"/>
                          </w:rPr>
                        </w:pPr>
                      </w:p>
                    </w:tc>
                    <w:tc>
                      <w:tcPr>
                        <w:tcW w:w="682" w:type="dxa"/>
                        <w:shd w:val="clear" w:color="auto" w:fill="F9FCF9"/>
                      </w:tcPr>
                      <w:p>
                        <w:pPr>
                          <w:pStyle w:val="TableParagraph"/>
                          <w:jc w:val="left"/>
                          <w:rPr>
                            <w:sz w:val="12"/>
                          </w:rPr>
                        </w:pPr>
                      </w:p>
                    </w:tc>
                    <w:tc>
                      <w:tcPr>
                        <w:tcW w:w="764" w:type="dxa"/>
                        <w:shd w:val="clear" w:color="auto" w:fill="F9FCF9"/>
                      </w:tcPr>
                      <w:p>
                        <w:pPr>
                          <w:pStyle w:val="TableParagraph"/>
                          <w:jc w:val="left"/>
                          <w:rPr>
                            <w:sz w:val="12"/>
                          </w:rPr>
                        </w:pPr>
                      </w:p>
                    </w:tc>
                    <w:tc>
                      <w:tcPr>
                        <w:tcW w:w="1420" w:type="dxa"/>
                        <w:shd w:val="clear" w:color="auto" w:fill="F9FCF9"/>
                      </w:tcPr>
                      <w:p>
                        <w:pPr>
                          <w:pStyle w:val="TableParagraph"/>
                          <w:jc w:val="left"/>
                          <w:rPr>
                            <w:sz w:val="12"/>
                          </w:rPr>
                        </w:pPr>
                      </w:p>
                    </w:tc>
                  </w:tr>
                  <w:tr>
                    <w:trPr>
                      <w:trHeight w:val="319" w:hRule="atLeast"/>
                    </w:trPr>
                    <w:tc>
                      <w:tcPr>
                        <w:tcW w:w="2334" w:type="dxa"/>
                        <w:shd w:val="clear" w:color="auto" w:fill="F9FCF9"/>
                      </w:tcPr>
                      <w:p>
                        <w:pPr>
                          <w:pStyle w:val="TableParagraph"/>
                          <w:spacing w:line="159" w:lineRule="exact"/>
                          <w:ind w:left="26"/>
                          <w:jc w:val="left"/>
                          <w:rPr>
                            <w:sz w:val="14"/>
                          </w:rPr>
                        </w:pPr>
                        <w:r>
                          <w:rPr>
                            <w:sz w:val="14"/>
                          </w:rPr>
                          <w:t>% increase in unit cost of product (over</w:t>
                        </w:r>
                      </w:p>
                      <w:p>
                        <w:pPr>
                          <w:pStyle w:val="TableParagraph"/>
                          <w:spacing w:line="134" w:lineRule="exact" w:before="7"/>
                          <w:ind w:left="26"/>
                          <w:jc w:val="left"/>
                          <w:rPr>
                            <w:sz w:val="14"/>
                          </w:rPr>
                        </w:pPr>
                        <w:r>
                          <w:rPr>
                            <w:sz w:val="14"/>
                          </w:rPr>
                          <w:t>ref. plant)</w:t>
                        </w:r>
                      </w:p>
                    </w:tc>
                    <w:tc>
                      <w:tcPr>
                        <w:tcW w:w="980" w:type="dxa"/>
                        <w:shd w:val="clear" w:color="auto" w:fill="F9FCF9"/>
                      </w:tcPr>
                      <w:p>
                        <w:pPr>
                          <w:pStyle w:val="TableParagraph"/>
                          <w:jc w:val="left"/>
                          <w:rPr>
                            <w:sz w:val="12"/>
                          </w:rPr>
                        </w:pPr>
                      </w:p>
                    </w:tc>
                    <w:tc>
                      <w:tcPr>
                        <w:tcW w:w="840" w:type="dxa"/>
                        <w:shd w:val="clear" w:color="auto" w:fill="F9FCF9"/>
                      </w:tcPr>
                      <w:p>
                        <w:pPr>
                          <w:pStyle w:val="TableParagraph"/>
                          <w:jc w:val="left"/>
                          <w:rPr>
                            <w:sz w:val="12"/>
                          </w:rPr>
                        </w:pPr>
                      </w:p>
                    </w:tc>
                    <w:tc>
                      <w:tcPr>
                        <w:tcW w:w="820" w:type="dxa"/>
                        <w:shd w:val="clear" w:color="auto" w:fill="F9FCF9"/>
                      </w:tcPr>
                      <w:p>
                        <w:pPr>
                          <w:pStyle w:val="TableParagraph"/>
                          <w:jc w:val="left"/>
                          <w:rPr>
                            <w:sz w:val="12"/>
                          </w:rPr>
                        </w:pPr>
                      </w:p>
                    </w:tc>
                    <w:tc>
                      <w:tcPr>
                        <w:tcW w:w="902" w:type="dxa"/>
                        <w:shd w:val="clear" w:color="auto" w:fill="F9FCF9"/>
                      </w:tcPr>
                      <w:p>
                        <w:pPr>
                          <w:pStyle w:val="TableParagraph"/>
                          <w:jc w:val="left"/>
                          <w:rPr>
                            <w:sz w:val="12"/>
                          </w:rPr>
                        </w:pPr>
                      </w:p>
                    </w:tc>
                    <w:tc>
                      <w:tcPr>
                        <w:tcW w:w="872" w:type="dxa"/>
                        <w:shd w:val="clear" w:color="auto" w:fill="F9FCF9"/>
                      </w:tcPr>
                      <w:p>
                        <w:pPr>
                          <w:pStyle w:val="TableParagraph"/>
                          <w:jc w:val="left"/>
                          <w:rPr>
                            <w:sz w:val="12"/>
                          </w:rPr>
                        </w:pPr>
                      </w:p>
                    </w:tc>
                    <w:tc>
                      <w:tcPr>
                        <w:tcW w:w="830" w:type="dxa"/>
                        <w:shd w:val="clear" w:color="auto" w:fill="F9FCF9"/>
                      </w:tcPr>
                      <w:p>
                        <w:pPr>
                          <w:pStyle w:val="TableParagraph"/>
                          <w:jc w:val="left"/>
                          <w:rPr>
                            <w:sz w:val="12"/>
                          </w:rPr>
                        </w:pPr>
                      </w:p>
                    </w:tc>
                    <w:tc>
                      <w:tcPr>
                        <w:tcW w:w="898" w:type="dxa"/>
                        <w:shd w:val="clear" w:color="auto" w:fill="F9FCF9"/>
                      </w:tcPr>
                      <w:p>
                        <w:pPr>
                          <w:pStyle w:val="TableParagraph"/>
                          <w:jc w:val="left"/>
                          <w:rPr>
                            <w:sz w:val="12"/>
                          </w:rPr>
                        </w:pPr>
                      </w:p>
                    </w:tc>
                    <w:tc>
                      <w:tcPr>
                        <w:tcW w:w="718" w:type="dxa"/>
                        <w:shd w:val="clear" w:color="auto" w:fill="F9FCF9"/>
                      </w:tcPr>
                      <w:p>
                        <w:pPr>
                          <w:pStyle w:val="TableParagraph"/>
                          <w:jc w:val="left"/>
                          <w:rPr>
                            <w:sz w:val="12"/>
                          </w:rPr>
                        </w:pPr>
                      </w:p>
                    </w:tc>
                    <w:tc>
                      <w:tcPr>
                        <w:tcW w:w="622" w:type="dxa"/>
                        <w:shd w:val="clear" w:color="auto" w:fill="F9FCF9"/>
                      </w:tcPr>
                      <w:p>
                        <w:pPr>
                          <w:pStyle w:val="TableParagraph"/>
                          <w:jc w:val="left"/>
                          <w:rPr>
                            <w:sz w:val="12"/>
                          </w:rPr>
                        </w:pPr>
                      </w:p>
                    </w:tc>
                    <w:tc>
                      <w:tcPr>
                        <w:tcW w:w="94" w:type="dxa"/>
                        <w:shd w:val="clear" w:color="auto" w:fill="F9FCF9"/>
                      </w:tcPr>
                      <w:p>
                        <w:pPr>
                          <w:pStyle w:val="TableParagraph"/>
                          <w:jc w:val="left"/>
                          <w:rPr>
                            <w:sz w:val="12"/>
                          </w:rPr>
                        </w:pPr>
                      </w:p>
                    </w:tc>
                    <w:tc>
                      <w:tcPr>
                        <w:tcW w:w="774" w:type="dxa"/>
                        <w:shd w:val="clear" w:color="auto" w:fill="F9FCF9"/>
                      </w:tcPr>
                      <w:p>
                        <w:pPr>
                          <w:pStyle w:val="TableParagraph"/>
                          <w:jc w:val="left"/>
                          <w:rPr>
                            <w:sz w:val="12"/>
                          </w:rPr>
                        </w:pPr>
                      </w:p>
                    </w:tc>
                    <w:tc>
                      <w:tcPr>
                        <w:tcW w:w="682" w:type="dxa"/>
                        <w:shd w:val="clear" w:color="auto" w:fill="F9FCF9"/>
                      </w:tcPr>
                      <w:p>
                        <w:pPr>
                          <w:pStyle w:val="TableParagraph"/>
                          <w:jc w:val="left"/>
                          <w:rPr>
                            <w:sz w:val="12"/>
                          </w:rPr>
                        </w:pPr>
                      </w:p>
                    </w:tc>
                    <w:tc>
                      <w:tcPr>
                        <w:tcW w:w="764" w:type="dxa"/>
                        <w:shd w:val="clear" w:color="auto" w:fill="F9FCF9"/>
                      </w:tcPr>
                      <w:p>
                        <w:pPr>
                          <w:pStyle w:val="TableParagraph"/>
                          <w:jc w:val="left"/>
                          <w:rPr>
                            <w:sz w:val="12"/>
                          </w:rPr>
                        </w:pPr>
                      </w:p>
                    </w:tc>
                    <w:tc>
                      <w:tcPr>
                        <w:tcW w:w="1420" w:type="dxa"/>
                        <w:shd w:val="clear" w:color="auto" w:fill="F9FCF9"/>
                      </w:tcPr>
                      <w:p>
                        <w:pPr>
                          <w:pStyle w:val="TableParagraph"/>
                          <w:jc w:val="left"/>
                          <w:rPr>
                            <w:sz w:val="12"/>
                          </w:rPr>
                        </w:pPr>
                      </w:p>
                    </w:tc>
                  </w:tr>
                  <w:tr>
                    <w:trPr>
                      <w:trHeight w:val="151" w:hRule="atLeast"/>
                    </w:trPr>
                    <w:tc>
                      <w:tcPr>
                        <w:tcW w:w="2334" w:type="dxa"/>
                        <w:shd w:val="clear" w:color="auto" w:fill="F9FCF9"/>
                      </w:tcPr>
                      <w:p>
                        <w:pPr>
                          <w:pStyle w:val="TableParagraph"/>
                          <w:spacing w:line="132" w:lineRule="exact"/>
                          <w:ind w:left="26"/>
                          <w:jc w:val="left"/>
                          <w:rPr>
                            <w:sz w:val="14"/>
                          </w:rPr>
                        </w:pPr>
                        <w:r>
                          <w:rPr>
                            <w:sz w:val="14"/>
                          </w:rPr>
                          <w:t>Cost of CO</w:t>
                        </w:r>
                        <w:r>
                          <w:rPr>
                            <w:position w:val="-4"/>
                            <w:sz w:val="8"/>
                          </w:rPr>
                          <w:t>2 </w:t>
                        </w:r>
                        <w:r>
                          <w:rPr>
                            <w:sz w:val="14"/>
                          </w:rPr>
                          <w:t>captured (US$/tCO</w:t>
                        </w:r>
                        <w:r>
                          <w:rPr>
                            <w:position w:val="-4"/>
                            <w:sz w:val="8"/>
                          </w:rPr>
                          <w:t>2</w:t>
                        </w:r>
                        <w:r>
                          <w:rPr>
                            <w:sz w:val="14"/>
                          </w:rPr>
                          <w:t>)</w:t>
                        </w:r>
                      </w:p>
                    </w:tc>
                    <w:tc>
                      <w:tcPr>
                        <w:tcW w:w="980" w:type="dxa"/>
                        <w:shd w:val="clear" w:color="auto" w:fill="F9FCF9"/>
                      </w:tcPr>
                      <w:p>
                        <w:pPr>
                          <w:pStyle w:val="TableParagraph"/>
                          <w:jc w:val="left"/>
                          <w:rPr>
                            <w:sz w:val="8"/>
                          </w:rPr>
                        </w:pPr>
                      </w:p>
                    </w:tc>
                    <w:tc>
                      <w:tcPr>
                        <w:tcW w:w="840" w:type="dxa"/>
                        <w:shd w:val="clear" w:color="auto" w:fill="F9FCF9"/>
                      </w:tcPr>
                      <w:p>
                        <w:pPr>
                          <w:pStyle w:val="TableParagraph"/>
                          <w:spacing w:line="132" w:lineRule="exact"/>
                          <w:ind w:left="73" w:right="61"/>
                          <w:rPr>
                            <w:sz w:val="14"/>
                          </w:rPr>
                        </w:pPr>
                        <w:r>
                          <w:rPr>
                            <w:sz w:val="14"/>
                          </w:rPr>
                          <w:t>50</w:t>
                        </w:r>
                      </w:p>
                    </w:tc>
                    <w:tc>
                      <w:tcPr>
                        <w:tcW w:w="820" w:type="dxa"/>
                        <w:shd w:val="clear" w:color="auto" w:fill="F9FCF9"/>
                      </w:tcPr>
                      <w:p>
                        <w:pPr>
                          <w:pStyle w:val="TableParagraph"/>
                          <w:spacing w:line="132" w:lineRule="exact"/>
                          <w:ind w:left="63" w:right="51"/>
                          <w:rPr>
                            <w:sz w:val="14"/>
                          </w:rPr>
                        </w:pPr>
                        <w:r>
                          <w:rPr>
                            <w:sz w:val="14"/>
                          </w:rPr>
                          <w:t>60</w:t>
                        </w:r>
                      </w:p>
                    </w:tc>
                    <w:tc>
                      <w:tcPr>
                        <w:tcW w:w="902" w:type="dxa"/>
                        <w:shd w:val="clear" w:color="auto" w:fill="F9FCF9"/>
                      </w:tcPr>
                      <w:p>
                        <w:pPr>
                          <w:pStyle w:val="TableParagraph"/>
                          <w:jc w:val="left"/>
                          <w:rPr>
                            <w:sz w:val="8"/>
                          </w:rPr>
                        </w:pPr>
                      </w:p>
                    </w:tc>
                    <w:tc>
                      <w:tcPr>
                        <w:tcW w:w="872" w:type="dxa"/>
                        <w:shd w:val="clear" w:color="auto" w:fill="F9FCF9"/>
                      </w:tcPr>
                      <w:p>
                        <w:pPr>
                          <w:pStyle w:val="TableParagraph"/>
                          <w:jc w:val="left"/>
                          <w:rPr>
                            <w:sz w:val="8"/>
                          </w:rPr>
                        </w:pPr>
                      </w:p>
                    </w:tc>
                    <w:tc>
                      <w:tcPr>
                        <w:tcW w:w="830" w:type="dxa"/>
                        <w:shd w:val="clear" w:color="auto" w:fill="F9FCF9"/>
                      </w:tcPr>
                      <w:p>
                        <w:pPr>
                          <w:pStyle w:val="TableParagraph"/>
                          <w:jc w:val="left"/>
                          <w:rPr>
                            <w:sz w:val="8"/>
                          </w:rPr>
                        </w:pPr>
                      </w:p>
                    </w:tc>
                    <w:tc>
                      <w:tcPr>
                        <w:tcW w:w="898" w:type="dxa"/>
                        <w:shd w:val="clear" w:color="auto" w:fill="F9FCF9"/>
                      </w:tcPr>
                      <w:p>
                        <w:pPr>
                          <w:pStyle w:val="TableParagraph"/>
                          <w:jc w:val="left"/>
                          <w:rPr>
                            <w:sz w:val="8"/>
                          </w:rPr>
                        </w:pPr>
                      </w:p>
                    </w:tc>
                    <w:tc>
                      <w:tcPr>
                        <w:tcW w:w="718" w:type="dxa"/>
                        <w:shd w:val="clear" w:color="auto" w:fill="F9FCF9"/>
                      </w:tcPr>
                      <w:p>
                        <w:pPr>
                          <w:pStyle w:val="TableParagraph"/>
                          <w:spacing w:line="132" w:lineRule="exact"/>
                          <w:ind w:left="36" w:right="21"/>
                          <w:rPr>
                            <w:sz w:val="14"/>
                          </w:rPr>
                        </w:pPr>
                        <w:r>
                          <w:rPr>
                            <w:sz w:val="14"/>
                          </w:rPr>
                          <w:t>55.3</w:t>
                        </w:r>
                      </w:p>
                    </w:tc>
                    <w:tc>
                      <w:tcPr>
                        <w:tcW w:w="622" w:type="dxa"/>
                        <w:shd w:val="clear" w:color="auto" w:fill="F9FCF9"/>
                      </w:tcPr>
                      <w:p>
                        <w:pPr>
                          <w:pStyle w:val="TableParagraph"/>
                          <w:spacing w:line="132" w:lineRule="exact"/>
                          <w:ind w:left="24" w:right="7"/>
                          <w:rPr>
                            <w:sz w:val="14"/>
                          </w:rPr>
                        </w:pPr>
                        <w:r>
                          <w:rPr>
                            <w:sz w:val="14"/>
                          </w:rPr>
                          <w:t>90.9</w:t>
                        </w:r>
                      </w:p>
                    </w:tc>
                    <w:tc>
                      <w:tcPr>
                        <w:tcW w:w="94" w:type="dxa"/>
                        <w:shd w:val="clear" w:color="auto" w:fill="F9FCF9"/>
                      </w:tcPr>
                      <w:p>
                        <w:pPr>
                          <w:pStyle w:val="TableParagraph"/>
                          <w:jc w:val="left"/>
                          <w:rPr>
                            <w:sz w:val="8"/>
                          </w:rPr>
                        </w:pPr>
                      </w:p>
                    </w:tc>
                    <w:tc>
                      <w:tcPr>
                        <w:tcW w:w="774" w:type="dxa"/>
                        <w:shd w:val="clear" w:color="auto" w:fill="F9FCF9"/>
                      </w:tcPr>
                      <w:p>
                        <w:pPr>
                          <w:pStyle w:val="TableParagraph"/>
                          <w:spacing w:line="132" w:lineRule="exact"/>
                          <w:ind w:left="65" w:right="47"/>
                          <w:rPr>
                            <w:sz w:val="14"/>
                          </w:rPr>
                        </w:pPr>
                        <w:r>
                          <w:rPr>
                            <w:sz w:val="14"/>
                          </w:rPr>
                          <w:t>36.4</w:t>
                        </w:r>
                      </w:p>
                    </w:tc>
                    <w:tc>
                      <w:tcPr>
                        <w:tcW w:w="682" w:type="dxa"/>
                        <w:shd w:val="clear" w:color="auto" w:fill="F9FCF9"/>
                      </w:tcPr>
                      <w:p>
                        <w:pPr>
                          <w:pStyle w:val="TableParagraph"/>
                          <w:spacing w:line="132" w:lineRule="exact"/>
                          <w:ind w:left="20" w:right="1"/>
                          <w:rPr>
                            <w:sz w:val="14"/>
                          </w:rPr>
                        </w:pPr>
                        <w:r>
                          <w:rPr>
                            <w:sz w:val="14"/>
                          </w:rPr>
                          <w:t>38.2</w:t>
                        </w:r>
                      </w:p>
                    </w:tc>
                    <w:tc>
                      <w:tcPr>
                        <w:tcW w:w="764" w:type="dxa"/>
                        <w:shd w:val="clear" w:color="auto" w:fill="F9FCF9"/>
                      </w:tcPr>
                      <w:p>
                        <w:pPr>
                          <w:pStyle w:val="TableParagraph"/>
                          <w:spacing w:line="132" w:lineRule="exact"/>
                          <w:ind w:left="264"/>
                          <w:jc w:val="left"/>
                          <w:rPr>
                            <w:sz w:val="14"/>
                          </w:rPr>
                        </w:pPr>
                        <w:r>
                          <w:rPr>
                            <w:sz w:val="14"/>
                          </w:rPr>
                          <w:t>59.0</w:t>
                        </w:r>
                      </w:p>
                    </w:tc>
                    <w:tc>
                      <w:tcPr>
                        <w:tcW w:w="1420" w:type="dxa"/>
                        <w:shd w:val="clear" w:color="auto" w:fill="F9FCF9"/>
                      </w:tcPr>
                      <w:p>
                        <w:pPr>
                          <w:pStyle w:val="TableParagraph"/>
                          <w:spacing w:line="132" w:lineRule="exact"/>
                          <w:ind w:left="92" w:right="70"/>
                          <w:rPr>
                            <w:sz w:val="14"/>
                          </w:rPr>
                        </w:pPr>
                        <w:r>
                          <w:rPr>
                            <w:sz w:val="14"/>
                          </w:rPr>
                          <w:t>60.5</w:t>
                        </w:r>
                      </w:p>
                    </w:tc>
                  </w:tr>
                  <w:tr>
                    <w:trPr>
                      <w:trHeight w:val="151" w:hRule="atLeast"/>
                    </w:trPr>
                    <w:tc>
                      <w:tcPr>
                        <w:tcW w:w="2334" w:type="dxa"/>
                        <w:shd w:val="clear" w:color="auto" w:fill="F9FCF9"/>
                      </w:tcPr>
                      <w:p>
                        <w:pPr>
                          <w:pStyle w:val="TableParagraph"/>
                          <w:spacing w:line="132" w:lineRule="exact"/>
                          <w:ind w:left="26"/>
                          <w:jc w:val="left"/>
                          <w:rPr>
                            <w:sz w:val="14"/>
                          </w:rPr>
                        </w:pPr>
                        <w:r>
                          <w:rPr>
                            <w:sz w:val="14"/>
                          </w:rPr>
                          <w:t>Cost of CO</w:t>
                        </w:r>
                        <w:r>
                          <w:rPr>
                            <w:position w:val="-4"/>
                            <w:sz w:val="8"/>
                          </w:rPr>
                          <w:t>2 </w:t>
                        </w:r>
                        <w:r>
                          <w:rPr>
                            <w:sz w:val="14"/>
                          </w:rPr>
                          <w:t>avoided (US$/tCO</w:t>
                        </w:r>
                        <w:r>
                          <w:rPr>
                            <w:position w:val="-4"/>
                            <w:sz w:val="8"/>
                          </w:rPr>
                          <w:t>2</w:t>
                        </w:r>
                        <w:r>
                          <w:rPr>
                            <w:sz w:val="14"/>
                          </w:rPr>
                          <w:t>)</w:t>
                        </w:r>
                      </w:p>
                    </w:tc>
                    <w:tc>
                      <w:tcPr>
                        <w:tcW w:w="980" w:type="dxa"/>
                        <w:shd w:val="clear" w:color="auto" w:fill="F9FCF9"/>
                      </w:tcPr>
                      <w:p>
                        <w:pPr>
                          <w:pStyle w:val="TableParagraph"/>
                          <w:spacing w:line="132" w:lineRule="exact"/>
                          <w:ind w:left="33" w:right="21"/>
                          <w:rPr>
                            <w:sz w:val="14"/>
                          </w:rPr>
                        </w:pPr>
                        <w:r>
                          <w:rPr>
                            <w:sz w:val="14"/>
                          </w:rPr>
                          <w:t>35</w:t>
                        </w:r>
                      </w:p>
                    </w:tc>
                    <w:tc>
                      <w:tcPr>
                        <w:tcW w:w="840" w:type="dxa"/>
                        <w:shd w:val="clear" w:color="auto" w:fill="F9FCF9"/>
                      </w:tcPr>
                      <w:p>
                        <w:pPr>
                          <w:pStyle w:val="TableParagraph"/>
                          <w:spacing w:line="132" w:lineRule="exact"/>
                          <w:ind w:left="73" w:right="61"/>
                          <w:rPr>
                            <w:sz w:val="14"/>
                          </w:rPr>
                        </w:pPr>
                        <w:r>
                          <w:rPr>
                            <w:sz w:val="14"/>
                          </w:rPr>
                          <w:t>74</w:t>
                        </w:r>
                      </w:p>
                    </w:tc>
                    <w:tc>
                      <w:tcPr>
                        <w:tcW w:w="820" w:type="dxa"/>
                        <w:shd w:val="clear" w:color="auto" w:fill="F9FCF9"/>
                      </w:tcPr>
                      <w:p>
                        <w:pPr>
                          <w:pStyle w:val="TableParagraph"/>
                          <w:spacing w:line="132" w:lineRule="exact"/>
                          <w:ind w:left="63" w:right="51"/>
                          <w:rPr>
                            <w:sz w:val="14"/>
                          </w:rPr>
                        </w:pPr>
                        <w:r>
                          <w:rPr>
                            <w:sz w:val="14"/>
                          </w:rPr>
                          <w:t>116</w:t>
                        </w:r>
                      </w:p>
                    </w:tc>
                    <w:tc>
                      <w:tcPr>
                        <w:tcW w:w="902" w:type="dxa"/>
                        <w:shd w:val="clear" w:color="auto" w:fill="F9FCF9"/>
                      </w:tcPr>
                      <w:p>
                        <w:pPr>
                          <w:pStyle w:val="TableParagraph"/>
                          <w:spacing w:line="132" w:lineRule="exact"/>
                          <w:ind w:left="62" w:right="50"/>
                          <w:rPr>
                            <w:sz w:val="14"/>
                          </w:rPr>
                        </w:pPr>
                        <w:r>
                          <w:rPr>
                            <w:sz w:val="14"/>
                          </w:rPr>
                          <w:t>10</w:t>
                        </w:r>
                      </w:p>
                    </w:tc>
                    <w:tc>
                      <w:tcPr>
                        <w:tcW w:w="872" w:type="dxa"/>
                        <w:shd w:val="clear" w:color="auto" w:fill="F9FCF9"/>
                      </w:tcPr>
                      <w:p>
                        <w:pPr>
                          <w:pStyle w:val="TableParagraph"/>
                          <w:spacing w:line="132" w:lineRule="exact"/>
                          <w:ind w:left="40" w:right="27"/>
                          <w:rPr>
                            <w:sz w:val="14"/>
                          </w:rPr>
                        </w:pPr>
                        <w:r>
                          <w:rPr>
                            <w:sz w:val="14"/>
                          </w:rPr>
                          <w:t>34</w:t>
                        </w:r>
                      </w:p>
                    </w:tc>
                    <w:tc>
                      <w:tcPr>
                        <w:tcW w:w="830" w:type="dxa"/>
                        <w:shd w:val="clear" w:color="auto" w:fill="F9FCF9"/>
                      </w:tcPr>
                      <w:p>
                        <w:pPr>
                          <w:pStyle w:val="TableParagraph"/>
                          <w:spacing w:line="132" w:lineRule="exact"/>
                          <w:ind w:left="19" w:right="5"/>
                          <w:rPr>
                            <w:sz w:val="14"/>
                          </w:rPr>
                        </w:pPr>
                        <w:r>
                          <w:rPr>
                            <w:sz w:val="14"/>
                          </w:rPr>
                          <w:t>23</w:t>
                        </w:r>
                      </w:p>
                    </w:tc>
                    <w:tc>
                      <w:tcPr>
                        <w:tcW w:w="898" w:type="dxa"/>
                        <w:shd w:val="clear" w:color="auto" w:fill="F9FCF9"/>
                      </w:tcPr>
                      <w:p>
                        <w:pPr>
                          <w:pStyle w:val="TableParagraph"/>
                          <w:spacing w:line="132" w:lineRule="exact"/>
                          <w:ind w:left="76" w:right="61"/>
                          <w:rPr>
                            <w:sz w:val="14"/>
                          </w:rPr>
                        </w:pPr>
                        <w:r>
                          <w:rPr>
                            <w:sz w:val="14"/>
                          </w:rPr>
                          <w:t>53</w:t>
                        </w:r>
                      </w:p>
                    </w:tc>
                    <w:tc>
                      <w:tcPr>
                        <w:tcW w:w="718" w:type="dxa"/>
                        <w:shd w:val="clear" w:color="auto" w:fill="F9FCF9"/>
                      </w:tcPr>
                      <w:p>
                        <w:pPr>
                          <w:pStyle w:val="TableParagraph"/>
                          <w:spacing w:line="132" w:lineRule="exact"/>
                          <w:ind w:left="36" w:right="21"/>
                          <w:rPr>
                            <w:sz w:val="14"/>
                          </w:rPr>
                        </w:pPr>
                        <w:r>
                          <w:rPr>
                            <w:sz w:val="14"/>
                          </w:rPr>
                          <w:t>78.1</w:t>
                        </w:r>
                      </w:p>
                    </w:tc>
                    <w:tc>
                      <w:tcPr>
                        <w:tcW w:w="622" w:type="dxa"/>
                        <w:shd w:val="clear" w:color="auto" w:fill="F9FCF9"/>
                      </w:tcPr>
                      <w:p>
                        <w:pPr>
                          <w:pStyle w:val="TableParagraph"/>
                          <w:spacing w:line="132" w:lineRule="exact"/>
                          <w:ind w:left="24" w:right="7"/>
                          <w:rPr>
                            <w:sz w:val="14"/>
                          </w:rPr>
                        </w:pPr>
                        <w:r>
                          <w:rPr>
                            <w:sz w:val="14"/>
                          </w:rPr>
                          <w:t>88.2</w:t>
                        </w:r>
                      </w:p>
                    </w:tc>
                    <w:tc>
                      <w:tcPr>
                        <w:tcW w:w="94" w:type="dxa"/>
                        <w:shd w:val="clear" w:color="auto" w:fill="F9FCF9"/>
                      </w:tcPr>
                      <w:p>
                        <w:pPr>
                          <w:pStyle w:val="TableParagraph"/>
                          <w:jc w:val="left"/>
                          <w:rPr>
                            <w:sz w:val="8"/>
                          </w:rPr>
                        </w:pPr>
                      </w:p>
                    </w:tc>
                    <w:tc>
                      <w:tcPr>
                        <w:tcW w:w="774" w:type="dxa"/>
                        <w:shd w:val="clear" w:color="auto" w:fill="F9FCF9"/>
                      </w:tcPr>
                      <w:p>
                        <w:pPr>
                          <w:pStyle w:val="TableParagraph"/>
                          <w:spacing w:line="132" w:lineRule="exact"/>
                          <w:ind w:left="65" w:right="47"/>
                          <w:rPr>
                            <w:sz w:val="14"/>
                          </w:rPr>
                        </w:pPr>
                        <w:r>
                          <w:rPr>
                            <w:sz w:val="14"/>
                          </w:rPr>
                          <w:t>48.1</w:t>
                        </w:r>
                      </w:p>
                    </w:tc>
                    <w:tc>
                      <w:tcPr>
                        <w:tcW w:w="682" w:type="dxa"/>
                        <w:shd w:val="clear" w:color="auto" w:fill="F9FCF9"/>
                      </w:tcPr>
                      <w:p>
                        <w:pPr>
                          <w:pStyle w:val="TableParagraph"/>
                          <w:spacing w:line="132" w:lineRule="exact"/>
                          <w:ind w:left="20" w:right="1"/>
                          <w:rPr>
                            <w:sz w:val="14"/>
                          </w:rPr>
                        </w:pPr>
                        <w:r>
                          <w:rPr>
                            <w:sz w:val="14"/>
                          </w:rPr>
                          <w:t>41.0</w:t>
                        </w:r>
                      </w:p>
                    </w:tc>
                    <w:tc>
                      <w:tcPr>
                        <w:tcW w:w="764" w:type="dxa"/>
                        <w:shd w:val="clear" w:color="auto" w:fill="F9FCF9"/>
                      </w:tcPr>
                      <w:p>
                        <w:pPr>
                          <w:pStyle w:val="TableParagraph"/>
                          <w:spacing w:line="132" w:lineRule="exact"/>
                          <w:ind w:left="264"/>
                          <w:jc w:val="left"/>
                          <w:rPr>
                            <w:sz w:val="14"/>
                          </w:rPr>
                        </w:pPr>
                        <w:r>
                          <w:rPr>
                            <w:sz w:val="14"/>
                          </w:rPr>
                          <w:t>76.0</w:t>
                        </w:r>
                      </w:p>
                    </w:tc>
                    <w:tc>
                      <w:tcPr>
                        <w:tcW w:w="1420" w:type="dxa"/>
                        <w:shd w:val="clear" w:color="auto" w:fill="F9FCF9"/>
                      </w:tcPr>
                      <w:p>
                        <w:pPr>
                          <w:pStyle w:val="TableParagraph"/>
                          <w:spacing w:line="132" w:lineRule="exact"/>
                          <w:ind w:left="92" w:right="70"/>
                          <w:rPr>
                            <w:sz w:val="14"/>
                          </w:rPr>
                        </w:pPr>
                        <w:r>
                          <w:rPr>
                            <w:sz w:val="14"/>
                          </w:rPr>
                          <w:t>71.8</w:t>
                        </w:r>
                      </w:p>
                    </w:tc>
                  </w:tr>
                  <w:tr>
                    <w:trPr>
                      <w:trHeight w:val="319" w:hRule="atLeast"/>
                    </w:trPr>
                    <w:tc>
                      <w:tcPr>
                        <w:tcW w:w="2334" w:type="dxa"/>
                        <w:shd w:val="clear" w:color="auto" w:fill="F9FCF9"/>
                      </w:tcPr>
                      <w:p>
                        <w:pPr>
                          <w:pStyle w:val="TableParagraph"/>
                          <w:spacing w:line="159" w:lineRule="exact"/>
                          <w:ind w:left="26"/>
                          <w:jc w:val="left"/>
                          <w:rPr>
                            <w:sz w:val="14"/>
                          </w:rPr>
                        </w:pPr>
                        <w:r>
                          <w:rPr>
                            <w:sz w:val="14"/>
                          </w:rPr>
                          <w:t>Capture cost confidence level</w:t>
                        </w:r>
                      </w:p>
                      <w:p>
                        <w:pPr>
                          <w:pStyle w:val="TableParagraph"/>
                          <w:spacing w:line="134" w:lineRule="exact" w:before="7"/>
                          <w:ind w:left="26"/>
                          <w:jc w:val="left"/>
                          <w:rPr>
                            <w:sz w:val="14"/>
                          </w:rPr>
                        </w:pPr>
                        <w:r>
                          <w:rPr>
                            <w:sz w:val="14"/>
                          </w:rPr>
                          <w:t>(see Table 3.6)</w:t>
                        </w:r>
                      </w:p>
                    </w:tc>
                    <w:tc>
                      <w:tcPr>
                        <w:tcW w:w="7482" w:type="dxa"/>
                        <w:gridSpan w:val="9"/>
                        <w:shd w:val="clear" w:color="auto" w:fill="F9FCF9"/>
                      </w:tcPr>
                      <w:p>
                        <w:pPr>
                          <w:pStyle w:val="TableParagraph"/>
                          <w:spacing w:line="159" w:lineRule="exact"/>
                          <w:ind w:left="2853" w:right="2838"/>
                          <w:rPr>
                            <w:sz w:val="14"/>
                          </w:rPr>
                        </w:pPr>
                        <w:r>
                          <w:rPr>
                            <w:sz w:val="14"/>
                          </w:rPr>
                          <w:t>moderate</w:t>
                        </w:r>
                      </w:p>
                    </w:tc>
                    <w:tc>
                      <w:tcPr>
                        <w:tcW w:w="94" w:type="dxa"/>
                        <w:shd w:val="clear" w:color="auto" w:fill="F9FCF9"/>
                      </w:tcPr>
                      <w:p>
                        <w:pPr>
                          <w:pStyle w:val="TableParagraph"/>
                          <w:jc w:val="left"/>
                          <w:rPr>
                            <w:sz w:val="12"/>
                          </w:rPr>
                        </w:pPr>
                      </w:p>
                    </w:tc>
                    <w:tc>
                      <w:tcPr>
                        <w:tcW w:w="3640" w:type="dxa"/>
                        <w:gridSpan w:val="4"/>
                        <w:shd w:val="clear" w:color="auto" w:fill="F9FCF9"/>
                      </w:tcPr>
                      <w:p>
                        <w:pPr>
                          <w:pStyle w:val="TableParagraph"/>
                          <w:spacing w:line="159" w:lineRule="exact"/>
                          <w:ind w:left="1700" w:right="1679"/>
                          <w:rPr>
                            <w:sz w:val="14"/>
                          </w:rPr>
                        </w:pPr>
                        <w:r>
                          <w:rPr>
                            <w:sz w:val="14"/>
                          </w:rPr>
                          <w:t>low</w:t>
                        </w:r>
                      </w:p>
                    </w:tc>
                  </w:tr>
                </w:tbl>
                <w:p>
                  <w:pPr>
                    <w:pStyle w:val="BodyText"/>
                  </w:pPr>
                </w:p>
              </w:txbxContent>
            </v:textbox>
            <w10:wrap type="none"/>
          </v:shape>
        </w:pict>
      </w:r>
      <w:bookmarkStart w:name="_bookmark53" w:id="101"/>
      <w:bookmarkEnd w:id="101"/>
      <w:r>
        <w:rPr/>
      </w:r>
      <w:r>
        <w:rPr>
          <w:w w:val="101"/>
          <w:sz w:val="8"/>
        </w:rPr>
        <w:t>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9"/>
        </w:rPr>
      </w:pPr>
    </w:p>
    <w:p>
      <w:pPr>
        <w:pStyle w:val="BodyText"/>
        <w:spacing w:before="6"/>
        <w:rPr>
          <w:sz w:val="7"/>
        </w:rPr>
      </w:pPr>
    </w:p>
    <w:p>
      <w:pPr>
        <w:spacing w:before="0"/>
        <w:ind w:left="966" w:right="0" w:firstLine="0"/>
        <w:jc w:val="left"/>
        <w:rPr>
          <w:sz w:val="8"/>
        </w:rPr>
      </w:pPr>
      <w:r>
        <w:rPr>
          <w:w w:val="101"/>
          <w:sz w:val="8"/>
        </w:rPr>
        <w:t>2</w:t>
      </w:r>
    </w:p>
    <w:p>
      <w:pPr>
        <w:spacing w:before="70"/>
        <w:ind w:left="779" w:right="0" w:firstLine="0"/>
        <w:jc w:val="left"/>
        <w:rPr>
          <w:sz w:val="8"/>
        </w:rPr>
      </w:pPr>
      <w:r>
        <w:rPr>
          <w:w w:val="101"/>
          <w:sz w:val="8"/>
        </w:rPr>
        <w:t>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8"/>
        </w:rPr>
      </w:pPr>
    </w:p>
    <w:p>
      <w:pPr>
        <w:pStyle w:val="BodyText"/>
        <w:rPr>
          <w:sz w:val="8"/>
        </w:rPr>
      </w:pPr>
    </w:p>
    <w:p>
      <w:pPr>
        <w:pStyle w:val="BodyText"/>
        <w:spacing w:before="10"/>
        <w:rPr>
          <w:sz w:val="6"/>
        </w:rPr>
      </w:pPr>
    </w:p>
    <w:p>
      <w:pPr>
        <w:spacing w:before="0"/>
        <w:ind w:left="2114" w:right="0" w:firstLine="0"/>
        <w:jc w:val="left"/>
        <w:rPr>
          <w:sz w:val="8"/>
        </w:rPr>
      </w:pPr>
      <w:r>
        <w:rPr>
          <w:w w:val="101"/>
          <w:sz w:val="8"/>
        </w:rPr>
        <w:t>2</w:t>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3"/>
        <w:rPr>
          <w:sz w:val="11"/>
        </w:rPr>
      </w:pPr>
    </w:p>
    <w:p>
      <w:pPr>
        <w:spacing w:line="204" w:lineRule="auto" w:before="0"/>
        <w:ind w:left="553" w:right="570" w:firstLine="0"/>
        <w:jc w:val="left"/>
        <w:rPr>
          <w:sz w:val="14"/>
        </w:rPr>
      </w:pPr>
      <w:r>
        <w:rPr>
          <w:sz w:val="14"/>
        </w:rPr>
        <w:t>Notes: All costs in this table are for capture only and do not include the costs of CO</w:t>
      </w:r>
      <w:r>
        <w:rPr>
          <w:position w:val="-4"/>
          <w:sz w:val="8"/>
        </w:rPr>
        <w:t>2 </w:t>
      </w:r>
      <w:r>
        <w:rPr>
          <w:sz w:val="14"/>
        </w:rPr>
        <w:t>transport and storage; see Chapter 8 for total CCS costs. </w:t>
      </w:r>
      <w:bookmarkStart w:name="_bookmark51" w:id="102"/>
      <w:bookmarkEnd w:id="102"/>
      <w:r>
        <w:rPr>
          <w:sz w:val="14"/>
        </w:rPr>
        <w:t>*Capital</w:t>
      </w:r>
      <w:bookmarkStart w:name="_bookmark50" w:id="103"/>
      <w:bookmarkEnd w:id="103"/>
      <w:r>
        <w:rPr>
          <w:sz w:val="14"/>
        </w:rPr>
      </w:r>
      <w:r>
        <w:rPr>
          <w:sz w:val="14"/>
        </w:rPr>
        <w:t> </w:t>
      </w:r>
      <w:bookmarkStart w:name="_bookmark52" w:id="104"/>
      <w:bookmarkEnd w:id="104"/>
      <w:r>
        <w:rPr>
          <w:sz w:val="14"/>
        </w:rPr>
        <w:t>costs</w:t>
      </w:r>
      <w:r>
        <w:rPr>
          <w:sz w:val="14"/>
        </w:rPr>
        <w:t> are incremental costs of capture, excluding cost of make-up steam and power generation and also excluding interest during construction and other owner’s costs.</w:t>
      </w:r>
    </w:p>
    <w:p>
      <w:pPr>
        <w:spacing w:after="0" w:line="204" w:lineRule="auto"/>
        <w:jc w:val="left"/>
        <w:rPr>
          <w:sz w:val="14"/>
        </w:rPr>
        <w:sectPr>
          <w:headerReference w:type="even" r:id="rId190"/>
          <w:headerReference w:type="default" r:id="rId191"/>
          <w:pgSz w:w="15840" w:h="12240" w:orient="landscape"/>
          <w:pgMar w:header="537" w:footer="0" w:top="720" w:bottom="280" w:left="600" w:right="1020"/>
        </w:sectPr>
      </w:pPr>
    </w:p>
    <w:p>
      <w:pPr>
        <w:pStyle w:val="BodyText"/>
        <w:spacing w:before="56"/>
        <w:ind w:left="113"/>
      </w:pPr>
      <w:bookmarkStart w:name="3.7.9 Outlook for future CO2 capture cos" w:id="105"/>
      <w:bookmarkEnd w:id="105"/>
      <w:r>
        <w:rPr/>
      </w:r>
      <w:bookmarkStart w:name="3.7.10 CO2 capture costs for electric po" w:id="106"/>
      <w:bookmarkEnd w:id="106"/>
      <w:r>
        <w:rPr/>
      </w:r>
      <w:r>
        <w:rPr/>
        <w:t>plants.</w:t>
      </w:r>
    </w:p>
    <w:p>
      <w:pPr>
        <w:pStyle w:val="BodyText"/>
        <w:spacing w:line="225" w:lineRule="auto" w:before="18"/>
        <w:ind w:left="113" w:right="38" w:firstLine="284"/>
        <w:jc w:val="both"/>
      </w:pPr>
      <w:r>
        <w:rPr/>
        <w:t>CO</w:t>
      </w:r>
      <w:r>
        <w:rPr>
          <w:position w:val="-6"/>
          <w:sz w:val="11"/>
        </w:rPr>
        <w:t>2 </w:t>
      </w:r>
      <w:r>
        <w:rPr/>
        <w:t>could be captured at steam-generating plants or power plants</w:t>
      </w:r>
      <w:r>
        <w:rPr>
          <w:spacing w:val="-7"/>
        </w:rPr>
        <w:t> </w:t>
      </w:r>
      <w:r>
        <w:rPr/>
        <w:t>that</w:t>
      </w:r>
      <w:r>
        <w:rPr>
          <w:spacing w:val="-7"/>
        </w:rPr>
        <w:t> </w:t>
      </w:r>
      <w:r>
        <w:rPr/>
        <w:t>use</w:t>
      </w:r>
      <w:r>
        <w:rPr>
          <w:spacing w:val="-5"/>
        </w:rPr>
        <w:t> </w:t>
      </w:r>
      <w:r>
        <w:rPr/>
        <w:t>other</w:t>
      </w:r>
      <w:r>
        <w:rPr>
          <w:spacing w:val="-7"/>
        </w:rPr>
        <w:t> </w:t>
      </w:r>
      <w:r>
        <w:rPr/>
        <w:t>biomass</w:t>
      </w:r>
      <w:r>
        <w:rPr>
          <w:spacing w:val="-6"/>
        </w:rPr>
        <w:t> </w:t>
      </w:r>
      <w:r>
        <w:rPr/>
        <w:t>byproducts</w:t>
      </w:r>
      <w:r>
        <w:rPr>
          <w:spacing w:val="-7"/>
        </w:rPr>
        <w:t> </w:t>
      </w:r>
      <w:r>
        <w:rPr/>
        <w:t>and/or</w:t>
      </w:r>
      <w:r>
        <w:rPr>
          <w:spacing w:val="-6"/>
        </w:rPr>
        <w:t> </w:t>
      </w:r>
      <w:r>
        <w:rPr/>
        <w:t>purpose-grown biomass.</w:t>
      </w:r>
      <w:r>
        <w:rPr>
          <w:spacing w:val="8"/>
        </w:rPr>
        <w:t> </w:t>
      </w:r>
      <w:r>
        <w:rPr/>
        <w:t>At</w:t>
      </w:r>
      <w:r>
        <w:rPr>
          <w:spacing w:val="19"/>
        </w:rPr>
        <w:t> </w:t>
      </w:r>
      <w:r>
        <w:rPr/>
        <w:t>present</w:t>
      </w:r>
      <w:r>
        <w:rPr>
          <w:spacing w:val="19"/>
        </w:rPr>
        <w:t> </w:t>
      </w:r>
      <w:r>
        <w:rPr/>
        <w:t>most</w:t>
      </w:r>
      <w:r>
        <w:rPr>
          <w:spacing w:val="19"/>
        </w:rPr>
        <w:t> </w:t>
      </w:r>
      <w:r>
        <w:rPr/>
        <w:t>biomass</w:t>
      </w:r>
      <w:r>
        <w:rPr>
          <w:spacing w:val="19"/>
        </w:rPr>
        <w:t> </w:t>
      </w:r>
      <w:r>
        <w:rPr/>
        <w:t>plants</w:t>
      </w:r>
      <w:r>
        <w:rPr>
          <w:spacing w:val="19"/>
        </w:rPr>
        <w:t> </w:t>
      </w:r>
      <w:r>
        <w:rPr/>
        <w:t>are</w:t>
      </w:r>
      <w:r>
        <w:rPr>
          <w:spacing w:val="20"/>
        </w:rPr>
        <w:t> </w:t>
      </w:r>
      <w:r>
        <w:rPr/>
        <w:t>relatively</w:t>
      </w:r>
      <w:r>
        <w:rPr>
          <w:spacing w:val="19"/>
        </w:rPr>
        <w:t> </w:t>
      </w:r>
      <w:r>
        <w:rPr/>
        <w:t>small.</w:t>
      </w:r>
    </w:p>
    <w:p>
      <w:pPr>
        <w:pStyle w:val="BodyText"/>
        <w:spacing w:line="249" w:lineRule="auto" w:before="56"/>
        <w:ind w:left="113" w:right="112"/>
        <w:jc w:val="both"/>
      </w:pPr>
      <w:r>
        <w:rPr/>
        <w:br w:type="column"/>
      </w:r>
      <w:r>
        <w:rPr/>
        <w:t>uncertain,</w:t>
      </w:r>
      <w:r>
        <w:rPr>
          <w:position w:val="7"/>
          <w:sz w:val="11"/>
        </w:rPr>
        <w:t>11 </w:t>
      </w:r>
      <w:r>
        <w:rPr/>
        <w:t>and that cost estimates for technologies at the early stages</w:t>
      </w:r>
      <w:r>
        <w:rPr>
          <w:spacing w:val="-14"/>
        </w:rPr>
        <w:t> </w:t>
      </w:r>
      <w:r>
        <w:rPr/>
        <w:t>of</w:t>
      </w:r>
      <w:r>
        <w:rPr>
          <w:spacing w:val="-14"/>
        </w:rPr>
        <w:t> </w:t>
      </w:r>
      <w:r>
        <w:rPr/>
        <w:t>development</w:t>
      </w:r>
      <w:r>
        <w:rPr>
          <w:spacing w:val="-13"/>
        </w:rPr>
        <w:t> </w:t>
      </w:r>
      <w:r>
        <w:rPr/>
        <w:t>are</w:t>
      </w:r>
      <w:r>
        <w:rPr>
          <w:spacing w:val="-14"/>
        </w:rPr>
        <w:t> </w:t>
      </w:r>
      <w:r>
        <w:rPr/>
        <w:t>often</w:t>
      </w:r>
      <w:r>
        <w:rPr>
          <w:spacing w:val="-13"/>
        </w:rPr>
        <w:t> </w:t>
      </w:r>
      <w:r>
        <w:rPr/>
        <w:t>unreliable</w:t>
      </w:r>
      <w:r>
        <w:rPr>
          <w:spacing w:val="-14"/>
        </w:rPr>
        <w:t> </w:t>
      </w:r>
      <w:r>
        <w:rPr/>
        <w:t>and</w:t>
      </w:r>
      <w:r>
        <w:rPr>
          <w:spacing w:val="-14"/>
        </w:rPr>
        <w:t> </w:t>
      </w:r>
      <w:r>
        <w:rPr/>
        <w:t>overly</w:t>
      </w:r>
      <w:r>
        <w:rPr>
          <w:spacing w:val="-13"/>
        </w:rPr>
        <w:t> </w:t>
      </w:r>
      <w:r>
        <w:rPr/>
        <w:t>optimistic (Merrow </w:t>
      </w:r>
      <w:r>
        <w:rPr>
          <w:i/>
        </w:rPr>
        <w:t>et al.</w:t>
      </w:r>
      <w:r>
        <w:rPr/>
        <w:t>, 1981). Qualitative descriptions of cost trends for</w:t>
      </w:r>
      <w:r>
        <w:rPr>
          <w:spacing w:val="13"/>
        </w:rPr>
        <w:t> </w:t>
      </w:r>
      <w:r>
        <w:rPr/>
        <w:t>advanced</w:t>
      </w:r>
      <w:r>
        <w:rPr>
          <w:spacing w:val="13"/>
        </w:rPr>
        <w:t> </w:t>
      </w:r>
      <w:r>
        <w:rPr/>
        <w:t>technologies</w:t>
      </w:r>
      <w:r>
        <w:rPr>
          <w:spacing w:val="13"/>
        </w:rPr>
        <w:t> </w:t>
      </w:r>
      <w:r>
        <w:rPr/>
        <w:t>and</w:t>
      </w:r>
      <w:r>
        <w:rPr>
          <w:spacing w:val="13"/>
        </w:rPr>
        <w:t> </w:t>
      </w:r>
      <w:r>
        <w:rPr/>
        <w:t>energy</w:t>
      </w:r>
      <w:r>
        <w:rPr>
          <w:spacing w:val="13"/>
        </w:rPr>
        <w:t> </w:t>
      </w:r>
      <w:r>
        <w:rPr/>
        <w:t>systems</w:t>
      </w:r>
      <w:r>
        <w:rPr>
          <w:spacing w:val="13"/>
        </w:rPr>
        <w:t> </w:t>
      </w:r>
      <w:r>
        <w:rPr/>
        <w:t>typically</w:t>
      </w:r>
      <w:r>
        <w:rPr>
          <w:spacing w:val="13"/>
        </w:rPr>
        <w:t> </w:t>
      </w:r>
      <w:r>
        <w:rPr/>
        <w:t>show</w:t>
      </w:r>
    </w:p>
    <w:p>
      <w:pPr>
        <w:spacing w:after="0" w:line="249" w:lineRule="auto"/>
        <w:jc w:val="both"/>
        <w:sectPr>
          <w:pgSz w:w="12240" w:h="15840"/>
          <w:pgMar w:header="567" w:footer="0" w:top="1180" w:bottom="280" w:left="1020" w:right="620"/>
          <w:cols w:num="2" w:equalWidth="0">
            <w:col w:w="5197" w:space="129"/>
            <w:col w:w="5274"/>
          </w:cols>
        </w:sectPr>
      </w:pPr>
    </w:p>
    <w:p>
      <w:pPr>
        <w:pStyle w:val="BodyText"/>
        <w:spacing w:line="277" w:lineRule="exact" w:before="3"/>
        <w:ind w:left="113"/>
        <w:rPr>
          <w:sz w:val="11"/>
        </w:rPr>
      </w:pPr>
      <w:r>
        <w:rPr/>
        <w:t>The cost of capturing 0.19 MtCO</w:t>
      </w:r>
      <w:r>
        <w:rPr>
          <w:position w:val="-6"/>
          <w:sz w:val="11"/>
        </w:rPr>
        <w:t>2</w:t>
      </w:r>
    </w:p>
    <w:p>
      <w:pPr>
        <w:pStyle w:val="BodyText"/>
        <w:spacing w:before="3"/>
        <w:ind w:left="30"/>
      </w:pPr>
      <w:r>
        <w:rPr/>
        <w:br w:type="column"/>
      </w:r>
      <w:r>
        <w:rPr/>
        <w:t>yr</w:t>
      </w:r>
      <w:r>
        <w:rPr>
          <w:position w:val="7"/>
          <w:sz w:val="11"/>
        </w:rPr>
        <w:t>-1 </w:t>
      </w:r>
      <w:r>
        <w:rPr/>
        <w:t>in a 24 MW biomass-</w:t>
      </w:r>
    </w:p>
    <w:p>
      <w:pPr>
        <w:pStyle w:val="BodyText"/>
        <w:spacing w:before="3"/>
        <w:ind w:left="113"/>
      </w:pPr>
      <w:r>
        <w:rPr/>
        <w:br w:type="column"/>
      </w:r>
      <w:r>
        <w:rPr/>
        <w:t>costs increasing from the research stage through full-scale</w:t>
      </w:r>
    </w:p>
    <w:p>
      <w:pPr>
        <w:spacing w:after="0"/>
        <w:sectPr>
          <w:type w:val="continuous"/>
          <w:pgSz w:w="12240" w:h="15840"/>
          <w:pgMar w:top="480" w:bottom="280" w:left="1020" w:right="620"/>
          <w:cols w:num="3" w:equalWidth="0">
            <w:col w:w="2943" w:space="40"/>
            <w:col w:w="2214" w:space="129"/>
            <w:col w:w="5274"/>
          </w:cols>
        </w:sectPr>
      </w:pPr>
    </w:p>
    <w:p>
      <w:pPr>
        <w:pStyle w:val="BodyText"/>
        <w:spacing w:line="194" w:lineRule="exact"/>
        <w:ind w:left="113"/>
        <w:jc w:val="both"/>
      </w:pPr>
      <w:r>
        <w:rPr/>
        <w:t>powered  IGCC  plant,  compared  to  a  biomass  IGCC  </w:t>
      </w:r>
      <w:r>
        <w:rPr>
          <w:spacing w:val="6"/>
        </w:rPr>
        <w:t> </w:t>
      </w:r>
      <w:r>
        <w:rPr/>
        <w:t>plant</w:t>
      </w:r>
    </w:p>
    <w:p>
      <w:pPr>
        <w:pStyle w:val="BodyText"/>
        <w:spacing w:line="240" w:lineRule="exact" w:before="4"/>
        <w:ind w:left="113" w:right="40"/>
        <w:jc w:val="both"/>
      </w:pPr>
      <w:r>
        <w:rPr/>
        <w:t>without capture, is estimated to be about 70 US$/tCO</w:t>
      </w:r>
      <w:r>
        <w:rPr>
          <w:position w:val="-6"/>
          <w:sz w:val="11"/>
        </w:rPr>
        <w:t>2 </w:t>
      </w:r>
      <w:r>
        <w:rPr/>
        <w:t>(Audus and</w:t>
      </w:r>
      <w:r>
        <w:rPr>
          <w:spacing w:val="-8"/>
        </w:rPr>
        <w:t> </w:t>
      </w:r>
      <w:r>
        <w:rPr/>
        <w:t>Freund,</w:t>
      </w:r>
      <w:r>
        <w:rPr>
          <w:spacing w:val="-7"/>
        </w:rPr>
        <w:t> </w:t>
      </w:r>
      <w:r>
        <w:rPr/>
        <w:t>2005).</w:t>
      </w:r>
      <w:r>
        <w:rPr>
          <w:spacing w:val="-8"/>
        </w:rPr>
        <w:t> </w:t>
      </w:r>
      <w:r>
        <w:rPr/>
        <w:t>Larger</w:t>
      </w:r>
      <w:r>
        <w:rPr>
          <w:spacing w:val="-7"/>
        </w:rPr>
        <w:t> </w:t>
      </w:r>
      <w:r>
        <w:rPr/>
        <w:t>plants</w:t>
      </w:r>
      <w:r>
        <w:rPr>
          <w:spacing w:val="-7"/>
        </w:rPr>
        <w:t> </w:t>
      </w:r>
      <w:r>
        <w:rPr/>
        <w:t>using</w:t>
      </w:r>
      <w:r>
        <w:rPr>
          <w:spacing w:val="-8"/>
        </w:rPr>
        <w:t> </w:t>
      </w:r>
      <w:r>
        <w:rPr/>
        <w:t>purpose-grown</w:t>
      </w:r>
      <w:r>
        <w:rPr>
          <w:spacing w:val="-7"/>
        </w:rPr>
        <w:t> </w:t>
      </w:r>
      <w:r>
        <w:rPr/>
        <w:t>biomass may be built in the future and biomass can be co-fired with fossil fuels to give economies of scale, as discussed in</w:t>
      </w:r>
      <w:r>
        <w:rPr>
          <w:spacing w:val="15"/>
        </w:rPr>
        <w:t> </w:t>
      </w:r>
      <w:r>
        <w:rPr/>
        <w:t>Chapter</w:t>
      </w:r>
    </w:p>
    <w:p>
      <w:pPr>
        <w:pStyle w:val="BodyText"/>
        <w:spacing w:line="240" w:lineRule="exact"/>
        <w:ind w:left="113" w:right="40"/>
        <w:jc w:val="both"/>
      </w:pPr>
      <w:r>
        <w:rPr/>
        <w:t>2. Biomass fuels produce similar or slightly greater quantities of CO</w:t>
      </w:r>
      <w:r>
        <w:rPr>
          <w:position w:val="-6"/>
          <w:sz w:val="11"/>
        </w:rPr>
        <w:t>2 </w:t>
      </w:r>
      <w:r>
        <w:rPr/>
        <w:t>per unit of fuel energy as bituminous coals; thus, </w:t>
      </w:r>
      <w:r>
        <w:rPr>
          <w:spacing w:val="-5"/>
        </w:rPr>
        <w:t>the </w:t>
      </w:r>
      <w:r>
        <w:rPr/>
        <w:t>CO</w:t>
      </w:r>
      <w:r>
        <w:rPr>
          <w:position w:val="-6"/>
          <w:sz w:val="11"/>
        </w:rPr>
        <w:t>2</w:t>
      </w:r>
      <w:r>
        <w:rPr>
          <w:spacing w:val="13"/>
          <w:position w:val="-6"/>
          <w:sz w:val="11"/>
        </w:rPr>
        <w:t> </w:t>
      </w:r>
      <w:r>
        <w:rPr/>
        <w:t>concentration</w:t>
      </w:r>
      <w:r>
        <w:rPr>
          <w:spacing w:val="-11"/>
        </w:rPr>
        <w:t> </w:t>
      </w:r>
      <w:r>
        <w:rPr/>
        <w:t>of</w:t>
      </w:r>
      <w:r>
        <w:rPr>
          <w:spacing w:val="-9"/>
        </w:rPr>
        <w:t> </w:t>
      </w:r>
      <w:r>
        <w:rPr/>
        <w:t>flue</w:t>
      </w:r>
      <w:r>
        <w:rPr>
          <w:spacing w:val="-9"/>
        </w:rPr>
        <w:t> </w:t>
      </w:r>
      <w:r>
        <w:rPr/>
        <w:t>gases</w:t>
      </w:r>
      <w:r>
        <w:rPr>
          <w:spacing w:val="-10"/>
        </w:rPr>
        <w:t> </w:t>
      </w:r>
      <w:r>
        <w:rPr/>
        <w:t>from</w:t>
      </w:r>
      <w:r>
        <w:rPr>
          <w:spacing w:val="-9"/>
        </w:rPr>
        <w:t> </w:t>
      </w:r>
      <w:r>
        <w:rPr/>
        <w:t>these</w:t>
      </w:r>
      <w:r>
        <w:rPr>
          <w:spacing w:val="-10"/>
        </w:rPr>
        <w:t> </w:t>
      </w:r>
      <w:r>
        <w:rPr/>
        <w:t>fuels</w:t>
      </w:r>
      <w:r>
        <w:rPr>
          <w:spacing w:val="-10"/>
        </w:rPr>
        <w:t> </w:t>
      </w:r>
      <w:r>
        <w:rPr/>
        <w:t>will</w:t>
      </w:r>
      <w:r>
        <w:rPr>
          <w:spacing w:val="-10"/>
        </w:rPr>
        <w:t> </w:t>
      </w:r>
      <w:r>
        <w:rPr/>
        <w:t>be</w:t>
      </w:r>
      <w:r>
        <w:rPr>
          <w:spacing w:val="-10"/>
        </w:rPr>
        <w:t> </w:t>
      </w:r>
      <w:r>
        <w:rPr/>
        <w:t>broadly </w:t>
      </w:r>
      <w:r>
        <w:rPr>
          <w:spacing w:val="-3"/>
        </w:rPr>
        <w:t>similar. </w:t>
      </w:r>
      <w:r>
        <w:rPr/>
        <w:t>This implies that the cost of capturing CO</w:t>
      </w:r>
      <w:r>
        <w:rPr>
          <w:position w:val="-6"/>
          <w:sz w:val="11"/>
        </w:rPr>
        <w:t>2 </w:t>
      </w:r>
      <w:r>
        <w:rPr/>
        <w:t>at large power plants using biomass may be broadly similar to the cost of</w:t>
      </w:r>
      <w:r>
        <w:rPr>
          <w:spacing w:val="-11"/>
        </w:rPr>
        <w:t> </w:t>
      </w:r>
      <w:r>
        <w:rPr/>
        <w:t>capturing</w:t>
      </w:r>
      <w:r>
        <w:rPr>
          <w:spacing w:val="-11"/>
        </w:rPr>
        <w:t> </w:t>
      </w:r>
      <w:r>
        <w:rPr/>
        <w:t>CO</w:t>
      </w:r>
      <w:r>
        <w:rPr>
          <w:position w:val="-6"/>
          <w:sz w:val="11"/>
        </w:rPr>
        <w:t>2</w:t>
      </w:r>
      <w:r>
        <w:rPr>
          <w:spacing w:val="12"/>
          <w:position w:val="-6"/>
          <w:sz w:val="11"/>
        </w:rPr>
        <w:t> </w:t>
      </w:r>
      <w:r>
        <w:rPr/>
        <w:t>in</w:t>
      </w:r>
      <w:r>
        <w:rPr>
          <w:spacing w:val="-11"/>
        </w:rPr>
        <w:t> </w:t>
      </w:r>
      <w:r>
        <w:rPr/>
        <w:t>large</w:t>
      </w:r>
      <w:r>
        <w:rPr>
          <w:spacing w:val="-11"/>
        </w:rPr>
        <w:t> </w:t>
      </w:r>
      <w:r>
        <w:rPr/>
        <w:t>fossil</w:t>
      </w:r>
      <w:r>
        <w:rPr>
          <w:spacing w:val="-10"/>
        </w:rPr>
        <w:t> </w:t>
      </w:r>
      <w:r>
        <w:rPr/>
        <w:t>fuel</w:t>
      </w:r>
      <w:r>
        <w:rPr>
          <w:spacing w:val="-11"/>
        </w:rPr>
        <w:t> </w:t>
      </w:r>
      <w:r>
        <w:rPr/>
        <w:t>power</w:t>
      </w:r>
      <w:r>
        <w:rPr>
          <w:spacing w:val="-10"/>
        </w:rPr>
        <w:t> </w:t>
      </w:r>
      <w:r>
        <w:rPr/>
        <w:t>plants</w:t>
      </w:r>
      <w:r>
        <w:rPr>
          <w:spacing w:val="-11"/>
        </w:rPr>
        <w:t> </w:t>
      </w:r>
      <w:r>
        <w:rPr/>
        <w:t>in</w:t>
      </w:r>
      <w:r>
        <w:rPr>
          <w:spacing w:val="-11"/>
        </w:rPr>
        <w:t> </w:t>
      </w:r>
      <w:r>
        <w:rPr/>
        <w:t>cases</w:t>
      </w:r>
      <w:r>
        <w:rPr>
          <w:spacing w:val="-10"/>
        </w:rPr>
        <w:t> </w:t>
      </w:r>
      <w:r>
        <w:rPr/>
        <w:t>where plant size, efficiency, load factor and other key parameters are </w:t>
      </w:r>
      <w:r>
        <w:rPr>
          <w:spacing w:val="-3"/>
        </w:rPr>
        <w:t>similar. </w:t>
      </w:r>
      <w:r>
        <w:rPr/>
        <w:t>The costs of avoiding CO</w:t>
      </w:r>
      <w:r>
        <w:rPr>
          <w:position w:val="-6"/>
          <w:sz w:val="11"/>
        </w:rPr>
        <w:t>2 </w:t>
      </w:r>
      <w:r>
        <w:rPr/>
        <w:t>emissions in power plants that use biomass are discussed in more detail in Chapter 8.</w:t>
      </w:r>
    </w:p>
    <w:p>
      <w:pPr>
        <w:pStyle w:val="BodyText"/>
        <w:spacing w:before="4"/>
        <w:rPr>
          <w:sz w:val="21"/>
        </w:rPr>
      </w:pPr>
    </w:p>
    <w:p>
      <w:pPr>
        <w:pStyle w:val="Heading2"/>
        <w:numPr>
          <w:ilvl w:val="2"/>
          <w:numId w:val="30"/>
        </w:numPr>
        <w:tabs>
          <w:tab w:pos="934" w:val="left" w:leader="none"/>
        </w:tabs>
        <w:spacing w:line="240" w:lineRule="auto" w:before="0" w:after="0"/>
        <w:ind w:left="933" w:right="0" w:hanging="821"/>
        <w:jc w:val="both"/>
        <w:rPr>
          <w:i/>
        </w:rPr>
      </w:pPr>
      <w:r>
        <w:rPr>
          <w:i/>
        </w:rPr>
        <w:t>Outlook for future CO</w:t>
      </w:r>
      <w:r>
        <w:rPr>
          <w:i/>
          <w:position w:val="-6"/>
          <w:sz w:val="11"/>
        </w:rPr>
        <w:t>2 </w:t>
      </w:r>
      <w:r>
        <w:rPr>
          <w:i/>
        </w:rPr>
        <w:t>capture</w:t>
      </w:r>
      <w:r>
        <w:rPr>
          <w:i/>
          <w:spacing w:val="-7"/>
        </w:rPr>
        <w:t> </w:t>
      </w:r>
      <w:r>
        <w:rPr>
          <w:i/>
        </w:rPr>
        <w:t>costs</w:t>
      </w:r>
    </w:p>
    <w:p>
      <w:pPr>
        <w:pStyle w:val="BodyText"/>
        <w:spacing w:line="240" w:lineRule="exact" w:before="194"/>
        <w:ind w:left="113" w:right="38"/>
        <w:jc w:val="both"/>
      </w:pPr>
      <w:r>
        <w:rPr/>
        <w:t>The following sections focus on ‘advanced’ technologies that are not yet commercial available, but which promise to lower CO</w:t>
      </w:r>
      <w:r>
        <w:rPr>
          <w:position w:val="-6"/>
          <w:sz w:val="11"/>
        </w:rPr>
        <w:t>2</w:t>
      </w:r>
      <w:r>
        <w:rPr>
          <w:spacing w:val="13"/>
          <w:position w:val="-6"/>
          <w:sz w:val="11"/>
        </w:rPr>
        <w:t> </w:t>
      </w:r>
      <w:r>
        <w:rPr/>
        <w:t>capture</w:t>
      </w:r>
      <w:r>
        <w:rPr>
          <w:spacing w:val="-8"/>
        </w:rPr>
        <w:t> </w:t>
      </w:r>
      <w:r>
        <w:rPr/>
        <w:t>costs</w:t>
      </w:r>
      <w:r>
        <w:rPr>
          <w:spacing w:val="-9"/>
        </w:rPr>
        <w:t> </w:t>
      </w:r>
      <w:r>
        <w:rPr/>
        <w:t>based</w:t>
      </w:r>
      <w:r>
        <w:rPr>
          <w:spacing w:val="-8"/>
        </w:rPr>
        <w:t> </w:t>
      </w:r>
      <w:r>
        <w:rPr/>
        <w:t>on</w:t>
      </w:r>
      <w:r>
        <w:rPr>
          <w:spacing w:val="-9"/>
        </w:rPr>
        <w:t> </w:t>
      </w:r>
      <w:r>
        <w:rPr/>
        <w:t>preliminary</w:t>
      </w:r>
      <w:r>
        <w:rPr>
          <w:spacing w:val="-8"/>
        </w:rPr>
        <w:t> </w:t>
      </w:r>
      <w:r>
        <w:rPr/>
        <w:t>data</w:t>
      </w:r>
      <w:r>
        <w:rPr>
          <w:spacing w:val="-9"/>
        </w:rPr>
        <w:t> </w:t>
      </w:r>
      <w:r>
        <w:rPr/>
        <w:t>and</w:t>
      </w:r>
      <w:r>
        <w:rPr>
          <w:spacing w:val="-8"/>
        </w:rPr>
        <w:t> </w:t>
      </w:r>
      <w:r>
        <w:rPr/>
        <w:t>design</w:t>
      </w:r>
      <w:r>
        <w:rPr>
          <w:spacing w:val="-9"/>
        </w:rPr>
        <w:t> </w:t>
      </w:r>
      <w:r>
        <w:rPr/>
        <w:t>studies. Earlier sections of </w:t>
      </w:r>
      <w:hyperlink w:history="true" w:anchor="_bookmark0">
        <w:r>
          <w:rPr/>
          <w:t>Chapter 3</w:t>
        </w:r>
      </w:hyperlink>
      <w:r>
        <w:rPr/>
        <w:t> discussed some of the efforts underway worldwide to develop lower-cost options for CO</w:t>
      </w:r>
      <w:r>
        <w:rPr>
          <w:position w:val="-6"/>
          <w:sz w:val="11"/>
        </w:rPr>
        <w:t>2 </w:t>
      </w:r>
      <w:r>
        <w:rPr/>
        <w:t>capture. Some of these developments are based on new</w:t>
      </w:r>
      <w:r>
        <w:rPr>
          <w:spacing w:val="-30"/>
        </w:rPr>
        <w:t> </w:t>
      </w:r>
      <w:r>
        <w:rPr/>
        <w:t>process concepts, while others represent improvements to current commercial processes. Indeed, the history of technology innovation indicates that incremental technological change, sustained over many years (often decades), is often the most successful path to substantial long-term improvements in performance and reductions in cost of a technology (Alic </w:t>
      </w:r>
      <w:r>
        <w:rPr>
          <w:i/>
        </w:rPr>
        <w:t>et</w:t>
      </w:r>
      <w:r>
        <w:rPr>
          <w:i/>
          <w:spacing w:val="-31"/>
        </w:rPr>
        <w:t> </w:t>
      </w:r>
      <w:r>
        <w:rPr>
          <w:i/>
        </w:rPr>
        <w:t>al.</w:t>
      </w:r>
      <w:r>
        <w:rPr/>
        <w:t>, 2003). Such trends are commonly represented and quantified in the form of a ‘learning curve’ or ‘experience curve’</w:t>
      </w:r>
      <w:r>
        <w:rPr>
          <w:spacing w:val="-35"/>
        </w:rPr>
        <w:t> </w:t>
      </w:r>
      <w:r>
        <w:rPr/>
        <w:t>showing cost reductions as a function of the cumulative adoption of </w:t>
      </w:r>
      <w:r>
        <w:rPr>
          <w:spacing w:val="-13"/>
        </w:rPr>
        <w:t>a </w:t>
      </w:r>
      <w:r>
        <w:rPr/>
        <w:t>particular technology (McDonald and Schrattenholzer, 2001). One recent study relevant to CO</w:t>
      </w:r>
      <w:r>
        <w:rPr>
          <w:position w:val="-6"/>
          <w:sz w:val="11"/>
        </w:rPr>
        <w:t>2 </w:t>
      </w:r>
      <w:r>
        <w:rPr/>
        <w:t>capture systems found that over the past 25 years, capital costs for sulphur dioxide (SO</w:t>
      </w:r>
      <w:r>
        <w:rPr>
          <w:position w:val="-6"/>
          <w:sz w:val="11"/>
        </w:rPr>
        <w:t>2</w:t>
      </w:r>
      <w:r>
        <w:rPr/>
        <w:t>) and nitrogen oxides (NO</w:t>
      </w:r>
      <w:r>
        <w:rPr>
          <w:position w:val="-6"/>
          <w:sz w:val="11"/>
        </w:rPr>
        <w:t>x</w:t>
      </w:r>
      <w:r>
        <w:rPr/>
        <w:t>) capture systems at US coal-fired power plants have decreased by an average of 12% for each doubling of installed worldwide capacity (a surrogate for cumulative experience, including investments in R&amp;D) (Rubin </w:t>
      </w:r>
      <w:r>
        <w:rPr>
          <w:i/>
        </w:rPr>
        <w:t>et al.</w:t>
      </w:r>
      <w:r>
        <w:rPr/>
        <w:t>, 2004a). These capture technologies bear a number of similarities to current systems for CO</w:t>
      </w:r>
      <w:r>
        <w:rPr>
          <w:position w:val="-6"/>
          <w:sz w:val="11"/>
        </w:rPr>
        <w:t>2 </w:t>
      </w:r>
      <w:r>
        <w:rPr/>
        <w:t>capture. Another recent study</w:t>
      </w:r>
      <w:r>
        <w:rPr>
          <w:spacing w:val="-8"/>
        </w:rPr>
        <w:t> </w:t>
      </w:r>
      <w:r>
        <w:rPr/>
        <w:t>(IEA,</w:t>
      </w:r>
      <w:r>
        <w:rPr>
          <w:spacing w:val="-6"/>
        </w:rPr>
        <w:t> </w:t>
      </w:r>
      <w:r>
        <w:rPr/>
        <w:t>2004)</w:t>
      </w:r>
      <w:r>
        <w:rPr>
          <w:spacing w:val="-6"/>
        </w:rPr>
        <w:t> </w:t>
      </w:r>
      <w:r>
        <w:rPr/>
        <w:t>suggests</w:t>
      </w:r>
      <w:r>
        <w:rPr>
          <w:spacing w:val="-7"/>
        </w:rPr>
        <w:t> </w:t>
      </w:r>
      <w:r>
        <w:rPr/>
        <w:t>a</w:t>
      </w:r>
      <w:r>
        <w:rPr>
          <w:spacing w:val="-7"/>
        </w:rPr>
        <w:t> </w:t>
      </w:r>
      <w:r>
        <w:rPr/>
        <w:t>20%</w:t>
      </w:r>
      <w:r>
        <w:rPr>
          <w:spacing w:val="-6"/>
        </w:rPr>
        <w:t> </w:t>
      </w:r>
      <w:r>
        <w:rPr/>
        <w:t>cost</w:t>
      </w:r>
      <w:r>
        <w:rPr>
          <w:spacing w:val="-7"/>
        </w:rPr>
        <w:t> </w:t>
      </w:r>
      <w:r>
        <w:rPr/>
        <w:t>reduction</w:t>
      </w:r>
      <w:r>
        <w:rPr>
          <w:spacing w:val="-7"/>
        </w:rPr>
        <w:t> </w:t>
      </w:r>
      <w:r>
        <w:rPr/>
        <w:t>for</w:t>
      </w:r>
      <w:r>
        <w:rPr>
          <w:spacing w:val="-6"/>
        </w:rPr>
        <w:t> </w:t>
      </w:r>
      <w:r>
        <w:rPr/>
        <w:t>a</w:t>
      </w:r>
      <w:r>
        <w:rPr>
          <w:spacing w:val="-7"/>
        </w:rPr>
        <w:t> </w:t>
      </w:r>
      <w:r>
        <w:rPr/>
        <w:t>doubling of</w:t>
      </w:r>
      <w:r>
        <w:rPr>
          <w:spacing w:val="-15"/>
        </w:rPr>
        <w:t> </w:t>
      </w:r>
      <w:r>
        <w:rPr/>
        <w:t>the</w:t>
      </w:r>
      <w:r>
        <w:rPr>
          <w:spacing w:val="-15"/>
        </w:rPr>
        <w:t> </w:t>
      </w:r>
      <w:r>
        <w:rPr/>
        <w:t>unit</w:t>
      </w:r>
      <w:r>
        <w:rPr>
          <w:spacing w:val="-15"/>
        </w:rPr>
        <w:t> </w:t>
      </w:r>
      <w:r>
        <w:rPr/>
        <w:t>capacity</w:t>
      </w:r>
      <w:r>
        <w:rPr>
          <w:spacing w:val="-15"/>
        </w:rPr>
        <w:t> </w:t>
      </w:r>
      <w:r>
        <w:rPr/>
        <w:t>of</w:t>
      </w:r>
      <w:r>
        <w:rPr>
          <w:spacing w:val="-15"/>
        </w:rPr>
        <w:t> </w:t>
      </w:r>
      <w:r>
        <w:rPr/>
        <w:t>engineered</w:t>
      </w:r>
      <w:r>
        <w:rPr>
          <w:spacing w:val="-15"/>
        </w:rPr>
        <w:t> </w:t>
      </w:r>
      <w:r>
        <w:rPr/>
        <w:t>processes</w:t>
      </w:r>
      <w:r>
        <w:rPr>
          <w:spacing w:val="-15"/>
        </w:rPr>
        <w:t> </w:t>
      </w:r>
      <w:r>
        <w:rPr/>
        <w:t>due</w:t>
      </w:r>
      <w:r>
        <w:rPr>
          <w:spacing w:val="-15"/>
        </w:rPr>
        <w:t> </w:t>
      </w:r>
      <w:r>
        <w:rPr/>
        <w:t>to</w:t>
      </w:r>
      <w:r>
        <w:rPr>
          <w:spacing w:val="-15"/>
        </w:rPr>
        <w:t> </w:t>
      </w:r>
      <w:r>
        <w:rPr/>
        <w:t>technological learning. For CCS systems the importance of costs related to energy requirements is emphasized, since reductions in such costs</w:t>
      </w:r>
      <w:r>
        <w:rPr>
          <w:spacing w:val="-10"/>
        </w:rPr>
        <w:t> </w:t>
      </w:r>
      <w:r>
        <w:rPr/>
        <w:t>are</w:t>
      </w:r>
      <w:r>
        <w:rPr>
          <w:spacing w:val="-9"/>
        </w:rPr>
        <w:t> </w:t>
      </w:r>
      <w:r>
        <w:rPr/>
        <w:t>required</w:t>
      </w:r>
      <w:r>
        <w:rPr>
          <w:spacing w:val="-9"/>
        </w:rPr>
        <w:t> </w:t>
      </w:r>
      <w:r>
        <w:rPr/>
        <w:t>to</w:t>
      </w:r>
      <w:r>
        <w:rPr>
          <w:spacing w:val="-9"/>
        </w:rPr>
        <w:t> </w:t>
      </w:r>
      <w:r>
        <w:rPr/>
        <w:t>significantly</w:t>
      </w:r>
      <w:r>
        <w:rPr>
          <w:spacing w:val="-9"/>
        </w:rPr>
        <w:t> </w:t>
      </w:r>
      <w:r>
        <w:rPr/>
        <w:t>reduce</w:t>
      </w:r>
      <w:r>
        <w:rPr>
          <w:spacing w:val="-9"/>
        </w:rPr>
        <w:t> </w:t>
      </w:r>
      <w:r>
        <w:rPr/>
        <w:t>the</w:t>
      </w:r>
      <w:r>
        <w:rPr>
          <w:spacing w:val="-9"/>
        </w:rPr>
        <w:t> </w:t>
      </w:r>
      <w:r>
        <w:rPr/>
        <w:t>overall</w:t>
      </w:r>
      <w:r>
        <w:rPr>
          <w:spacing w:val="-9"/>
        </w:rPr>
        <w:t> </w:t>
      </w:r>
      <w:r>
        <w:rPr/>
        <w:t>cost</w:t>
      </w:r>
      <w:r>
        <w:rPr>
          <w:spacing w:val="-10"/>
        </w:rPr>
        <w:t> </w:t>
      </w:r>
      <w:r>
        <w:rPr/>
        <w:t>of</w:t>
      </w:r>
      <w:r>
        <w:rPr>
          <w:spacing w:val="-8"/>
        </w:rPr>
        <w:t> </w:t>
      </w:r>
      <w:r>
        <w:rPr/>
        <w:t>CO</w:t>
      </w:r>
      <w:r>
        <w:rPr>
          <w:position w:val="-6"/>
          <w:sz w:val="11"/>
        </w:rPr>
        <w:t>2 </w:t>
      </w:r>
      <w:r>
        <w:rPr/>
        <w:t>capture.</w:t>
      </w:r>
    </w:p>
    <w:p>
      <w:pPr>
        <w:pStyle w:val="BodyText"/>
        <w:spacing w:line="249" w:lineRule="auto" w:before="6"/>
        <w:ind w:left="113" w:right="39" w:firstLine="284"/>
        <w:jc w:val="both"/>
      </w:pPr>
      <w:r>
        <w:rPr/>
        <w:t>At the same time, a large body of literature on technology innovation also teaches us that learning rates are highly</w:t>
      </w:r>
    </w:p>
    <w:p>
      <w:pPr>
        <w:pStyle w:val="BodyText"/>
        <w:spacing w:line="194" w:lineRule="exact"/>
        <w:ind w:left="113"/>
        <w:jc w:val="both"/>
      </w:pPr>
      <w:r>
        <w:rPr/>
        <w:br w:type="column"/>
      </w:r>
      <w:r>
        <w:rPr/>
        <w:t>demonstration; only after one or more full-scale commercial</w:t>
      </w:r>
    </w:p>
    <w:p>
      <w:pPr>
        <w:pStyle w:val="BodyText"/>
        <w:spacing w:line="240" w:lineRule="exact" w:before="4"/>
        <w:ind w:left="113" w:right="113"/>
        <w:jc w:val="both"/>
      </w:pPr>
      <w:r>
        <w:rPr/>
        <w:t>plants are deployed do costs begin to decline for subsequent units (EPRI, 1993; NRC, 2003). Case studies of the SO</w:t>
      </w:r>
      <w:r>
        <w:rPr>
          <w:position w:val="-6"/>
          <w:sz w:val="11"/>
        </w:rPr>
        <w:t>2 </w:t>
      </w:r>
      <w:r>
        <w:rPr/>
        <w:t>and NO</w:t>
      </w:r>
      <w:r>
        <w:rPr>
          <w:position w:val="-6"/>
          <w:sz w:val="11"/>
        </w:rPr>
        <w:t>x </w:t>
      </w:r>
      <w:r>
        <w:rPr/>
        <w:t>capture systems noted above showed similar behaviour, with large (factor of two or more) increases in the cost of early full-scale</w:t>
      </w:r>
      <w:r>
        <w:rPr>
          <w:spacing w:val="-9"/>
        </w:rPr>
        <w:t> </w:t>
      </w:r>
      <w:r>
        <w:rPr/>
        <w:t>FGD</w:t>
      </w:r>
      <w:r>
        <w:rPr>
          <w:spacing w:val="-8"/>
        </w:rPr>
        <w:t> </w:t>
      </w:r>
      <w:r>
        <w:rPr/>
        <w:t>and</w:t>
      </w:r>
      <w:r>
        <w:rPr>
          <w:spacing w:val="-8"/>
        </w:rPr>
        <w:t> </w:t>
      </w:r>
      <w:r>
        <w:rPr/>
        <w:t>SCR</w:t>
      </w:r>
      <w:r>
        <w:rPr>
          <w:spacing w:val="-8"/>
        </w:rPr>
        <w:t> </w:t>
      </w:r>
      <w:r>
        <w:rPr/>
        <w:t>installations</w:t>
      </w:r>
      <w:r>
        <w:rPr>
          <w:spacing w:val="-8"/>
        </w:rPr>
        <w:t> </w:t>
      </w:r>
      <w:r>
        <w:rPr/>
        <w:t>before</w:t>
      </w:r>
      <w:r>
        <w:rPr>
          <w:spacing w:val="-8"/>
        </w:rPr>
        <w:t> </w:t>
      </w:r>
      <w:r>
        <w:rPr/>
        <w:t>costs</w:t>
      </w:r>
      <w:r>
        <w:rPr>
          <w:spacing w:val="-8"/>
        </w:rPr>
        <w:t> </w:t>
      </w:r>
      <w:r>
        <w:rPr/>
        <w:t>subsequently declined (Rubin </w:t>
      </w:r>
      <w:r>
        <w:rPr>
          <w:i/>
        </w:rPr>
        <w:t>et al.</w:t>
      </w:r>
      <w:r>
        <w:rPr/>
        <w:t>, 2004b). Thus, cost estimates for </w:t>
      </w:r>
      <w:r>
        <w:rPr>
          <w:spacing w:val="-5"/>
        </w:rPr>
        <w:t>CO</w:t>
      </w:r>
      <w:r>
        <w:rPr>
          <w:spacing w:val="-5"/>
          <w:position w:val="-6"/>
          <w:sz w:val="11"/>
        </w:rPr>
        <w:t>2 </w:t>
      </w:r>
      <w:r>
        <w:rPr/>
        <w:t>capture</w:t>
      </w:r>
      <w:r>
        <w:rPr>
          <w:spacing w:val="-9"/>
        </w:rPr>
        <w:t> </w:t>
      </w:r>
      <w:r>
        <w:rPr/>
        <w:t>systems</w:t>
      </w:r>
      <w:r>
        <w:rPr>
          <w:spacing w:val="-8"/>
        </w:rPr>
        <w:t> </w:t>
      </w:r>
      <w:r>
        <w:rPr/>
        <w:t>should</w:t>
      </w:r>
      <w:r>
        <w:rPr>
          <w:spacing w:val="-8"/>
        </w:rPr>
        <w:t> </w:t>
      </w:r>
      <w:r>
        <w:rPr/>
        <w:t>be</w:t>
      </w:r>
      <w:r>
        <w:rPr>
          <w:spacing w:val="-8"/>
        </w:rPr>
        <w:t> </w:t>
      </w:r>
      <w:r>
        <w:rPr/>
        <w:t>viewed</w:t>
      </w:r>
      <w:r>
        <w:rPr>
          <w:spacing w:val="-8"/>
        </w:rPr>
        <w:t> </w:t>
      </w:r>
      <w:r>
        <w:rPr/>
        <w:t>in</w:t>
      </w:r>
      <w:r>
        <w:rPr>
          <w:spacing w:val="-8"/>
        </w:rPr>
        <w:t> </w:t>
      </w:r>
      <w:r>
        <w:rPr/>
        <w:t>the</w:t>
      </w:r>
      <w:r>
        <w:rPr>
          <w:spacing w:val="-8"/>
        </w:rPr>
        <w:t> </w:t>
      </w:r>
      <w:r>
        <w:rPr/>
        <w:t>context</w:t>
      </w:r>
      <w:r>
        <w:rPr>
          <w:spacing w:val="-8"/>
        </w:rPr>
        <w:t> </w:t>
      </w:r>
      <w:r>
        <w:rPr/>
        <w:t>of</w:t>
      </w:r>
      <w:r>
        <w:rPr>
          <w:spacing w:val="-8"/>
        </w:rPr>
        <w:t> </w:t>
      </w:r>
      <w:r>
        <w:rPr/>
        <w:t>their</w:t>
      </w:r>
      <w:r>
        <w:rPr>
          <w:spacing w:val="-8"/>
        </w:rPr>
        <w:t> </w:t>
      </w:r>
      <w:r>
        <w:rPr/>
        <w:t>current stage of development. Here we try to provide a perspective on potential future costs that combines qualitative judgments with the</w:t>
      </w:r>
      <w:r>
        <w:rPr>
          <w:spacing w:val="-16"/>
        </w:rPr>
        <w:t> </w:t>
      </w:r>
      <w:r>
        <w:rPr/>
        <w:t>quantitative</w:t>
      </w:r>
      <w:r>
        <w:rPr>
          <w:spacing w:val="-16"/>
        </w:rPr>
        <w:t> </w:t>
      </w:r>
      <w:r>
        <w:rPr/>
        <w:t>cost</w:t>
      </w:r>
      <w:r>
        <w:rPr>
          <w:spacing w:val="-15"/>
        </w:rPr>
        <w:t> </w:t>
      </w:r>
      <w:r>
        <w:rPr/>
        <w:t>estimates</w:t>
      </w:r>
      <w:r>
        <w:rPr>
          <w:spacing w:val="-16"/>
        </w:rPr>
        <w:t> </w:t>
      </w:r>
      <w:r>
        <w:rPr/>
        <w:t>offered</w:t>
      </w:r>
      <w:r>
        <w:rPr>
          <w:spacing w:val="-15"/>
        </w:rPr>
        <w:t> </w:t>
      </w:r>
      <w:r>
        <w:rPr/>
        <w:t>by</w:t>
      </w:r>
      <w:r>
        <w:rPr>
          <w:spacing w:val="-15"/>
        </w:rPr>
        <w:t> </w:t>
      </w:r>
      <w:r>
        <w:rPr/>
        <w:t>technology</w:t>
      </w:r>
      <w:r>
        <w:rPr>
          <w:spacing w:val="-16"/>
        </w:rPr>
        <w:t> </w:t>
      </w:r>
      <w:r>
        <w:rPr/>
        <w:t>developers and analysts. The sections below revisit the areas of power generation and other industrial processes to highlight some of the major prospects for CO</w:t>
      </w:r>
      <w:r>
        <w:rPr>
          <w:position w:val="-6"/>
          <w:sz w:val="11"/>
        </w:rPr>
        <w:t>2 </w:t>
      </w:r>
      <w:r>
        <w:rPr/>
        <w:t>capture cost</w:t>
      </w:r>
      <w:r>
        <w:rPr>
          <w:spacing w:val="-5"/>
        </w:rPr>
        <w:t> </w:t>
      </w:r>
      <w:r>
        <w:rPr/>
        <w:t>reductions.</w:t>
      </w:r>
    </w:p>
    <w:p>
      <w:pPr>
        <w:pStyle w:val="BodyText"/>
        <w:rPr>
          <w:sz w:val="23"/>
        </w:rPr>
      </w:pPr>
    </w:p>
    <w:p>
      <w:pPr>
        <w:pStyle w:val="Heading2"/>
        <w:numPr>
          <w:ilvl w:val="2"/>
          <w:numId w:val="30"/>
        </w:numPr>
        <w:tabs>
          <w:tab w:pos="933" w:val="left" w:leader="none"/>
          <w:tab w:pos="934" w:val="left" w:leader="none"/>
        </w:tabs>
        <w:spacing w:line="206" w:lineRule="auto" w:before="0" w:after="0"/>
        <w:ind w:left="933" w:right="836" w:hanging="821"/>
        <w:jc w:val="left"/>
      </w:pPr>
      <w:r>
        <w:rPr>
          <w:i/>
        </w:rPr>
        <w:t>CO</w:t>
      </w:r>
      <w:r>
        <w:rPr>
          <w:i/>
          <w:position w:val="-6"/>
          <w:sz w:val="11"/>
        </w:rPr>
        <w:t>2 </w:t>
      </w:r>
      <w:r>
        <w:rPr>
          <w:i/>
        </w:rPr>
        <w:t>capture costs for electric power </w:t>
      </w:r>
      <w:r>
        <w:rPr>
          <w:i/>
          <w:spacing w:val="-3"/>
        </w:rPr>
        <w:t>plants </w:t>
      </w:r>
      <w:r>
        <w:rPr/>
        <w:t>(advanced technology)</w:t>
      </w:r>
    </w:p>
    <w:p>
      <w:pPr>
        <w:pStyle w:val="BodyText"/>
        <w:spacing w:before="8"/>
        <w:rPr>
          <w:b/>
          <w:i/>
          <w:sz w:val="21"/>
        </w:rPr>
      </w:pPr>
    </w:p>
    <w:p>
      <w:pPr>
        <w:pStyle w:val="BodyText"/>
        <w:spacing w:line="240" w:lineRule="exact"/>
        <w:ind w:left="113" w:right="114"/>
        <w:jc w:val="both"/>
      </w:pPr>
      <w:r>
        <w:rPr/>
        <w:t>This section first examines oxy-fuel combustion, which avoids the need for CO</w:t>
      </w:r>
      <w:r>
        <w:rPr>
          <w:position w:val="-6"/>
          <w:sz w:val="11"/>
        </w:rPr>
        <w:t>2 </w:t>
      </w:r>
      <w:r>
        <w:rPr/>
        <w:t>capture by producing a concentrated CO</w:t>
      </w:r>
      <w:r>
        <w:rPr>
          <w:position w:val="-6"/>
          <w:sz w:val="11"/>
        </w:rPr>
        <w:t>2 </w:t>
      </w:r>
      <w:r>
        <w:rPr/>
        <w:t>stream</w:t>
      </w:r>
      <w:r>
        <w:rPr>
          <w:spacing w:val="-12"/>
        </w:rPr>
        <w:t> </w:t>
      </w:r>
      <w:r>
        <w:rPr/>
        <w:t>for</w:t>
      </w:r>
      <w:r>
        <w:rPr>
          <w:spacing w:val="-12"/>
        </w:rPr>
        <w:t> </w:t>
      </w:r>
      <w:r>
        <w:rPr/>
        <w:t>delivery</w:t>
      </w:r>
      <w:r>
        <w:rPr>
          <w:spacing w:val="-11"/>
        </w:rPr>
        <w:t> </w:t>
      </w:r>
      <w:r>
        <w:rPr/>
        <w:t>to</w:t>
      </w:r>
      <w:r>
        <w:rPr>
          <w:spacing w:val="-12"/>
        </w:rPr>
        <w:t> </w:t>
      </w:r>
      <w:r>
        <w:rPr/>
        <w:t>a</w:t>
      </w:r>
      <w:r>
        <w:rPr>
          <w:spacing w:val="-12"/>
        </w:rPr>
        <w:t> </w:t>
      </w:r>
      <w:r>
        <w:rPr/>
        <w:t>transport</w:t>
      </w:r>
      <w:r>
        <w:rPr>
          <w:spacing w:val="-11"/>
        </w:rPr>
        <w:t> </w:t>
      </w:r>
      <w:r>
        <w:rPr/>
        <w:t>and</w:t>
      </w:r>
      <w:r>
        <w:rPr>
          <w:spacing w:val="-12"/>
        </w:rPr>
        <w:t> </w:t>
      </w:r>
      <w:r>
        <w:rPr/>
        <w:t>storage</w:t>
      </w:r>
      <w:r>
        <w:rPr>
          <w:spacing w:val="-12"/>
        </w:rPr>
        <w:t> </w:t>
      </w:r>
      <w:r>
        <w:rPr/>
        <w:t>system.</w:t>
      </w:r>
      <w:r>
        <w:rPr>
          <w:spacing w:val="-11"/>
        </w:rPr>
        <w:t> </w:t>
      </w:r>
      <w:r>
        <w:rPr/>
        <w:t>Following this we examine potential advances in post-combustion </w:t>
      </w:r>
      <w:r>
        <w:rPr>
          <w:spacing w:val="-5"/>
        </w:rPr>
        <w:t>and </w:t>
      </w:r>
      <w:r>
        <w:rPr/>
        <w:t>pre-combustion capture.</w:t>
      </w:r>
    </w:p>
    <w:p>
      <w:pPr>
        <w:pStyle w:val="BodyText"/>
        <w:spacing w:before="4"/>
        <w:rPr>
          <w:sz w:val="21"/>
        </w:rPr>
      </w:pPr>
    </w:p>
    <w:p>
      <w:pPr>
        <w:pStyle w:val="ListParagraph"/>
        <w:numPr>
          <w:ilvl w:val="3"/>
          <w:numId w:val="30"/>
        </w:numPr>
        <w:tabs>
          <w:tab w:pos="934" w:val="left" w:leader="none"/>
        </w:tabs>
        <w:spacing w:line="240" w:lineRule="auto" w:before="0" w:after="0"/>
        <w:ind w:left="933" w:right="0" w:hanging="821"/>
        <w:jc w:val="both"/>
        <w:rPr>
          <w:i/>
          <w:sz w:val="20"/>
        </w:rPr>
      </w:pPr>
      <w:r>
        <w:rPr>
          <w:i/>
          <w:sz w:val="20"/>
        </w:rPr>
        <w:t>Oxy-fuel combustion</w:t>
      </w:r>
      <w:r>
        <w:rPr>
          <w:i/>
          <w:spacing w:val="-2"/>
          <w:sz w:val="20"/>
        </w:rPr>
        <w:t> </w:t>
      </w:r>
      <w:r>
        <w:rPr>
          <w:i/>
          <w:sz w:val="20"/>
        </w:rPr>
        <w:t>systems</w:t>
      </w:r>
    </w:p>
    <w:p>
      <w:pPr>
        <w:pStyle w:val="BodyText"/>
        <w:spacing w:line="240" w:lineRule="exact" w:before="5"/>
        <w:ind w:left="113" w:right="113"/>
        <w:jc w:val="both"/>
      </w:pPr>
      <w:r>
        <w:rPr/>
        <w:t>It</w:t>
      </w:r>
      <w:r>
        <w:rPr>
          <w:spacing w:val="-9"/>
        </w:rPr>
        <w:t> </w:t>
      </w:r>
      <w:r>
        <w:rPr/>
        <w:t>is</w:t>
      </w:r>
      <w:r>
        <w:rPr>
          <w:spacing w:val="-8"/>
        </w:rPr>
        <w:t> </w:t>
      </w:r>
      <w:r>
        <w:rPr/>
        <w:t>first</w:t>
      </w:r>
      <w:r>
        <w:rPr>
          <w:spacing w:val="-9"/>
        </w:rPr>
        <w:t> </w:t>
      </w:r>
      <w:r>
        <w:rPr/>
        <w:t>important</w:t>
      </w:r>
      <w:r>
        <w:rPr>
          <w:spacing w:val="-9"/>
        </w:rPr>
        <w:t> </w:t>
      </w:r>
      <w:r>
        <w:rPr/>
        <w:t>to</w:t>
      </w:r>
      <w:r>
        <w:rPr>
          <w:spacing w:val="-9"/>
        </w:rPr>
        <w:t> </w:t>
      </w:r>
      <w:r>
        <w:rPr/>
        <w:t>distinguish</w:t>
      </w:r>
      <w:r>
        <w:rPr>
          <w:spacing w:val="-8"/>
        </w:rPr>
        <w:t> </w:t>
      </w:r>
      <w:r>
        <w:rPr/>
        <w:t>between</w:t>
      </w:r>
      <w:r>
        <w:rPr>
          <w:spacing w:val="-9"/>
        </w:rPr>
        <w:t> </w:t>
      </w:r>
      <w:r>
        <w:rPr/>
        <w:t>two</w:t>
      </w:r>
      <w:r>
        <w:rPr>
          <w:spacing w:val="-8"/>
        </w:rPr>
        <w:t> </w:t>
      </w:r>
      <w:r>
        <w:rPr/>
        <w:t>types</w:t>
      </w:r>
      <w:r>
        <w:rPr>
          <w:spacing w:val="-9"/>
        </w:rPr>
        <w:t> </w:t>
      </w:r>
      <w:r>
        <w:rPr/>
        <w:t>of</w:t>
      </w:r>
      <w:r>
        <w:rPr>
          <w:spacing w:val="-8"/>
        </w:rPr>
        <w:t> </w:t>
      </w:r>
      <w:r>
        <w:rPr/>
        <w:t>oxy-fuel systems:</w:t>
      </w:r>
      <w:r>
        <w:rPr>
          <w:spacing w:val="-3"/>
        </w:rPr>
        <w:t> </w:t>
      </w:r>
      <w:r>
        <w:rPr/>
        <w:t>an</w:t>
      </w:r>
      <w:r>
        <w:rPr>
          <w:spacing w:val="-4"/>
        </w:rPr>
        <w:t> </w:t>
      </w:r>
      <w:r>
        <w:rPr/>
        <w:t>oxy-fuel</w:t>
      </w:r>
      <w:r>
        <w:rPr>
          <w:spacing w:val="-4"/>
        </w:rPr>
        <w:t> </w:t>
      </w:r>
      <w:r>
        <w:rPr/>
        <w:t>boiler</w:t>
      </w:r>
      <w:r>
        <w:rPr>
          <w:spacing w:val="-3"/>
        </w:rPr>
        <w:t> </w:t>
      </w:r>
      <w:r>
        <w:rPr/>
        <w:t>(either</w:t>
      </w:r>
      <w:r>
        <w:rPr>
          <w:spacing w:val="-4"/>
        </w:rPr>
        <w:t> </w:t>
      </w:r>
      <w:r>
        <w:rPr/>
        <w:t>a</w:t>
      </w:r>
      <w:r>
        <w:rPr>
          <w:spacing w:val="-4"/>
        </w:rPr>
        <w:t> </w:t>
      </w:r>
      <w:r>
        <w:rPr/>
        <w:t>retrofit</w:t>
      </w:r>
      <w:r>
        <w:rPr>
          <w:spacing w:val="-4"/>
        </w:rPr>
        <w:t> </w:t>
      </w:r>
      <w:r>
        <w:rPr/>
        <w:t>or</w:t>
      </w:r>
      <w:r>
        <w:rPr>
          <w:spacing w:val="-3"/>
        </w:rPr>
        <w:t> </w:t>
      </w:r>
      <w:r>
        <w:rPr/>
        <w:t>new</w:t>
      </w:r>
      <w:r>
        <w:rPr>
          <w:spacing w:val="-4"/>
        </w:rPr>
        <w:t> </w:t>
      </w:r>
      <w:r>
        <w:rPr/>
        <w:t>design)</w:t>
      </w:r>
      <w:r>
        <w:rPr>
          <w:spacing w:val="-4"/>
        </w:rPr>
        <w:t> </w:t>
      </w:r>
      <w:r>
        <w:rPr/>
        <w:t>and oxy-fuel combustion-based gas turbine cycles. The former </w:t>
      </w:r>
      <w:r>
        <w:rPr>
          <w:spacing w:val="-4"/>
        </w:rPr>
        <w:t>are </w:t>
      </w:r>
      <w:r>
        <w:rPr/>
        <w:t>close to demonstration at a commercial scale, while the latter (such</w:t>
      </w:r>
      <w:r>
        <w:rPr>
          <w:spacing w:val="-13"/>
        </w:rPr>
        <w:t> </w:t>
      </w:r>
      <w:r>
        <w:rPr/>
        <w:t>as</w:t>
      </w:r>
      <w:r>
        <w:rPr>
          <w:spacing w:val="-13"/>
        </w:rPr>
        <w:t> </w:t>
      </w:r>
      <w:r>
        <w:rPr/>
        <w:t>chemical</w:t>
      </w:r>
      <w:r>
        <w:rPr>
          <w:spacing w:val="-13"/>
        </w:rPr>
        <w:t> </w:t>
      </w:r>
      <w:r>
        <w:rPr/>
        <w:t>looping</w:t>
      </w:r>
      <w:r>
        <w:rPr>
          <w:spacing w:val="-12"/>
        </w:rPr>
        <w:t> </w:t>
      </w:r>
      <w:r>
        <w:rPr/>
        <w:t>combustion</w:t>
      </w:r>
      <w:r>
        <w:rPr>
          <w:spacing w:val="-13"/>
        </w:rPr>
        <w:t> </w:t>
      </w:r>
      <w:r>
        <w:rPr/>
        <w:t>systems</w:t>
      </w:r>
      <w:r>
        <w:rPr>
          <w:spacing w:val="-13"/>
        </w:rPr>
        <w:t> </w:t>
      </w:r>
      <w:r>
        <w:rPr/>
        <w:t>and</w:t>
      </w:r>
      <w:r>
        <w:rPr>
          <w:spacing w:val="-12"/>
        </w:rPr>
        <w:t> </w:t>
      </w:r>
      <w:r>
        <w:rPr/>
        <w:t>novel</w:t>
      </w:r>
      <w:r>
        <w:rPr>
          <w:spacing w:val="-13"/>
        </w:rPr>
        <w:t> </w:t>
      </w:r>
      <w:r>
        <w:rPr/>
        <w:t>power cycles using CO</w:t>
      </w:r>
      <w:hyperlink w:history="true" w:anchor="_bookmark54">
        <w:r>
          <w:rPr>
            <w:position w:val="-6"/>
            <w:sz w:val="11"/>
          </w:rPr>
          <w:t>2</w:t>
        </w:r>
      </w:hyperlink>
      <w:r>
        <w:rPr/>
        <w:t>/water as working fluid) are still at the design stage. </w:t>
      </w:r>
      <w:hyperlink w:history="true" w:anchor="_bookmark54">
        <w:r>
          <w:rPr>
            <w:spacing w:val="-3"/>
          </w:rPr>
          <w:t>Table </w:t>
        </w:r>
        <w:r>
          <w:rPr/>
          <w:t>3.13</w:t>
        </w:r>
      </w:hyperlink>
      <w:r>
        <w:rPr/>
        <w:t> summarizes the key assumptions and cost results of several recent studies of CO</w:t>
      </w:r>
      <w:r>
        <w:rPr>
          <w:position w:val="-6"/>
          <w:sz w:val="11"/>
        </w:rPr>
        <w:t>2 </w:t>
      </w:r>
      <w:r>
        <w:rPr/>
        <w:t>capture costs for oxy- fuel combustion systems applied to new or existing coal-fired units. As discussed earlier in Section 3.4, oxygen combustion produces a flue gas stream consisting primarily of CO</w:t>
      </w:r>
      <w:r>
        <w:rPr>
          <w:position w:val="-6"/>
          <w:sz w:val="11"/>
        </w:rPr>
        <w:t>2 </w:t>
      </w:r>
      <w:r>
        <w:rPr/>
        <w:t>and water vapour, along with smaller amounts of SO</w:t>
      </w:r>
      <w:r>
        <w:rPr>
          <w:position w:val="-6"/>
          <w:sz w:val="11"/>
        </w:rPr>
        <w:t>2</w:t>
      </w:r>
      <w:r>
        <w:rPr/>
        <w:t>, nitrogen</w:t>
      </w:r>
      <w:r>
        <w:rPr>
          <w:spacing w:val="-25"/>
        </w:rPr>
        <w:t> </w:t>
      </w:r>
      <w:r>
        <w:rPr/>
        <w:t>and other trace impurities. These designs eliminate the capital </w:t>
      </w:r>
      <w:r>
        <w:rPr>
          <w:spacing w:val="-5"/>
        </w:rPr>
        <w:t>and </w:t>
      </w:r>
      <w:r>
        <w:rPr/>
        <w:t>operating costs of a post-combustion CO</w:t>
      </w:r>
      <w:r>
        <w:rPr>
          <w:position w:val="-6"/>
          <w:sz w:val="11"/>
        </w:rPr>
        <w:t>2 </w:t>
      </w:r>
      <w:r>
        <w:rPr/>
        <w:t>capture system, but new costs are incurred for the oxygen plant and other system design</w:t>
      </w:r>
      <w:r>
        <w:rPr>
          <w:spacing w:val="-22"/>
        </w:rPr>
        <w:t> </w:t>
      </w:r>
      <w:r>
        <w:rPr/>
        <w:t>modifications.</w:t>
      </w:r>
      <w:r>
        <w:rPr>
          <w:spacing w:val="-22"/>
        </w:rPr>
        <w:t> </w:t>
      </w:r>
      <w:r>
        <w:rPr/>
        <w:t>Because</w:t>
      </w:r>
      <w:r>
        <w:rPr>
          <w:spacing w:val="-22"/>
        </w:rPr>
        <w:t> </w:t>
      </w:r>
      <w:r>
        <w:rPr/>
        <w:t>oxy-fuel</w:t>
      </w:r>
      <w:r>
        <w:rPr>
          <w:spacing w:val="-22"/>
        </w:rPr>
        <w:t> </w:t>
      </w:r>
      <w:r>
        <w:rPr/>
        <w:t>combustion</w:t>
      </w:r>
      <w:r>
        <w:rPr>
          <w:spacing w:val="-22"/>
        </w:rPr>
        <w:t> </w:t>
      </w:r>
      <w:r>
        <w:rPr/>
        <w:t>is</w:t>
      </w:r>
      <w:r>
        <w:rPr>
          <w:spacing w:val="-22"/>
        </w:rPr>
        <w:t> </w:t>
      </w:r>
      <w:r>
        <w:rPr/>
        <w:t>still</w:t>
      </w:r>
      <w:r>
        <w:rPr>
          <w:spacing w:val="-22"/>
        </w:rPr>
        <w:t> </w:t>
      </w:r>
      <w:r>
        <w:rPr/>
        <w:t>under development and has not yet been utilized or demonstrated </w:t>
      </w:r>
      <w:r>
        <w:rPr>
          <w:spacing w:val="-4"/>
        </w:rPr>
        <w:t>for </w:t>
      </w:r>
      <w:r>
        <w:rPr/>
        <w:t>large-scale</w:t>
      </w:r>
      <w:r>
        <w:rPr>
          <w:spacing w:val="-20"/>
        </w:rPr>
        <w:t> </w:t>
      </w:r>
      <w:r>
        <w:rPr/>
        <w:t>power</w:t>
      </w:r>
      <w:r>
        <w:rPr>
          <w:spacing w:val="-19"/>
        </w:rPr>
        <w:t> </w:t>
      </w:r>
      <w:r>
        <w:rPr/>
        <w:t>generation,</w:t>
      </w:r>
      <w:r>
        <w:rPr>
          <w:spacing w:val="-19"/>
        </w:rPr>
        <w:t> </w:t>
      </w:r>
      <w:r>
        <w:rPr/>
        <w:t>the</w:t>
      </w:r>
      <w:r>
        <w:rPr>
          <w:spacing w:val="-19"/>
        </w:rPr>
        <w:t> </w:t>
      </w:r>
      <w:r>
        <w:rPr/>
        <w:t>design</w:t>
      </w:r>
      <w:r>
        <w:rPr>
          <w:spacing w:val="-19"/>
        </w:rPr>
        <w:t> </w:t>
      </w:r>
      <w:r>
        <w:rPr/>
        <w:t>basis</w:t>
      </w:r>
      <w:r>
        <w:rPr>
          <w:spacing w:val="-19"/>
        </w:rPr>
        <w:t> </w:t>
      </w:r>
      <w:r>
        <w:rPr/>
        <w:t>and</w:t>
      </w:r>
      <w:r>
        <w:rPr>
          <w:spacing w:val="-19"/>
        </w:rPr>
        <w:t> </w:t>
      </w:r>
      <w:r>
        <w:rPr/>
        <w:t>cost</w:t>
      </w:r>
      <w:r>
        <w:rPr>
          <w:spacing w:val="-19"/>
        </w:rPr>
        <w:t> </w:t>
      </w:r>
      <w:r>
        <w:rPr/>
        <w:t>estimates for such systems remain highly variable and uncertain. This is reflected</w:t>
      </w:r>
      <w:r>
        <w:rPr>
          <w:spacing w:val="9"/>
        </w:rPr>
        <w:t> </w:t>
      </w:r>
      <w:r>
        <w:rPr/>
        <w:t>in</w:t>
      </w:r>
      <w:r>
        <w:rPr>
          <w:spacing w:val="10"/>
        </w:rPr>
        <w:t> </w:t>
      </w:r>
      <w:r>
        <w:rPr/>
        <w:t>the</w:t>
      </w:r>
      <w:r>
        <w:rPr>
          <w:spacing w:val="10"/>
        </w:rPr>
        <w:t> </w:t>
      </w:r>
      <w:r>
        <w:rPr/>
        <w:t>wide</w:t>
      </w:r>
      <w:r>
        <w:rPr>
          <w:spacing w:val="9"/>
        </w:rPr>
        <w:t> </w:t>
      </w:r>
      <w:r>
        <w:rPr/>
        <w:t>range</w:t>
      </w:r>
      <w:r>
        <w:rPr>
          <w:spacing w:val="10"/>
        </w:rPr>
        <w:t> </w:t>
      </w:r>
      <w:r>
        <w:rPr/>
        <w:t>of</w:t>
      </w:r>
      <w:r>
        <w:rPr>
          <w:spacing w:val="10"/>
        </w:rPr>
        <w:t> </w:t>
      </w:r>
      <w:r>
        <w:rPr/>
        <w:t>oxy-fuel</w:t>
      </w:r>
      <w:r>
        <w:rPr>
          <w:spacing w:val="9"/>
        </w:rPr>
        <w:t> </w:t>
      </w:r>
      <w:r>
        <w:rPr/>
        <w:t>cost</w:t>
      </w:r>
      <w:r>
        <w:rPr>
          <w:spacing w:val="10"/>
        </w:rPr>
        <w:t> </w:t>
      </w:r>
      <w:r>
        <w:rPr/>
        <w:t>estimates</w:t>
      </w:r>
      <w:r>
        <w:rPr>
          <w:spacing w:val="10"/>
        </w:rPr>
        <w:t> </w:t>
      </w:r>
      <w:r>
        <w:rPr/>
        <w:t>in</w:t>
      </w:r>
      <w:r>
        <w:rPr>
          <w:spacing w:val="7"/>
        </w:rPr>
        <w:t> </w:t>
      </w:r>
      <w:hyperlink w:history="true" w:anchor="_bookmark55">
        <w:r>
          <w:rPr>
            <w:spacing w:val="-3"/>
          </w:rPr>
          <w:t>Table</w:t>
        </w:r>
      </w:hyperlink>
    </w:p>
    <w:p>
      <w:pPr>
        <w:pStyle w:val="BodyText"/>
        <w:spacing w:before="5"/>
        <w:ind w:left="113"/>
        <w:jc w:val="both"/>
      </w:pPr>
      <w:hyperlink w:history="true" w:anchor="_bookmark55">
        <w:r>
          <w:rPr/>
          <w:t>3.13.</w:t>
        </w:r>
        <w:r>
          <w:rPr>
            <w:spacing w:val="22"/>
          </w:rPr>
          <w:t> </w:t>
        </w:r>
      </w:hyperlink>
      <w:r>
        <w:rPr/>
        <w:t>Note,</w:t>
      </w:r>
      <w:r>
        <w:rPr>
          <w:spacing w:val="23"/>
        </w:rPr>
        <w:t> </w:t>
      </w:r>
      <w:r>
        <w:rPr/>
        <w:t>however,</w:t>
      </w:r>
      <w:r>
        <w:rPr>
          <w:spacing w:val="22"/>
        </w:rPr>
        <w:t> </w:t>
      </w:r>
      <w:r>
        <w:rPr/>
        <w:t>that</w:t>
      </w:r>
      <w:r>
        <w:rPr>
          <w:spacing w:val="23"/>
        </w:rPr>
        <w:t> </w:t>
      </w:r>
      <w:r>
        <w:rPr/>
        <w:t>cost</w:t>
      </w:r>
      <w:r>
        <w:rPr>
          <w:spacing w:val="22"/>
        </w:rPr>
        <w:t> </w:t>
      </w:r>
      <w:r>
        <w:rPr/>
        <w:t>estimates</w:t>
      </w:r>
      <w:r>
        <w:rPr>
          <w:spacing w:val="23"/>
        </w:rPr>
        <w:t> </w:t>
      </w:r>
      <w:r>
        <w:rPr/>
        <w:t>for</w:t>
      </w:r>
      <w:r>
        <w:rPr>
          <w:spacing w:val="22"/>
        </w:rPr>
        <w:t> </w:t>
      </w:r>
      <w:r>
        <w:rPr/>
        <w:t>advanced</w:t>
      </w:r>
      <w:r>
        <w:rPr>
          <w:spacing w:val="23"/>
        </w:rPr>
        <w:t> </w:t>
      </w:r>
      <w:r>
        <w:rPr/>
        <w:t>design</w:t>
      </w:r>
    </w:p>
    <w:p>
      <w:pPr>
        <w:pStyle w:val="BodyText"/>
        <w:spacing w:before="1"/>
        <w:rPr>
          <w:sz w:val="15"/>
        </w:rPr>
      </w:pPr>
      <w:r>
        <w:rPr/>
        <w:pict>
          <v:shape style="position:absolute;margin-left:323.007996pt;margin-top:11.169109pt;width:72pt;height:.1pt;mso-position-horizontal-relative:page;mso-position-vertical-relative:paragraph;z-index:-251537408;mso-wrap-distance-left:0;mso-wrap-distance-right:0" coordorigin="6460,223" coordsize="1440,0" path="m6460,223l7900,223e" filled="false" stroked="true" strokeweight="1pt" strokecolor="#000000">
            <v:path arrowok="t"/>
            <v:stroke dashstyle="solid"/>
            <w10:wrap type="topAndBottom"/>
          </v:shape>
        </w:pict>
      </w:r>
    </w:p>
    <w:p>
      <w:pPr>
        <w:spacing w:line="261" w:lineRule="auto" w:before="11"/>
        <w:ind w:left="113" w:right="113" w:firstLine="0"/>
        <w:jc w:val="both"/>
        <w:rPr>
          <w:sz w:val="16"/>
        </w:rPr>
      </w:pPr>
      <w:r>
        <w:rPr>
          <w:position w:val="5"/>
          <w:sz w:val="9"/>
        </w:rPr>
        <w:t>11</w:t>
      </w:r>
      <w:r>
        <w:rPr>
          <w:spacing w:val="-6"/>
          <w:position w:val="5"/>
          <w:sz w:val="9"/>
        </w:rPr>
        <w:t> </w:t>
      </w:r>
      <w:r>
        <w:rPr>
          <w:sz w:val="16"/>
        </w:rPr>
        <w:t>In</w:t>
      </w:r>
      <w:r>
        <w:rPr>
          <w:spacing w:val="-24"/>
          <w:sz w:val="16"/>
        </w:rPr>
        <w:t> </w:t>
      </w:r>
      <w:r>
        <w:rPr>
          <w:sz w:val="16"/>
        </w:rPr>
        <w:t>their</w:t>
      </w:r>
      <w:r>
        <w:rPr>
          <w:spacing w:val="-23"/>
          <w:sz w:val="16"/>
        </w:rPr>
        <w:t> </w:t>
      </w:r>
      <w:r>
        <w:rPr>
          <w:sz w:val="16"/>
        </w:rPr>
        <w:t>study</w:t>
      </w:r>
      <w:r>
        <w:rPr>
          <w:spacing w:val="-24"/>
          <w:sz w:val="16"/>
        </w:rPr>
        <w:t> </w:t>
      </w:r>
      <w:r>
        <w:rPr>
          <w:sz w:val="16"/>
        </w:rPr>
        <w:t>of</w:t>
      </w:r>
      <w:r>
        <w:rPr>
          <w:spacing w:val="-23"/>
          <w:sz w:val="16"/>
        </w:rPr>
        <w:t> </w:t>
      </w:r>
      <w:r>
        <w:rPr>
          <w:sz w:val="16"/>
        </w:rPr>
        <w:t>42</w:t>
      </w:r>
      <w:r>
        <w:rPr>
          <w:spacing w:val="-24"/>
          <w:sz w:val="16"/>
        </w:rPr>
        <w:t> </w:t>
      </w:r>
      <w:r>
        <w:rPr>
          <w:sz w:val="16"/>
        </w:rPr>
        <w:t>energy-related</w:t>
      </w:r>
      <w:r>
        <w:rPr>
          <w:spacing w:val="-23"/>
          <w:sz w:val="16"/>
        </w:rPr>
        <w:t> </w:t>
      </w:r>
      <w:r>
        <w:rPr>
          <w:sz w:val="16"/>
        </w:rPr>
        <w:t>technologies,</w:t>
      </w:r>
      <w:r>
        <w:rPr>
          <w:spacing w:val="-24"/>
          <w:sz w:val="16"/>
        </w:rPr>
        <w:t> </w:t>
      </w:r>
      <w:r>
        <w:rPr>
          <w:sz w:val="16"/>
        </w:rPr>
        <w:t>McDonald</w:t>
      </w:r>
      <w:r>
        <w:rPr>
          <w:spacing w:val="-23"/>
          <w:sz w:val="16"/>
        </w:rPr>
        <w:t> </w:t>
      </w:r>
      <w:r>
        <w:rPr>
          <w:sz w:val="16"/>
        </w:rPr>
        <w:t>and</w:t>
      </w:r>
      <w:r>
        <w:rPr>
          <w:spacing w:val="-24"/>
          <w:sz w:val="16"/>
        </w:rPr>
        <w:t> </w:t>
      </w:r>
      <w:r>
        <w:rPr>
          <w:sz w:val="16"/>
        </w:rPr>
        <w:t>Schrattenholzer (2001)</w:t>
      </w:r>
      <w:r>
        <w:rPr>
          <w:spacing w:val="-3"/>
          <w:sz w:val="16"/>
        </w:rPr>
        <w:t> </w:t>
      </w:r>
      <w:r>
        <w:rPr>
          <w:sz w:val="16"/>
        </w:rPr>
        <w:t>found</w:t>
      </w:r>
      <w:r>
        <w:rPr>
          <w:spacing w:val="-2"/>
          <w:sz w:val="16"/>
        </w:rPr>
        <w:t> </w:t>
      </w:r>
      <w:r>
        <w:rPr>
          <w:sz w:val="16"/>
        </w:rPr>
        <w:t>learning</w:t>
      </w:r>
      <w:r>
        <w:rPr>
          <w:spacing w:val="-2"/>
          <w:sz w:val="16"/>
        </w:rPr>
        <w:t> </w:t>
      </w:r>
      <w:r>
        <w:rPr>
          <w:sz w:val="16"/>
        </w:rPr>
        <w:t>rates</w:t>
      </w:r>
      <w:r>
        <w:rPr>
          <w:spacing w:val="-2"/>
          <w:sz w:val="16"/>
        </w:rPr>
        <w:t> </w:t>
      </w:r>
      <w:r>
        <w:rPr>
          <w:sz w:val="16"/>
        </w:rPr>
        <w:t>varying</w:t>
      </w:r>
      <w:r>
        <w:rPr>
          <w:spacing w:val="-3"/>
          <w:sz w:val="16"/>
        </w:rPr>
        <w:t> </w:t>
      </w:r>
      <w:r>
        <w:rPr>
          <w:sz w:val="16"/>
        </w:rPr>
        <w:t>from</w:t>
      </w:r>
      <w:r>
        <w:rPr>
          <w:spacing w:val="-2"/>
          <w:sz w:val="16"/>
        </w:rPr>
        <w:t> </w:t>
      </w:r>
      <w:r>
        <w:rPr>
          <w:sz w:val="16"/>
        </w:rPr>
        <w:t>-14%</w:t>
      </w:r>
      <w:r>
        <w:rPr>
          <w:spacing w:val="-2"/>
          <w:sz w:val="16"/>
        </w:rPr>
        <w:t> </w:t>
      </w:r>
      <w:r>
        <w:rPr>
          <w:sz w:val="16"/>
        </w:rPr>
        <w:t>to</w:t>
      </w:r>
      <w:r>
        <w:rPr>
          <w:spacing w:val="-2"/>
          <w:sz w:val="16"/>
        </w:rPr>
        <w:t> </w:t>
      </w:r>
      <w:r>
        <w:rPr>
          <w:sz w:val="16"/>
        </w:rPr>
        <w:t>34%,</w:t>
      </w:r>
      <w:r>
        <w:rPr>
          <w:spacing w:val="-2"/>
          <w:sz w:val="16"/>
        </w:rPr>
        <w:t> </w:t>
      </w:r>
      <w:r>
        <w:rPr>
          <w:sz w:val="16"/>
        </w:rPr>
        <w:t>with</w:t>
      </w:r>
      <w:r>
        <w:rPr>
          <w:spacing w:val="-3"/>
          <w:sz w:val="16"/>
        </w:rPr>
        <w:t> </w:t>
      </w:r>
      <w:r>
        <w:rPr>
          <w:sz w:val="16"/>
        </w:rPr>
        <w:t>a</w:t>
      </w:r>
      <w:r>
        <w:rPr>
          <w:spacing w:val="-2"/>
          <w:sz w:val="16"/>
        </w:rPr>
        <w:t> </w:t>
      </w:r>
      <w:r>
        <w:rPr>
          <w:sz w:val="16"/>
        </w:rPr>
        <w:t>median</w:t>
      </w:r>
      <w:r>
        <w:rPr>
          <w:spacing w:val="-2"/>
          <w:sz w:val="16"/>
        </w:rPr>
        <w:t> </w:t>
      </w:r>
      <w:r>
        <w:rPr>
          <w:sz w:val="16"/>
        </w:rPr>
        <w:t>value</w:t>
      </w:r>
      <w:r>
        <w:rPr>
          <w:spacing w:val="-2"/>
          <w:sz w:val="16"/>
        </w:rPr>
        <w:t> </w:t>
      </w:r>
      <w:r>
        <w:rPr>
          <w:sz w:val="16"/>
        </w:rPr>
        <w:t>of 16%. These rates represent the average reduction in cost for each doubling of installed capacity. A negative learning rate indicates that costs increased rather than decreased over the period</w:t>
      </w:r>
      <w:r>
        <w:rPr>
          <w:spacing w:val="-1"/>
          <w:sz w:val="16"/>
        </w:rPr>
        <w:t> </w:t>
      </w:r>
      <w:r>
        <w:rPr>
          <w:sz w:val="16"/>
        </w:rPr>
        <w:t>studied.</w:t>
      </w:r>
    </w:p>
    <w:p>
      <w:pPr>
        <w:spacing w:after="0" w:line="261" w:lineRule="auto"/>
        <w:jc w:val="both"/>
        <w:rPr>
          <w:sz w:val="16"/>
        </w:rPr>
        <w:sectPr>
          <w:type w:val="continuous"/>
          <w:pgSz w:w="12240" w:h="15840"/>
          <w:pgMar w:top="480" w:bottom="280" w:left="1020" w:right="620"/>
          <w:cols w:num="2" w:equalWidth="0">
            <w:col w:w="5200" w:space="127"/>
            <w:col w:w="5273"/>
          </w:cols>
        </w:sectPr>
      </w:pPr>
    </w:p>
    <w:p>
      <w:pPr>
        <w:pStyle w:val="BodyText"/>
        <w:spacing w:before="7"/>
        <w:rPr>
          <w:sz w:val="22"/>
        </w:rPr>
      </w:pPr>
      <w:r>
        <w:rPr/>
        <w:pict>
          <v:shape style="position:absolute;margin-left:752.653625pt;margin-top:35.850399pt;width:12pt;height:17pt;mso-position-horizontal-relative:page;mso-position-vertical-relative:page;z-index:251780096" type="#_x0000_t202" filled="false" stroked="false">
            <v:textbox inset="0,0,0,0" style="layout-flow:vertical">
              <w:txbxContent>
                <w:p>
                  <w:pPr>
                    <w:spacing w:line="213" w:lineRule="exact" w:before="0"/>
                    <w:ind w:left="20" w:right="0" w:firstLine="0"/>
                    <w:jc w:val="left"/>
                    <w:rPr>
                      <w:b/>
                      <w:sz w:val="20"/>
                    </w:rPr>
                  </w:pPr>
                  <w:r>
                    <w:rPr>
                      <w:b/>
                      <w:sz w:val="20"/>
                    </w:rPr>
                    <w:t>164</w:t>
                  </w:r>
                </w:p>
              </w:txbxContent>
            </v:textbox>
            <w10:wrap type="none"/>
          </v:shape>
        </w:pict>
      </w:r>
      <w:r>
        <w:rPr/>
        <w:pict>
          <v:shape style="position:absolute;margin-left:752.653625pt;margin-top:306.362793pt;width:12pt;height:250pt;mso-position-horizontal-relative:page;mso-position-vertical-relative:page;z-index:251781120" type="#_x0000_t202" filled="false" stroked="false">
            <v:textbox inset="0,0,0,0" style="layout-flow:vertical">
              <w:txbxContent>
                <w:p>
                  <w:pPr>
                    <w:spacing w:line="213" w:lineRule="exact" w:before="0"/>
                    <w:ind w:left="20" w:right="0" w:firstLine="0"/>
                    <w:jc w:val="left"/>
                    <w:rPr>
                      <w:i/>
                      <w:sz w:val="20"/>
                    </w:rPr>
                  </w:pPr>
                  <w:r>
                    <w:rPr>
                      <w:i/>
                      <w:sz w:val="20"/>
                    </w:rPr>
                    <w:t>IPCC Special Report on Carbon dioxide Capture and Storage</w:t>
                  </w:r>
                </w:p>
              </w:txbxContent>
            </v:textbox>
            <w10:wrap type="none"/>
          </v:shape>
        </w:pict>
      </w:r>
    </w:p>
    <w:tbl>
      <w:tblPr>
        <w:tblW w:w="0" w:type="auto"/>
        <w:jc w:val="left"/>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2"/>
        <w:gridCol w:w="919"/>
        <w:gridCol w:w="1091"/>
        <w:gridCol w:w="899"/>
        <w:gridCol w:w="951"/>
        <w:gridCol w:w="1023"/>
        <w:gridCol w:w="1343"/>
        <w:gridCol w:w="1273"/>
        <w:gridCol w:w="1116"/>
        <w:gridCol w:w="1650"/>
      </w:tblGrid>
      <w:tr>
        <w:trPr>
          <w:trHeight w:val="246" w:hRule="atLeast"/>
        </w:trPr>
        <w:tc>
          <w:tcPr>
            <w:tcW w:w="3292" w:type="dxa"/>
            <w:vMerge w:val="restart"/>
            <w:shd w:val="clear" w:color="auto" w:fill="E0EEE0"/>
          </w:tcPr>
          <w:p>
            <w:pPr>
              <w:pStyle w:val="TableParagraph"/>
              <w:jc w:val="left"/>
              <w:rPr>
                <w:sz w:val="16"/>
              </w:rPr>
            </w:pPr>
          </w:p>
          <w:p>
            <w:pPr>
              <w:pStyle w:val="TableParagraph"/>
              <w:spacing w:before="117"/>
              <w:ind w:left="54"/>
              <w:jc w:val="left"/>
              <w:rPr>
                <w:b/>
                <w:sz w:val="16"/>
              </w:rPr>
            </w:pPr>
            <w:r>
              <w:rPr>
                <w:b/>
                <w:sz w:val="16"/>
              </w:rPr>
              <w:t>Study Assumptions and Results</w:t>
            </w:r>
          </w:p>
        </w:tc>
        <w:tc>
          <w:tcPr>
            <w:tcW w:w="7499" w:type="dxa"/>
            <w:gridSpan w:val="7"/>
            <w:tcBorders>
              <w:right w:val="double" w:sz="1" w:space="0" w:color="000000"/>
            </w:tcBorders>
            <w:shd w:val="clear" w:color="auto" w:fill="E0EEE0"/>
          </w:tcPr>
          <w:p>
            <w:pPr>
              <w:pStyle w:val="TableParagraph"/>
              <w:spacing w:line="181" w:lineRule="exact" w:before="45"/>
              <w:ind w:left="2703" w:right="2695"/>
              <w:rPr>
                <w:b/>
                <w:sz w:val="16"/>
              </w:rPr>
            </w:pPr>
            <w:r>
              <w:rPr>
                <w:b/>
                <w:w w:val="115"/>
                <w:sz w:val="16"/>
              </w:rPr>
              <w:t>Oxy-FuEL COmBuStiON</w:t>
            </w:r>
          </w:p>
        </w:tc>
        <w:tc>
          <w:tcPr>
            <w:tcW w:w="2766" w:type="dxa"/>
            <w:gridSpan w:val="2"/>
            <w:tcBorders>
              <w:left w:val="double" w:sz="1" w:space="0" w:color="000000"/>
            </w:tcBorders>
            <w:shd w:val="clear" w:color="auto" w:fill="E0EEE0"/>
          </w:tcPr>
          <w:p>
            <w:pPr>
              <w:pStyle w:val="TableParagraph"/>
              <w:spacing w:line="181" w:lineRule="exact" w:before="45"/>
              <w:ind w:left="819"/>
              <w:jc w:val="left"/>
              <w:rPr>
                <w:b/>
                <w:sz w:val="16"/>
              </w:rPr>
            </w:pPr>
            <w:bookmarkStart w:name="_bookmark54" w:id="107"/>
            <w:bookmarkEnd w:id="107"/>
            <w:r>
              <w:rPr/>
            </w:r>
            <w:bookmarkStart w:name="_bookmark55" w:id="108"/>
            <w:bookmarkEnd w:id="108"/>
            <w:r>
              <w:rPr/>
            </w:r>
            <w:bookmarkStart w:name="_bookmark56" w:id="109"/>
            <w:bookmarkEnd w:id="109"/>
            <w:r>
              <w:rPr/>
            </w:r>
            <w:r>
              <w:rPr>
                <w:b/>
                <w:w w:val="105"/>
                <w:sz w:val="16"/>
              </w:rPr>
              <w:t>ADvANCED PC</w:t>
            </w:r>
          </w:p>
        </w:tc>
      </w:tr>
      <w:tr>
        <w:trPr>
          <w:trHeight w:val="438" w:hRule="atLeast"/>
        </w:trPr>
        <w:tc>
          <w:tcPr>
            <w:tcW w:w="3292" w:type="dxa"/>
            <w:vMerge/>
            <w:tcBorders>
              <w:top w:val="nil"/>
            </w:tcBorders>
            <w:shd w:val="clear" w:color="auto" w:fill="E0EEE0"/>
          </w:tcPr>
          <w:p>
            <w:pPr>
              <w:rPr>
                <w:sz w:val="2"/>
                <w:szCs w:val="2"/>
              </w:rPr>
            </w:pPr>
          </w:p>
        </w:tc>
        <w:tc>
          <w:tcPr>
            <w:tcW w:w="919" w:type="dxa"/>
            <w:shd w:val="clear" w:color="auto" w:fill="E0EEE0"/>
          </w:tcPr>
          <w:p>
            <w:pPr>
              <w:pStyle w:val="TableParagraph"/>
              <w:spacing w:before="45"/>
              <w:ind w:left="226"/>
              <w:jc w:val="left"/>
              <w:rPr>
                <w:b/>
                <w:sz w:val="16"/>
              </w:rPr>
            </w:pPr>
            <w:r>
              <w:rPr>
                <w:b/>
                <w:sz w:val="16"/>
              </w:rPr>
              <w:t>Alstom</w:t>
            </w:r>
          </w:p>
          <w:p>
            <w:pPr>
              <w:pStyle w:val="TableParagraph"/>
              <w:spacing w:line="181" w:lineRule="exact" w:before="8"/>
              <w:ind w:left="310"/>
              <w:jc w:val="left"/>
              <w:rPr>
                <w:b/>
                <w:i/>
                <w:sz w:val="16"/>
              </w:rPr>
            </w:pPr>
            <w:r>
              <w:rPr>
                <w:b/>
                <w:i/>
                <w:sz w:val="16"/>
              </w:rPr>
              <w:t>et al.</w:t>
            </w:r>
          </w:p>
        </w:tc>
        <w:tc>
          <w:tcPr>
            <w:tcW w:w="1091" w:type="dxa"/>
            <w:shd w:val="clear" w:color="auto" w:fill="E0EEE0"/>
          </w:tcPr>
          <w:p>
            <w:pPr>
              <w:pStyle w:val="TableParagraph"/>
              <w:spacing w:before="45"/>
              <w:ind w:left="263" w:right="233"/>
              <w:rPr>
                <w:b/>
                <w:sz w:val="16"/>
              </w:rPr>
            </w:pPr>
            <w:r>
              <w:rPr>
                <w:b/>
                <w:sz w:val="16"/>
              </w:rPr>
              <w:t>Singh</w:t>
            </w:r>
          </w:p>
          <w:p>
            <w:pPr>
              <w:pStyle w:val="TableParagraph"/>
              <w:spacing w:line="181" w:lineRule="exact" w:before="8"/>
              <w:ind w:left="264" w:right="233"/>
              <w:rPr>
                <w:b/>
                <w:i/>
                <w:sz w:val="16"/>
              </w:rPr>
            </w:pPr>
            <w:r>
              <w:rPr>
                <w:b/>
                <w:i/>
                <w:sz w:val="16"/>
              </w:rPr>
              <w:t>et al.</w:t>
            </w:r>
          </w:p>
        </w:tc>
        <w:tc>
          <w:tcPr>
            <w:tcW w:w="899" w:type="dxa"/>
            <w:shd w:val="clear" w:color="auto" w:fill="E0EEE0"/>
          </w:tcPr>
          <w:p>
            <w:pPr>
              <w:pStyle w:val="TableParagraph"/>
              <w:spacing w:line="190" w:lineRule="atLeast" w:before="39"/>
              <w:ind w:left="192" w:right="143" w:firstLine="35"/>
              <w:jc w:val="left"/>
              <w:rPr>
                <w:b/>
                <w:sz w:val="16"/>
              </w:rPr>
            </w:pPr>
            <w:r>
              <w:rPr>
                <w:b/>
                <w:sz w:val="16"/>
              </w:rPr>
              <w:t>Stobbs &amp;Clark</w:t>
            </w:r>
          </w:p>
        </w:tc>
        <w:tc>
          <w:tcPr>
            <w:tcW w:w="951" w:type="dxa"/>
            <w:shd w:val="clear" w:color="auto" w:fill="E0EEE0"/>
          </w:tcPr>
          <w:p>
            <w:pPr>
              <w:pStyle w:val="TableParagraph"/>
              <w:spacing w:before="45"/>
              <w:ind w:left="275"/>
              <w:jc w:val="left"/>
              <w:rPr>
                <w:b/>
                <w:sz w:val="16"/>
              </w:rPr>
            </w:pPr>
            <w:r>
              <w:rPr>
                <w:b/>
                <w:sz w:val="16"/>
              </w:rPr>
              <w:t>Dillon</w:t>
            </w:r>
          </w:p>
          <w:p>
            <w:pPr>
              <w:pStyle w:val="TableParagraph"/>
              <w:spacing w:line="181" w:lineRule="exact" w:before="8"/>
              <w:ind w:left="324"/>
              <w:jc w:val="left"/>
              <w:rPr>
                <w:b/>
                <w:i/>
                <w:sz w:val="16"/>
              </w:rPr>
            </w:pPr>
            <w:r>
              <w:rPr>
                <w:b/>
                <w:i/>
                <w:sz w:val="16"/>
              </w:rPr>
              <w:t>et al.</w:t>
            </w:r>
          </w:p>
        </w:tc>
        <w:tc>
          <w:tcPr>
            <w:tcW w:w="1023" w:type="dxa"/>
            <w:shd w:val="clear" w:color="auto" w:fill="E0EEE0"/>
          </w:tcPr>
          <w:p>
            <w:pPr>
              <w:pStyle w:val="TableParagraph"/>
              <w:spacing w:before="45"/>
              <w:ind w:left="44" w:right="18"/>
              <w:rPr>
                <w:b/>
                <w:sz w:val="16"/>
              </w:rPr>
            </w:pPr>
            <w:r>
              <w:rPr>
                <w:b/>
                <w:sz w:val="16"/>
              </w:rPr>
              <w:t>Nsakala</w:t>
            </w:r>
          </w:p>
          <w:p>
            <w:pPr>
              <w:pStyle w:val="TableParagraph"/>
              <w:spacing w:line="181" w:lineRule="exact" w:before="8"/>
              <w:ind w:left="44" w:right="17"/>
              <w:rPr>
                <w:b/>
                <w:i/>
                <w:sz w:val="16"/>
              </w:rPr>
            </w:pPr>
            <w:r>
              <w:rPr>
                <w:b/>
                <w:i/>
                <w:sz w:val="16"/>
              </w:rPr>
              <w:t>et al.</w:t>
            </w:r>
          </w:p>
        </w:tc>
        <w:tc>
          <w:tcPr>
            <w:tcW w:w="1343" w:type="dxa"/>
            <w:shd w:val="clear" w:color="auto" w:fill="E0EEE0"/>
          </w:tcPr>
          <w:p>
            <w:pPr>
              <w:pStyle w:val="TableParagraph"/>
              <w:spacing w:before="45"/>
              <w:ind w:left="203" w:right="178"/>
              <w:rPr>
                <w:b/>
                <w:sz w:val="16"/>
              </w:rPr>
            </w:pPr>
            <w:r>
              <w:rPr>
                <w:b/>
                <w:sz w:val="16"/>
              </w:rPr>
              <w:t>Nsakala</w:t>
            </w:r>
          </w:p>
          <w:p>
            <w:pPr>
              <w:pStyle w:val="TableParagraph"/>
              <w:spacing w:line="181" w:lineRule="exact" w:before="8"/>
              <w:ind w:left="203" w:right="178"/>
              <w:rPr>
                <w:b/>
                <w:i/>
                <w:sz w:val="16"/>
              </w:rPr>
            </w:pPr>
            <w:r>
              <w:rPr>
                <w:b/>
                <w:i/>
                <w:sz w:val="16"/>
              </w:rPr>
              <w:t>et al.</w:t>
            </w:r>
          </w:p>
        </w:tc>
        <w:tc>
          <w:tcPr>
            <w:tcW w:w="1273" w:type="dxa"/>
            <w:tcBorders>
              <w:right w:val="double" w:sz="1" w:space="0" w:color="000000"/>
            </w:tcBorders>
            <w:shd w:val="clear" w:color="auto" w:fill="E0EEE0"/>
          </w:tcPr>
          <w:p>
            <w:pPr>
              <w:pStyle w:val="TableParagraph"/>
              <w:spacing w:before="45"/>
              <w:ind w:left="152" w:right="149"/>
              <w:rPr>
                <w:b/>
                <w:sz w:val="16"/>
              </w:rPr>
            </w:pPr>
            <w:r>
              <w:rPr>
                <w:b/>
                <w:sz w:val="16"/>
              </w:rPr>
              <w:t>Nsakala</w:t>
            </w:r>
          </w:p>
          <w:p>
            <w:pPr>
              <w:pStyle w:val="TableParagraph"/>
              <w:spacing w:line="181" w:lineRule="exact" w:before="8"/>
              <w:ind w:left="152" w:right="148"/>
              <w:rPr>
                <w:b/>
                <w:i/>
                <w:sz w:val="16"/>
              </w:rPr>
            </w:pPr>
            <w:r>
              <w:rPr>
                <w:b/>
                <w:i/>
                <w:sz w:val="16"/>
              </w:rPr>
              <w:t>et al.</w:t>
            </w:r>
          </w:p>
        </w:tc>
        <w:tc>
          <w:tcPr>
            <w:tcW w:w="1116" w:type="dxa"/>
            <w:tcBorders>
              <w:left w:val="double" w:sz="1" w:space="0" w:color="000000"/>
            </w:tcBorders>
            <w:shd w:val="clear" w:color="auto" w:fill="E0EEE0"/>
          </w:tcPr>
          <w:p>
            <w:pPr>
              <w:pStyle w:val="TableParagraph"/>
              <w:spacing w:before="45"/>
              <w:ind w:left="277" w:right="235"/>
              <w:rPr>
                <w:b/>
                <w:sz w:val="16"/>
              </w:rPr>
            </w:pPr>
            <w:r>
              <w:rPr>
                <w:b/>
                <w:sz w:val="16"/>
              </w:rPr>
              <w:t>Gibbins</w:t>
            </w:r>
          </w:p>
          <w:p>
            <w:pPr>
              <w:pStyle w:val="TableParagraph"/>
              <w:spacing w:line="181" w:lineRule="exact" w:before="8"/>
              <w:ind w:left="277" w:right="235"/>
              <w:rPr>
                <w:b/>
                <w:i/>
                <w:sz w:val="16"/>
              </w:rPr>
            </w:pPr>
            <w:r>
              <w:rPr>
                <w:b/>
                <w:i/>
                <w:sz w:val="16"/>
              </w:rPr>
              <w:t>et al.</w:t>
            </w:r>
          </w:p>
        </w:tc>
        <w:tc>
          <w:tcPr>
            <w:tcW w:w="1650" w:type="dxa"/>
            <w:shd w:val="clear" w:color="auto" w:fill="E0EEE0"/>
          </w:tcPr>
          <w:p>
            <w:pPr>
              <w:pStyle w:val="TableParagraph"/>
              <w:spacing w:before="45"/>
              <w:ind w:left="538" w:right="518"/>
              <w:rPr>
                <w:b/>
                <w:sz w:val="16"/>
              </w:rPr>
            </w:pPr>
            <w:r>
              <w:rPr>
                <w:b/>
                <w:sz w:val="16"/>
              </w:rPr>
              <w:t>Gibbins</w:t>
            </w:r>
          </w:p>
          <w:p>
            <w:pPr>
              <w:pStyle w:val="TableParagraph"/>
              <w:spacing w:line="181" w:lineRule="exact" w:before="8"/>
              <w:ind w:left="538" w:right="518"/>
              <w:rPr>
                <w:b/>
                <w:i/>
                <w:sz w:val="16"/>
              </w:rPr>
            </w:pPr>
            <w:r>
              <w:rPr>
                <w:b/>
                <w:i/>
                <w:sz w:val="16"/>
              </w:rPr>
              <w:t>et al.</w:t>
            </w:r>
          </w:p>
        </w:tc>
      </w:tr>
      <w:tr>
        <w:trPr>
          <w:trHeight w:val="246" w:hRule="atLeast"/>
        </w:trPr>
        <w:tc>
          <w:tcPr>
            <w:tcW w:w="3292" w:type="dxa"/>
            <w:vMerge/>
            <w:tcBorders>
              <w:top w:val="nil"/>
            </w:tcBorders>
            <w:shd w:val="clear" w:color="auto" w:fill="E0EEE0"/>
          </w:tcPr>
          <w:p>
            <w:pPr>
              <w:rPr>
                <w:sz w:val="2"/>
                <w:szCs w:val="2"/>
              </w:rPr>
            </w:pPr>
          </w:p>
        </w:tc>
        <w:tc>
          <w:tcPr>
            <w:tcW w:w="919" w:type="dxa"/>
            <w:shd w:val="clear" w:color="auto" w:fill="E0EEE0"/>
          </w:tcPr>
          <w:p>
            <w:pPr>
              <w:pStyle w:val="TableParagraph"/>
              <w:spacing w:line="181" w:lineRule="exact" w:before="45"/>
              <w:ind w:left="114" w:right="82"/>
              <w:rPr>
                <w:b/>
                <w:sz w:val="16"/>
              </w:rPr>
            </w:pPr>
            <w:r>
              <w:rPr>
                <w:b/>
                <w:sz w:val="16"/>
              </w:rPr>
              <w:t>2001</w:t>
            </w:r>
          </w:p>
        </w:tc>
        <w:tc>
          <w:tcPr>
            <w:tcW w:w="1091" w:type="dxa"/>
            <w:shd w:val="clear" w:color="auto" w:fill="E0EEE0"/>
          </w:tcPr>
          <w:p>
            <w:pPr>
              <w:pStyle w:val="TableParagraph"/>
              <w:spacing w:line="181" w:lineRule="exact" w:before="45"/>
              <w:ind w:left="264" w:right="233"/>
              <w:rPr>
                <w:b/>
                <w:sz w:val="16"/>
              </w:rPr>
            </w:pPr>
            <w:r>
              <w:rPr>
                <w:b/>
                <w:sz w:val="16"/>
              </w:rPr>
              <w:t>2003</w:t>
            </w:r>
          </w:p>
        </w:tc>
        <w:tc>
          <w:tcPr>
            <w:tcW w:w="899" w:type="dxa"/>
            <w:shd w:val="clear" w:color="auto" w:fill="E0EEE0"/>
          </w:tcPr>
          <w:p>
            <w:pPr>
              <w:pStyle w:val="TableParagraph"/>
              <w:spacing w:line="181" w:lineRule="exact" w:before="45"/>
              <w:ind w:left="299"/>
              <w:jc w:val="left"/>
              <w:rPr>
                <w:b/>
                <w:sz w:val="16"/>
              </w:rPr>
            </w:pPr>
            <w:r>
              <w:rPr>
                <w:b/>
                <w:sz w:val="16"/>
              </w:rPr>
              <w:t>2005</w:t>
            </w:r>
          </w:p>
        </w:tc>
        <w:tc>
          <w:tcPr>
            <w:tcW w:w="951" w:type="dxa"/>
            <w:shd w:val="clear" w:color="auto" w:fill="E0EEE0"/>
          </w:tcPr>
          <w:p>
            <w:pPr>
              <w:pStyle w:val="TableParagraph"/>
              <w:spacing w:line="181" w:lineRule="exact" w:before="45"/>
              <w:ind w:left="186" w:right="158"/>
              <w:rPr>
                <w:b/>
                <w:sz w:val="16"/>
              </w:rPr>
            </w:pPr>
            <w:r>
              <w:rPr>
                <w:b/>
                <w:sz w:val="16"/>
              </w:rPr>
              <w:t>2005</w:t>
            </w:r>
          </w:p>
        </w:tc>
        <w:tc>
          <w:tcPr>
            <w:tcW w:w="1023" w:type="dxa"/>
            <w:shd w:val="clear" w:color="auto" w:fill="E0EEE0"/>
          </w:tcPr>
          <w:p>
            <w:pPr>
              <w:pStyle w:val="TableParagraph"/>
              <w:spacing w:line="181" w:lineRule="exact" w:before="45"/>
              <w:ind w:left="44" w:right="18"/>
              <w:rPr>
                <w:b/>
                <w:sz w:val="16"/>
              </w:rPr>
            </w:pPr>
            <w:r>
              <w:rPr>
                <w:b/>
                <w:sz w:val="16"/>
              </w:rPr>
              <w:t>2003</w:t>
            </w:r>
          </w:p>
        </w:tc>
        <w:tc>
          <w:tcPr>
            <w:tcW w:w="1343" w:type="dxa"/>
            <w:shd w:val="clear" w:color="auto" w:fill="E0EEE0"/>
          </w:tcPr>
          <w:p>
            <w:pPr>
              <w:pStyle w:val="TableParagraph"/>
              <w:spacing w:line="181" w:lineRule="exact" w:before="45"/>
              <w:ind w:left="203" w:right="178"/>
              <w:rPr>
                <w:b/>
                <w:sz w:val="16"/>
              </w:rPr>
            </w:pPr>
            <w:r>
              <w:rPr>
                <w:b/>
                <w:sz w:val="16"/>
              </w:rPr>
              <w:t>2003</w:t>
            </w:r>
          </w:p>
        </w:tc>
        <w:tc>
          <w:tcPr>
            <w:tcW w:w="1273" w:type="dxa"/>
            <w:tcBorders>
              <w:right w:val="double" w:sz="1" w:space="0" w:color="000000"/>
            </w:tcBorders>
            <w:shd w:val="clear" w:color="auto" w:fill="E0EEE0"/>
          </w:tcPr>
          <w:p>
            <w:pPr>
              <w:pStyle w:val="TableParagraph"/>
              <w:spacing w:line="181" w:lineRule="exact" w:before="45"/>
              <w:ind w:left="152" w:right="148"/>
              <w:rPr>
                <w:b/>
                <w:sz w:val="16"/>
              </w:rPr>
            </w:pPr>
            <w:r>
              <w:rPr>
                <w:b/>
                <w:sz w:val="16"/>
              </w:rPr>
              <w:t>2003</w:t>
            </w:r>
          </w:p>
        </w:tc>
        <w:tc>
          <w:tcPr>
            <w:tcW w:w="1116" w:type="dxa"/>
            <w:tcBorders>
              <w:left w:val="double" w:sz="1" w:space="0" w:color="000000"/>
            </w:tcBorders>
            <w:shd w:val="clear" w:color="auto" w:fill="E0EEE0"/>
          </w:tcPr>
          <w:p>
            <w:pPr>
              <w:pStyle w:val="TableParagraph"/>
              <w:spacing w:line="181" w:lineRule="exact" w:before="45"/>
              <w:ind w:left="277" w:right="235"/>
              <w:rPr>
                <w:b/>
                <w:sz w:val="16"/>
              </w:rPr>
            </w:pPr>
            <w:r>
              <w:rPr>
                <w:b/>
                <w:sz w:val="16"/>
              </w:rPr>
              <w:t>2005</w:t>
            </w:r>
          </w:p>
        </w:tc>
        <w:tc>
          <w:tcPr>
            <w:tcW w:w="1650" w:type="dxa"/>
            <w:shd w:val="clear" w:color="auto" w:fill="E0EEE0"/>
          </w:tcPr>
          <w:p>
            <w:pPr>
              <w:pStyle w:val="TableParagraph"/>
              <w:spacing w:line="181" w:lineRule="exact" w:before="45"/>
              <w:ind w:left="537" w:right="518"/>
              <w:rPr>
                <w:b/>
                <w:sz w:val="16"/>
              </w:rPr>
            </w:pPr>
            <w:r>
              <w:rPr>
                <w:b/>
                <w:sz w:val="16"/>
              </w:rPr>
              <w:t>2005</w:t>
            </w:r>
          </w:p>
        </w:tc>
      </w:tr>
      <w:tr>
        <w:trPr>
          <w:trHeight w:val="246" w:hRule="atLeast"/>
        </w:trPr>
        <w:tc>
          <w:tcPr>
            <w:tcW w:w="3292" w:type="dxa"/>
            <w:shd w:val="clear" w:color="auto" w:fill="F9FCF9"/>
          </w:tcPr>
          <w:p>
            <w:pPr>
              <w:pStyle w:val="TableParagraph"/>
              <w:spacing w:line="181" w:lineRule="exact" w:before="45"/>
              <w:ind w:left="214"/>
              <w:jc w:val="left"/>
              <w:rPr>
                <w:b/>
                <w:i/>
                <w:sz w:val="16"/>
              </w:rPr>
            </w:pPr>
            <w:r>
              <w:rPr>
                <w:b/>
                <w:i/>
                <w:sz w:val="16"/>
              </w:rPr>
              <w:t>Reference Plant (without capture)</w:t>
            </w:r>
          </w:p>
        </w:tc>
        <w:tc>
          <w:tcPr>
            <w:tcW w:w="919" w:type="dxa"/>
            <w:shd w:val="clear" w:color="auto" w:fill="F9FCF9"/>
          </w:tcPr>
          <w:p>
            <w:pPr>
              <w:pStyle w:val="TableParagraph"/>
              <w:spacing w:line="181" w:lineRule="exact" w:before="45"/>
              <w:ind w:left="32"/>
              <w:rPr>
                <w:sz w:val="16"/>
              </w:rPr>
            </w:pPr>
            <w:r>
              <w:rPr>
                <w:sz w:val="16"/>
              </w:rPr>
              <w:t>*</w:t>
            </w:r>
          </w:p>
        </w:tc>
        <w:tc>
          <w:tcPr>
            <w:tcW w:w="1091" w:type="dxa"/>
            <w:shd w:val="clear" w:color="auto" w:fill="F9FCF9"/>
          </w:tcPr>
          <w:p>
            <w:pPr>
              <w:pStyle w:val="TableParagraph"/>
              <w:jc w:val="left"/>
              <w:rPr>
                <w:sz w:val="14"/>
              </w:rPr>
            </w:pPr>
          </w:p>
        </w:tc>
        <w:tc>
          <w:tcPr>
            <w:tcW w:w="899" w:type="dxa"/>
            <w:shd w:val="clear" w:color="auto" w:fill="F9FCF9"/>
          </w:tcPr>
          <w:p>
            <w:pPr>
              <w:pStyle w:val="TableParagraph"/>
              <w:jc w:val="left"/>
              <w:rPr>
                <w:sz w:val="14"/>
              </w:rPr>
            </w:pPr>
          </w:p>
        </w:tc>
        <w:tc>
          <w:tcPr>
            <w:tcW w:w="951" w:type="dxa"/>
            <w:shd w:val="clear" w:color="auto" w:fill="F9FCF9"/>
          </w:tcPr>
          <w:p>
            <w:pPr>
              <w:pStyle w:val="TableParagraph"/>
              <w:jc w:val="left"/>
              <w:rPr>
                <w:sz w:val="14"/>
              </w:rPr>
            </w:pPr>
          </w:p>
        </w:tc>
        <w:tc>
          <w:tcPr>
            <w:tcW w:w="1023" w:type="dxa"/>
            <w:shd w:val="clear" w:color="auto" w:fill="F9FCF9"/>
          </w:tcPr>
          <w:p>
            <w:pPr>
              <w:pStyle w:val="TableParagraph"/>
              <w:spacing w:line="181" w:lineRule="exact" w:before="45"/>
              <w:ind w:left="26"/>
              <w:rPr>
                <w:sz w:val="16"/>
              </w:rPr>
            </w:pPr>
            <w:r>
              <w:rPr>
                <w:sz w:val="16"/>
              </w:rPr>
              <w:t>*</w:t>
            </w:r>
          </w:p>
        </w:tc>
        <w:tc>
          <w:tcPr>
            <w:tcW w:w="1343" w:type="dxa"/>
            <w:shd w:val="clear" w:color="auto" w:fill="F9FCF9"/>
          </w:tcPr>
          <w:p>
            <w:pPr>
              <w:pStyle w:val="TableParagraph"/>
              <w:spacing w:line="181" w:lineRule="exact" w:before="45"/>
              <w:ind w:left="25"/>
              <w:rPr>
                <w:sz w:val="16"/>
              </w:rPr>
            </w:pPr>
            <w:r>
              <w:rPr>
                <w:sz w:val="16"/>
              </w:rPr>
              <w:t>*</w:t>
            </w:r>
          </w:p>
        </w:tc>
        <w:tc>
          <w:tcPr>
            <w:tcW w:w="1273" w:type="dxa"/>
            <w:tcBorders>
              <w:right w:val="double" w:sz="1" w:space="0" w:color="000000"/>
            </w:tcBorders>
            <w:shd w:val="clear" w:color="auto" w:fill="F9FCF9"/>
          </w:tcPr>
          <w:p>
            <w:pPr>
              <w:pStyle w:val="TableParagraph"/>
              <w:spacing w:line="181" w:lineRule="exact" w:before="45"/>
              <w:ind w:left="4"/>
              <w:rPr>
                <w:sz w:val="16"/>
              </w:rPr>
            </w:pPr>
            <w:r>
              <w:rPr>
                <w:sz w:val="16"/>
              </w:rPr>
              <w:t>*</w:t>
            </w:r>
          </w:p>
        </w:tc>
        <w:tc>
          <w:tcPr>
            <w:tcW w:w="1116" w:type="dxa"/>
            <w:tcBorders>
              <w:left w:val="double" w:sz="1" w:space="0" w:color="000000"/>
            </w:tcBorders>
            <w:shd w:val="clear" w:color="auto" w:fill="F9FCF9"/>
          </w:tcPr>
          <w:p>
            <w:pPr>
              <w:pStyle w:val="TableParagraph"/>
              <w:jc w:val="left"/>
              <w:rPr>
                <w:sz w:val="14"/>
              </w:rPr>
            </w:pPr>
          </w:p>
        </w:tc>
        <w:tc>
          <w:tcPr>
            <w:tcW w:w="1650" w:type="dxa"/>
            <w:shd w:val="clear" w:color="auto" w:fill="F9FCF9"/>
          </w:tcPr>
          <w:p>
            <w:pPr>
              <w:pStyle w:val="TableParagraph"/>
              <w:jc w:val="left"/>
              <w:rPr>
                <w:sz w:val="14"/>
              </w:rPr>
            </w:pPr>
          </w:p>
        </w:tc>
      </w:tr>
      <w:tr>
        <w:trPr>
          <w:trHeight w:val="630" w:hRule="atLeast"/>
        </w:trPr>
        <w:tc>
          <w:tcPr>
            <w:tcW w:w="3292" w:type="dxa"/>
            <w:shd w:val="clear" w:color="auto" w:fill="F9FCF9"/>
          </w:tcPr>
          <w:p>
            <w:pPr>
              <w:pStyle w:val="TableParagraph"/>
              <w:spacing w:before="45"/>
              <w:ind w:left="54"/>
              <w:jc w:val="left"/>
              <w:rPr>
                <w:sz w:val="16"/>
              </w:rPr>
            </w:pPr>
            <w:r>
              <w:rPr>
                <w:sz w:val="16"/>
              </w:rPr>
              <w:t>Power plant type</w:t>
            </w:r>
          </w:p>
        </w:tc>
        <w:tc>
          <w:tcPr>
            <w:tcW w:w="919" w:type="dxa"/>
            <w:shd w:val="clear" w:color="auto" w:fill="F9FCF9"/>
          </w:tcPr>
          <w:p>
            <w:pPr>
              <w:pStyle w:val="TableParagraph"/>
              <w:spacing w:before="45"/>
              <w:ind w:left="89"/>
              <w:jc w:val="left"/>
              <w:rPr>
                <w:sz w:val="16"/>
              </w:rPr>
            </w:pPr>
            <w:r>
              <w:rPr>
                <w:sz w:val="16"/>
              </w:rPr>
              <w:t>RETROFIT</w:t>
            </w:r>
          </w:p>
          <w:p>
            <w:pPr>
              <w:pStyle w:val="TableParagraph"/>
              <w:spacing w:before="8"/>
              <w:ind w:left="135"/>
              <w:jc w:val="left"/>
              <w:rPr>
                <w:sz w:val="16"/>
              </w:rPr>
            </w:pPr>
            <w:r>
              <w:rPr>
                <w:sz w:val="16"/>
              </w:rPr>
              <w:t>subcrit</w:t>
            </w:r>
            <w:r>
              <w:rPr>
                <w:spacing w:val="-9"/>
                <w:sz w:val="16"/>
              </w:rPr>
              <w:t> </w:t>
            </w:r>
            <w:r>
              <w:rPr>
                <w:sz w:val="16"/>
              </w:rPr>
              <w:t>PC</w:t>
            </w:r>
          </w:p>
        </w:tc>
        <w:tc>
          <w:tcPr>
            <w:tcW w:w="1091" w:type="dxa"/>
            <w:shd w:val="clear" w:color="auto" w:fill="F9FCF9"/>
          </w:tcPr>
          <w:p>
            <w:pPr>
              <w:pStyle w:val="TableParagraph"/>
              <w:spacing w:before="45"/>
              <w:ind w:left="175"/>
              <w:jc w:val="left"/>
              <w:rPr>
                <w:sz w:val="16"/>
              </w:rPr>
            </w:pPr>
            <w:r>
              <w:rPr>
                <w:sz w:val="16"/>
              </w:rPr>
              <w:t>RETROFIT</w:t>
            </w:r>
          </w:p>
          <w:p>
            <w:pPr>
              <w:pStyle w:val="TableParagraph"/>
              <w:spacing w:line="190" w:lineRule="atLeast" w:before="2"/>
              <w:ind w:left="333" w:right="208" w:hanging="77"/>
              <w:jc w:val="left"/>
              <w:rPr>
                <w:sz w:val="16"/>
              </w:rPr>
            </w:pPr>
            <w:r>
              <w:rPr>
                <w:sz w:val="16"/>
              </w:rPr>
              <w:t>PC + aux NGCC</w:t>
            </w:r>
          </w:p>
        </w:tc>
        <w:tc>
          <w:tcPr>
            <w:tcW w:w="899" w:type="dxa"/>
            <w:shd w:val="clear" w:color="auto" w:fill="F9FCF9"/>
          </w:tcPr>
          <w:p>
            <w:pPr>
              <w:pStyle w:val="TableParagraph"/>
              <w:spacing w:line="249" w:lineRule="auto" w:before="45"/>
              <w:ind w:left="361" w:right="26" w:hanging="283"/>
              <w:jc w:val="left"/>
              <w:rPr>
                <w:sz w:val="16"/>
              </w:rPr>
            </w:pPr>
            <w:r>
              <w:rPr>
                <w:sz w:val="16"/>
              </w:rPr>
              <w:t>RETROFIT PC</w:t>
            </w:r>
          </w:p>
        </w:tc>
        <w:tc>
          <w:tcPr>
            <w:tcW w:w="951" w:type="dxa"/>
            <w:shd w:val="clear" w:color="auto" w:fill="F9FCF9"/>
          </w:tcPr>
          <w:p>
            <w:pPr>
              <w:pStyle w:val="TableParagraph"/>
              <w:spacing w:before="45"/>
              <w:ind w:left="186" w:right="158"/>
              <w:rPr>
                <w:sz w:val="16"/>
              </w:rPr>
            </w:pPr>
            <w:r>
              <w:rPr>
                <w:sz w:val="16"/>
              </w:rPr>
              <w:t>New PC</w:t>
            </w:r>
          </w:p>
        </w:tc>
        <w:tc>
          <w:tcPr>
            <w:tcW w:w="1023" w:type="dxa"/>
            <w:shd w:val="clear" w:color="auto" w:fill="F9FCF9"/>
          </w:tcPr>
          <w:p>
            <w:pPr>
              <w:pStyle w:val="TableParagraph"/>
              <w:spacing w:before="45"/>
              <w:ind w:left="44" w:right="18"/>
              <w:rPr>
                <w:sz w:val="16"/>
              </w:rPr>
            </w:pPr>
            <w:r>
              <w:rPr>
                <w:sz w:val="16"/>
              </w:rPr>
              <w:t>Air-fired CFB</w:t>
            </w:r>
          </w:p>
        </w:tc>
        <w:tc>
          <w:tcPr>
            <w:tcW w:w="1343" w:type="dxa"/>
            <w:shd w:val="clear" w:color="auto" w:fill="F9FCF9"/>
          </w:tcPr>
          <w:p>
            <w:pPr>
              <w:pStyle w:val="TableParagraph"/>
              <w:spacing w:before="45"/>
              <w:ind w:left="203" w:right="178"/>
              <w:rPr>
                <w:sz w:val="16"/>
              </w:rPr>
            </w:pPr>
            <w:r>
              <w:rPr>
                <w:sz w:val="16"/>
              </w:rPr>
              <w:t>Air-fired CFB</w:t>
            </w:r>
          </w:p>
        </w:tc>
        <w:tc>
          <w:tcPr>
            <w:tcW w:w="1273" w:type="dxa"/>
            <w:tcBorders>
              <w:right w:val="double" w:sz="1" w:space="0" w:color="000000"/>
            </w:tcBorders>
            <w:shd w:val="clear" w:color="auto" w:fill="F9FCF9"/>
          </w:tcPr>
          <w:p>
            <w:pPr>
              <w:pStyle w:val="TableParagraph"/>
              <w:spacing w:before="45"/>
              <w:ind w:left="152" w:right="149"/>
              <w:rPr>
                <w:sz w:val="16"/>
              </w:rPr>
            </w:pPr>
            <w:r>
              <w:rPr>
                <w:sz w:val="16"/>
              </w:rPr>
              <w:t>Air-fired CFB</w:t>
            </w:r>
          </w:p>
        </w:tc>
        <w:tc>
          <w:tcPr>
            <w:tcW w:w="1116" w:type="dxa"/>
            <w:tcBorders>
              <w:left w:val="double" w:sz="1" w:space="0" w:color="000000"/>
            </w:tcBorders>
            <w:shd w:val="clear" w:color="auto" w:fill="F9FCF9"/>
          </w:tcPr>
          <w:p>
            <w:pPr>
              <w:pStyle w:val="TableParagraph"/>
              <w:spacing w:line="249" w:lineRule="auto" w:before="45"/>
              <w:ind w:left="171" w:right="57" w:hanging="54"/>
              <w:jc w:val="left"/>
              <w:rPr>
                <w:sz w:val="16"/>
              </w:rPr>
            </w:pPr>
            <w:r>
              <w:rPr>
                <w:sz w:val="16"/>
              </w:rPr>
              <w:t>Double reheat supercrit PC</w:t>
            </w:r>
          </w:p>
        </w:tc>
        <w:tc>
          <w:tcPr>
            <w:tcW w:w="1650" w:type="dxa"/>
            <w:shd w:val="clear" w:color="auto" w:fill="F9FCF9"/>
          </w:tcPr>
          <w:p>
            <w:pPr>
              <w:pStyle w:val="TableParagraph"/>
              <w:spacing w:line="249" w:lineRule="auto" w:before="45"/>
              <w:ind w:left="732" w:right="39" w:hanging="653"/>
              <w:jc w:val="left"/>
              <w:rPr>
                <w:sz w:val="16"/>
              </w:rPr>
            </w:pPr>
            <w:r>
              <w:rPr>
                <w:sz w:val="16"/>
              </w:rPr>
              <w:t>Double reheat supercrit PC</w:t>
            </w: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Fuel type (bit, sub-bit, lig; NG, other) and %S</w:t>
            </w:r>
          </w:p>
        </w:tc>
        <w:tc>
          <w:tcPr>
            <w:tcW w:w="919" w:type="dxa"/>
            <w:shd w:val="clear" w:color="auto" w:fill="F9FCF9"/>
          </w:tcPr>
          <w:p>
            <w:pPr>
              <w:pStyle w:val="TableParagraph"/>
              <w:spacing w:line="181" w:lineRule="exact" w:before="45"/>
              <w:ind w:left="114" w:right="82"/>
              <w:rPr>
                <w:sz w:val="16"/>
              </w:rPr>
            </w:pPr>
            <w:r>
              <w:rPr>
                <w:sz w:val="16"/>
              </w:rPr>
              <w:t>bit, 2.7%S</w:t>
            </w:r>
          </w:p>
        </w:tc>
        <w:tc>
          <w:tcPr>
            <w:tcW w:w="1091" w:type="dxa"/>
            <w:shd w:val="clear" w:color="auto" w:fill="F9FCF9"/>
          </w:tcPr>
          <w:p>
            <w:pPr>
              <w:pStyle w:val="TableParagraph"/>
              <w:spacing w:line="181" w:lineRule="exact" w:before="45"/>
              <w:ind w:left="264" w:right="233"/>
              <w:rPr>
                <w:sz w:val="16"/>
              </w:rPr>
            </w:pPr>
            <w:r>
              <w:rPr>
                <w:sz w:val="16"/>
              </w:rPr>
              <w:t>sub-bit</w:t>
            </w:r>
          </w:p>
        </w:tc>
        <w:tc>
          <w:tcPr>
            <w:tcW w:w="899" w:type="dxa"/>
            <w:shd w:val="clear" w:color="auto" w:fill="F9FCF9"/>
          </w:tcPr>
          <w:p>
            <w:pPr>
              <w:pStyle w:val="TableParagraph"/>
              <w:spacing w:line="181" w:lineRule="exact" w:before="45"/>
              <w:ind w:right="223"/>
              <w:jc w:val="right"/>
              <w:rPr>
                <w:sz w:val="16"/>
              </w:rPr>
            </w:pPr>
            <w:r>
              <w:rPr>
                <w:sz w:val="16"/>
              </w:rPr>
              <w:t>lignite</w:t>
            </w:r>
          </w:p>
        </w:tc>
        <w:tc>
          <w:tcPr>
            <w:tcW w:w="951" w:type="dxa"/>
            <w:shd w:val="clear" w:color="auto" w:fill="F9FCF9"/>
          </w:tcPr>
          <w:p>
            <w:pPr>
              <w:pStyle w:val="TableParagraph"/>
              <w:spacing w:line="181" w:lineRule="exact" w:before="45"/>
              <w:ind w:left="186" w:right="158"/>
              <w:rPr>
                <w:sz w:val="16"/>
              </w:rPr>
            </w:pPr>
            <w:r>
              <w:rPr>
                <w:sz w:val="16"/>
              </w:rPr>
              <w:t>bit</w:t>
            </w:r>
          </w:p>
        </w:tc>
        <w:tc>
          <w:tcPr>
            <w:tcW w:w="1023" w:type="dxa"/>
            <w:shd w:val="clear" w:color="auto" w:fill="F9FCF9"/>
          </w:tcPr>
          <w:p>
            <w:pPr>
              <w:pStyle w:val="TableParagraph"/>
              <w:spacing w:line="181" w:lineRule="exact" w:before="45"/>
              <w:ind w:left="44" w:right="18"/>
              <w:rPr>
                <w:sz w:val="16"/>
              </w:rPr>
            </w:pPr>
            <w:r>
              <w:rPr>
                <w:sz w:val="16"/>
              </w:rPr>
              <w:t>bit, 2.3%S</w:t>
            </w:r>
          </w:p>
        </w:tc>
        <w:tc>
          <w:tcPr>
            <w:tcW w:w="1343" w:type="dxa"/>
            <w:shd w:val="clear" w:color="auto" w:fill="F9FCF9"/>
          </w:tcPr>
          <w:p>
            <w:pPr>
              <w:pStyle w:val="TableParagraph"/>
              <w:spacing w:line="181" w:lineRule="exact" w:before="45"/>
              <w:ind w:left="203" w:right="178"/>
              <w:rPr>
                <w:sz w:val="16"/>
              </w:rPr>
            </w:pPr>
            <w:r>
              <w:rPr>
                <w:sz w:val="16"/>
              </w:rPr>
              <w:t>bit, 2.3%S</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bit, 2.3%S</w:t>
            </w:r>
          </w:p>
        </w:tc>
        <w:tc>
          <w:tcPr>
            <w:tcW w:w="1116" w:type="dxa"/>
            <w:tcBorders>
              <w:left w:val="double" w:sz="1" w:space="0" w:color="000000"/>
            </w:tcBorders>
            <w:shd w:val="clear" w:color="auto" w:fill="F9FCF9"/>
          </w:tcPr>
          <w:p>
            <w:pPr>
              <w:pStyle w:val="TableParagraph"/>
              <w:jc w:val="left"/>
              <w:rPr>
                <w:sz w:val="14"/>
              </w:rPr>
            </w:pPr>
          </w:p>
        </w:tc>
        <w:tc>
          <w:tcPr>
            <w:tcW w:w="1650" w:type="dxa"/>
            <w:shd w:val="clear" w:color="auto" w:fill="F9FCF9"/>
          </w:tcPr>
          <w:p>
            <w:pPr>
              <w:pStyle w:val="TableParagraph"/>
              <w:jc w:val="left"/>
              <w:rPr>
                <w:sz w:val="14"/>
              </w:rPr>
            </w:pP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Reference plant net size (MW)</w:t>
            </w:r>
          </w:p>
        </w:tc>
        <w:tc>
          <w:tcPr>
            <w:tcW w:w="919" w:type="dxa"/>
            <w:shd w:val="clear" w:color="auto" w:fill="F9FCF9"/>
          </w:tcPr>
          <w:p>
            <w:pPr>
              <w:pStyle w:val="TableParagraph"/>
              <w:spacing w:line="181" w:lineRule="exact" w:before="45"/>
              <w:ind w:left="114" w:right="82"/>
              <w:rPr>
                <w:sz w:val="16"/>
              </w:rPr>
            </w:pPr>
            <w:r>
              <w:rPr>
                <w:sz w:val="16"/>
              </w:rPr>
              <w:t>434</w:t>
            </w:r>
          </w:p>
        </w:tc>
        <w:tc>
          <w:tcPr>
            <w:tcW w:w="1091" w:type="dxa"/>
            <w:shd w:val="clear" w:color="auto" w:fill="F9FCF9"/>
          </w:tcPr>
          <w:p>
            <w:pPr>
              <w:pStyle w:val="TableParagraph"/>
              <w:spacing w:line="181" w:lineRule="exact" w:before="45"/>
              <w:ind w:left="264" w:right="233"/>
              <w:rPr>
                <w:sz w:val="16"/>
              </w:rPr>
            </w:pPr>
            <w:r>
              <w:rPr>
                <w:sz w:val="16"/>
              </w:rPr>
              <w:t>400</w:t>
            </w:r>
          </w:p>
        </w:tc>
        <w:tc>
          <w:tcPr>
            <w:tcW w:w="899" w:type="dxa"/>
            <w:shd w:val="clear" w:color="auto" w:fill="F9FCF9"/>
          </w:tcPr>
          <w:p>
            <w:pPr>
              <w:pStyle w:val="TableParagraph"/>
              <w:spacing w:line="181" w:lineRule="exact" w:before="45"/>
              <w:ind w:left="319" w:right="290"/>
              <w:rPr>
                <w:sz w:val="16"/>
              </w:rPr>
            </w:pPr>
            <w:r>
              <w:rPr>
                <w:sz w:val="16"/>
              </w:rPr>
              <w:t>300</w:t>
            </w:r>
          </w:p>
        </w:tc>
        <w:tc>
          <w:tcPr>
            <w:tcW w:w="951" w:type="dxa"/>
            <w:shd w:val="clear" w:color="auto" w:fill="F9FCF9"/>
          </w:tcPr>
          <w:p>
            <w:pPr>
              <w:pStyle w:val="TableParagraph"/>
              <w:spacing w:line="181" w:lineRule="exact" w:before="45"/>
              <w:ind w:left="186" w:right="158"/>
              <w:rPr>
                <w:sz w:val="16"/>
              </w:rPr>
            </w:pPr>
            <w:r>
              <w:rPr>
                <w:sz w:val="16"/>
              </w:rPr>
              <w:t>677</w:t>
            </w:r>
          </w:p>
        </w:tc>
        <w:tc>
          <w:tcPr>
            <w:tcW w:w="1023" w:type="dxa"/>
            <w:shd w:val="clear" w:color="auto" w:fill="F9FCF9"/>
          </w:tcPr>
          <w:p>
            <w:pPr>
              <w:pStyle w:val="TableParagraph"/>
              <w:spacing w:line="181" w:lineRule="exact" w:before="45"/>
              <w:ind w:left="44" w:right="18"/>
              <w:rPr>
                <w:sz w:val="16"/>
              </w:rPr>
            </w:pPr>
            <w:r>
              <w:rPr>
                <w:sz w:val="16"/>
              </w:rPr>
              <w:t>193</w:t>
            </w:r>
          </w:p>
        </w:tc>
        <w:tc>
          <w:tcPr>
            <w:tcW w:w="1343" w:type="dxa"/>
            <w:shd w:val="clear" w:color="auto" w:fill="F9FCF9"/>
          </w:tcPr>
          <w:p>
            <w:pPr>
              <w:pStyle w:val="TableParagraph"/>
              <w:spacing w:line="181" w:lineRule="exact" w:before="45"/>
              <w:ind w:left="203" w:right="178"/>
              <w:rPr>
                <w:sz w:val="16"/>
              </w:rPr>
            </w:pPr>
            <w:r>
              <w:rPr>
                <w:sz w:val="16"/>
              </w:rPr>
              <w:t>193</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193</w:t>
            </w:r>
          </w:p>
        </w:tc>
        <w:tc>
          <w:tcPr>
            <w:tcW w:w="1116" w:type="dxa"/>
            <w:tcBorders>
              <w:left w:val="double" w:sz="1" w:space="0" w:color="000000"/>
            </w:tcBorders>
            <w:shd w:val="clear" w:color="auto" w:fill="F9FCF9"/>
          </w:tcPr>
          <w:p>
            <w:pPr>
              <w:pStyle w:val="TableParagraph"/>
              <w:jc w:val="left"/>
              <w:rPr>
                <w:sz w:val="14"/>
              </w:rPr>
            </w:pPr>
          </w:p>
        </w:tc>
        <w:tc>
          <w:tcPr>
            <w:tcW w:w="1650" w:type="dxa"/>
            <w:shd w:val="clear" w:color="auto" w:fill="F9FCF9"/>
          </w:tcPr>
          <w:p>
            <w:pPr>
              <w:pStyle w:val="TableParagraph"/>
              <w:jc w:val="left"/>
              <w:rPr>
                <w:sz w:val="14"/>
              </w:rPr>
            </w:pP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Plant capacity factor (%)</w:t>
            </w:r>
          </w:p>
        </w:tc>
        <w:tc>
          <w:tcPr>
            <w:tcW w:w="919" w:type="dxa"/>
            <w:shd w:val="clear" w:color="auto" w:fill="F9FCF9"/>
          </w:tcPr>
          <w:p>
            <w:pPr>
              <w:pStyle w:val="TableParagraph"/>
              <w:spacing w:line="181" w:lineRule="exact" w:before="45"/>
              <w:ind w:left="114" w:right="82"/>
              <w:rPr>
                <w:sz w:val="16"/>
              </w:rPr>
            </w:pPr>
            <w:r>
              <w:rPr>
                <w:sz w:val="16"/>
              </w:rPr>
              <w:t>67</w:t>
            </w:r>
          </w:p>
        </w:tc>
        <w:tc>
          <w:tcPr>
            <w:tcW w:w="1091" w:type="dxa"/>
            <w:shd w:val="clear" w:color="auto" w:fill="F9FCF9"/>
          </w:tcPr>
          <w:p>
            <w:pPr>
              <w:pStyle w:val="TableParagraph"/>
              <w:spacing w:line="181" w:lineRule="exact" w:before="45"/>
              <w:ind w:left="264" w:right="233"/>
              <w:rPr>
                <w:sz w:val="16"/>
              </w:rPr>
            </w:pPr>
            <w:r>
              <w:rPr>
                <w:sz w:val="16"/>
              </w:rPr>
              <w:t>91</w:t>
            </w:r>
          </w:p>
        </w:tc>
        <w:tc>
          <w:tcPr>
            <w:tcW w:w="899" w:type="dxa"/>
            <w:shd w:val="clear" w:color="auto" w:fill="F9FCF9"/>
          </w:tcPr>
          <w:p>
            <w:pPr>
              <w:pStyle w:val="TableParagraph"/>
              <w:jc w:val="left"/>
              <w:rPr>
                <w:sz w:val="14"/>
              </w:rPr>
            </w:pPr>
          </w:p>
        </w:tc>
        <w:tc>
          <w:tcPr>
            <w:tcW w:w="951" w:type="dxa"/>
            <w:shd w:val="clear" w:color="auto" w:fill="F9FCF9"/>
          </w:tcPr>
          <w:p>
            <w:pPr>
              <w:pStyle w:val="TableParagraph"/>
              <w:spacing w:line="181" w:lineRule="exact" w:before="45"/>
              <w:ind w:left="186" w:right="158"/>
              <w:rPr>
                <w:sz w:val="16"/>
              </w:rPr>
            </w:pPr>
            <w:r>
              <w:rPr>
                <w:sz w:val="16"/>
              </w:rPr>
              <w:t>85</w:t>
            </w:r>
          </w:p>
        </w:tc>
        <w:tc>
          <w:tcPr>
            <w:tcW w:w="1023" w:type="dxa"/>
            <w:shd w:val="clear" w:color="auto" w:fill="F9FCF9"/>
          </w:tcPr>
          <w:p>
            <w:pPr>
              <w:pStyle w:val="TableParagraph"/>
              <w:spacing w:line="181" w:lineRule="exact" w:before="45"/>
              <w:ind w:left="44" w:right="18"/>
              <w:rPr>
                <w:sz w:val="16"/>
              </w:rPr>
            </w:pPr>
            <w:r>
              <w:rPr>
                <w:sz w:val="16"/>
              </w:rPr>
              <w:t>80</w:t>
            </w:r>
          </w:p>
        </w:tc>
        <w:tc>
          <w:tcPr>
            <w:tcW w:w="1343" w:type="dxa"/>
            <w:shd w:val="clear" w:color="auto" w:fill="F9FCF9"/>
          </w:tcPr>
          <w:p>
            <w:pPr>
              <w:pStyle w:val="TableParagraph"/>
              <w:spacing w:line="181" w:lineRule="exact" w:before="45"/>
              <w:ind w:left="203" w:right="178"/>
              <w:rPr>
                <w:sz w:val="16"/>
              </w:rPr>
            </w:pPr>
            <w:r>
              <w:rPr>
                <w:sz w:val="16"/>
              </w:rPr>
              <w:t>80</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80</w:t>
            </w:r>
          </w:p>
        </w:tc>
        <w:tc>
          <w:tcPr>
            <w:tcW w:w="1116" w:type="dxa"/>
            <w:tcBorders>
              <w:left w:val="double" w:sz="1" w:space="0" w:color="000000"/>
            </w:tcBorders>
            <w:shd w:val="clear" w:color="auto" w:fill="F9FCF9"/>
          </w:tcPr>
          <w:p>
            <w:pPr>
              <w:pStyle w:val="TableParagraph"/>
              <w:spacing w:line="181" w:lineRule="exact" w:before="45"/>
              <w:ind w:left="277" w:right="235"/>
              <w:rPr>
                <w:sz w:val="16"/>
              </w:rPr>
            </w:pPr>
            <w:r>
              <w:rPr>
                <w:sz w:val="16"/>
              </w:rPr>
              <w:t>85</w:t>
            </w:r>
          </w:p>
        </w:tc>
        <w:tc>
          <w:tcPr>
            <w:tcW w:w="1650" w:type="dxa"/>
            <w:shd w:val="clear" w:color="auto" w:fill="F9FCF9"/>
          </w:tcPr>
          <w:p>
            <w:pPr>
              <w:pStyle w:val="TableParagraph"/>
              <w:spacing w:line="181" w:lineRule="exact" w:before="45"/>
              <w:ind w:left="537" w:right="518"/>
              <w:rPr>
                <w:sz w:val="16"/>
              </w:rPr>
            </w:pPr>
            <w:r>
              <w:rPr>
                <w:sz w:val="16"/>
              </w:rPr>
              <w:t>85</w:t>
            </w: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Net plant efficiency, LHV (%)</w:t>
            </w:r>
          </w:p>
        </w:tc>
        <w:tc>
          <w:tcPr>
            <w:tcW w:w="919" w:type="dxa"/>
            <w:shd w:val="clear" w:color="auto" w:fill="F9FCF9"/>
          </w:tcPr>
          <w:p>
            <w:pPr>
              <w:pStyle w:val="TableParagraph"/>
              <w:jc w:val="left"/>
              <w:rPr>
                <w:sz w:val="14"/>
              </w:rPr>
            </w:pPr>
          </w:p>
        </w:tc>
        <w:tc>
          <w:tcPr>
            <w:tcW w:w="1091" w:type="dxa"/>
            <w:shd w:val="clear" w:color="auto" w:fill="F9FCF9"/>
          </w:tcPr>
          <w:p>
            <w:pPr>
              <w:pStyle w:val="TableParagraph"/>
              <w:jc w:val="left"/>
              <w:rPr>
                <w:sz w:val="14"/>
              </w:rPr>
            </w:pPr>
          </w:p>
        </w:tc>
        <w:tc>
          <w:tcPr>
            <w:tcW w:w="899" w:type="dxa"/>
            <w:shd w:val="clear" w:color="auto" w:fill="F9FCF9"/>
          </w:tcPr>
          <w:p>
            <w:pPr>
              <w:pStyle w:val="TableParagraph"/>
              <w:jc w:val="left"/>
              <w:rPr>
                <w:sz w:val="14"/>
              </w:rPr>
            </w:pPr>
          </w:p>
        </w:tc>
        <w:tc>
          <w:tcPr>
            <w:tcW w:w="951" w:type="dxa"/>
            <w:shd w:val="clear" w:color="auto" w:fill="F9FCF9"/>
          </w:tcPr>
          <w:p>
            <w:pPr>
              <w:pStyle w:val="TableParagraph"/>
              <w:spacing w:line="181" w:lineRule="exact" w:before="45"/>
              <w:ind w:left="186" w:right="158"/>
              <w:rPr>
                <w:sz w:val="16"/>
              </w:rPr>
            </w:pPr>
            <w:r>
              <w:rPr>
                <w:sz w:val="16"/>
              </w:rPr>
              <w:t>44.2</w:t>
            </w:r>
          </w:p>
        </w:tc>
        <w:tc>
          <w:tcPr>
            <w:tcW w:w="1023" w:type="dxa"/>
            <w:shd w:val="clear" w:color="auto" w:fill="F9FCF9"/>
          </w:tcPr>
          <w:p>
            <w:pPr>
              <w:pStyle w:val="TableParagraph"/>
              <w:spacing w:line="181" w:lineRule="exact" w:before="45"/>
              <w:ind w:left="44" w:right="18"/>
              <w:rPr>
                <w:sz w:val="16"/>
              </w:rPr>
            </w:pPr>
            <w:r>
              <w:rPr>
                <w:sz w:val="16"/>
              </w:rPr>
              <w:t>37.0</w:t>
            </w:r>
          </w:p>
        </w:tc>
        <w:tc>
          <w:tcPr>
            <w:tcW w:w="1343" w:type="dxa"/>
            <w:shd w:val="clear" w:color="auto" w:fill="F9FCF9"/>
          </w:tcPr>
          <w:p>
            <w:pPr>
              <w:pStyle w:val="TableParagraph"/>
              <w:spacing w:line="181" w:lineRule="exact" w:before="45"/>
              <w:ind w:left="203" w:right="178"/>
              <w:rPr>
                <w:sz w:val="16"/>
              </w:rPr>
            </w:pPr>
            <w:r>
              <w:rPr>
                <w:sz w:val="16"/>
              </w:rPr>
              <w:t>37.0</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37.0</w:t>
            </w:r>
          </w:p>
        </w:tc>
        <w:tc>
          <w:tcPr>
            <w:tcW w:w="1116" w:type="dxa"/>
            <w:tcBorders>
              <w:left w:val="double" w:sz="1" w:space="0" w:color="000000"/>
            </w:tcBorders>
            <w:shd w:val="clear" w:color="auto" w:fill="F9FCF9"/>
          </w:tcPr>
          <w:p>
            <w:pPr>
              <w:pStyle w:val="TableParagraph"/>
              <w:spacing w:line="181" w:lineRule="exact" w:before="45"/>
              <w:ind w:left="277" w:right="235"/>
              <w:rPr>
                <w:sz w:val="16"/>
              </w:rPr>
            </w:pPr>
            <w:r>
              <w:rPr>
                <w:sz w:val="16"/>
              </w:rPr>
              <w:t>45.6</w:t>
            </w:r>
          </w:p>
        </w:tc>
        <w:tc>
          <w:tcPr>
            <w:tcW w:w="1650" w:type="dxa"/>
            <w:shd w:val="clear" w:color="auto" w:fill="F9FCF9"/>
          </w:tcPr>
          <w:p>
            <w:pPr>
              <w:pStyle w:val="TableParagraph"/>
              <w:spacing w:line="181" w:lineRule="exact" w:before="45"/>
              <w:ind w:left="537" w:right="518"/>
              <w:rPr>
                <w:sz w:val="16"/>
              </w:rPr>
            </w:pPr>
            <w:r>
              <w:rPr>
                <w:sz w:val="16"/>
              </w:rPr>
              <w:t>45.6</w:t>
            </w: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Fuel cost, LHV (US$ GJ</w:t>
            </w:r>
            <w:r>
              <w:rPr>
                <w:position w:val="5"/>
                <w:sz w:val="9"/>
              </w:rPr>
              <w:t>−1</w:t>
            </w:r>
            <w:r>
              <w:rPr>
                <w:sz w:val="16"/>
              </w:rPr>
              <w:t>)</w:t>
            </w:r>
          </w:p>
        </w:tc>
        <w:tc>
          <w:tcPr>
            <w:tcW w:w="919" w:type="dxa"/>
            <w:shd w:val="clear" w:color="auto" w:fill="F9FCF9"/>
          </w:tcPr>
          <w:p>
            <w:pPr>
              <w:pStyle w:val="TableParagraph"/>
              <w:spacing w:line="181" w:lineRule="exact" w:before="45"/>
              <w:ind w:left="114" w:right="82"/>
              <w:rPr>
                <w:sz w:val="16"/>
              </w:rPr>
            </w:pPr>
            <w:r>
              <w:rPr>
                <w:sz w:val="16"/>
              </w:rPr>
              <w:t>1.30</w:t>
            </w:r>
          </w:p>
        </w:tc>
        <w:tc>
          <w:tcPr>
            <w:tcW w:w="1091" w:type="dxa"/>
            <w:shd w:val="clear" w:color="auto" w:fill="F9FCF9"/>
          </w:tcPr>
          <w:p>
            <w:pPr>
              <w:pStyle w:val="TableParagraph"/>
              <w:jc w:val="left"/>
              <w:rPr>
                <w:sz w:val="14"/>
              </w:rPr>
            </w:pPr>
          </w:p>
        </w:tc>
        <w:tc>
          <w:tcPr>
            <w:tcW w:w="899" w:type="dxa"/>
            <w:shd w:val="clear" w:color="auto" w:fill="F9FCF9"/>
          </w:tcPr>
          <w:p>
            <w:pPr>
              <w:pStyle w:val="TableParagraph"/>
              <w:jc w:val="left"/>
              <w:rPr>
                <w:sz w:val="14"/>
              </w:rPr>
            </w:pPr>
          </w:p>
        </w:tc>
        <w:tc>
          <w:tcPr>
            <w:tcW w:w="951" w:type="dxa"/>
            <w:shd w:val="clear" w:color="auto" w:fill="F9FCF9"/>
          </w:tcPr>
          <w:p>
            <w:pPr>
              <w:pStyle w:val="TableParagraph"/>
              <w:spacing w:line="181" w:lineRule="exact" w:before="45"/>
              <w:ind w:left="186" w:right="158"/>
              <w:rPr>
                <w:sz w:val="16"/>
              </w:rPr>
            </w:pPr>
            <w:r>
              <w:rPr>
                <w:sz w:val="16"/>
              </w:rPr>
              <w:t>1.50</w:t>
            </w:r>
          </w:p>
        </w:tc>
        <w:tc>
          <w:tcPr>
            <w:tcW w:w="1023" w:type="dxa"/>
            <w:shd w:val="clear" w:color="auto" w:fill="F9FCF9"/>
          </w:tcPr>
          <w:p>
            <w:pPr>
              <w:pStyle w:val="TableParagraph"/>
              <w:spacing w:line="181" w:lineRule="exact" w:before="45"/>
              <w:ind w:left="44" w:right="18"/>
              <w:rPr>
                <w:sz w:val="16"/>
              </w:rPr>
            </w:pPr>
            <w:r>
              <w:rPr>
                <w:sz w:val="16"/>
              </w:rPr>
              <w:t>1.23</w:t>
            </w:r>
          </w:p>
        </w:tc>
        <w:tc>
          <w:tcPr>
            <w:tcW w:w="1343" w:type="dxa"/>
            <w:shd w:val="clear" w:color="auto" w:fill="F9FCF9"/>
          </w:tcPr>
          <w:p>
            <w:pPr>
              <w:pStyle w:val="TableParagraph"/>
              <w:spacing w:line="181" w:lineRule="exact" w:before="45"/>
              <w:ind w:left="203" w:right="178"/>
              <w:rPr>
                <w:sz w:val="16"/>
              </w:rPr>
            </w:pPr>
            <w:r>
              <w:rPr>
                <w:sz w:val="16"/>
              </w:rPr>
              <w:t>1.23</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1.23</w:t>
            </w:r>
          </w:p>
        </w:tc>
        <w:tc>
          <w:tcPr>
            <w:tcW w:w="1116" w:type="dxa"/>
            <w:tcBorders>
              <w:left w:val="double" w:sz="1" w:space="0" w:color="000000"/>
            </w:tcBorders>
            <w:shd w:val="clear" w:color="auto" w:fill="F9FCF9"/>
          </w:tcPr>
          <w:p>
            <w:pPr>
              <w:pStyle w:val="TableParagraph"/>
              <w:spacing w:line="181" w:lineRule="exact" w:before="45"/>
              <w:ind w:left="277" w:right="235"/>
              <w:rPr>
                <w:sz w:val="16"/>
              </w:rPr>
            </w:pPr>
            <w:r>
              <w:rPr>
                <w:sz w:val="16"/>
              </w:rPr>
              <w:t>1.50</w:t>
            </w:r>
          </w:p>
        </w:tc>
        <w:tc>
          <w:tcPr>
            <w:tcW w:w="1650" w:type="dxa"/>
            <w:shd w:val="clear" w:color="auto" w:fill="F9FCF9"/>
          </w:tcPr>
          <w:p>
            <w:pPr>
              <w:pStyle w:val="TableParagraph"/>
              <w:spacing w:line="181" w:lineRule="exact" w:before="45"/>
              <w:ind w:left="537" w:right="518"/>
              <w:rPr>
                <w:sz w:val="16"/>
              </w:rPr>
            </w:pPr>
            <w:r>
              <w:rPr>
                <w:sz w:val="16"/>
              </w:rPr>
              <w:t>1.50</w:t>
            </w:r>
          </w:p>
        </w:tc>
      </w:tr>
      <w:tr>
        <w:trPr>
          <w:trHeight w:val="246" w:hRule="atLeast"/>
        </w:trPr>
        <w:tc>
          <w:tcPr>
            <w:tcW w:w="3292" w:type="dxa"/>
            <w:shd w:val="clear" w:color="auto" w:fill="F9FCF9"/>
          </w:tcPr>
          <w:p>
            <w:pPr>
              <w:pStyle w:val="TableParagraph"/>
              <w:spacing w:line="45" w:lineRule="exact" w:before="57"/>
              <w:ind w:right="409"/>
              <w:jc w:val="right"/>
              <w:rPr>
                <w:sz w:val="9"/>
              </w:rPr>
            </w:pPr>
            <w:r>
              <w:rPr>
                <w:sz w:val="9"/>
              </w:rPr>
              <w:t>−1</w:t>
            </w:r>
          </w:p>
          <w:p>
            <w:pPr>
              <w:pStyle w:val="TableParagraph"/>
              <w:spacing w:line="108" w:lineRule="auto" w:before="4"/>
              <w:ind w:left="54"/>
              <w:jc w:val="left"/>
              <w:rPr>
                <w:sz w:val="16"/>
              </w:rPr>
            </w:pPr>
            <w:r>
              <w:rPr>
                <w:sz w:val="16"/>
              </w:rPr>
              <w:t>Reference plant emission rate (tCO</w:t>
            </w:r>
            <w:r>
              <w:rPr>
                <w:position w:val="-4"/>
                <w:sz w:val="9"/>
              </w:rPr>
              <w:t>2 </w:t>
            </w:r>
            <w:r>
              <w:rPr>
                <w:sz w:val="16"/>
              </w:rPr>
              <w:t>MWh )</w:t>
            </w:r>
          </w:p>
        </w:tc>
        <w:tc>
          <w:tcPr>
            <w:tcW w:w="919" w:type="dxa"/>
            <w:shd w:val="clear" w:color="auto" w:fill="F9FCF9"/>
          </w:tcPr>
          <w:p>
            <w:pPr>
              <w:pStyle w:val="TableParagraph"/>
              <w:spacing w:line="181" w:lineRule="exact" w:before="45"/>
              <w:ind w:left="114" w:right="82"/>
              <w:rPr>
                <w:sz w:val="16"/>
              </w:rPr>
            </w:pPr>
            <w:r>
              <w:rPr>
                <w:sz w:val="16"/>
              </w:rPr>
              <w:t>0.908</w:t>
            </w:r>
          </w:p>
        </w:tc>
        <w:tc>
          <w:tcPr>
            <w:tcW w:w="1091" w:type="dxa"/>
            <w:shd w:val="clear" w:color="auto" w:fill="F9FCF9"/>
          </w:tcPr>
          <w:p>
            <w:pPr>
              <w:pStyle w:val="TableParagraph"/>
              <w:spacing w:line="181" w:lineRule="exact" w:before="45"/>
              <w:ind w:left="264" w:right="233"/>
              <w:rPr>
                <w:sz w:val="16"/>
              </w:rPr>
            </w:pPr>
            <w:r>
              <w:rPr>
                <w:sz w:val="16"/>
              </w:rPr>
              <w:t>0.925</w:t>
            </w:r>
          </w:p>
        </w:tc>
        <w:tc>
          <w:tcPr>
            <w:tcW w:w="899" w:type="dxa"/>
            <w:shd w:val="clear" w:color="auto" w:fill="F9FCF9"/>
          </w:tcPr>
          <w:p>
            <w:pPr>
              <w:pStyle w:val="TableParagraph"/>
              <w:spacing w:line="181" w:lineRule="exact" w:before="45"/>
              <w:ind w:left="279"/>
              <w:jc w:val="left"/>
              <w:rPr>
                <w:sz w:val="16"/>
              </w:rPr>
            </w:pPr>
            <w:r>
              <w:rPr>
                <w:sz w:val="16"/>
              </w:rPr>
              <w:t>0.883</w:t>
            </w:r>
          </w:p>
        </w:tc>
        <w:tc>
          <w:tcPr>
            <w:tcW w:w="951" w:type="dxa"/>
            <w:shd w:val="clear" w:color="auto" w:fill="F9FCF9"/>
          </w:tcPr>
          <w:p>
            <w:pPr>
              <w:pStyle w:val="TableParagraph"/>
              <w:spacing w:line="181" w:lineRule="exact" w:before="45"/>
              <w:ind w:left="186" w:right="158"/>
              <w:rPr>
                <w:sz w:val="16"/>
              </w:rPr>
            </w:pPr>
            <w:r>
              <w:rPr>
                <w:sz w:val="16"/>
              </w:rPr>
              <w:t>0.722</w:t>
            </w:r>
          </w:p>
        </w:tc>
        <w:tc>
          <w:tcPr>
            <w:tcW w:w="1023" w:type="dxa"/>
            <w:shd w:val="clear" w:color="auto" w:fill="F9FCF9"/>
          </w:tcPr>
          <w:p>
            <w:pPr>
              <w:pStyle w:val="TableParagraph"/>
              <w:spacing w:line="181" w:lineRule="exact" w:before="45"/>
              <w:ind w:left="44" w:right="18"/>
              <w:rPr>
                <w:sz w:val="16"/>
              </w:rPr>
            </w:pPr>
            <w:r>
              <w:rPr>
                <w:sz w:val="16"/>
              </w:rPr>
              <w:t>0.909</w:t>
            </w:r>
          </w:p>
        </w:tc>
        <w:tc>
          <w:tcPr>
            <w:tcW w:w="1343" w:type="dxa"/>
            <w:shd w:val="clear" w:color="auto" w:fill="F9FCF9"/>
          </w:tcPr>
          <w:p>
            <w:pPr>
              <w:pStyle w:val="TableParagraph"/>
              <w:spacing w:line="181" w:lineRule="exact" w:before="45"/>
              <w:ind w:left="203" w:right="178"/>
              <w:rPr>
                <w:sz w:val="16"/>
              </w:rPr>
            </w:pPr>
            <w:r>
              <w:rPr>
                <w:sz w:val="16"/>
              </w:rPr>
              <w:t>0.909</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0.909</w:t>
            </w:r>
          </w:p>
        </w:tc>
        <w:tc>
          <w:tcPr>
            <w:tcW w:w="1116" w:type="dxa"/>
            <w:tcBorders>
              <w:left w:val="double" w:sz="1" w:space="0" w:color="000000"/>
            </w:tcBorders>
            <w:shd w:val="clear" w:color="auto" w:fill="F9FCF9"/>
          </w:tcPr>
          <w:p>
            <w:pPr>
              <w:pStyle w:val="TableParagraph"/>
              <w:jc w:val="left"/>
              <w:rPr>
                <w:sz w:val="14"/>
              </w:rPr>
            </w:pPr>
          </w:p>
        </w:tc>
        <w:tc>
          <w:tcPr>
            <w:tcW w:w="1650" w:type="dxa"/>
            <w:shd w:val="clear" w:color="auto" w:fill="F9FCF9"/>
          </w:tcPr>
          <w:p>
            <w:pPr>
              <w:pStyle w:val="TableParagraph"/>
              <w:jc w:val="left"/>
              <w:rPr>
                <w:sz w:val="14"/>
              </w:rPr>
            </w:pPr>
          </w:p>
        </w:tc>
      </w:tr>
      <w:tr>
        <w:trPr>
          <w:trHeight w:val="246" w:hRule="atLeast"/>
        </w:trPr>
        <w:tc>
          <w:tcPr>
            <w:tcW w:w="3292" w:type="dxa"/>
            <w:shd w:val="clear" w:color="auto" w:fill="F9FCF9"/>
          </w:tcPr>
          <w:p>
            <w:pPr>
              <w:pStyle w:val="TableParagraph"/>
              <w:spacing w:line="181" w:lineRule="exact" w:before="45"/>
              <w:ind w:left="214"/>
              <w:jc w:val="left"/>
              <w:rPr>
                <w:b/>
                <w:i/>
                <w:sz w:val="16"/>
              </w:rPr>
            </w:pPr>
            <w:r>
              <w:rPr>
                <w:b/>
                <w:i/>
                <w:sz w:val="16"/>
              </w:rPr>
              <w:t>Capture Plant Design</w:t>
            </w:r>
          </w:p>
        </w:tc>
        <w:tc>
          <w:tcPr>
            <w:tcW w:w="919" w:type="dxa"/>
            <w:shd w:val="clear" w:color="auto" w:fill="F9FCF9"/>
          </w:tcPr>
          <w:p>
            <w:pPr>
              <w:pStyle w:val="TableParagraph"/>
              <w:jc w:val="left"/>
              <w:rPr>
                <w:sz w:val="14"/>
              </w:rPr>
            </w:pPr>
          </w:p>
        </w:tc>
        <w:tc>
          <w:tcPr>
            <w:tcW w:w="1091" w:type="dxa"/>
            <w:shd w:val="clear" w:color="auto" w:fill="F9FCF9"/>
          </w:tcPr>
          <w:p>
            <w:pPr>
              <w:pStyle w:val="TableParagraph"/>
              <w:jc w:val="left"/>
              <w:rPr>
                <w:sz w:val="14"/>
              </w:rPr>
            </w:pPr>
          </w:p>
        </w:tc>
        <w:tc>
          <w:tcPr>
            <w:tcW w:w="899" w:type="dxa"/>
            <w:shd w:val="clear" w:color="auto" w:fill="F9FCF9"/>
          </w:tcPr>
          <w:p>
            <w:pPr>
              <w:pStyle w:val="TableParagraph"/>
              <w:jc w:val="left"/>
              <w:rPr>
                <w:sz w:val="14"/>
              </w:rPr>
            </w:pPr>
          </w:p>
        </w:tc>
        <w:tc>
          <w:tcPr>
            <w:tcW w:w="951" w:type="dxa"/>
            <w:shd w:val="clear" w:color="auto" w:fill="F9FCF9"/>
          </w:tcPr>
          <w:p>
            <w:pPr>
              <w:pStyle w:val="TableParagraph"/>
              <w:jc w:val="left"/>
              <w:rPr>
                <w:sz w:val="14"/>
              </w:rPr>
            </w:pPr>
          </w:p>
        </w:tc>
        <w:tc>
          <w:tcPr>
            <w:tcW w:w="1023" w:type="dxa"/>
            <w:shd w:val="clear" w:color="auto" w:fill="F9FCF9"/>
          </w:tcPr>
          <w:p>
            <w:pPr>
              <w:pStyle w:val="TableParagraph"/>
              <w:jc w:val="left"/>
              <w:rPr>
                <w:sz w:val="14"/>
              </w:rPr>
            </w:pPr>
          </w:p>
        </w:tc>
        <w:tc>
          <w:tcPr>
            <w:tcW w:w="1343" w:type="dxa"/>
            <w:shd w:val="clear" w:color="auto" w:fill="F9FCF9"/>
          </w:tcPr>
          <w:p>
            <w:pPr>
              <w:pStyle w:val="TableParagraph"/>
              <w:jc w:val="left"/>
              <w:rPr>
                <w:sz w:val="14"/>
              </w:rPr>
            </w:pPr>
          </w:p>
        </w:tc>
        <w:tc>
          <w:tcPr>
            <w:tcW w:w="1273" w:type="dxa"/>
            <w:tcBorders>
              <w:right w:val="double" w:sz="1" w:space="0" w:color="000000"/>
            </w:tcBorders>
            <w:shd w:val="clear" w:color="auto" w:fill="F9FCF9"/>
          </w:tcPr>
          <w:p>
            <w:pPr>
              <w:pStyle w:val="TableParagraph"/>
              <w:jc w:val="left"/>
              <w:rPr>
                <w:sz w:val="14"/>
              </w:rPr>
            </w:pPr>
          </w:p>
        </w:tc>
        <w:tc>
          <w:tcPr>
            <w:tcW w:w="1116" w:type="dxa"/>
            <w:tcBorders>
              <w:left w:val="double" w:sz="1" w:space="0" w:color="000000"/>
            </w:tcBorders>
            <w:shd w:val="clear" w:color="auto" w:fill="F9FCF9"/>
          </w:tcPr>
          <w:p>
            <w:pPr>
              <w:pStyle w:val="TableParagraph"/>
              <w:jc w:val="left"/>
              <w:rPr>
                <w:sz w:val="14"/>
              </w:rPr>
            </w:pPr>
          </w:p>
        </w:tc>
        <w:tc>
          <w:tcPr>
            <w:tcW w:w="1650" w:type="dxa"/>
            <w:shd w:val="clear" w:color="auto" w:fill="F9FCF9"/>
          </w:tcPr>
          <w:p>
            <w:pPr>
              <w:pStyle w:val="TableParagraph"/>
              <w:jc w:val="left"/>
              <w:rPr>
                <w:sz w:val="14"/>
              </w:rPr>
            </w:pPr>
          </w:p>
        </w:tc>
      </w:tr>
      <w:tr>
        <w:trPr>
          <w:trHeight w:val="438" w:hRule="atLeast"/>
        </w:trPr>
        <w:tc>
          <w:tcPr>
            <w:tcW w:w="3292" w:type="dxa"/>
            <w:shd w:val="clear" w:color="auto" w:fill="F9FCF9"/>
          </w:tcPr>
          <w:p>
            <w:pPr>
              <w:pStyle w:val="TableParagraph"/>
              <w:spacing w:before="45"/>
              <w:ind w:left="54"/>
              <w:jc w:val="left"/>
              <w:rPr>
                <w:sz w:val="16"/>
              </w:rPr>
            </w:pPr>
            <w:r>
              <w:rPr>
                <w:sz w:val="16"/>
              </w:rPr>
              <w:t>CO</w:t>
            </w:r>
            <w:r>
              <w:rPr>
                <w:position w:val="-4"/>
                <w:sz w:val="9"/>
              </w:rPr>
              <w:t>2 </w:t>
            </w:r>
            <w:r>
              <w:rPr>
                <w:sz w:val="16"/>
              </w:rPr>
              <w:t>capture technology</w:t>
            </w:r>
          </w:p>
        </w:tc>
        <w:tc>
          <w:tcPr>
            <w:tcW w:w="919" w:type="dxa"/>
            <w:shd w:val="clear" w:color="auto" w:fill="F9FCF9"/>
          </w:tcPr>
          <w:p>
            <w:pPr>
              <w:pStyle w:val="TableParagraph"/>
              <w:spacing w:before="45"/>
              <w:ind w:left="114" w:right="82"/>
              <w:rPr>
                <w:sz w:val="16"/>
              </w:rPr>
            </w:pPr>
            <w:r>
              <w:rPr>
                <w:sz w:val="16"/>
              </w:rPr>
              <w:t>oxy-fuel</w:t>
            </w:r>
          </w:p>
        </w:tc>
        <w:tc>
          <w:tcPr>
            <w:tcW w:w="1091" w:type="dxa"/>
            <w:shd w:val="clear" w:color="auto" w:fill="F9FCF9"/>
          </w:tcPr>
          <w:p>
            <w:pPr>
              <w:pStyle w:val="TableParagraph"/>
              <w:spacing w:before="45"/>
              <w:ind w:left="264" w:right="233"/>
              <w:rPr>
                <w:sz w:val="16"/>
              </w:rPr>
            </w:pPr>
            <w:r>
              <w:rPr>
                <w:sz w:val="16"/>
              </w:rPr>
              <w:t>oxy-fuel</w:t>
            </w:r>
          </w:p>
        </w:tc>
        <w:tc>
          <w:tcPr>
            <w:tcW w:w="899" w:type="dxa"/>
            <w:shd w:val="clear" w:color="auto" w:fill="F9FCF9"/>
          </w:tcPr>
          <w:p>
            <w:pPr>
              <w:pStyle w:val="TableParagraph"/>
              <w:spacing w:before="45"/>
              <w:ind w:right="156"/>
              <w:jc w:val="right"/>
              <w:rPr>
                <w:sz w:val="16"/>
              </w:rPr>
            </w:pPr>
            <w:r>
              <w:rPr>
                <w:sz w:val="16"/>
              </w:rPr>
              <w:t>oxy-fuel</w:t>
            </w:r>
          </w:p>
        </w:tc>
        <w:tc>
          <w:tcPr>
            <w:tcW w:w="951" w:type="dxa"/>
            <w:shd w:val="clear" w:color="auto" w:fill="F9FCF9"/>
          </w:tcPr>
          <w:p>
            <w:pPr>
              <w:pStyle w:val="TableParagraph"/>
              <w:spacing w:before="45"/>
              <w:ind w:left="186" w:right="158"/>
              <w:rPr>
                <w:sz w:val="16"/>
              </w:rPr>
            </w:pPr>
            <w:r>
              <w:rPr>
                <w:sz w:val="16"/>
              </w:rPr>
              <w:t>oxy-fuel</w:t>
            </w:r>
          </w:p>
        </w:tc>
        <w:tc>
          <w:tcPr>
            <w:tcW w:w="1023" w:type="dxa"/>
            <w:shd w:val="clear" w:color="auto" w:fill="F9FCF9"/>
          </w:tcPr>
          <w:p>
            <w:pPr>
              <w:pStyle w:val="TableParagraph"/>
              <w:spacing w:before="45"/>
              <w:ind w:left="44" w:right="18"/>
              <w:rPr>
                <w:sz w:val="16"/>
              </w:rPr>
            </w:pPr>
            <w:r>
              <w:rPr>
                <w:sz w:val="16"/>
              </w:rPr>
              <w:t>oxy-fuel</w:t>
            </w:r>
          </w:p>
        </w:tc>
        <w:tc>
          <w:tcPr>
            <w:tcW w:w="1343" w:type="dxa"/>
            <w:shd w:val="clear" w:color="auto" w:fill="F9FCF9"/>
          </w:tcPr>
          <w:p>
            <w:pPr>
              <w:pStyle w:val="TableParagraph"/>
              <w:spacing w:line="190" w:lineRule="atLeast" w:before="39"/>
              <w:ind w:left="501" w:right="201" w:hanging="256"/>
              <w:jc w:val="left"/>
              <w:rPr>
                <w:sz w:val="16"/>
              </w:rPr>
            </w:pPr>
            <w:r>
              <w:rPr>
                <w:sz w:val="16"/>
              </w:rPr>
              <w:t>oxy-fuel with CMB</w:t>
            </w:r>
          </w:p>
        </w:tc>
        <w:tc>
          <w:tcPr>
            <w:tcW w:w="1273" w:type="dxa"/>
            <w:tcBorders>
              <w:right w:val="double" w:sz="1" w:space="0" w:color="000000"/>
            </w:tcBorders>
            <w:shd w:val="clear" w:color="auto" w:fill="F9FCF9"/>
          </w:tcPr>
          <w:p>
            <w:pPr>
              <w:pStyle w:val="TableParagraph"/>
              <w:spacing w:line="190" w:lineRule="atLeast" w:before="39"/>
              <w:ind w:left="288" w:right="52" w:hanging="214"/>
              <w:jc w:val="left"/>
              <w:rPr>
                <w:sz w:val="16"/>
              </w:rPr>
            </w:pPr>
            <w:r>
              <w:rPr>
                <w:sz w:val="16"/>
              </w:rPr>
              <w:t>chemical looping with CMB</w:t>
            </w:r>
          </w:p>
        </w:tc>
        <w:tc>
          <w:tcPr>
            <w:tcW w:w="1116" w:type="dxa"/>
            <w:tcBorders>
              <w:left w:val="double" w:sz="1" w:space="0" w:color="000000"/>
            </w:tcBorders>
            <w:shd w:val="clear" w:color="auto" w:fill="F9FCF9"/>
          </w:tcPr>
          <w:p>
            <w:pPr>
              <w:pStyle w:val="TableParagraph"/>
              <w:spacing w:before="45"/>
              <w:ind w:left="277" w:right="227"/>
              <w:rPr>
                <w:sz w:val="16"/>
              </w:rPr>
            </w:pPr>
            <w:r>
              <w:rPr>
                <w:sz w:val="16"/>
              </w:rPr>
              <w:t>MEA</w:t>
            </w:r>
          </w:p>
        </w:tc>
        <w:tc>
          <w:tcPr>
            <w:tcW w:w="1650" w:type="dxa"/>
            <w:shd w:val="clear" w:color="auto" w:fill="F9FCF9"/>
          </w:tcPr>
          <w:p>
            <w:pPr>
              <w:pStyle w:val="TableParagraph"/>
              <w:spacing w:before="45"/>
              <w:ind w:left="537" w:right="518"/>
              <w:rPr>
                <w:sz w:val="16"/>
              </w:rPr>
            </w:pPr>
            <w:r>
              <w:rPr>
                <w:sz w:val="16"/>
              </w:rPr>
              <w:t>KS-1</w:t>
            </w: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Net plant size with capture (MW)</w:t>
            </w:r>
          </w:p>
        </w:tc>
        <w:tc>
          <w:tcPr>
            <w:tcW w:w="919" w:type="dxa"/>
            <w:shd w:val="clear" w:color="auto" w:fill="F9FCF9"/>
          </w:tcPr>
          <w:p>
            <w:pPr>
              <w:pStyle w:val="TableParagraph"/>
              <w:spacing w:line="181" w:lineRule="exact" w:before="45"/>
              <w:ind w:left="114" w:right="82"/>
              <w:rPr>
                <w:sz w:val="16"/>
              </w:rPr>
            </w:pPr>
            <w:r>
              <w:rPr>
                <w:sz w:val="16"/>
              </w:rPr>
              <w:t>273</w:t>
            </w:r>
          </w:p>
        </w:tc>
        <w:tc>
          <w:tcPr>
            <w:tcW w:w="1091" w:type="dxa"/>
            <w:shd w:val="clear" w:color="auto" w:fill="F9FCF9"/>
          </w:tcPr>
          <w:p>
            <w:pPr>
              <w:pStyle w:val="TableParagraph"/>
              <w:spacing w:line="181" w:lineRule="exact" w:before="45"/>
              <w:ind w:left="264" w:right="233"/>
              <w:rPr>
                <w:sz w:val="16"/>
              </w:rPr>
            </w:pPr>
            <w:r>
              <w:rPr>
                <w:sz w:val="16"/>
              </w:rPr>
              <w:t>400</w:t>
            </w:r>
          </w:p>
        </w:tc>
        <w:tc>
          <w:tcPr>
            <w:tcW w:w="899" w:type="dxa"/>
            <w:shd w:val="clear" w:color="auto" w:fill="F9FCF9"/>
          </w:tcPr>
          <w:p>
            <w:pPr>
              <w:pStyle w:val="TableParagraph"/>
              <w:jc w:val="left"/>
              <w:rPr>
                <w:sz w:val="14"/>
              </w:rPr>
            </w:pPr>
          </w:p>
        </w:tc>
        <w:tc>
          <w:tcPr>
            <w:tcW w:w="951" w:type="dxa"/>
            <w:shd w:val="clear" w:color="auto" w:fill="F9FCF9"/>
          </w:tcPr>
          <w:p>
            <w:pPr>
              <w:pStyle w:val="TableParagraph"/>
              <w:spacing w:line="181" w:lineRule="exact" w:before="45"/>
              <w:ind w:left="186" w:right="158"/>
              <w:rPr>
                <w:sz w:val="16"/>
              </w:rPr>
            </w:pPr>
            <w:r>
              <w:rPr>
                <w:sz w:val="16"/>
              </w:rPr>
              <w:t>532</w:t>
            </w:r>
          </w:p>
        </w:tc>
        <w:tc>
          <w:tcPr>
            <w:tcW w:w="1023" w:type="dxa"/>
            <w:shd w:val="clear" w:color="auto" w:fill="F9FCF9"/>
          </w:tcPr>
          <w:p>
            <w:pPr>
              <w:pStyle w:val="TableParagraph"/>
              <w:spacing w:line="181" w:lineRule="exact" w:before="45"/>
              <w:ind w:left="44" w:right="18"/>
              <w:rPr>
                <w:sz w:val="16"/>
              </w:rPr>
            </w:pPr>
            <w:r>
              <w:rPr>
                <w:sz w:val="16"/>
              </w:rPr>
              <w:t>135</w:t>
            </w:r>
          </w:p>
        </w:tc>
        <w:tc>
          <w:tcPr>
            <w:tcW w:w="1343" w:type="dxa"/>
            <w:shd w:val="clear" w:color="auto" w:fill="F9FCF9"/>
          </w:tcPr>
          <w:p>
            <w:pPr>
              <w:pStyle w:val="TableParagraph"/>
              <w:spacing w:line="181" w:lineRule="exact" w:before="45"/>
              <w:ind w:left="203" w:right="178"/>
              <w:rPr>
                <w:sz w:val="16"/>
              </w:rPr>
            </w:pPr>
            <w:r>
              <w:rPr>
                <w:sz w:val="16"/>
              </w:rPr>
              <w:t>197</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165</w:t>
            </w:r>
          </w:p>
        </w:tc>
        <w:tc>
          <w:tcPr>
            <w:tcW w:w="1116" w:type="dxa"/>
            <w:tcBorders>
              <w:left w:val="double" w:sz="1" w:space="0" w:color="000000"/>
            </w:tcBorders>
            <w:shd w:val="clear" w:color="auto" w:fill="F9FCF9"/>
          </w:tcPr>
          <w:p>
            <w:pPr>
              <w:pStyle w:val="TableParagraph"/>
              <w:jc w:val="left"/>
              <w:rPr>
                <w:sz w:val="14"/>
              </w:rPr>
            </w:pPr>
          </w:p>
        </w:tc>
        <w:tc>
          <w:tcPr>
            <w:tcW w:w="1650" w:type="dxa"/>
            <w:shd w:val="clear" w:color="auto" w:fill="F9FCF9"/>
          </w:tcPr>
          <w:p>
            <w:pPr>
              <w:pStyle w:val="TableParagraph"/>
              <w:jc w:val="left"/>
              <w:rPr>
                <w:sz w:val="14"/>
              </w:rPr>
            </w:pP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Net plant efficiency, LHV (%)</w:t>
            </w:r>
          </w:p>
        </w:tc>
        <w:tc>
          <w:tcPr>
            <w:tcW w:w="919" w:type="dxa"/>
            <w:shd w:val="clear" w:color="auto" w:fill="F9FCF9"/>
          </w:tcPr>
          <w:p>
            <w:pPr>
              <w:pStyle w:val="TableParagraph"/>
              <w:spacing w:line="181" w:lineRule="exact" w:before="45"/>
              <w:ind w:left="114" w:right="82"/>
              <w:rPr>
                <w:sz w:val="16"/>
              </w:rPr>
            </w:pPr>
            <w:r>
              <w:rPr>
                <w:sz w:val="16"/>
              </w:rPr>
              <w:t>23.4</w:t>
            </w:r>
          </w:p>
        </w:tc>
        <w:tc>
          <w:tcPr>
            <w:tcW w:w="1091" w:type="dxa"/>
            <w:shd w:val="clear" w:color="auto" w:fill="F9FCF9"/>
          </w:tcPr>
          <w:p>
            <w:pPr>
              <w:pStyle w:val="TableParagraph"/>
              <w:jc w:val="left"/>
              <w:rPr>
                <w:sz w:val="14"/>
              </w:rPr>
            </w:pPr>
          </w:p>
        </w:tc>
        <w:tc>
          <w:tcPr>
            <w:tcW w:w="899" w:type="dxa"/>
            <w:shd w:val="clear" w:color="auto" w:fill="F9FCF9"/>
          </w:tcPr>
          <w:p>
            <w:pPr>
              <w:pStyle w:val="TableParagraph"/>
              <w:jc w:val="left"/>
              <w:rPr>
                <w:sz w:val="14"/>
              </w:rPr>
            </w:pPr>
          </w:p>
        </w:tc>
        <w:tc>
          <w:tcPr>
            <w:tcW w:w="951" w:type="dxa"/>
            <w:shd w:val="clear" w:color="auto" w:fill="F9FCF9"/>
          </w:tcPr>
          <w:p>
            <w:pPr>
              <w:pStyle w:val="TableParagraph"/>
              <w:spacing w:line="181" w:lineRule="exact" w:before="45"/>
              <w:ind w:left="186" w:right="158"/>
              <w:rPr>
                <w:sz w:val="16"/>
              </w:rPr>
            </w:pPr>
            <w:r>
              <w:rPr>
                <w:sz w:val="16"/>
              </w:rPr>
              <w:t>35.4</w:t>
            </w:r>
          </w:p>
        </w:tc>
        <w:tc>
          <w:tcPr>
            <w:tcW w:w="1023" w:type="dxa"/>
            <w:shd w:val="clear" w:color="auto" w:fill="F9FCF9"/>
          </w:tcPr>
          <w:p>
            <w:pPr>
              <w:pStyle w:val="TableParagraph"/>
              <w:spacing w:line="181" w:lineRule="exact" w:before="45"/>
              <w:ind w:left="44" w:right="18"/>
              <w:rPr>
                <w:sz w:val="16"/>
              </w:rPr>
            </w:pPr>
            <w:r>
              <w:rPr>
                <w:sz w:val="16"/>
              </w:rPr>
              <w:t>25.8</w:t>
            </w:r>
          </w:p>
        </w:tc>
        <w:tc>
          <w:tcPr>
            <w:tcW w:w="1343" w:type="dxa"/>
            <w:shd w:val="clear" w:color="auto" w:fill="F9FCF9"/>
          </w:tcPr>
          <w:p>
            <w:pPr>
              <w:pStyle w:val="TableParagraph"/>
              <w:spacing w:line="181" w:lineRule="exact" w:before="45"/>
              <w:ind w:left="203" w:right="178"/>
              <w:rPr>
                <w:sz w:val="16"/>
              </w:rPr>
            </w:pPr>
            <w:r>
              <w:rPr>
                <w:sz w:val="16"/>
              </w:rPr>
              <w:t>31.3</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32.2</w:t>
            </w:r>
          </w:p>
        </w:tc>
        <w:tc>
          <w:tcPr>
            <w:tcW w:w="1116" w:type="dxa"/>
            <w:tcBorders>
              <w:left w:val="double" w:sz="1" w:space="0" w:color="000000"/>
            </w:tcBorders>
            <w:shd w:val="clear" w:color="auto" w:fill="F9FCF9"/>
          </w:tcPr>
          <w:p>
            <w:pPr>
              <w:pStyle w:val="TableParagraph"/>
              <w:spacing w:line="181" w:lineRule="exact" w:before="45"/>
              <w:ind w:left="277" w:right="235"/>
              <w:rPr>
                <w:sz w:val="16"/>
              </w:rPr>
            </w:pPr>
            <w:r>
              <w:rPr>
                <w:sz w:val="16"/>
              </w:rPr>
              <w:t>34.3</w:t>
            </w:r>
          </w:p>
        </w:tc>
        <w:tc>
          <w:tcPr>
            <w:tcW w:w="1650" w:type="dxa"/>
            <w:shd w:val="clear" w:color="auto" w:fill="F9FCF9"/>
          </w:tcPr>
          <w:p>
            <w:pPr>
              <w:pStyle w:val="TableParagraph"/>
              <w:spacing w:line="181" w:lineRule="exact" w:before="45"/>
              <w:ind w:left="537" w:right="518"/>
              <w:rPr>
                <w:sz w:val="16"/>
              </w:rPr>
            </w:pPr>
            <w:r>
              <w:rPr>
                <w:sz w:val="16"/>
              </w:rPr>
              <w:t>36.5</w:t>
            </w: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CO</w:t>
            </w:r>
            <w:r>
              <w:rPr>
                <w:position w:val="-4"/>
                <w:sz w:val="9"/>
              </w:rPr>
              <w:t>2 </w:t>
            </w:r>
            <w:r>
              <w:rPr>
                <w:sz w:val="16"/>
              </w:rPr>
              <w:t>capture system efficiency (%)</w:t>
            </w:r>
          </w:p>
        </w:tc>
        <w:tc>
          <w:tcPr>
            <w:tcW w:w="919" w:type="dxa"/>
            <w:shd w:val="clear" w:color="auto" w:fill="F9FCF9"/>
          </w:tcPr>
          <w:p>
            <w:pPr>
              <w:pStyle w:val="TableParagraph"/>
              <w:jc w:val="left"/>
              <w:rPr>
                <w:sz w:val="14"/>
              </w:rPr>
            </w:pPr>
          </w:p>
        </w:tc>
        <w:tc>
          <w:tcPr>
            <w:tcW w:w="1091" w:type="dxa"/>
            <w:shd w:val="clear" w:color="auto" w:fill="F9FCF9"/>
          </w:tcPr>
          <w:p>
            <w:pPr>
              <w:pStyle w:val="TableParagraph"/>
              <w:jc w:val="left"/>
              <w:rPr>
                <w:sz w:val="14"/>
              </w:rPr>
            </w:pPr>
          </w:p>
        </w:tc>
        <w:tc>
          <w:tcPr>
            <w:tcW w:w="899" w:type="dxa"/>
            <w:shd w:val="clear" w:color="auto" w:fill="F9FCF9"/>
          </w:tcPr>
          <w:p>
            <w:pPr>
              <w:pStyle w:val="TableParagraph"/>
              <w:jc w:val="left"/>
              <w:rPr>
                <w:sz w:val="14"/>
              </w:rPr>
            </w:pPr>
          </w:p>
        </w:tc>
        <w:tc>
          <w:tcPr>
            <w:tcW w:w="951" w:type="dxa"/>
            <w:shd w:val="clear" w:color="auto" w:fill="F9FCF9"/>
          </w:tcPr>
          <w:p>
            <w:pPr>
              <w:pStyle w:val="TableParagraph"/>
              <w:spacing w:line="181" w:lineRule="exact" w:before="45"/>
              <w:ind w:left="186" w:right="158"/>
              <w:rPr>
                <w:sz w:val="16"/>
              </w:rPr>
            </w:pPr>
            <w:r>
              <w:rPr>
                <w:sz w:val="16"/>
              </w:rPr>
              <w:t>about 91</w:t>
            </w:r>
          </w:p>
        </w:tc>
        <w:tc>
          <w:tcPr>
            <w:tcW w:w="1023" w:type="dxa"/>
            <w:shd w:val="clear" w:color="auto" w:fill="F9FCF9"/>
          </w:tcPr>
          <w:p>
            <w:pPr>
              <w:pStyle w:val="TableParagraph"/>
              <w:jc w:val="left"/>
              <w:rPr>
                <w:sz w:val="14"/>
              </w:rPr>
            </w:pPr>
          </w:p>
        </w:tc>
        <w:tc>
          <w:tcPr>
            <w:tcW w:w="1343" w:type="dxa"/>
            <w:shd w:val="clear" w:color="auto" w:fill="F9FCF9"/>
          </w:tcPr>
          <w:p>
            <w:pPr>
              <w:pStyle w:val="TableParagraph"/>
              <w:jc w:val="left"/>
              <w:rPr>
                <w:sz w:val="14"/>
              </w:rPr>
            </w:pPr>
          </w:p>
        </w:tc>
        <w:tc>
          <w:tcPr>
            <w:tcW w:w="1273" w:type="dxa"/>
            <w:tcBorders>
              <w:right w:val="double" w:sz="1" w:space="0" w:color="000000"/>
            </w:tcBorders>
            <w:shd w:val="clear" w:color="auto" w:fill="F9FCF9"/>
          </w:tcPr>
          <w:p>
            <w:pPr>
              <w:pStyle w:val="TableParagraph"/>
              <w:jc w:val="left"/>
              <w:rPr>
                <w:sz w:val="14"/>
              </w:rPr>
            </w:pPr>
          </w:p>
        </w:tc>
        <w:tc>
          <w:tcPr>
            <w:tcW w:w="1116" w:type="dxa"/>
            <w:tcBorders>
              <w:left w:val="double" w:sz="1" w:space="0" w:color="000000"/>
            </w:tcBorders>
            <w:shd w:val="clear" w:color="auto" w:fill="F9FCF9"/>
          </w:tcPr>
          <w:p>
            <w:pPr>
              <w:pStyle w:val="TableParagraph"/>
              <w:jc w:val="left"/>
              <w:rPr>
                <w:sz w:val="14"/>
              </w:rPr>
            </w:pPr>
          </w:p>
        </w:tc>
        <w:tc>
          <w:tcPr>
            <w:tcW w:w="1650" w:type="dxa"/>
            <w:shd w:val="clear" w:color="auto" w:fill="F9FCF9"/>
          </w:tcPr>
          <w:p>
            <w:pPr>
              <w:pStyle w:val="TableParagraph"/>
              <w:jc w:val="left"/>
              <w:rPr>
                <w:sz w:val="14"/>
              </w:rPr>
            </w:pPr>
          </w:p>
        </w:tc>
      </w:tr>
      <w:tr>
        <w:trPr>
          <w:trHeight w:val="246" w:hRule="atLeast"/>
        </w:trPr>
        <w:tc>
          <w:tcPr>
            <w:tcW w:w="3292" w:type="dxa"/>
            <w:shd w:val="clear" w:color="auto" w:fill="F9FCF9"/>
          </w:tcPr>
          <w:p>
            <w:pPr>
              <w:pStyle w:val="TableParagraph"/>
              <w:spacing w:line="45" w:lineRule="exact" w:before="57"/>
              <w:ind w:right="574"/>
              <w:jc w:val="right"/>
              <w:rPr>
                <w:sz w:val="9"/>
              </w:rPr>
            </w:pPr>
            <w:r>
              <w:rPr>
                <w:sz w:val="9"/>
              </w:rPr>
              <w:t>−1</w:t>
            </w:r>
          </w:p>
          <w:p>
            <w:pPr>
              <w:pStyle w:val="TableParagraph"/>
              <w:spacing w:line="108" w:lineRule="auto" w:before="4"/>
              <w:ind w:left="54"/>
              <w:jc w:val="left"/>
              <w:rPr>
                <w:sz w:val="16"/>
              </w:rPr>
            </w:pPr>
            <w:r>
              <w:rPr>
                <w:sz w:val="16"/>
              </w:rPr>
              <w:t>CO</w:t>
            </w:r>
            <w:r>
              <w:rPr>
                <w:position w:val="-4"/>
                <w:sz w:val="9"/>
              </w:rPr>
              <w:t>2 </w:t>
            </w:r>
            <w:r>
              <w:rPr>
                <w:sz w:val="16"/>
              </w:rPr>
              <w:t>emission rate after capture (t MWh )</w:t>
            </w:r>
          </w:p>
        </w:tc>
        <w:tc>
          <w:tcPr>
            <w:tcW w:w="919" w:type="dxa"/>
            <w:shd w:val="clear" w:color="auto" w:fill="F9FCF9"/>
          </w:tcPr>
          <w:p>
            <w:pPr>
              <w:pStyle w:val="TableParagraph"/>
              <w:jc w:val="left"/>
              <w:rPr>
                <w:sz w:val="14"/>
              </w:rPr>
            </w:pPr>
          </w:p>
        </w:tc>
        <w:tc>
          <w:tcPr>
            <w:tcW w:w="1091" w:type="dxa"/>
            <w:shd w:val="clear" w:color="auto" w:fill="F9FCF9"/>
          </w:tcPr>
          <w:p>
            <w:pPr>
              <w:pStyle w:val="TableParagraph"/>
              <w:spacing w:line="181" w:lineRule="exact" w:before="45"/>
              <w:ind w:left="264" w:right="233"/>
              <w:rPr>
                <w:sz w:val="16"/>
              </w:rPr>
            </w:pPr>
            <w:r>
              <w:rPr>
                <w:sz w:val="16"/>
              </w:rPr>
              <w:t>0.238</w:t>
            </w:r>
          </w:p>
        </w:tc>
        <w:tc>
          <w:tcPr>
            <w:tcW w:w="899" w:type="dxa"/>
            <w:shd w:val="clear" w:color="auto" w:fill="F9FCF9"/>
          </w:tcPr>
          <w:p>
            <w:pPr>
              <w:pStyle w:val="TableParagraph"/>
              <w:spacing w:line="181" w:lineRule="exact" w:before="45"/>
              <w:ind w:left="279"/>
              <w:jc w:val="left"/>
              <w:rPr>
                <w:sz w:val="16"/>
              </w:rPr>
            </w:pPr>
            <w:r>
              <w:rPr>
                <w:sz w:val="16"/>
              </w:rPr>
              <w:t>0.145</w:t>
            </w:r>
          </w:p>
        </w:tc>
        <w:tc>
          <w:tcPr>
            <w:tcW w:w="951" w:type="dxa"/>
            <w:shd w:val="clear" w:color="auto" w:fill="F9FCF9"/>
          </w:tcPr>
          <w:p>
            <w:pPr>
              <w:pStyle w:val="TableParagraph"/>
              <w:spacing w:line="181" w:lineRule="exact" w:before="45"/>
              <w:ind w:left="186" w:right="158"/>
              <w:rPr>
                <w:sz w:val="16"/>
              </w:rPr>
            </w:pPr>
            <w:r>
              <w:rPr>
                <w:sz w:val="16"/>
              </w:rPr>
              <w:t>0.085</w:t>
            </w:r>
          </w:p>
        </w:tc>
        <w:tc>
          <w:tcPr>
            <w:tcW w:w="1023" w:type="dxa"/>
            <w:shd w:val="clear" w:color="auto" w:fill="F9FCF9"/>
          </w:tcPr>
          <w:p>
            <w:pPr>
              <w:pStyle w:val="TableParagraph"/>
              <w:spacing w:line="181" w:lineRule="exact" w:before="45"/>
              <w:ind w:left="44" w:right="18"/>
              <w:rPr>
                <w:sz w:val="16"/>
              </w:rPr>
            </w:pPr>
            <w:r>
              <w:rPr>
                <w:sz w:val="16"/>
              </w:rPr>
              <w:t>0.086</w:t>
            </w:r>
          </w:p>
        </w:tc>
        <w:tc>
          <w:tcPr>
            <w:tcW w:w="1343" w:type="dxa"/>
            <w:shd w:val="clear" w:color="auto" w:fill="F9FCF9"/>
          </w:tcPr>
          <w:p>
            <w:pPr>
              <w:pStyle w:val="TableParagraph"/>
              <w:spacing w:line="181" w:lineRule="exact" w:before="45"/>
              <w:ind w:left="203" w:right="178"/>
              <w:rPr>
                <w:sz w:val="16"/>
              </w:rPr>
            </w:pPr>
            <w:r>
              <w:rPr>
                <w:sz w:val="16"/>
              </w:rPr>
              <w:t>0.073</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0.005</w:t>
            </w:r>
          </w:p>
        </w:tc>
        <w:tc>
          <w:tcPr>
            <w:tcW w:w="1116" w:type="dxa"/>
            <w:tcBorders>
              <w:left w:val="double" w:sz="1" w:space="0" w:color="000000"/>
            </w:tcBorders>
            <w:shd w:val="clear" w:color="auto" w:fill="F9FCF9"/>
          </w:tcPr>
          <w:p>
            <w:pPr>
              <w:pStyle w:val="TableParagraph"/>
              <w:jc w:val="left"/>
              <w:rPr>
                <w:sz w:val="14"/>
              </w:rPr>
            </w:pPr>
          </w:p>
        </w:tc>
        <w:tc>
          <w:tcPr>
            <w:tcW w:w="1650" w:type="dxa"/>
            <w:shd w:val="clear" w:color="auto" w:fill="F9FCF9"/>
          </w:tcPr>
          <w:p>
            <w:pPr>
              <w:pStyle w:val="TableParagraph"/>
              <w:jc w:val="left"/>
              <w:rPr>
                <w:sz w:val="14"/>
              </w:rPr>
            </w:pPr>
          </w:p>
        </w:tc>
      </w:tr>
      <w:tr>
        <w:trPr>
          <w:trHeight w:val="246" w:hRule="atLeast"/>
        </w:trPr>
        <w:tc>
          <w:tcPr>
            <w:tcW w:w="3292" w:type="dxa"/>
            <w:shd w:val="clear" w:color="auto" w:fill="F9FCF9"/>
          </w:tcPr>
          <w:p>
            <w:pPr>
              <w:pStyle w:val="TableParagraph"/>
              <w:spacing w:line="45" w:lineRule="exact" w:before="57"/>
              <w:ind w:left="1347" w:right="1793"/>
              <w:rPr>
                <w:sz w:val="9"/>
              </w:rPr>
            </w:pPr>
            <w:r>
              <w:rPr>
                <w:w w:val="105"/>
                <w:sz w:val="9"/>
              </w:rPr>
              <w:t>−1</w:t>
            </w:r>
          </w:p>
          <w:p>
            <w:pPr>
              <w:pStyle w:val="TableParagraph"/>
              <w:spacing w:line="108" w:lineRule="auto" w:before="4"/>
              <w:ind w:left="54"/>
              <w:jc w:val="left"/>
              <w:rPr>
                <w:sz w:val="16"/>
              </w:rPr>
            </w:pPr>
            <w:r>
              <w:rPr>
                <w:sz w:val="16"/>
              </w:rPr>
              <w:t>CO</w:t>
            </w:r>
            <w:r>
              <w:rPr>
                <w:position w:val="-4"/>
                <w:sz w:val="9"/>
              </w:rPr>
              <w:t>2 </w:t>
            </w:r>
            <w:r>
              <w:rPr>
                <w:sz w:val="16"/>
              </w:rPr>
              <w:t>captured (Mt yr )</w:t>
            </w:r>
          </w:p>
        </w:tc>
        <w:tc>
          <w:tcPr>
            <w:tcW w:w="919" w:type="dxa"/>
            <w:shd w:val="clear" w:color="auto" w:fill="F9FCF9"/>
          </w:tcPr>
          <w:p>
            <w:pPr>
              <w:pStyle w:val="TableParagraph"/>
              <w:jc w:val="left"/>
              <w:rPr>
                <w:sz w:val="14"/>
              </w:rPr>
            </w:pPr>
          </w:p>
        </w:tc>
        <w:tc>
          <w:tcPr>
            <w:tcW w:w="1091" w:type="dxa"/>
            <w:shd w:val="clear" w:color="auto" w:fill="F9FCF9"/>
          </w:tcPr>
          <w:p>
            <w:pPr>
              <w:pStyle w:val="TableParagraph"/>
              <w:spacing w:line="181" w:lineRule="exact" w:before="45"/>
              <w:ind w:left="264" w:right="233"/>
              <w:rPr>
                <w:sz w:val="16"/>
              </w:rPr>
            </w:pPr>
            <w:r>
              <w:rPr>
                <w:sz w:val="16"/>
              </w:rPr>
              <w:t>2.664</w:t>
            </w:r>
          </w:p>
        </w:tc>
        <w:tc>
          <w:tcPr>
            <w:tcW w:w="899" w:type="dxa"/>
            <w:shd w:val="clear" w:color="auto" w:fill="F9FCF9"/>
          </w:tcPr>
          <w:p>
            <w:pPr>
              <w:pStyle w:val="TableParagraph"/>
              <w:jc w:val="left"/>
              <w:rPr>
                <w:sz w:val="14"/>
              </w:rPr>
            </w:pPr>
          </w:p>
        </w:tc>
        <w:tc>
          <w:tcPr>
            <w:tcW w:w="951" w:type="dxa"/>
            <w:shd w:val="clear" w:color="auto" w:fill="F9FCF9"/>
          </w:tcPr>
          <w:p>
            <w:pPr>
              <w:pStyle w:val="TableParagraph"/>
              <w:jc w:val="left"/>
              <w:rPr>
                <w:sz w:val="14"/>
              </w:rPr>
            </w:pPr>
          </w:p>
        </w:tc>
        <w:tc>
          <w:tcPr>
            <w:tcW w:w="1023" w:type="dxa"/>
            <w:shd w:val="clear" w:color="auto" w:fill="F9FCF9"/>
          </w:tcPr>
          <w:p>
            <w:pPr>
              <w:pStyle w:val="TableParagraph"/>
              <w:jc w:val="left"/>
              <w:rPr>
                <w:sz w:val="14"/>
              </w:rPr>
            </w:pPr>
          </w:p>
        </w:tc>
        <w:tc>
          <w:tcPr>
            <w:tcW w:w="1343" w:type="dxa"/>
            <w:shd w:val="clear" w:color="auto" w:fill="F9FCF9"/>
          </w:tcPr>
          <w:p>
            <w:pPr>
              <w:pStyle w:val="TableParagraph"/>
              <w:jc w:val="left"/>
              <w:rPr>
                <w:sz w:val="14"/>
              </w:rPr>
            </w:pPr>
          </w:p>
        </w:tc>
        <w:tc>
          <w:tcPr>
            <w:tcW w:w="1273" w:type="dxa"/>
            <w:tcBorders>
              <w:right w:val="double" w:sz="1" w:space="0" w:color="000000"/>
            </w:tcBorders>
            <w:shd w:val="clear" w:color="auto" w:fill="F9FCF9"/>
          </w:tcPr>
          <w:p>
            <w:pPr>
              <w:pStyle w:val="TableParagraph"/>
              <w:jc w:val="left"/>
              <w:rPr>
                <w:sz w:val="14"/>
              </w:rPr>
            </w:pPr>
          </w:p>
        </w:tc>
        <w:tc>
          <w:tcPr>
            <w:tcW w:w="1116" w:type="dxa"/>
            <w:tcBorders>
              <w:left w:val="double" w:sz="1" w:space="0" w:color="000000"/>
            </w:tcBorders>
            <w:shd w:val="clear" w:color="auto" w:fill="F9FCF9"/>
          </w:tcPr>
          <w:p>
            <w:pPr>
              <w:pStyle w:val="TableParagraph"/>
              <w:jc w:val="left"/>
              <w:rPr>
                <w:sz w:val="14"/>
              </w:rPr>
            </w:pPr>
          </w:p>
        </w:tc>
        <w:tc>
          <w:tcPr>
            <w:tcW w:w="1650" w:type="dxa"/>
            <w:shd w:val="clear" w:color="auto" w:fill="F9FCF9"/>
          </w:tcPr>
          <w:p>
            <w:pPr>
              <w:pStyle w:val="TableParagraph"/>
              <w:jc w:val="left"/>
              <w:rPr>
                <w:sz w:val="14"/>
              </w:rPr>
            </w:pP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CO</w:t>
            </w:r>
            <w:r>
              <w:rPr>
                <w:position w:val="-4"/>
                <w:sz w:val="9"/>
              </w:rPr>
              <w:t>2 </w:t>
            </w:r>
            <w:r>
              <w:rPr>
                <w:sz w:val="16"/>
              </w:rPr>
              <w:t>product pressure (MPa)</w:t>
            </w:r>
          </w:p>
        </w:tc>
        <w:tc>
          <w:tcPr>
            <w:tcW w:w="919" w:type="dxa"/>
            <w:shd w:val="clear" w:color="auto" w:fill="F9FCF9"/>
          </w:tcPr>
          <w:p>
            <w:pPr>
              <w:pStyle w:val="TableParagraph"/>
              <w:spacing w:line="181" w:lineRule="exact" w:before="45"/>
              <w:ind w:left="114" w:right="82"/>
              <w:rPr>
                <w:sz w:val="16"/>
              </w:rPr>
            </w:pPr>
            <w:r>
              <w:rPr>
                <w:sz w:val="16"/>
              </w:rPr>
              <w:t>13.9</w:t>
            </w:r>
          </w:p>
        </w:tc>
        <w:tc>
          <w:tcPr>
            <w:tcW w:w="1091" w:type="dxa"/>
            <w:shd w:val="clear" w:color="auto" w:fill="F9FCF9"/>
          </w:tcPr>
          <w:p>
            <w:pPr>
              <w:pStyle w:val="TableParagraph"/>
              <w:spacing w:line="181" w:lineRule="exact" w:before="45"/>
              <w:ind w:left="264" w:right="233"/>
              <w:rPr>
                <w:sz w:val="16"/>
              </w:rPr>
            </w:pPr>
            <w:r>
              <w:rPr>
                <w:sz w:val="16"/>
              </w:rPr>
              <w:t>15</w:t>
            </w:r>
          </w:p>
        </w:tc>
        <w:tc>
          <w:tcPr>
            <w:tcW w:w="899" w:type="dxa"/>
            <w:shd w:val="clear" w:color="auto" w:fill="F9FCF9"/>
          </w:tcPr>
          <w:p>
            <w:pPr>
              <w:pStyle w:val="TableParagraph"/>
              <w:spacing w:line="181" w:lineRule="exact" w:before="45"/>
              <w:ind w:left="319"/>
              <w:jc w:val="left"/>
              <w:rPr>
                <w:sz w:val="16"/>
              </w:rPr>
            </w:pPr>
            <w:r>
              <w:rPr>
                <w:sz w:val="16"/>
              </w:rPr>
              <w:t>13.7</w:t>
            </w:r>
          </w:p>
        </w:tc>
        <w:tc>
          <w:tcPr>
            <w:tcW w:w="951" w:type="dxa"/>
            <w:shd w:val="clear" w:color="auto" w:fill="F9FCF9"/>
          </w:tcPr>
          <w:p>
            <w:pPr>
              <w:pStyle w:val="TableParagraph"/>
              <w:spacing w:line="181" w:lineRule="exact" w:before="45"/>
              <w:ind w:left="186" w:right="158"/>
              <w:rPr>
                <w:sz w:val="16"/>
              </w:rPr>
            </w:pPr>
            <w:r>
              <w:rPr>
                <w:sz w:val="16"/>
              </w:rPr>
              <w:t>11</w:t>
            </w:r>
          </w:p>
        </w:tc>
        <w:tc>
          <w:tcPr>
            <w:tcW w:w="1023" w:type="dxa"/>
            <w:shd w:val="clear" w:color="auto" w:fill="F9FCF9"/>
          </w:tcPr>
          <w:p>
            <w:pPr>
              <w:pStyle w:val="TableParagraph"/>
              <w:jc w:val="left"/>
              <w:rPr>
                <w:sz w:val="14"/>
              </w:rPr>
            </w:pPr>
          </w:p>
        </w:tc>
        <w:tc>
          <w:tcPr>
            <w:tcW w:w="1343" w:type="dxa"/>
            <w:shd w:val="clear" w:color="auto" w:fill="F9FCF9"/>
          </w:tcPr>
          <w:p>
            <w:pPr>
              <w:pStyle w:val="TableParagraph"/>
              <w:jc w:val="left"/>
              <w:rPr>
                <w:sz w:val="14"/>
              </w:rPr>
            </w:pPr>
          </w:p>
        </w:tc>
        <w:tc>
          <w:tcPr>
            <w:tcW w:w="1273" w:type="dxa"/>
            <w:tcBorders>
              <w:right w:val="double" w:sz="1" w:space="0" w:color="000000"/>
            </w:tcBorders>
            <w:shd w:val="clear" w:color="auto" w:fill="F9FCF9"/>
          </w:tcPr>
          <w:p>
            <w:pPr>
              <w:pStyle w:val="TableParagraph"/>
              <w:jc w:val="left"/>
              <w:rPr>
                <w:sz w:val="14"/>
              </w:rPr>
            </w:pPr>
          </w:p>
        </w:tc>
        <w:tc>
          <w:tcPr>
            <w:tcW w:w="1116" w:type="dxa"/>
            <w:tcBorders>
              <w:left w:val="double" w:sz="1" w:space="0" w:color="000000"/>
            </w:tcBorders>
            <w:shd w:val="clear" w:color="auto" w:fill="F9FCF9"/>
          </w:tcPr>
          <w:p>
            <w:pPr>
              <w:pStyle w:val="TableParagraph"/>
              <w:spacing w:line="181" w:lineRule="exact" w:before="45"/>
              <w:ind w:left="277" w:right="235"/>
              <w:rPr>
                <w:sz w:val="16"/>
              </w:rPr>
            </w:pPr>
            <w:r>
              <w:rPr>
                <w:sz w:val="16"/>
              </w:rPr>
              <w:t>11.0</w:t>
            </w:r>
          </w:p>
        </w:tc>
        <w:tc>
          <w:tcPr>
            <w:tcW w:w="1650" w:type="dxa"/>
            <w:shd w:val="clear" w:color="auto" w:fill="F9FCF9"/>
          </w:tcPr>
          <w:p>
            <w:pPr>
              <w:pStyle w:val="TableParagraph"/>
              <w:spacing w:line="181" w:lineRule="exact" w:before="45"/>
              <w:ind w:left="537" w:right="518"/>
              <w:rPr>
                <w:sz w:val="16"/>
              </w:rPr>
            </w:pPr>
            <w:r>
              <w:rPr>
                <w:sz w:val="16"/>
              </w:rPr>
              <w:t>11.0</w:t>
            </w: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CCS energy requirement (% more input MWh</w:t>
            </w:r>
            <w:r>
              <w:rPr>
                <w:position w:val="5"/>
                <w:sz w:val="9"/>
              </w:rPr>
              <w:t>−1</w:t>
            </w:r>
            <w:r>
              <w:rPr>
                <w:sz w:val="16"/>
              </w:rPr>
              <w:t>)</w:t>
            </w:r>
          </w:p>
        </w:tc>
        <w:tc>
          <w:tcPr>
            <w:tcW w:w="919" w:type="dxa"/>
            <w:shd w:val="clear" w:color="auto" w:fill="F9FCF9"/>
          </w:tcPr>
          <w:p>
            <w:pPr>
              <w:pStyle w:val="TableParagraph"/>
              <w:jc w:val="left"/>
              <w:rPr>
                <w:sz w:val="14"/>
              </w:rPr>
            </w:pPr>
          </w:p>
        </w:tc>
        <w:tc>
          <w:tcPr>
            <w:tcW w:w="1091" w:type="dxa"/>
            <w:shd w:val="clear" w:color="auto" w:fill="F9FCF9"/>
          </w:tcPr>
          <w:p>
            <w:pPr>
              <w:pStyle w:val="TableParagraph"/>
              <w:jc w:val="left"/>
              <w:rPr>
                <w:sz w:val="14"/>
              </w:rPr>
            </w:pPr>
          </w:p>
        </w:tc>
        <w:tc>
          <w:tcPr>
            <w:tcW w:w="899" w:type="dxa"/>
            <w:shd w:val="clear" w:color="auto" w:fill="F9FCF9"/>
          </w:tcPr>
          <w:p>
            <w:pPr>
              <w:pStyle w:val="TableParagraph"/>
              <w:jc w:val="left"/>
              <w:rPr>
                <w:sz w:val="14"/>
              </w:rPr>
            </w:pPr>
          </w:p>
        </w:tc>
        <w:tc>
          <w:tcPr>
            <w:tcW w:w="951" w:type="dxa"/>
            <w:shd w:val="clear" w:color="auto" w:fill="F9FCF9"/>
          </w:tcPr>
          <w:p>
            <w:pPr>
              <w:pStyle w:val="TableParagraph"/>
              <w:spacing w:line="181" w:lineRule="exact" w:before="45"/>
              <w:ind w:left="186" w:right="158"/>
              <w:rPr>
                <w:sz w:val="16"/>
              </w:rPr>
            </w:pPr>
            <w:r>
              <w:rPr>
                <w:sz w:val="16"/>
              </w:rPr>
              <w:t>25</w:t>
            </w:r>
          </w:p>
        </w:tc>
        <w:tc>
          <w:tcPr>
            <w:tcW w:w="1023" w:type="dxa"/>
            <w:shd w:val="clear" w:color="auto" w:fill="F9FCF9"/>
          </w:tcPr>
          <w:p>
            <w:pPr>
              <w:pStyle w:val="TableParagraph"/>
              <w:spacing w:line="181" w:lineRule="exact" w:before="45"/>
              <w:ind w:left="44" w:right="18"/>
              <w:rPr>
                <w:sz w:val="16"/>
              </w:rPr>
            </w:pPr>
            <w:r>
              <w:rPr>
                <w:sz w:val="16"/>
              </w:rPr>
              <w:t>43</w:t>
            </w:r>
          </w:p>
        </w:tc>
        <w:tc>
          <w:tcPr>
            <w:tcW w:w="1343" w:type="dxa"/>
            <w:shd w:val="clear" w:color="auto" w:fill="F9FCF9"/>
          </w:tcPr>
          <w:p>
            <w:pPr>
              <w:pStyle w:val="TableParagraph"/>
              <w:spacing w:line="181" w:lineRule="exact" w:before="45"/>
              <w:ind w:left="203" w:right="178"/>
              <w:rPr>
                <w:sz w:val="16"/>
              </w:rPr>
            </w:pPr>
            <w:r>
              <w:rPr>
                <w:sz w:val="16"/>
              </w:rPr>
              <w:t>18</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15</w:t>
            </w:r>
          </w:p>
        </w:tc>
        <w:tc>
          <w:tcPr>
            <w:tcW w:w="1116" w:type="dxa"/>
            <w:tcBorders>
              <w:left w:val="double" w:sz="1" w:space="0" w:color="000000"/>
            </w:tcBorders>
            <w:shd w:val="clear" w:color="auto" w:fill="F9FCF9"/>
          </w:tcPr>
          <w:p>
            <w:pPr>
              <w:pStyle w:val="TableParagraph"/>
              <w:spacing w:line="181" w:lineRule="exact" w:before="45"/>
              <w:ind w:left="277" w:right="235"/>
              <w:rPr>
                <w:sz w:val="16"/>
              </w:rPr>
            </w:pPr>
            <w:r>
              <w:rPr>
                <w:sz w:val="16"/>
              </w:rPr>
              <w:t>33</w:t>
            </w:r>
          </w:p>
        </w:tc>
        <w:tc>
          <w:tcPr>
            <w:tcW w:w="1650" w:type="dxa"/>
            <w:shd w:val="clear" w:color="auto" w:fill="F9FCF9"/>
          </w:tcPr>
          <w:p>
            <w:pPr>
              <w:pStyle w:val="TableParagraph"/>
              <w:spacing w:line="181" w:lineRule="exact" w:before="45"/>
              <w:ind w:left="537" w:right="518"/>
              <w:rPr>
                <w:sz w:val="16"/>
              </w:rPr>
            </w:pPr>
            <w:r>
              <w:rPr>
                <w:sz w:val="16"/>
              </w:rPr>
              <w:t>25</w:t>
            </w:r>
          </w:p>
        </w:tc>
      </w:tr>
      <w:tr>
        <w:trPr>
          <w:trHeight w:val="246" w:hRule="atLeast"/>
        </w:trPr>
        <w:tc>
          <w:tcPr>
            <w:tcW w:w="3292" w:type="dxa"/>
            <w:shd w:val="clear" w:color="auto" w:fill="F9FCF9"/>
          </w:tcPr>
          <w:p>
            <w:pPr>
              <w:pStyle w:val="TableParagraph"/>
              <w:spacing w:line="181" w:lineRule="exact" w:before="45"/>
              <w:ind w:left="54"/>
              <w:jc w:val="left"/>
              <w:rPr>
                <w:b/>
                <w:sz w:val="16"/>
              </w:rPr>
            </w:pPr>
            <w:r>
              <w:rPr>
                <w:b/>
                <w:sz w:val="16"/>
              </w:rPr>
              <w:t>CO</w:t>
            </w:r>
            <w:r>
              <w:rPr>
                <w:b/>
                <w:position w:val="-4"/>
                <w:sz w:val="9"/>
              </w:rPr>
              <w:t>2 </w:t>
            </w:r>
            <w:r>
              <w:rPr>
                <w:b/>
                <w:sz w:val="16"/>
              </w:rPr>
              <w:t>reduction per kWh (%)</w:t>
            </w:r>
          </w:p>
        </w:tc>
        <w:tc>
          <w:tcPr>
            <w:tcW w:w="919" w:type="dxa"/>
            <w:shd w:val="clear" w:color="auto" w:fill="F9FCF9"/>
          </w:tcPr>
          <w:p>
            <w:pPr>
              <w:pStyle w:val="TableParagraph"/>
              <w:jc w:val="left"/>
              <w:rPr>
                <w:sz w:val="14"/>
              </w:rPr>
            </w:pPr>
          </w:p>
        </w:tc>
        <w:tc>
          <w:tcPr>
            <w:tcW w:w="1091" w:type="dxa"/>
            <w:shd w:val="clear" w:color="auto" w:fill="F9FCF9"/>
          </w:tcPr>
          <w:p>
            <w:pPr>
              <w:pStyle w:val="TableParagraph"/>
              <w:spacing w:line="181" w:lineRule="exact" w:before="45"/>
              <w:ind w:left="264" w:right="233"/>
              <w:rPr>
                <w:b/>
                <w:sz w:val="16"/>
              </w:rPr>
            </w:pPr>
            <w:r>
              <w:rPr>
                <w:b/>
                <w:sz w:val="16"/>
              </w:rPr>
              <w:t>74</w:t>
            </w:r>
          </w:p>
        </w:tc>
        <w:tc>
          <w:tcPr>
            <w:tcW w:w="899" w:type="dxa"/>
            <w:shd w:val="clear" w:color="auto" w:fill="F9FCF9"/>
          </w:tcPr>
          <w:p>
            <w:pPr>
              <w:pStyle w:val="TableParagraph"/>
              <w:jc w:val="left"/>
              <w:rPr>
                <w:sz w:val="14"/>
              </w:rPr>
            </w:pPr>
          </w:p>
        </w:tc>
        <w:tc>
          <w:tcPr>
            <w:tcW w:w="951" w:type="dxa"/>
            <w:shd w:val="clear" w:color="auto" w:fill="F9FCF9"/>
          </w:tcPr>
          <w:p>
            <w:pPr>
              <w:pStyle w:val="TableParagraph"/>
              <w:spacing w:line="181" w:lineRule="exact" w:before="45"/>
              <w:ind w:left="186" w:right="158"/>
              <w:rPr>
                <w:b/>
                <w:sz w:val="16"/>
              </w:rPr>
            </w:pPr>
            <w:r>
              <w:rPr>
                <w:b/>
                <w:sz w:val="16"/>
              </w:rPr>
              <w:t>88.2</w:t>
            </w:r>
          </w:p>
        </w:tc>
        <w:tc>
          <w:tcPr>
            <w:tcW w:w="1023" w:type="dxa"/>
            <w:shd w:val="clear" w:color="auto" w:fill="F9FCF9"/>
          </w:tcPr>
          <w:p>
            <w:pPr>
              <w:pStyle w:val="TableParagraph"/>
              <w:spacing w:line="181" w:lineRule="exact" w:before="45"/>
              <w:ind w:left="44" w:right="18"/>
              <w:rPr>
                <w:b/>
                <w:sz w:val="16"/>
              </w:rPr>
            </w:pPr>
            <w:r>
              <w:rPr>
                <w:b/>
                <w:sz w:val="16"/>
              </w:rPr>
              <w:t>90.5</w:t>
            </w:r>
          </w:p>
        </w:tc>
        <w:tc>
          <w:tcPr>
            <w:tcW w:w="1343" w:type="dxa"/>
            <w:shd w:val="clear" w:color="auto" w:fill="F9FCF9"/>
          </w:tcPr>
          <w:p>
            <w:pPr>
              <w:pStyle w:val="TableParagraph"/>
              <w:spacing w:line="181" w:lineRule="exact" w:before="45"/>
              <w:ind w:left="203" w:right="178"/>
              <w:rPr>
                <w:b/>
                <w:sz w:val="16"/>
              </w:rPr>
            </w:pPr>
            <w:r>
              <w:rPr>
                <w:b/>
                <w:sz w:val="16"/>
              </w:rPr>
              <w:t>92.0</w:t>
            </w:r>
          </w:p>
        </w:tc>
        <w:tc>
          <w:tcPr>
            <w:tcW w:w="1273" w:type="dxa"/>
            <w:tcBorders>
              <w:right w:val="double" w:sz="1" w:space="0" w:color="000000"/>
            </w:tcBorders>
            <w:shd w:val="clear" w:color="auto" w:fill="F9FCF9"/>
          </w:tcPr>
          <w:p>
            <w:pPr>
              <w:pStyle w:val="TableParagraph"/>
              <w:spacing w:line="181" w:lineRule="exact" w:before="45"/>
              <w:ind w:left="152" w:right="148"/>
              <w:rPr>
                <w:b/>
                <w:sz w:val="16"/>
              </w:rPr>
            </w:pPr>
            <w:r>
              <w:rPr>
                <w:b/>
                <w:sz w:val="16"/>
              </w:rPr>
              <w:t>99.5</w:t>
            </w:r>
          </w:p>
        </w:tc>
        <w:tc>
          <w:tcPr>
            <w:tcW w:w="1116" w:type="dxa"/>
            <w:tcBorders>
              <w:left w:val="double" w:sz="1" w:space="0" w:color="000000"/>
            </w:tcBorders>
            <w:shd w:val="clear" w:color="auto" w:fill="F9FCF9"/>
          </w:tcPr>
          <w:p>
            <w:pPr>
              <w:pStyle w:val="TableParagraph"/>
              <w:jc w:val="left"/>
              <w:rPr>
                <w:sz w:val="14"/>
              </w:rPr>
            </w:pPr>
          </w:p>
        </w:tc>
        <w:tc>
          <w:tcPr>
            <w:tcW w:w="1650" w:type="dxa"/>
            <w:shd w:val="clear" w:color="auto" w:fill="F9FCF9"/>
          </w:tcPr>
          <w:p>
            <w:pPr>
              <w:pStyle w:val="TableParagraph"/>
              <w:jc w:val="left"/>
              <w:rPr>
                <w:sz w:val="14"/>
              </w:rPr>
            </w:pPr>
          </w:p>
        </w:tc>
      </w:tr>
      <w:tr>
        <w:trPr>
          <w:trHeight w:val="246" w:hRule="atLeast"/>
        </w:trPr>
        <w:tc>
          <w:tcPr>
            <w:tcW w:w="3292" w:type="dxa"/>
            <w:shd w:val="clear" w:color="auto" w:fill="F9FCF9"/>
          </w:tcPr>
          <w:p>
            <w:pPr>
              <w:pStyle w:val="TableParagraph"/>
              <w:spacing w:line="181" w:lineRule="exact" w:before="45"/>
              <w:ind w:left="214"/>
              <w:jc w:val="left"/>
              <w:rPr>
                <w:b/>
                <w:i/>
                <w:sz w:val="16"/>
              </w:rPr>
            </w:pPr>
            <w:r>
              <w:rPr>
                <w:b/>
                <w:i/>
                <w:sz w:val="16"/>
              </w:rPr>
              <w:t>Cost Results</w:t>
            </w:r>
          </w:p>
        </w:tc>
        <w:tc>
          <w:tcPr>
            <w:tcW w:w="919" w:type="dxa"/>
            <w:shd w:val="clear" w:color="auto" w:fill="F9FCF9"/>
          </w:tcPr>
          <w:p>
            <w:pPr>
              <w:pStyle w:val="TableParagraph"/>
              <w:spacing w:line="181" w:lineRule="exact" w:before="45"/>
              <w:ind w:left="114" w:right="82"/>
              <w:rPr>
                <w:sz w:val="16"/>
              </w:rPr>
            </w:pPr>
            <w:r>
              <w:rPr>
                <w:sz w:val="16"/>
              </w:rPr>
              <w:t>**</w:t>
            </w:r>
          </w:p>
        </w:tc>
        <w:tc>
          <w:tcPr>
            <w:tcW w:w="1091" w:type="dxa"/>
            <w:shd w:val="clear" w:color="auto" w:fill="F9FCF9"/>
          </w:tcPr>
          <w:p>
            <w:pPr>
              <w:pStyle w:val="TableParagraph"/>
              <w:spacing w:line="181" w:lineRule="exact" w:before="45"/>
              <w:ind w:left="264" w:right="233"/>
              <w:rPr>
                <w:sz w:val="16"/>
              </w:rPr>
            </w:pPr>
            <w:r>
              <w:rPr>
                <w:sz w:val="16"/>
              </w:rPr>
              <w:t>**</w:t>
            </w:r>
          </w:p>
        </w:tc>
        <w:tc>
          <w:tcPr>
            <w:tcW w:w="899" w:type="dxa"/>
            <w:shd w:val="clear" w:color="auto" w:fill="F9FCF9"/>
          </w:tcPr>
          <w:p>
            <w:pPr>
              <w:pStyle w:val="TableParagraph"/>
              <w:jc w:val="left"/>
              <w:rPr>
                <w:sz w:val="14"/>
              </w:rPr>
            </w:pPr>
          </w:p>
        </w:tc>
        <w:tc>
          <w:tcPr>
            <w:tcW w:w="951" w:type="dxa"/>
            <w:shd w:val="clear" w:color="auto" w:fill="F9FCF9"/>
          </w:tcPr>
          <w:p>
            <w:pPr>
              <w:pStyle w:val="TableParagraph"/>
              <w:jc w:val="left"/>
              <w:rPr>
                <w:sz w:val="14"/>
              </w:rPr>
            </w:pPr>
          </w:p>
        </w:tc>
        <w:tc>
          <w:tcPr>
            <w:tcW w:w="1023" w:type="dxa"/>
            <w:shd w:val="clear" w:color="auto" w:fill="F9FCF9"/>
          </w:tcPr>
          <w:p>
            <w:pPr>
              <w:pStyle w:val="TableParagraph"/>
              <w:jc w:val="left"/>
              <w:rPr>
                <w:sz w:val="14"/>
              </w:rPr>
            </w:pPr>
          </w:p>
        </w:tc>
        <w:tc>
          <w:tcPr>
            <w:tcW w:w="1343" w:type="dxa"/>
            <w:shd w:val="clear" w:color="auto" w:fill="F9FCF9"/>
          </w:tcPr>
          <w:p>
            <w:pPr>
              <w:pStyle w:val="TableParagraph"/>
              <w:jc w:val="left"/>
              <w:rPr>
                <w:sz w:val="14"/>
              </w:rPr>
            </w:pPr>
          </w:p>
        </w:tc>
        <w:tc>
          <w:tcPr>
            <w:tcW w:w="1273" w:type="dxa"/>
            <w:tcBorders>
              <w:right w:val="double" w:sz="1" w:space="0" w:color="000000"/>
            </w:tcBorders>
            <w:shd w:val="clear" w:color="auto" w:fill="F9FCF9"/>
          </w:tcPr>
          <w:p>
            <w:pPr>
              <w:pStyle w:val="TableParagraph"/>
              <w:jc w:val="left"/>
              <w:rPr>
                <w:sz w:val="14"/>
              </w:rPr>
            </w:pPr>
          </w:p>
        </w:tc>
        <w:tc>
          <w:tcPr>
            <w:tcW w:w="1116" w:type="dxa"/>
            <w:tcBorders>
              <w:left w:val="double" w:sz="1" w:space="0" w:color="000000"/>
            </w:tcBorders>
            <w:shd w:val="clear" w:color="auto" w:fill="F9FCF9"/>
          </w:tcPr>
          <w:p>
            <w:pPr>
              <w:pStyle w:val="TableParagraph"/>
              <w:jc w:val="left"/>
              <w:rPr>
                <w:sz w:val="14"/>
              </w:rPr>
            </w:pPr>
          </w:p>
        </w:tc>
        <w:tc>
          <w:tcPr>
            <w:tcW w:w="1650" w:type="dxa"/>
            <w:shd w:val="clear" w:color="auto" w:fill="F9FCF9"/>
          </w:tcPr>
          <w:p>
            <w:pPr>
              <w:pStyle w:val="TableParagraph"/>
              <w:jc w:val="left"/>
              <w:rPr>
                <w:sz w:val="14"/>
              </w:rPr>
            </w:pP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Cost year basis (constant dollars)</w:t>
            </w:r>
          </w:p>
        </w:tc>
        <w:tc>
          <w:tcPr>
            <w:tcW w:w="919" w:type="dxa"/>
            <w:shd w:val="clear" w:color="auto" w:fill="F9FCF9"/>
          </w:tcPr>
          <w:p>
            <w:pPr>
              <w:pStyle w:val="TableParagraph"/>
              <w:jc w:val="left"/>
              <w:rPr>
                <w:sz w:val="14"/>
              </w:rPr>
            </w:pPr>
          </w:p>
        </w:tc>
        <w:tc>
          <w:tcPr>
            <w:tcW w:w="1091" w:type="dxa"/>
            <w:shd w:val="clear" w:color="auto" w:fill="F9FCF9"/>
          </w:tcPr>
          <w:p>
            <w:pPr>
              <w:pStyle w:val="TableParagraph"/>
              <w:spacing w:line="181" w:lineRule="exact" w:before="45"/>
              <w:ind w:left="264" w:right="233"/>
              <w:rPr>
                <w:sz w:val="16"/>
              </w:rPr>
            </w:pPr>
            <w:r>
              <w:rPr>
                <w:sz w:val="16"/>
              </w:rPr>
              <w:t>2001</w:t>
            </w:r>
          </w:p>
        </w:tc>
        <w:tc>
          <w:tcPr>
            <w:tcW w:w="899" w:type="dxa"/>
            <w:shd w:val="clear" w:color="auto" w:fill="F9FCF9"/>
          </w:tcPr>
          <w:p>
            <w:pPr>
              <w:pStyle w:val="TableParagraph"/>
              <w:spacing w:line="181" w:lineRule="exact" w:before="45"/>
              <w:ind w:left="299"/>
              <w:jc w:val="left"/>
              <w:rPr>
                <w:sz w:val="16"/>
              </w:rPr>
            </w:pPr>
            <w:r>
              <w:rPr>
                <w:sz w:val="16"/>
              </w:rPr>
              <w:t>2000</w:t>
            </w:r>
          </w:p>
        </w:tc>
        <w:tc>
          <w:tcPr>
            <w:tcW w:w="951" w:type="dxa"/>
            <w:shd w:val="clear" w:color="auto" w:fill="F9FCF9"/>
          </w:tcPr>
          <w:p>
            <w:pPr>
              <w:pStyle w:val="TableParagraph"/>
              <w:jc w:val="left"/>
              <w:rPr>
                <w:sz w:val="14"/>
              </w:rPr>
            </w:pPr>
          </w:p>
        </w:tc>
        <w:tc>
          <w:tcPr>
            <w:tcW w:w="1023" w:type="dxa"/>
            <w:shd w:val="clear" w:color="auto" w:fill="F9FCF9"/>
          </w:tcPr>
          <w:p>
            <w:pPr>
              <w:pStyle w:val="TableParagraph"/>
              <w:spacing w:line="181" w:lineRule="exact" w:before="45"/>
              <w:ind w:left="44" w:right="18"/>
              <w:rPr>
                <w:sz w:val="16"/>
              </w:rPr>
            </w:pPr>
            <w:r>
              <w:rPr>
                <w:sz w:val="16"/>
              </w:rPr>
              <w:t>2003</w:t>
            </w:r>
          </w:p>
        </w:tc>
        <w:tc>
          <w:tcPr>
            <w:tcW w:w="1343" w:type="dxa"/>
            <w:shd w:val="clear" w:color="auto" w:fill="F9FCF9"/>
          </w:tcPr>
          <w:p>
            <w:pPr>
              <w:pStyle w:val="TableParagraph"/>
              <w:spacing w:line="181" w:lineRule="exact" w:before="45"/>
              <w:ind w:left="203" w:right="178"/>
              <w:rPr>
                <w:sz w:val="16"/>
              </w:rPr>
            </w:pPr>
            <w:r>
              <w:rPr>
                <w:sz w:val="16"/>
              </w:rPr>
              <w:t>2003</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2003</w:t>
            </w:r>
          </w:p>
        </w:tc>
        <w:tc>
          <w:tcPr>
            <w:tcW w:w="1116" w:type="dxa"/>
            <w:tcBorders>
              <w:left w:val="double" w:sz="1" w:space="0" w:color="000000"/>
            </w:tcBorders>
            <w:shd w:val="clear" w:color="auto" w:fill="F9FCF9"/>
          </w:tcPr>
          <w:p>
            <w:pPr>
              <w:pStyle w:val="TableParagraph"/>
              <w:jc w:val="left"/>
              <w:rPr>
                <w:sz w:val="14"/>
              </w:rPr>
            </w:pPr>
          </w:p>
        </w:tc>
        <w:tc>
          <w:tcPr>
            <w:tcW w:w="1650" w:type="dxa"/>
            <w:shd w:val="clear" w:color="auto" w:fill="F9FCF9"/>
          </w:tcPr>
          <w:p>
            <w:pPr>
              <w:pStyle w:val="TableParagraph"/>
              <w:jc w:val="left"/>
              <w:rPr>
                <w:sz w:val="14"/>
              </w:rPr>
            </w:pP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Fixed charge factor (%)</w:t>
            </w:r>
          </w:p>
        </w:tc>
        <w:tc>
          <w:tcPr>
            <w:tcW w:w="919" w:type="dxa"/>
            <w:shd w:val="clear" w:color="auto" w:fill="F9FCF9"/>
          </w:tcPr>
          <w:p>
            <w:pPr>
              <w:pStyle w:val="TableParagraph"/>
              <w:spacing w:line="181" w:lineRule="exact" w:before="45"/>
              <w:ind w:left="114" w:right="82"/>
              <w:rPr>
                <w:sz w:val="16"/>
              </w:rPr>
            </w:pPr>
            <w:r>
              <w:rPr>
                <w:sz w:val="16"/>
              </w:rPr>
              <w:t>13.0</w:t>
            </w:r>
          </w:p>
        </w:tc>
        <w:tc>
          <w:tcPr>
            <w:tcW w:w="1091" w:type="dxa"/>
            <w:shd w:val="clear" w:color="auto" w:fill="F9FCF9"/>
          </w:tcPr>
          <w:p>
            <w:pPr>
              <w:pStyle w:val="TableParagraph"/>
              <w:spacing w:line="181" w:lineRule="exact" w:before="45"/>
              <w:ind w:left="264" w:right="233"/>
              <w:rPr>
                <w:sz w:val="16"/>
              </w:rPr>
            </w:pPr>
            <w:r>
              <w:rPr>
                <w:sz w:val="16"/>
              </w:rPr>
              <w:t>9.4</w:t>
            </w:r>
          </w:p>
        </w:tc>
        <w:tc>
          <w:tcPr>
            <w:tcW w:w="899" w:type="dxa"/>
            <w:shd w:val="clear" w:color="auto" w:fill="F9FCF9"/>
          </w:tcPr>
          <w:p>
            <w:pPr>
              <w:pStyle w:val="TableParagraph"/>
              <w:jc w:val="left"/>
              <w:rPr>
                <w:sz w:val="14"/>
              </w:rPr>
            </w:pPr>
          </w:p>
        </w:tc>
        <w:tc>
          <w:tcPr>
            <w:tcW w:w="951" w:type="dxa"/>
            <w:shd w:val="clear" w:color="auto" w:fill="F9FCF9"/>
          </w:tcPr>
          <w:p>
            <w:pPr>
              <w:pStyle w:val="TableParagraph"/>
              <w:spacing w:line="181" w:lineRule="exact" w:before="45"/>
              <w:ind w:left="186" w:right="158"/>
              <w:rPr>
                <w:sz w:val="16"/>
              </w:rPr>
            </w:pPr>
            <w:r>
              <w:rPr>
                <w:sz w:val="16"/>
              </w:rPr>
              <w:t>11</w:t>
            </w:r>
          </w:p>
        </w:tc>
        <w:tc>
          <w:tcPr>
            <w:tcW w:w="1023" w:type="dxa"/>
            <w:shd w:val="clear" w:color="auto" w:fill="F9FCF9"/>
          </w:tcPr>
          <w:p>
            <w:pPr>
              <w:pStyle w:val="TableParagraph"/>
              <w:jc w:val="left"/>
              <w:rPr>
                <w:sz w:val="14"/>
              </w:rPr>
            </w:pPr>
          </w:p>
        </w:tc>
        <w:tc>
          <w:tcPr>
            <w:tcW w:w="1343" w:type="dxa"/>
            <w:shd w:val="clear" w:color="auto" w:fill="F9FCF9"/>
          </w:tcPr>
          <w:p>
            <w:pPr>
              <w:pStyle w:val="TableParagraph"/>
              <w:jc w:val="left"/>
              <w:rPr>
                <w:sz w:val="14"/>
              </w:rPr>
            </w:pPr>
          </w:p>
        </w:tc>
        <w:tc>
          <w:tcPr>
            <w:tcW w:w="1273" w:type="dxa"/>
            <w:tcBorders>
              <w:right w:val="double" w:sz="1" w:space="0" w:color="000000"/>
            </w:tcBorders>
            <w:shd w:val="clear" w:color="auto" w:fill="F9FCF9"/>
          </w:tcPr>
          <w:p>
            <w:pPr>
              <w:pStyle w:val="TableParagraph"/>
              <w:jc w:val="left"/>
              <w:rPr>
                <w:sz w:val="14"/>
              </w:rPr>
            </w:pPr>
          </w:p>
        </w:tc>
        <w:tc>
          <w:tcPr>
            <w:tcW w:w="1116" w:type="dxa"/>
            <w:tcBorders>
              <w:left w:val="double" w:sz="1" w:space="0" w:color="000000"/>
            </w:tcBorders>
            <w:shd w:val="clear" w:color="auto" w:fill="F9FCF9"/>
          </w:tcPr>
          <w:p>
            <w:pPr>
              <w:pStyle w:val="TableParagraph"/>
              <w:spacing w:line="181" w:lineRule="exact" w:before="45"/>
              <w:ind w:left="277" w:right="235"/>
              <w:rPr>
                <w:sz w:val="16"/>
              </w:rPr>
            </w:pPr>
            <w:r>
              <w:rPr>
                <w:sz w:val="16"/>
              </w:rPr>
              <w:t>11.0</w:t>
            </w:r>
          </w:p>
        </w:tc>
        <w:tc>
          <w:tcPr>
            <w:tcW w:w="1650" w:type="dxa"/>
            <w:shd w:val="clear" w:color="auto" w:fill="F9FCF9"/>
          </w:tcPr>
          <w:p>
            <w:pPr>
              <w:pStyle w:val="TableParagraph"/>
              <w:spacing w:line="181" w:lineRule="exact" w:before="45"/>
              <w:ind w:left="537" w:right="518"/>
              <w:rPr>
                <w:sz w:val="16"/>
              </w:rPr>
            </w:pPr>
            <w:r>
              <w:rPr>
                <w:sz w:val="16"/>
              </w:rPr>
              <w:t>11.0</w:t>
            </w: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Reference plant TCR (US$ kW</w:t>
            </w:r>
            <w:r>
              <w:rPr>
                <w:position w:val="5"/>
                <w:sz w:val="9"/>
              </w:rPr>
              <w:t>−1</w:t>
            </w:r>
            <w:r>
              <w:rPr>
                <w:sz w:val="16"/>
              </w:rPr>
              <w:t>)</w:t>
            </w:r>
          </w:p>
        </w:tc>
        <w:tc>
          <w:tcPr>
            <w:tcW w:w="919" w:type="dxa"/>
            <w:shd w:val="clear" w:color="auto" w:fill="F9FCF9"/>
          </w:tcPr>
          <w:p>
            <w:pPr>
              <w:pStyle w:val="TableParagraph"/>
              <w:jc w:val="left"/>
              <w:rPr>
                <w:sz w:val="14"/>
              </w:rPr>
            </w:pPr>
          </w:p>
        </w:tc>
        <w:tc>
          <w:tcPr>
            <w:tcW w:w="1091" w:type="dxa"/>
            <w:shd w:val="clear" w:color="auto" w:fill="F9FCF9"/>
          </w:tcPr>
          <w:p>
            <w:pPr>
              <w:pStyle w:val="TableParagraph"/>
              <w:spacing w:line="181" w:lineRule="exact" w:before="45"/>
              <w:ind w:left="31"/>
              <w:rPr>
                <w:sz w:val="16"/>
              </w:rPr>
            </w:pPr>
            <w:r>
              <w:rPr>
                <w:sz w:val="16"/>
              </w:rPr>
              <w:t>0</w:t>
            </w:r>
          </w:p>
        </w:tc>
        <w:tc>
          <w:tcPr>
            <w:tcW w:w="899" w:type="dxa"/>
            <w:shd w:val="clear" w:color="auto" w:fill="F9FCF9"/>
          </w:tcPr>
          <w:p>
            <w:pPr>
              <w:pStyle w:val="TableParagraph"/>
              <w:jc w:val="left"/>
              <w:rPr>
                <w:sz w:val="14"/>
              </w:rPr>
            </w:pPr>
          </w:p>
        </w:tc>
        <w:tc>
          <w:tcPr>
            <w:tcW w:w="951" w:type="dxa"/>
            <w:shd w:val="clear" w:color="auto" w:fill="F9FCF9"/>
          </w:tcPr>
          <w:p>
            <w:pPr>
              <w:pStyle w:val="TableParagraph"/>
              <w:spacing w:line="181" w:lineRule="exact" w:before="45"/>
              <w:ind w:left="186" w:right="158"/>
              <w:rPr>
                <w:sz w:val="16"/>
              </w:rPr>
            </w:pPr>
            <w:r>
              <w:rPr>
                <w:sz w:val="16"/>
              </w:rPr>
              <w:t>1260</w:t>
            </w:r>
          </w:p>
        </w:tc>
        <w:tc>
          <w:tcPr>
            <w:tcW w:w="1023" w:type="dxa"/>
            <w:shd w:val="clear" w:color="auto" w:fill="F9FCF9"/>
          </w:tcPr>
          <w:p>
            <w:pPr>
              <w:pStyle w:val="TableParagraph"/>
              <w:spacing w:line="181" w:lineRule="exact" w:before="45"/>
              <w:ind w:left="44" w:right="18"/>
              <w:rPr>
                <w:sz w:val="16"/>
              </w:rPr>
            </w:pPr>
            <w:r>
              <w:rPr>
                <w:sz w:val="16"/>
              </w:rPr>
              <w:t>1500</w:t>
            </w:r>
          </w:p>
        </w:tc>
        <w:tc>
          <w:tcPr>
            <w:tcW w:w="1343" w:type="dxa"/>
            <w:shd w:val="clear" w:color="auto" w:fill="F9FCF9"/>
          </w:tcPr>
          <w:p>
            <w:pPr>
              <w:pStyle w:val="TableParagraph"/>
              <w:spacing w:line="181" w:lineRule="exact" w:before="45"/>
              <w:ind w:left="203" w:right="178"/>
              <w:rPr>
                <w:sz w:val="16"/>
              </w:rPr>
            </w:pPr>
            <w:r>
              <w:rPr>
                <w:sz w:val="16"/>
              </w:rPr>
              <w:t>1500</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1500</w:t>
            </w:r>
          </w:p>
        </w:tc>
        <w:tc>
          <w:tcPr>
            <w:tcW w:w="1116" w:type="dxa"/>
            <w:tcBorders>
              <w:left w:val="double" w:sz="1" w:space="0" w:color="000000"/>
            </w:tcBorders>
            <w:shd w:val="clear" w:color="auto" w:fill="F9FCF9"/>
          </w:tcPr>
          <w:p>
            <w:pPr>
              <w:pStyle w:val="TableParagraph"/>
              <w:spacing w:line="181" w:lineRule="exact" w:before="45"/>
              <w:ind w:left="277" w:right="235"/>
              <w:rPr>
                <w:sz w:val="16"/>
              </w:rPr>
            </w:pPr>
            <w:r>
              <w:rPr>
                <w:sz w:val="16"/>
              </w:rPr>
              <w:t>1022</w:t>
            </w:r>
          </w:p>
        </w:tc>
        <w:tc>
          <w:tcPr>
            <w:tcW w:w="1650" w:type="dxa"/>
            <w:shd w:val="clear" w:color="auto" w:fill="F9FCF9"/>
          </w:tcPr>
          <w:p>
            <w:pPr>
              <w:pStyle w:val="TableParagraph"/>
              <w:spacing w:line="181" w:lineRule="exact" w:before="45"/>
              <w:ind w:left="537" w:right="518"/>
              <w:rPr>
                <w:sz w:val="16"/>
              </w:rPr>
            </w:pPr>
            <w:r>
              <w:rPr>
                <w:sz w:val="16"/>
              </w:rPr>
              <w:t>1022</w:t>
            </w: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Capture plant TCR (US$ kW</w:t>
            </w:r>
            <w:r>
              <w:rPr>
                <w:position w:val="5"/>
                <w:sz w:val="9"/>
              </w:rPr>
              <w:t>−1</w:t>
            </w:r>
            <w:r>
              <w:rPr>
                <w:sz w:val="16"/>
              </w:rPr>
              <w:t>)</w:t>
            </w:r>
          </w:p>
        </w:tc>
        <w:tc>
          <w:tcPr>
            <w:tcW w:w="919" w:type="dxa"/>
            <w:shd w:val="clear" w:color="auto" w:fill="F9FCF9"/>
          </w:tcPr>
          <w:p>
            <w:pPr>
              <w:pStyle w:val="TableParagraph"/>
              <w:spacing w:line="181" w:lineRule="exact" w:before="45"/>
              <w:ind w:left="114" w:right="82"/>
              <w:rPr>
                <w:sz w:val="16"/>
              </w:rPr>
            </w:pPr>
            <w:r>
              <w:rPr>
                <w:sz w:val="16"/>
              </w:rPr>
              <w:t>1527</w:t>
            </w:r>
          </w:p>
        </w:tc>
        <w:tc>
          <w:tcPr>
            <w:tcW w:w="1091" w:type="dxa"/>
            <w:shd w:val="clear" w:color="auto" w:fill="F9FCF9"/>
          </w:tcPr>
          <w:p>
            <w:pPr>
              <w:pStyle w:val="TableParagraph"/>
              <w:spacing w:line="181" w:lineRule="exact" w:before="45"/>
              <w:ind w:left="264" w:right="233"/>
              <w:rPr>
                <w:sz w:val="16"/>
              </w:rPr>
            </w:pPr>
            <w:r>
              <w:rPr>
                <w:sz w:val="16"/>
              </w:rPr>
              <w:t>909</w:t>
            </w:r>
          </w:p>
        </w:tc>
        <w:tc>
          <w:tcPr>
            <w:tcW w:w="899" w:type="dxa"/>
            <w:shd w:val="clear" w:color="auto" w:fill="F9FCF9"/>
          </w:tcPr>
          <w:p>
            <w:pPr>
              <w:pStyle w:val="TableParagraph"/>
              <w:spacing w:line="181" w:lineRule="exact" w:before="45"/>
              <w:ind w:left="299"/>
              <w:jc w:val="left"/>
              <w:rPr>
                <w:sz w:val="16"/>
              </w:rPr>
            </w:pPr>
            <w:r>
              <w:rPr>
                <w:sz w:val="16"/>
              </w:rPr>
              <w:t>4570</w:t>
            </w:r>
          </w:p>
        </w:tc>
        <w:tc>
          <w:tcPr>
            <w:tcW w:w="951" w:type="dxa"/>
            <w:shd w:val="clear" w:color="auto" w:fill="F9FCF9"/>
          </w:tcPr>
          <w:p>
            <w:pPr>
              <w:pStyle w:val="TableParagraph"/>
              <w:spacing w:line="181" w:lineRule="exact" w:before="45"/>
              <w:ind w:left="186" w:right="158"/>
              <w:rPr>
                <w:sz w:val="16"/>
              </w:rPr>
            </w:pPr>
            <w:r>
              <w:rPr>
                <w:sz w:val="16"/>
              </w:rPr>
              <w:t>1857</w:t>
            </w:r>
          </w:p>
        </w:tc>
        <w:tc>
          <w:tcPr>
            <w:tcW w:w="1023" w:type="dxa"/>
            <w:shd w:val="clear" w:color="auto" w:fill="F9FCF9"/>
          </w:tcPr>
          <w:p>
            <w:pPr>
              <w:pStyle w:val="TableParagraph"/>
              <w:spacing w:line="181" w:lineRule="exact" w:before="45"/>
              <w:ind w:left="44" w:right="18"/>
              <w:rPr>
                <w:sz w:val="16"/>
              </w:rPr>
            </w:pPr>
            <w:r>
              <w:rPr>
                <w:sz w:val="16"/>
              </w:rPr>
              <w:t>2853</w:t>
            </w:r>
          </w:p>
        </w:tc>
        <w:tc>
          <w:tcPr>
            <w:tcW w:w="1343" w:type="dxa"/>
            <w:shd w:val="clear" w:color="auto" w:fill="F9FCF9"/>
          </w:tcPr>
          <w:p>
            <w:pPr>
              <w:pStyle w:val="TableParagraph"/>
              <w:spacing w:line="181" w:lineRule="exact" w:before="45"/>
              <w:ind w:left="203" w:right="178"/>
              <w:rPr>
                <w:sz w:val="16"/>
              </w:rPr>
            </w:pPr>
            <w:r>
              <w:rPr>
                <w:sz w:val="16"/>
              </w:rPr>
              <w:t>2731</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1912</w:t>
            </w:r>
          </w:p>
        </w:tc>
        <w:tc>
          <w:tcPr>
            <w:tcW w:w="1116" w:type="dxa"/>
            <w:tcBorders>
              <w:left w:val="double" w:sz="1" w:space="0" w:color="000000"/>
            </w:tcBorders>
            <w:shd w:val="clear" w:color="auto" w:fill="F9FCF9"/>
          </w:tcPr>
          <w:p>
            <w:pPr>
              <w:pStyle w:val="TableParagraph"/>
              <w:spacing w:line="181" w:lineRule="exact" w:before="45"/>
              <w:ind w:left="277" w:right="235"/>
              <w:rPr>
                <w:sz w:val="16"/>
              </w:rPr>
            </w:pPr>
            <w:r>
              <w:rPr>
                <w:sz w:val="16"/>
              </w:rPr>
              <w:t>1784</w:t>
            </w:r>
          </w:p>
        </w:tc>
        <w:tc>
          <w:tcPr>
            <w:tcW w:w="1650" w:type="dxa"/>
            <w:shd w:val="clear" w:color="auto" w:fill="F9FCF9"/>
          </w:tcPr>
          <w:p>
            <w:pPr>
              <w:pStyle w:val="TableParagraph"/>
              <w:spacing w:line="181" w:lineRule="exact" w:before="45"/>
              <w:ind w:left="537" w:right="518"/>
              <w:rPr>
                <w:sz w:val="16"/>
              </w:rPr>
            </w:pPr>
            <w:r>
              <w:rPr>
                <w:sz w:val="16"/>
              </w:rPr>
              <w:t>1678</w:t>
            </w: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Incremental TCR for capture (US$ kW</w:t>
            </w:r>
            <w:r>
              <w:rPr>
                <w:position w:val="5"/>
                <w:sz w:val="9"/>
              </w:rPr>
              <w:t>−1</w:t>
            </w:r>
            <w:r>
              <w:rPr>
                <w:sz w:val="16"/>
              </w:rPr>
              <w:t>)</w:t>
            </w:r>
          </w:p>
        </w:tc>
        <w:tc>
          <w:tcPr>
            <w:tcW w:w="919" w:type="dxa"/>
            <w:shd w:val="clear" w:color="auto" w:fill="F9FCF9"/>
          </w:tcPr>
          <w:p>
            <w:pPr>
              <w:pStyle w:val="TableParagraph"/>
              <w:spacing w:line="181" w:lineRule="exact" w:before="45"/>
              <w:ind w:left="114" w:right="82"/>
              <w:rPr>
                <w:sz w:val="16"/>
              </w:rPr>
            </w:pPr>
            <w:r>
              <w:rPr>
                <w:sz w:val="16"/>
              </w:rPr>
              <w:t>1198</w:t>
            </w:r>
          </w:p>
        </w:tc>
        <w:tc>
          <w:tcPr>
            <w:tcW w:w="1091" w:type="dxa"/>
            <w:shd w:val="clear" w:color="auto" w:fill="F9FCF9"/>
          </w:tcPr>
          <w:p>
            <w:pPr>
              <w:pStyle w:val="TableParagraph"/>
              <w:spacing w:line="181" w:lineRule="exact" w:before="45"/>
              <w:ind w:left="264" w:right="233"/>
              <w:rPr>
                <w:sz w:val="16"/>
              </w:rPr>
            </w:pPr>
            <w:r>
              <w:rPr>
                <w:sz w:val="16"/>
              </w:rPr>
              <w:t>909</w:t>
            </w:r>
          </w:p>
        </w:tc>
        <w:tc>
          <w:tcPr>
            <w:tcW w:w="899" w:type="dxa"/>
            <w:shd w:val="clear" w:color="auto" w:fill="F9FCF9"/>
          </w:tcPr>
          <w:p>
            <w:pPr>
              <w:pStyle w:val="TableParagraph"/>
              <w:jc w:val="left"/>
              <w:rPr>
                <w:sz w:val="14"/>
              </w:rPr>
            </w:pPr>
          </w:p>
        </w:tc>
        <w:tc>
          <w:tcPr>
            <w:tcW w:w="951" w:type="dxa"/>
            <w:shd w:val="clear" w:color="auto" w:fill="F9FCF9"/>
          </w:tcPr>
          <w:p>
            <w:pPr>
              <w:pStyle w:val="TableParagraph"/>
              <w:spacing w:line="181" w:lineRule="exact" w:before="45"/>
              <w:ind w:left="186" w:right="158"/>
              <w:rPr>
                <w:sz w:val="16"/>
              </w:rPr>
            </w:pPr>
            <w:r>
              <w:rPr>
                <w:sz w:val="16"/>
              </w:rPr>
              <w:t>597</w:t>
            </w:r>
          </w:p>
        </w:tc>
        <w:tc>
          <w:tcPr>
            <w:tcW w:w="1023" w:type="dxa"/>
            <w:shd w:val="clear" w:color="auto" w:fill="F9FCF9"/>
          </w:tcPr>
          <w:p>
            <w:pPr>
              <w:pStyle w:val="TableParagraph"/>
              <w:spacing w:line="181" w:lineRule="exact" w:before="45"/>
              <w:ind w:left="44" w:right="18"/>
              <w:rPr>
                <w:sz w:val="16"/>
              </w:rPr>
            </w:pPr>
            <w:r>
              <w:rPr>
                <w:sz w:val="16"/>
              </w:rPr>
              <w:t>1354</w:t>
            </w:r>
          </w:p>
        </w:tc>
        <w:tc>
          <w:tcPr>
            <w:tcW w:w="1343" w:type="dxa"/>
            <w:shd w:val="clear" w:color="auto" w:fill="F9FCF9"/>
          </w:tcPr>
          <w:p>
            <w:pPr>
              <w:pStyle w:val="TableParagraph"/>
              <w:spacing w:line="181" w:lineRule="exact" w:before="45"/>
              <w:ind w:left="203" w:right="178"/>
              <w:rPr>
                <w:sz w:val="16"/>
              </w:rPr>
            </w:pPr>
            <w:r>
              <w:rPr>
                <w:sz w:val="16"/>
              </w:rPr>
              <w:t>1232</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413</w:t>
            </w:r>
          </w:p>
        </w:tc>
        <w:tc>
          <w:tcPr>
            <w:tcW w:w="1116" w:type="dxa"/>
            <w:tcBorders>
              <w:left w:val="double" w:sz="1" w:space="0" w:color="000000"/>
            </w:tcBorders>
            <w:shd w:val="clear" w:color="auto" w:fill="F9FCF9"/>
          </w:tcPr>
          <w:p>
            <w:pPr>
              <w:pStyle w:val="TableParagraph"/>
              <w:spacing w:line="181" w:lineRule="exact" w:before="45"/>
              <w:ind w:left="277" w:right="235"/>
              <w:rPr>
                <w:sz w:val="16"/>
              </w:rPr>
            </w:pPr>
            <w:r>
              <w:rPr>
                <w:sz w:val="16"/>
              </w:rPr>
              <w:t>762</w:t>
            </w:r>
          </w:p>
        </w:tc>
        <w:tc>
          <w:tcPr>
            <w:tcW w:w="1650" w:type="dxa"/>
            <w:shd w:val="clear" w:color="auto" w:fill="F9FCF9"/>
          </w:tcPr>
          <w:p>
            <w:pPr>
              <w:pStyle w:val="TableParagraph"/>
              <w:spacing w:line="181" w:lineRule="exact" w:before="45"/>
              <w:ind w:left="537" w:right="518"/>
              <w:rPr>
                <w:sz w:val="16"/>
              </w:rPr>
            </w:pPr>
            <w:r>
              <w:rPr>
                <w:sz w:val="16"/>
              </w:rPr>
              <w:t>656</w:t>
            </w:r>
          </w:p>
        </w:tc>
      </w:tr>
      <w:tr>
        <w:trPr>
          <w:trHeight w:val="246" w:hRule="atLeast"/>
        </w:trPr>
        <w:tc>
          <w:tcPr>
            <w:tcW w:w="3292" w:type="dxa"/>
            <w:shd w:val="clear" w:color="auto" w:fill="F9FCF9"/>
          </w:tcPr>
          <w:p>
            <w:pPr>
              <w:pStyle w:val="TableParagraph"/>
              <w:spacing w:line="181" w:lineRule="exact" w:before="45"/>
              <w:ind w:left="54"/>
              <w:jc w:val="left"/>
              <w:rPr>
                <w:b/>
                <w:sz w:val="16"/>
              </w:rPr>
            </w:pPr>
            <w:r>
              <w:rPr>
                <w:b/>
                <w:sz w:val="16"/>
              </w:rPr>
              <w:t>Reference plant COE (uS$ mWh</w:t>
            </w:r>
            <w:r>
              <w:rPr>
                <w:b/>
                <w:position w:val="5"/>
                <w:sz w:val="9"/>
              </w:rPr>
              <w:t>−1</w:t>
            </w:r>
            <w:r>
              <w:rPr>
                <w:b/>
                <w:sz w:val="16"/>
              </w:rPr>
              <w:t>)</w:t>
            </w:r>
          </w:p>
        </w:tc>
        <w:tc>
          <w:tcPr>
            <w:tcW w:w="919" w:type="dxa"/>
            <w:shd w:val="clear" w:color="auto" w:fill="F9FCF9"/>
          </w:tcPr>
          <w:p>
            <w:pPr>
              <w:pStyle w:val="TableParagraph"/>
              <w:jc w:val="left"/>
              <w:rPr>
                <w:sz w:val="14"/>
              </w:rPr>
            </w:pPr>
          </w:p>
        </w:tc>
        <w:tc>
          <w:tcPr>
            <w:tcW w:w="1091" w:type="dxa"/>
            <w:shd w:val="clear" w:color="auto" w:fill="F9FCF9"/>
          </w:tcPr>
          <w:p>
            <w:pPr>
              <w:pStyle w:val="TableParagraph"/>
              <w:jc w:val="left"/>
              <w:rPr>
                <w:sz w:val="14"/>
              </w:rPr>
            </w:pPr>
          </w:p>
        </w:tc>
        <w:tc>
          <w:tcPr>
            <w:tcW w:w="899" w:type="dxa"/>
            <w:shd w:val="clear" w:color="auto" w:fill="F9FCF9"/>
          </w:tcPr>
          <w:p>
            <w:pPr>
              <w:pStyle w:val="TableParagraph"/>
              <w:spacing w:line="181" w:lineRule="exact" w:before="45"/>
              <w:ind w:left="319"/>
              <w:jc w:val="left"/>
              <w:rPr>
                <w:b/>
                <w:sz w:val="16"/>
              </w:rPr>
            </w:pPr>
            <w:r>
              <w:rPr>
                <w:b/>
                <w:sz w:val="16"/>
              </w:rPr>
              <w:t>44.5</w:t>
            </w:r>
          </w:p>
        </w:tc>
        <w:tc>
          <w:tcPr>
            <w:tcW w:w="951" w:type="dxa"/>
            <w:shd w:val="clear" w:color="auto" w:fill="F9FCF9"/>
          </w:tcPr>
          <w:p>
            <w:pPr>
              <w:pStyle w:val="TableParagraph"/>
              <w:spacing w:line="181" w:lineRule="exact" w:before="45"/>
              <w:ind w:left="186" w:right="158"/>
              <w:rPr>
                <w:b/>
                <w:sz w:val="16"/>
              </w:rPr>
            </w:pPr>
            <w:r>
              <w:rPr>
                <w:b/>
                <w:sz w:val="16"/>
              </w:rPr>
              <w:t>44</w:t>
            </w:r>
          </w:p>
        </w:tc>
        <w:tc>
          <w:tcPr>
            <w:tcW w:w="1023" w:type="dxa"/>
            <w:shd w:val="clear" w:color="auto" w:fill="F9FCF9"/>
          </w:tcPr>
          <w:p>
            <w:pPr>
              <w:pStyle w:val="TableParagraph"/>
              <w:spacing w:line="181" w:lineRule="exact" w:before="45"/>
              <w:ind w:left="44" w:right="18"/>
              <w:rPr>
                <w:b/>
                <w:sz w:val="16"/>
              </w:rPr>
            </w:pPr>
            <w:r>
              <w:rPr>
                <w:b/>
                <w:sz w:val="16"/>
              </w:rPr>
              <w:t>45.3</w:t>
            </w:r>
          </w:p>
        </w:tc>
        <w:tc>
          <w:tcPr>
            <w:tcW w:w="1343" w:type="dxa"/>
            <w:shd w:val="clear" w:color="auto" w:fill="F9FCF9"/>
          </w:tcPr>
          <w:p>
            <w:pPr>
              <w:pStyle w:val="TableParagraph"/>
              <w:spacing w:line="181" w:lineRule="exact" w:before="45"/>
              <w:ind w:left="203" w:right="178"/>
              <w:rPr>
                <w:b/>
                <w:sz w:val="16"/>
              </w:rPr>
            </w:pPr>
            <w:r>
              <w:rPr>
                <w:b/>
                <w:sz w:val="16"/>
              </w:rPr>
              <w:t>45.3</w:t>
            </w:r>
          </w:p>
        </w:tc>
        <w:tc>
          <w:tcPr>
            <w:tcW w:w="1273" w:type="dxa"/>
            <w:tcBorders>
              <w:right w:val="double" w:sz="1" w:space="0" w:color="000000"/>
            </w:tcBorders>
            <w:shd w:val="clear" w:color="auto" w:fill="F9FCF9"/>
          </w:tcPr>
          <w:p>
            <w:pPr>
              <w:pStyle w:val="TableParagraph"/>
              <w:spacing w:line="181" w:lineRule="exact" w:before="45"/>
              <w:ind w:left="152" w:right="148"/>
              <w:rPr>
                <w:b/>
                <w:sz w:val="16"/>
              </w:rPr>
            </w:pPr>
            <w:r>
              <w:rPr>
                <w:b/>
                <w:sz w:val="16"/>
              </w:rPr>
              <w:t>45.3</w:t>
            </w:r>
          </w:p>
        </w:tc>
        <w:tc>
          <w:tcPr>
            <w:tcW w:w="1116" w:type="dxa"/>
            <w:tcBorders>
              <w:left w:val="double" w:sz="1" w:space="0" w:color="000000"/>
            </w:tcBorders>
            <w:shd w:val="clear" w:color="auto" w:fill="F9FCF9"/>
          </w:tcPr>
          <w:p>
            <w:pPr>
              <w:pStyle w:val="TableParagraph"/>
              <w:spacing w:line="181" w:lineRule="exact" w:before="45"/>
              <w:ind w:left="277" w:right="235"/>
              <w:rPr>
                <w:b/>
                <w:sz w:val="16"/>
              </w:rPr>
            </w:pPr>
            <w:r>
              <w:rPr>
                <w:b/>
                <w:sz w:val="16"/>
              </w:rPr>
              <w:t>37</w:t>
            </w:r>
          </w:p>
        </w:tc>
        <w:tc>
          <w:tcPr>
            <w:tcW w:w="1650" w:type="dxa"/>
            <w:shd w:val="clear" w:color="auto" w:fill="F9FCF9"/>
          </w:tcPr>
          <w:p>
            <w:pPr>
              <w:pStyle w:val="TableParagraph"/>
              <w:spacing w:line="181" w:lineRule="exact" w:before="45"/>
              <w:ind w:left="537" w:right="518"/>
              <w:rPr>
                <w:b/>
                <w:sz w:val="16"/>
              </w:rPr>
            </w:pPr>
            <w:r>
              <w:rPr>
                <w:b/>
                <w:sz w:val="16"/>
              </w:rPr>
              <w:t>37</w:t>
            </w:r>
          </w:p>
        </w:tc>
      </w:tr>
      <w:tr>
        <w:trPr>
          <w:trHeight w:val="246" w:hRule="atLeast"/>
        </w:trPr>
        <w:tc>
          <w:tcPr>
            <w:tcW w:w="3292" w:type="dxa"/>
            <w:shd w:val="clear" w:color="auto" w:fill="F9FCF9"/>
          </w:tcPr>
          <w:p>
            <w:pPr>
              <w:pStyle w:val="TableParagraph"/>
              <w:spacing w:line="181" w:lineRule="exact" w:before="45"/>
              <w:ind w:left="54"/>
              <w:jc w:val="left"/>
              <w:rPr>
                <w:b/>
                <w:sz w:val="16"/>
              </w:rPr>
            </w:pPr>
            <w:r>
              <w:rPr>
                <w:b/>
                <w:sz w:val="16"/>
              </w:rPr>
              <w:t>Capture plant COE (uS$ mWh</w:t>
            </w:r>
            <w:r>
              <w:rPr>
                <w:b/>
                <w:position w:val="5"/>
                <w:sz w:val="9"/>
              </w:rPr>
              <w:t>−1</w:t>
            </w:r>
            <w:r>
              <w:rPr>
                <w:b/>
                <w:sz w:val="16"/>
              </w:rPr>
              <w:t>)</w:t>
            </w:r>
          </w:p>
        </w:tc>
        <w:tc>
          <w:tcPr>
            <w:tcW w:w="919" w:type="dxa"/>
            <w:shd w:val="clear" w:color="auto" w:fill="F9FCF9"/>
          </w:tcPr>
          <w:p>
            <w:pPr>
              <w:pStyle w:val="TableParagraph"/>
              <w:jc w:val="left"/>
              <w:rPr>
                <w:sz w:val="14"/>
              </w:rPr>
            </w:pPr>
          </w:p>
        </w:tc>
        <w:tc>
          <w:tcPr>
            <w:tcW w:w="1091" w:type="dxa"/>
            <w:shd w:val="clear" w:color="auto" w:fill="F9FCF9"/>
          </w:tcPr>
          <w:p>
            <w:pPr>
              <w:pStyle w:val="TableParagraph"/>
              <w:jc w:val="left"/>
              <w:rPr>
                <w:sz w:val="14"/>
              </w:rPr>
            </w:pPr>
          </w:p>
        </w:tc>
        <w:tc>
          <w:tcPr>
            <w:tcW w:w="899" w:type="dxa"/>
            <w:shd w:val="clear" w:color="auto" w:fill="F9FCF9"/>
          </w:tcPr>
          <w:p>
            <w:pPr>
              <w:pStyle w:val="TableParagraph"/>
              <w:spacing w:line="181" w:lineRule="exact" w:before="45"/>
              <w:ind w:left="319"/>
              <w:jc w:val="left"/>
              <w:rPr>
                <w:b/>
                <w:sz w:val="16"/>
              </w:rPr>
            </w:pPr>
            <w:r>
              <w:rPr>
                <w:b/>
                <w:sz w:val="16"/>
              </w:rPr>
              <w:t>97.5</w:t>
            </w:r>
          </w:p>
        </w:tc>
        <w:tc>
          <w:tcPr>
            <w:tcW w:w="951" w:type="dxa"/>
            <w:shd w:val="clear" w:color="auto" w:fill="F9FCF9"/>
          </w:tcPr>
          <w:p>
            <w:pPr>
              <w:pStyle w:val="TableParagraph"/>
              <w:spacing w:line="181" w:lineRule="exact" w:before="45"/>
              <w:ind w:left="186" w:right="158"/>
              <w:rPr>
                <w:b/>
                <w:sz w:val="16"/>
              </w:rPr>
            </w:pPr>
            <w:r>
              <w:rPr>
                <w:b/>
                <w:sz w:val="16"/>
              </w:rPr>
              <w:t>61.2</w:t>
            </w:r>
          </w:p>
        </w:tc>
        <w:tc>
          <w:tcPr>
            <w:tcW w:w="1023" w:type="dxa"/>
            <w:shd w:val="clear" w:color="auto" w:fill="F9FCF9"/>
          </w:tcPr>
          <w:p>
            <w:pPr>
              <w:pStyle w:val="TableParagraph"/>
              <w:spacing w:line="181" w:lineRule="exact" w:before="45"/>
              <w:ind w:left="44" w:right="18"/>
              <w:rPr>
                <w:b/>
                <w:sz w:val="16"/>
              </w:rPr>
            </w:pPr>
            <w:r>
              <w:rPr>
                <w:b/>
                <w:sz w:val="16"/>
              </w:rPr>
              <w:t>82.5</w:t>
            </w:r>
          </w:p>
        </w:tc>
        <w:tc>
          <w:tcPr>
            <w:tcW w:w="1343" w:type="dxa"/>
            <w:shd w:val="clear" w:color="auto" w:fill="F9FCF9"/>
          </w:tcPr>
          <w:p>
            <w:pPr>
              <w:pStyle w:val="TableParagraph"/>
              <w:spacing w:line="181" w:lineRule="exact" w:before="45"/>
              <w:ind w:left="203" w:right="178"/>
              <w:rPr>
                <w:b/>
                <w:sz w:val="16"/>
              </w:rPr>
            </w:pPr>
            <w:r>
              <w:rPr>
                <w:b/>
                <w:sz w:val="16"/>
              </w:rPr>
              <w:t>70.5</w:t>
            </w:r>
          </w:p>
        </w:tc>
        <w:tc>
          <w:tcPr>
            <w:tcW w:w="1273" w:type="dxa"/>
            <w:tcBorders>
              <w:right w:val="double" w:sz="1" w:space="0" w:color="000000"/>
            </w:tcBorders>
            <w:shd w:val="clear" w:color="auto" w:fill="F9FCF9"/>
          </w:tcPr>
          <w:p>
            <w:pPr>
              <w:pStyle w:val="TableParagraph"/>
              <w:spacing w:line="181" w:lineRule="exact" w:before="45"/>
              <w:ind w:left="152" w:right="148"/>
              <w:rPr>
                <w:b/>
                <w:sz w:val="16"/>
              </w:rPr>
            </w:pPr>
            <w:r>
              <w:rPr>
                <w:b/>
                <w:sz w:val="16"/>
              </w:rPr>
              <w:t>58.4</w:t>
            </w:r>
          </w:p>
        </w:tc>
        <w:tc>
          <w:tcPr>
            <w:tcW w:w="1116" w:type="dxa"/>
            <w:tcBorders>
              <w:left w:val="double" w:sz="1" w:space="0" w:color="000000"/>
            </w:tcBorders>
            <w:shd w:val="clear" w:color="auto" w:fill="F9FCF9"/>
          </w:tcPr>
          <w:p>
            <w:pPr>
              <w:pStyle w:val="TableParagraph"/>
              <w:spacing w:line="181" w:lineRule="exact" w:before="45"/>
              <w:ind w:left="277" w:right="235"/>
              <w:rPr>
                <w:b/>
                <w:sz w:val="16"/>
              </w:rPr>
            </w:pPr>
            <w:r>
              <w:rPr>
                <w:b/>
                <w:sz w:val="16"/>
              </w:rPr>
              <w:t>61</w:t>
            </w:r>
          </w:p>
        </w:tc>
        <w:tc>
          <w:tcPr>
            <w:tcW w:w="1650" w:type="dxa"/>
            <w:shd w:val="clear" w:color="auto" w:fill="F9FCF9"/>
          </w:tcPr>
          <w:p>
            <w:pPr>
              <w:pStyle w:val="TableParagraph"/>
              <w:spacing w:line="181" w:lineRule="exact" w:before="45"/>
              <w:ind w:left="537" w:right="518"/>
              <w:rPr>
                <w:b/>
                <w:sz w:val="16"/>
              </w:rPr>
            </w:pPr>
            <w:r>
              <w:rPr>
                <w:b/>
                <w:sz w:val="16"/>
              </w:rPr>
              <w:t>57</w:t>
            </w: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Incremental COE for capture (US$ MWh</w:t>
            </w:r>
            <w:r>
              <w:rPr>
                <w:position w:val="5"/>
                <w:sz w:val="9"/>
              </w:rPr>
              <w:t>−1</w:t>
            </w:r>
            <w:r>
              <w:rPr>
                <w:sz w:val="16"/>
              </w:rPr>
              <w:t>)</w:t>
            </w:r>
          </w:p>
        </w:tc>
        <w:tc>
          <w:tcPr>
            <w:tcW w:w="919" w:type="dxa"/>
            <w:shd w:val="clear" w:color="auto" w:fill="F9FCF9"/>
          </w:tcPr>
          <w:p>
            <w:pPr>
              <w:pStyle w:val="TableParagraph"/>
              <w:spacing w:line="181" w:lineRule="exact" w:before="45"/>
              <w:ind w:left="114" w:right="82"/>
              <w:rPr>
                <w:sz w:val="16"/>
              </w:rPr>
            </w:pPr>
            <w:r>
              <w:rPr>
                <w:sz w:val="16"/>
              </w:rPr>
              <w:t>44.5</w:t>
            </w:r>
          </w:p>
        </w:tc>
        <w:tc>
          <w:tcPr>
            <w:tcW w:w="1091" w:type="dxa"/>
            <w:shd w:val="clear" w:color="auto" w:fill="F9FCF9"/>
          </w:tcPr>
          <w:p>
            <w:pPr>
              <w:pStyle w:val="TableParagraph"/>
              <w:spacing w:line="181" w:lineRule="exact" w:before="45"/>
              <w:ind w:left="264" w:right="233"/>
              <w:rPr>
                <w:sz w:val="16"/>
              </w:rPr>
            </w:pPr>
            <w:r>
              <w:rPr>
                <w:sz w:val="16"/>
              </w:rPr>
              <w:t>23.9</w:t>
            </w:r>
          </w:p>
        </w:tc>
        <w:tc>
          <w:tcPr>
            <w:tcW w:w="899" w:type="dxa"/>
            <w:shd w:val="clear" w:color="auto" w:fill="F9FCF9"/>
          </w:tcPr>
          <w:p>
            <w:pPr>
              <w:pStyle w:val="TableParagraph"/>
              <w:spacing w:line="181" w:lineRule="exact" w:before="45"/>
              <w:ind w:left="319" w:right="290"/>
              <w:rPr>
                <w:sz w:val="16"/>
              </w:rPr>
            </w:pPr>
            <w:r>
              <w:rPr>
                <w:sz w:val="16"/>
              </w:rPr>
              <w:t>53</w:t>
            </w:r>
          </w:p>
        </w:tc>
        <w:tc>
          <w:tcPr>
            <w:tcW w:w="951" w:type="dxa"/>
            <w:shd w:val="clear" w:color="auto" w:fill="F9FCF9"/>
          </w:tcPr>
          <w:p>
            <w:pPr>
              <w:pStyle w:val="TableParagraph"/>
              <w:spacing w:line="181" w:lineRule="exact" w:before="45"/>
              <w:ind w:left="186" w:right="158"/>
              <w:rPr>
                <w:sz w:val="16"/>
              </w:rPr>
            </w:pPr>
            <w:r>
              <w:rPr>
                <w:sz w:val="16"/>
              </w:rPr>
              <w:t>17.2</w:t>
            </w:r>
          </w:p>
        </w:tc>
        <w:tc>
          <w:tcPr>
            <w:tcW w:w="1023" w:type="dxa"/>
            <w:shd w:val="clear" w:color="auto" w:fill="F9FCF9"/>
          </w:tcPr>
          <w:p>
            <w:pPr>
              <w:pStyle w:val="TableParagraph"/>
              <w:spacing w:line="181" w:lineRule="exact" w:before="45"/>
              <w:ind w:left="44" w:right="18"/>
              <w:rPr>
                <w:sz w:val="16"/>
              </w:rPr>
            </w:pPr>
            <w:r>
              <w:rPr>
                <w:sz w:val="16"/>
              </w:rPr>
              <w:t>37.2</w:t>
            </w:r>
          </w:p>
        </w:tc>
        <w:tc>
          <w:tcPr>
            <w:tcW w:w="1343" w:type="dxa"/>
            <w:shd w:val="clear" w:color="auto" w:fill="F9FCF9"/>
          </w:tcPr>
          <w:p>
            <w:pPr>
              <w:pStyle w:val="TableParagraph"/>
              <w:spacing w:line="181" w:lineRule="exact" w:before="45"/>
              <w:ind w:left="203" w:right="178"/>
              <w:rPr>
                <w:sz w:val="16"/>
              </w:rPr>
            </w:pPr>
            <w:r>
              <w:rPr>
                <w:sz w:val="16"/>
              </w:rPr>
              <w:t>25.2</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13.1</w:t>
            </w:r>
          </w:p>
        </w:tc>
        <w:tc>
          <w:tcPr>
            <w:tcW w:w="1116" w:type="dxa"/>
            <w:tcBorders>
              <w:left w:val="double" w:sz="1" w:space="0" w:color="000000"/>
            </w:tcBorders>
            <w:shd w:val="clear" w:color="auto" w:fill="F9FCF9"/>
          </w:tcPr>
          <w:p>
            <w:pPr>
              <w:pStyle w:val="TableParagraph"/>
              <w:spacing w:line="181" w:lineRule="exact" w:before="45"/>
              <w:ind w:left="277" w:right="235"/>
              <w:rPr>
                <w:sz w:val="16"/>
              </w:rPr>
            </w:pPr>
            <w:r>
              <w:rPr>
                <w:sz w:val="16"/>
              </w:rPr>
              <w:t>24</w:t>
            </w:r>
          </w:p>
        </w:tc>
        <w:tc>
          <w:tcPr>
            <w:tcW w:w="1650" w:type="dxa"/>
            <w:shd w:val="clear" w:color="auto" w:fill="F9FCF9"/>
          </w:tcPr>
          <w:p>
            <w:pPr>
              <w:pStyle w:val="TableParagraph"/>
              <w:spacing w:line="181" w:lineRule="exact" w:before="45"/>
              <w:ind w:left="537" w:right="518"/>
              <w:rPr>
                <w:sz w:val="16"/>
              </w:rPr>
            </w:pPr>
            <w:r>
              <w:rPr>
                <w:sz w:val="16"/>
              </w:rPr>
              <w:t>20</w:t>
            </w: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 increase in capital cost (over ref. plant)</w:t>
            </w:r>
          </w:p>
        </w:tc>
        <w:tc>
          <w:tcPr>
            <w:tcW w:w="919" w:type="dxa"/>
            <w:shd w:val="clear" w:color="auto" w:fill="F9FCF9"/>
          </w:tcPr>
          <w:p>
            <w:pPr>
              <w:pStyle w:val="TableParagraph"/>
              <w:jc w:val="left"/>
              <w:rPr>
                <w:sz w:val="14"/>
              </w:rPr>
            </w:pPr>
          </w:p>
        </w:tc>
        <w:tc>
          <w:tcPr>
            <w:tcW w:w="1091" w:type="dxa"/>
            <w:shd w:val="clear" w:color="auto" w:fill="F9FCF9"/>
          </w:tcPr>
          <w:p>
            <w:pPr>
              <w:pStyle w:val="TableParagraph"/>
              <w:jc w:val="left"/>
              <w:rPr>
                <w:sz w:val="14"/>
              </w:rPr>
            </w:pPr>
          </w:p>
        </w:tc>
        <w:tc>
          <w:tcPr>
            <w:tcW w:w="899" w:type="dxa"/>
            <w:shd w:val="clear" w:color="auto" w:fill="F9FCF9"/>
          </w:tcPr>
          <w:p>
            <w:pPr>
              <w:pStyle w:val="TableParagraph"/>
              <w:jc w:val="left"/>
              <w:rPr>
                <w:sz w:val="14"/>
              </w:rPr>
            </w:pPr>
          </w:p>
        </w:tc>
        <w:tc>
          <w:tcPr>
            <w:tcW w:w="951" w:type="dxa"/>
            <w:shd w:val="clear" w:color="auto" w:fill="F9FCF9"/>
          </w:tcPr>
          <w:p>
            <w:pPr>
              <w:pStyle w:val="TableParagraph"/>
              <w:spacing w:line="181" w:lineRule="exact" w:before="45"/>
              <w:ind w:left="186" w:right="158"/>
              <w:rPr>
                <w:sz w:val="16"/>
              </w:rPr>
            </w:pPr>
            <w:r>
              <w:rPr>
                <w:sz w:val="16"/>
              </w:rPr>
              <w:t>47</w:t>
            </w:r>
          </w:p>
        </w:tc>
        <w:tc>
          <w:tcPr>
            <w:tcW w:w="1023" w:type="dxa"/>
            <w:shd w:val="clear" w:color="auto" w:fill="F9FCF9"/>
          </w:tcPr>
          <w:p>
            <w:pPr>
              <w:pStyle w:val="TableParagraph"/>
              <w:spacing w:line="181" w:lineRule="exact" w:before="45"/>
              <w:ind w:left="44" w:right="18"/>
              <w:rPr>
                <w:sz w:val="16"/>
              </w:rPr>
            </w:pPr>
            <w:r>
              <w:rPr>
                <w:sz w:val="16"/>
              </w:rPr>
              <w:t>90</w:t>
            </w:r>
          </w:p>
        </w:tc>
        <w:tc>
          <w:tcPr>
            <w:tcW w:w="1343" w:type="dxa"/>
            <w:shd w:val="clear" w:color="auto" w:fill="F9FCF9"/>
          </w:tcPr>
          <w:p>
            <w:pPr>
              <w:pStyle w:val="TableParagraph"/>
              <w:spacing w:line="181" w:lineRule="exact" w:before="45"/>
              <w:ind w:left="203" w:right="178"/>
              <w:rPr>
                <w:sz w:val="16"/>
              </w:rPr>
            </w:pPr>
            <w:r>
              <w:rPr>
                <w:sz w:val="16"/>
              </w:rPr>
              <w:t>82</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28</w:t>
            </w:r>
          </w:p>
        </w:tc>
        <w:tc>
          <w:tcPr>
            <w:tcW w:w="1116" w:type="dxa"/>
            <w:tcBorders>
              <w:left w:val="double" w:sz="1" w:space="0" w:color="000000"/>
            </w:tcBorders>
            <w:shd w:val="clear" w:color="auto" w:fill="F9FCF9"/>
          </w:tcPr>
          <w:p>
            <w:pPr>
              <w:pStyle w:val="TableParagraph"/>
              <w:spacing w:line="181" w:lineRule="exact" w:before="45"/>
              <w:ind w:left="277" w:right="235"/>
              <w:rPr>
                <w:sz w:val="16"/>
              </w:rPr>
            </w:pPr>
            <w:r>
              <w:rPr>
                <w:sz w:val="16"/>
              </w:rPr>
              <w:t>75</w:t>
            </w:r>
          </w:p>
        </w:tc>
        <w:tc>
          <w:tcPr>
            <w:tcW w:w="1650" w:type="dxa"/>
            <w:shd w:val="clear" w:color="auto" w:fill="F9FCF9"/>
          </w:tcPr>
          <w:p>
            <w:pPr>
              <w:pStyle w:val="TableParagraph"/>
              <w:spacing w:line="181" w:lineRule="exact" w:before="45"/>
              <w:ind w:left="537" w:right="518"/>
              <w:rPr>
                <w:sz w:val="16"/>
              </w:rPr>
            </w:pPr>
            <w:r>
              <w:rPr>
                <w:sz w:val="16"/>
              </w:rPr>
              <w:t>64</w:t>
            </w:r>
          </w:p>
        </w:tc>
      </w:tr>
      <w:tr>
        <w:trPr>
          <w:trHeight w:val="246" w:hRule="atLeast"/>
        </w:trPr>
        <w:tc>
          <w:tcPr>
            <w:tcW w:w="3292" w:type="dxa"/>
            <w:shd w:val="clear" w:color="auto" w:fill="F9FCF9"/>
          </w:tcPr>
          <w:p>
            <w:pPr>
              <w:pStyle w:val="TableParagraph"/>
              <w:spacing w:line="181" w:lineRule="exact" w:before="45"/>
              <w:ind w:left="54"/>
              <w:jc w:val="left"/>
              <w:rPr>
                <w:b/>
                <w:sz w:val="16"/>
              </w:rPr>
            </w:pPr>
            <w:r>
              <w:rPr>
                <w:b/>
                <w:sz w:val="16"/>
              </w:rPr>
              <w:t>% increase in COE (over ref. plant)</w:t>
            </w:r>
          </w:p>
        </w:tc>
        <w:tc>
          <w:tcPr>
            <w:tcW w:w="919" w:type="dxa"/>
            <w:shd w:val="clear" w:color="auto" w:fill="F9FCF9"/>
          </w:tcPr>
          <w:p>
            <w:pPr>
              <w:pStyle w:val="TableParagraph"/>
              <w:jc w:val="left"/>
              <w:rPr>
                <w:sz w:val="14"/>
              </w:rPr>
            </w:pPr>
          </w:p>
        </w:tc>
        <w:tc>
          <w:tcPr>
            <w:tcW w:w="1091" w:type="dxa"/>
            <w:shd w:val="clear" w:color="auto" w:fill="F9FCF9"/>
          </w:tcPr>
          <w:p>
            <w:pPr>
              <w:pStyle w:val="TableParagraph"/>
              <w:jc w:val="left"/>
              <w:rPr>
                <w:sz w:val="14"/>
              </w:rPr>
            </w:pPr>
          </w:p>
        </w:tc>
        <w:tc>
          <w:tcPr>
            <w:tcW w:w="899" w:type="dxa"/>
            <w:shd w:val="clear" w:color="auto" w:fill="F9FCF9"/>
          </w:tcPr>
          <w:p>
            <w:pPr>
              <w:pStyle w:val="TableParagraph"/>
              <w:spacing w:line="181" w:lineRule="exact" w:before="45"/>
              <w:ind w:left="319" w:right="290"/>
              <w:rPr>
                <w:b/>
                <w:sz w:val="16"/>
              </w:rPr>
            </w:pPr>
            <w:r>
              <w:rPr>
                <w:b/>
                <w:sz w:val="16"/>
              </w:rPr>
              <w:t>119</w:t>
            </w:r>
          </w:p>
        </w:tc>
        <w:tc>
          <w:tcPr>
            <w:tcW w:w="951" w:type="dxa"/>
            <w:shd w:val="clear" w:color="auto" w:fill="F9FCF9"/>
          </w:tcPr>
          <w:p>
            <w:pPr>
              <w:pStyle w:val="TableParagraph"/>
              <w:spacing w:line="181" w:lineRule="exact" w:before="45"/>
              <w:ind w:left="186" w:right="158"/>
              <w:rPr>
                <w:b/>
                <w:sz w:val="16"/>
              </w:rPr>
            </w:pPr>
            <w:r>
              <w:rPr>
                <w:b/>
                <w:sz w:val="16"/>
              </w:rPr>
              <w:t>39</w:t>
            </w:r>
          </w:p>
        </w:tc>
        <w:tc>
          <w:tcPr>
            <w:tcW w:w="1023" w:type="dxa"/>
            <w:shd w:val="clear" w:color="auto" w:fill="F9FCF9"/>
          </w:tcPr>
          <w:p>
            <w:pPr>
              <w:pStyle w:val="TableParagraph"/>
              <w:spacing w:line="181" w:lineRule="exact" w:before="45"/>
              <w:ind w:left="44" w:right="18"/>
              <w:rPr>
                <w:b/>
                <w:sz w:val="16"/>
              </w:rPr>
            </w:pPr>
            <w:r>
              <w:rPr>
                <w:b/>
                <w:sz w:val="16"/>
              </w:rPr>
              <w:t>82</w:t>
            </w:r>
          </w:p>
        </w:tc>
        <w:tc>
          <w:tcPr>
            <w:tcW w:w="1343" w:type="dxa"/>
            <w:shd w:val="clear" w:color="auto" w:fill="F9FCF9"/>
          </w:tcPr>
          <w:p>
            <w:pPr>
              <w:pStyle w:val="TableParagraph"/>
              <w:spacing w:line="181" w:lineRule="exact" w:before="45"/>
              <w:ind w:left="203" w:right="178"/>
              <w:rPr>
                <w:b/>
                <w:sz w:val="16"/>
              </w:rPr>
            </w:pPr>
            <w:r>
              <w:rPr>
                <w:b/>
                <w:sz w:val="16"/>
              </w:rPr>
              <w:t>56</w:t>
            </w:r>
          </w:p>
        </w:tc>
        <w:tc>
          <w:tcPr>
            <w:tcW w:w="1273" w:type="dxa"/>
            <w:tcBorders>
              <w:right w:val="double" w:sz="1" w:space="0" w:color="000000"/>
            </w:tcBorders>
            <w:shd w:val="clear" w:color="auto" w:fill="F9FCF9"/>
          </w:tcPr>
          <w:p>
            <w:pPr>
              <w:pStyle w:val="TableParagraph"/>
              <w:spacing w:line="181" w:lineRule="exact" w:before="45"/>
              <w:ind w:left="152" w:right="148"/>
              <w:rPr>
                <w:b/>
                <w:sz w:val="16"/>
              </w:rPr>
            </w:pPr>
            <w:r>
              <w:rPr>
                <w:b/>
                <w:sz w:val="16"/>
              </w:rPr>
              <w:t>29</w:t>
            </w:r>
          </w:p>
        </w:tc>
        <w:tc>
          <w:tcPr>
            <w:tcW w:w="1116" w:type="dxa"/>
            <w:tcBorders>
              <w:left w:val="double" w:sz="1" w:space="0" w:color="000000"/>
            </w:tcBorders>
            <w:shd w:val="clear" w:color="auto" w:fill="F9FCF9"/>
          </w:tcPr>
          <w:p>
            <w:pPr>
              <w:pStyle w:val="TableParagraph"/>
              <w:spacing w:line="181" w:lineRule="exact" w:before="45"/>
              <w:ind w:left="277" w:right="235"/>
              <w:rPr>
                <w:b/>
                <w:sz w:val="16"/>
              </w:rPr>
            </w:pPr>
            <w:r>
              <w:rPr>
                <w:b/>
                <w:sz w:val="16"/>
              </w:rPr>
              <w:t>65</w:t>
            </w:r>
          </w:p>
        </w:tc>
        <w:tc>
          <w:tcPr>
            <w:tcW w:w="1650" w:type="dxa"/>
            <w:shd w:val="clear" w:color="auto" w:fill="F9FCF9"/>
          </w:tcPr>
          <w:p>
            <w:pPr>
              <w:pStyle w:val="TableParagraph"/>
              <w:spacing w:line="181" w:lineRule="exact" w:before="45"/>
              <w:ind w:left="537" w:right="518"/>
              <w:rPr>
                <w:b/>
                <w:sz w:val="16"/>
              </w:rPr>
            </w:pPr>
            <w:r>
              <w:rPr>
                <w:b/>
                <w:sz w:val="16"/>
              </w:rPr>
              <w:t>54</w:t>
            </w: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Cost of CO</w:t>
            </w:r>
            <w:r>
              <w:rPr>
                <w:position w:val="-4"/>
                <w:sz w:val="9"/>
              </w:rPr>
              <w:t>2 </w:t>
            </w:r>
            <w:r>
              <w:rPr>
                <w:sz w:val="16"/>
              </w:rPr>
              <w:t>captured (US$/tCO</w:t>
            </w:r>
            <w:r>
              <w:rPr>
                <w:position w:val="-4"/>
                <w:sz w:val="9"/>
              </w:rPr>
              <w:t>2 </w:t>
            </w:r>
            <w:r>
              <w:rPr>
                <w:sz w:val="16"/>
              </w:rPr>
              <w:t>)</w:t>
            </w:r>
          </w:p>
        </w:tc>
        <w:tc>
          <w:tcPr>
            <w:tcW w:w="919" w:type="dxa"/>
            <w:shd w:val="clear" w:color="auto" w:fill="F9FCF9"/>
          </w:tcPr>
          <w:p>
            <w:pPr>
              <w:pStyle w:val="TableParagraph"/>
              <w:jc w:val="left"/>
              <w:rPr>
                <w:sz w:val="14"/>
              </w:rPr>
            </w:pPr>
          </w:p>
        </w:tc>
        <w:tc>
          <w:tcPr>
            <w:tcW w:w="1091" w:type="dxa"/>
            <w:shd w:val="clear" w:color="auto" w:fill="F9FCF9"/>
          </w:tcPr>
          <w:p>
            <w:pPr>
              <w:pStyle w:val="TableParagraph"/>
              <w:spacing w:line="181" w:lineRule="exact" w:before="45"/>
              <w:ind w:left="264" w:right="233"/>
              <w:rPr>
                <w:sz w:val="16"/>
              </w:rPr>
            </w:pPr>
            <w:r>
              <w:rPr>
                <w:sz w:val="16"/>
              </w:rPr>
              <w:t>29</w:t>
            </w:r>
          </w:p>
        </w:tc>
        <w:tc>
          <w:tcPr>
            <w:tcW w:w="899" w:type="dxa"/>
            <w:shd w:val="clear" w:color="auto" w:fill="F9FCF9"/>
          </w:tcPr>
          <w:p>
            <w:pPr>
              <w:pStyle w:val="TableParagraph"/>
              <w:jc w:val="left"/>
              <w:rPr>
                <w:sz w:val="14"/>
              </w:rPr>
            </w:pPr>
          </w:p>
        </w:tc>
        <w:tc>
          <w:tcPr>
            <w:tcW w:w="951" w:type="dxa"/>
            <w:shd w:val="clear" w:color="auto" w:fill="F9FCF9"/>
          </w:tcPr>
          <w:p>
            <w:pPr>
              <w:pStyle w:val="TableParagraph"/>
              <w:jc w:val="left"/>
              <w:rPr>
                <w:sz w:val="14"/>
              </w:rPr>
            </w:pPr>
          </w:p>
        </w:tc>
        <w:tc>
          <w:tcPr>
            <w:tcW w:w="1023" w:type="dxa"/>
            <w:shd w:val="clear" w:color="auto" w:fill="F9FCF9"/>
          </w:tcPr>
          <w:p>
            <w:pPr>
              <w:pStyle w:val="TableParagraph"/>
              <w:jc w:val="left"/>
              <w:rPr>
                <w:sz w:val="14"/>
              </w:rPr>
            </w:pPr>
          </w:p>
        </w:tc>
        <w:tc>
          <w:tcPr>
            <w:tcW w:w="1343" w:type="dxa"/>
            <w:shd w:val="clear" w:color="auto" w:fill="F9FCF9"/>
          </w:tcPr>
          <w:p>
            <w:pPr>
              <w:pStyle w:val="TableParagraph"/>
              <w:jc w:val="left"/>
              <w:rPr>
                <w:sz w:val="14"/>
              </w:rPr>
            </w:pPr>
          </w:p>
        </w:tc>
        <w:tc>
          <w:tcPr>
            <w:tcW w:w="1273" w:type="dxa"/>
            <w:tcBorders>
              <w:right w:val="double" w:sz="1" w:space="0" w:color="000000"/>
            </w:tcBorders>
            <w:shd w:val="clear" w:color="auto" w:fill="F9FCF9"/>
          </w:tcPr>
          <w:p>
            <w:pPr>
              <w:pStyle w:val="TableParagraph"/>
              <w:jc w:val="left"/>
              <w:rPr>
                <w:sz w:val="14"/>
              </w:rPr>
            </w:pPr>
          </w:p>
        </w:tc>
        <w:tc>
          <w:tcPr>
            <w:tcW w:w="1116" w:type="dxa"/>
            <w:tcBorders>
              <w:left w:val="double" w:sz="1" w:space="0" w:color="000000"/>
            </w:tcBorders>
            <w:shd w:val="clear" w:color="auto" w:fill="F9FCF9"/>
          </w:tcPr>
          <w:p>
            <w:pPr>
              <w:pStyle w:val="TableParagraph"/>
              <w:jc w:val="left"/>
              <w:rPr>
                <w:sz w:val="14"/>
              </w:rPr>
            </w:pPr>
          </w:p>
        </w:tc>
        <w:tc>
          <w:tcPr>
            <w:tcW w:w="1650" w:type="dxa"/>
            <w:shd w:val="clear" w:color="auto" w:fill="F9FCF9"/>
          </w:tcPr>
          <w:p>
            <w:pPr>
              <w:pStyle w:val="TableParagraph"/>
              <w:jc w:val="left"/>
              <w:rPr>
                <w:sz w:val="14"/>
              </w:rPr>
            </w:pP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Cost of CO</w:t>
            </w:r>
            <w:r>
              <w:rPr>
                <w:position w:val="-4"/>
                <w:sz w:val="9"/>
              </w:rPr>
              <w:t>2 </w:t>
            </w:r>
            <w:r>
              <w:rPr>
                <w:sz w:val="16"/>
              </w:rPr>
              <w:t>avoided (US$/tCO</w:t>
            </w:r>
            <w:r>
              <w:rPr>
                <w:position w:val="-4"/>
                <w:sz w:val="9"/>
              </w:rPr>
              <w:t>2 </w:t>
            </w:r>
            <w:r>
              <w:rPr>
                <w:sz w:val="16"/>
              </w:rPr>
              <w:t>)</w:t>
            </w:r>
          </w:p>
        </w:tc>
        <w:tc>
          <w:tcPr>
            <w:tcW w:w="919" w:type="dxa"/>
            <w:shd w:val="clear" w:color="auto" w:fill="F9FCF9"/>
          </w:tcPr>
          <w:p>
            <w:pPr>
              <w:pStyle w:val="TableParagraph"/>
              <w:spacing w:line="181" w:lineRule="exact" w:before="45"/>
              <w:ind w:left="114" w:right="82"/>
              <w:rPr>
                <w:sz w:val="16"/>
              </w:rPr>
            </w:pPr>
            <w:r>
              <w:rPr>
                <w:sz w:val="16"/>
              </w:rPr>
              <w:t>54</w:t>
            </w:r>
          </w:p>
        </w:tc>
        <w:tc>
          <w:tcPr>
            <w:tcW w:w="1091" w:type="dxa"/>
            <w:shd w:val="clear" w:color="auto" w:fill="F9FCF9"/>
          </w:tcPr>
          <w:p>
            <w:pPr>
              <w:pStyle w:val="TableParagraph"/>
              <w:spacing w:line="181" w:lineRule="exact" w:before="45"/>
              <w:ind w:left="264" w:right="233"/>
              <w:rPr>
                <w:sz w:val="16"/>
              </w:rPr>
            </w:pPr>
            <w:r>
              <w:rPr>
                <w:sz w:val="16"/>
              </w:rPr>
              <w:t>35</w:t>
            </w:r>
          </w:p>
        </w:tc>
        <w:tc>
          <w:tcPr>
            <w:tcW w:w="899" w:type="dxa"/>
            <w:shd w:val="clear" w:color="auto" w:fill="F9FCF9"/>
          </w:tcPr>
          <w:p>
            <w:pPr>
              <w:pStyle w:val="TableParagraph"/>
              <w:spacing w:line="181" w:lineRule="exact" w:before="45"/>
              <w:ind w:left="319" w:right="290"/>
              <w:rPr>
                <w:sz w:val="16"/>
              </w:rPr>
            </w:pPr>
            <w:r>
              <w:rPr>
                <w:sz w:val="16"/>
              </w:rPr>
              <w:t>72</w:t>
            </w:r>
          </w:p>
        </w:tc>
        <w:tc>
          <w:tcPr>
            <w:tcW w:w="951" w:type="dxa"/>
            <w:shd w:val="clear" w:color="auto" w:fill="F9FCF9"/>
          </w:tcPr>
          <w:p>
            <w:pPr>
              <w:pStyle w:val="TableParagraph"/>
              <w:spacing w:line="181" w:lineRule="exact" w:before="45"/>
              <w:ind w:left="186" w:right="158"/>
              <w:rPr>
                <w:sz w:val="16"/>
              </w:rPr>
            </w:pPr>
            <w:r>
              <w:rPr>
                <w:sz w:val="16"/>
              </w:rPr>
              <w:t>27</w:t>
            </w:r>
          </w:p>
        </w:tc>
        <w:tc>
          <w:tcPr>
            <w:tcW w:w="1023" w:type="dxa"/>
            <w:shd w:val="clear" w:color="auto" w:fill="F9FCF9"/>
          </w:tcPr>
          <w:p>
            <w:pPr>
              <w:pStyle w:val="TableParagraph"/>
              <w:spacing w:line="181" w:lineRule="exact" w:before="45"/>
              <w:ind w:left="44" w:right="18"/>
              <w:rPr>
                <w:sz w:val="16"/>
              </w:rPr>
            </w:pPr>
            <w:r>
              <w:rPr>
                <w:sz w:val="16"/>
              </w:rPr>
              <w:t>45</w:t>
            </w:r>
          </w:p>
        </w:tc>
        <w:tc>
          <w:tcPr>
            <w:tcW w:w="1343" w:type="dxa"/>
            <w:shd w:val="clear" w:color="auto" w:fill="F9FCF9"/>
          </w:tcPr>
          <w:p>
            <w:pPr>
              <w:pStyle w:val="TableParagraph"/>
              <w:spacing w:line="181" w:lineRule="exact" w:before="45"/>
              <w:ind w:left="203" w:right="178"/>
              <w:rPr>
                <w:sz w:val="16"/>
              </w:rPr>
            </w:pPr>
            <w:r>
              <w:rPr>
                <w:sz w:val="16"/>
              </w:rPr>
              <w:t>30</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14</w:t>
            </w:r>
          </w:p>
        </w:tc>
        <w:tc>
          <w:tcPr>
            <w:tcW w:w="1116" w:type="dxa"/>
            <w:tcBorders>
              <w:left w:val="double" w:sz="1" w:space="0" w:color="000000"/>
            </w:tcBorders>
            <w:shd w:val="clear" w:color="auto" w:fill="F9FCF9"/>
          </w:tcPr>
          <w:p>
            <w:pPr>
              <w:pStyle w:val="TableParagraph"/>
              <w:jc w:val="left"/>
              <w:rPr>
                <w:sz w:val="14"/>
              </w:rPr>
            </w:pPr>
          </w:p>
        </w:tc>
        <w:tc>
          <w:tcPr>
            <w:tcW w:w="1650" w:type="dxa"/>
            <w:shd w:val="clear" w:color="auto" w:fill="F9FCF9"/>
          </w:tcPr>
          <w:p>
            <w:pPr>
              <w:pStyle w:val="TableParagraph"/>
              <w:jc w:val="left"/>
              <w:rPr>
                <w:sz w:val="14"/>
              </w:rPr>
            </w:pPr>
          </w:p>
        </w:tc>
      </w:tr>
      <w:tr>
        <w:trPr>
          <w:trHeight w:val="246" w:hRule="atLeast"/>
        </w:trPr>
        <w:tc>
          <w:tcPr>
            <w:tcW w:w="3292" w:type="dxa"/>
            <w:shd w:val="clear" w:color="auto" w:fill="F9FCF9"/>
          </w:tcPr>
          <w:p>
            <w:pPr>
              <w:pStyle w:val="TableParagraph"/>
              <w:spacing w:line="181" w:lineRule="exact" w:before="45"/>
              <w:ind w:left="54"/>
              <w:jc w:val="left"/>
              <w:rPr>
                <w:sz w:val="16"/>
              </w:rPr>
            </w:pPr>
            <w:r>
              <w:rPr>
                <w:sz w:val="16"/>
              </w:rPr>
              <w:t>Capture cost confidence</w:t>
            </w:r>
            <w:hyperlink w:history="true" w:anchor="_bookmark28">
              <w:r>
                <w:rPr>
                  <w:sz w:val="16"/>
                </w:rPr>
                <w:t> level (see Table 3.6)</w:t>
              </w:r>
            </w:hyperlink>
          </w:p>
        </w:tc>
        <w:tc>
          <w:tcPr>
            <w:tcW w:w="4883" w:type="dxa"/>
            <w:gridSpan w:val="5"/>
            <w:shd w:val="clear" w:color="auto" w:fill="F9FCF9"/>
          </w:tcPr>
          <w:p>
            <w:pPr>
              <w:pStyle w:val="TableParagraph"/>
              <w:spacing w:line="181" w:lineRule="exact" w:before="45"/>
              <w:ind w:left="2311" w:right="2282"/>
              <w:rPr>
                <w:sz w:val="16"/>
              </w:rPr>
            </w:pPr>
            <w:r>
              <w:rPr>
                <w:sz w:val="16"/>
              </w:rPr>
              <w:t>low</w:t>
            </w:r>
          </w:p>
        </w:tc>
        <w:tc>
          <w:tcPr>
            <w:tcW w:w="1343" w:type="dxa"/>
            <w:shd w:val="clear" w:color="auto" w:fill="F9FCF9"/>
          </w:tcPr>
          <w:p>
            <w:pPr>
              <w:pStyle w:val="TableParagraph"/>
              <w:spacing w:line="181" w:lineRule="exact" w:before="45"/>
              <w:ind w:left="203" w:right="178"/>
              <w:rPr>
                <w:sz w:val="16"/>
              </w:rPr>
            </w:pPr>
            <w:r>
              <w:rPr>
                <w:sz w:val="16"/>
              </w:rPr>
              <w:t>very low</w:t>
            </w:r>
          </w:p>
        </w:tc>
        <w:tc>
          <w:tcPr>
            <w:tcW w:w="1273" w:type="dxa"/>
            <w:tcBorders>
              <w:right w:val="double" w:sz="1" w:space="0" w:color="000000"/>
            </w:tcBorders>
            <w:shd w:val="clear" w:color="auto" w:fill="F9FCF9"/>
          </w:tcPr>
          <w:p>
            <w:pPr>
              <w:pStyle w:val="TableParagraph"/>
              <w:spacing w:line="181" w:lineRule="exact" w:before="45"/>
              <w:ind w:left="152" w:right="148"/>
              <w:rPr>
                <w:sz w:val="16"/>
              </w:rPr>
            </w:pPr>
            <w:r>
              <w:rPr>
                <w:sz w:val="16"/>
              </w:rPr>
              <w:t>very low</w:t>
            </w:r>
          </w:p>
        </w:tc>
        <w:tc>
          <w:tcPr>
            <w:tcW w:w="2766" w:type="dxa"/>
            <w:gridSpan w:val="2"/>
            <w:tcBorders>
              <w:left w:val="double" w:sz="1" w:space="0" w:color="000000"/>
            </w:tcBorders>
            <w:shd w:val="clear" w:color="auto" w:fill="F9FCF9"/>
          </w:tcPr>
          <w:p>
            <w:pPr>
              <w:pStyle w:val="TableParagraph"/>
              <w:spacing w:line="181" w:lineRule="exact" w:before="45"/>
              <w:ind w:left="873"/>
              <w:jc w:val="left"/>
              <w:rPr>
                <w:sz w:val="16"/>
              </w:rPr>
            </w:pPr>
            <w:r>
              <w:rPr>
                <w:sz w:val="16"/>
              </w:rPr>
              <w:t>low to moderate</w:t>
            </w:r>
          </w:p>
        </w:tc>
      </w:tr>
    </w:tbl>
    <w:p>
      <w:pPr>
        <w:spacing w:line="205" w:lineRule="exact" w:before="42"/>
        <w:ind w:left="553" w:right="0" w:firstLine="0"/>
        <w:jc w:val="left"/>
        <w:rPr>
          <w:sz w:val="16"/>
        </w:rPr>
      </w:pPr>
      <w:r>
        <w:rPr>
          <w:sz w:val="16"/>
        </w:rPr>
        <w:t>Notes: All costs in this table are for capture only and do not include the costs of CO</w:t>
      </w:r>
      <w:r>
        <w:rPr>
          <w:position w:val="-4"/>
          <w:sz w:val="9"/>
        </w:rPr>
        <w:t>2 </w:t>
      </w:r>
      <w:r>
        <w:rPr>
          <w:sz w:val="16"/>
        </w:rPr>
        <w:t>transport and storage; see Chapter 8 for total CCS costs. * Reported HHV values converted to LHV assuming LHV/HHV =</w:t>
      </w:r>
    </w:p>
    <w:p>
      <w:pPr>
        <w:spacing w:line="171" w:lineRule="exact" w:before="0"/>
        <w:ind w:left="553" w:right="0" w:firstLine="0"/>
        <w:jc w:val="left"/>
        <w:rPr>
          <w:sz w:val="16"/>
        </w:rPr>
      </w:pPr>
      <w:r>
        <w:rPr>
          <w:sz w:val="16"/>
        </w:rPr>
        <w:t>0.96 for coal. ** Reported value increased by 15% to estimate interest during construction and other owners’ costs.</w:t>
      </w:r>
    </w:p>
    <w:p>
      <w:pPr>
        <w:spacing w:after="0" w:line="171" w:lineRule="exact"/>
        <w:jc w:val="left"/>
        <w:rPr>
          <w:sz w:val="16"/>
        </w:rPr>
        <w:sectPr>
          <w:headerReference w:type="even" r:id="rId192"/>
          <w:headerReference w:type="default" r:id="rId193"/>
          <w:pgSz w:w="15840" w:h="12240" w:orient="landscape"/>
          <w:pgMar w:header="537" w:footer="0" w:top="720" w:bottom="280" w:left="600" w:right="1020"/>
        </w:sectPr>
      </w:pPr>
    </w:p>
    <w:p>
      <w:pPr>
        <w:pStyle w:val="BodyText"/>
      </w:pPr>
      <w:r>
        <w:rPr/>
        <w:pict>
          <v:shape style="position:absolute;margin-left:750.403625pt;margin-top:55.692902pt;width:14.25pt;height:110.1pt;mso-position-horizontal-relative:page;mso-position-vertical-relative:page;z-index:251782144" type="#_x0000_t202" filled="false" stroked="false">
            <v:textbox inset="0,0,0,0" style="layout-flow:vertical">
              <w:txbxContent>
                <w:p>
                  <w:pPr>
                    <w:spacing w:line="218" w:lineRule="auto" w:before="0"/>
                    <w:ind w:left="20" w:right="0" w:firstLine="0"/>
                    <w:jc w:val="left"/>
                    <w:rPr>
                      <w:i/>
                      <w:sz w:val="11"/>
                    </w:rPr>
                  </w:pPr>
                  <w:r>
                    <w:rPr>
                      <w:i/>
                      <w:sz w:val="20"/>
                    </w:rPr>
                    <w:t>Chapter 3: Capture of CO</w:t>
                  </w:r>
                  <w:r>
                    <w:rPr>
                      <w:i/>
                      <w:position w:val="-6"/>
                      <w:sz w:val="11"/>
                    </w:rPr>
                    <w:t>2</w:t>
                  </w:r>
                </w:p>
              </w:txbxContent>
            </v:textbox>
            <w10:wrap type="none"/>
          </v:shape>
        </w:pict>
      </w:r>
      <w:r>
        <w:rPr/>
        <w:pict>
          <v:shape style="position:absolute;margin-left:752.653625pt;margin-top:559.149597pt;width:12pt;height:17pt;mso-position-horizontal-relative:page;mso-position-vertical-relative:page;z-index:251783168" type="#_x0000_t202" filled="false" stroked="false">
            <v:textbox inset="0,0,0,0" style="layout-flow:vertical">
              <w:txbxContent>
                <w:p>
                  <w:pPr>
                    <w:spacing w:line="213" w:lineRule="exact" w:before="0"/>
                    <w:ind w:left="20" w:right="0" w:firstLine="0"/>
                    <w:jc w:val="left"/>
                    <w:rPr>
                      <w:b/>
                      <w:sz w:val="20"/>
                    </w:rPr>
                  </w:pPr>
                  <w:r>
                    <w:rPr>
                      <w:b/>
                      <w:sz w:val="20"/>
                    </w:rPr>
                    <w:t>165</w:t>
                  </w:r>
                </w:p>
              </w:txbxContent>
            </v:textbox>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7"/>
        </w:rPr>
      </w:pPr>
    </w:p>
    <w:p>
      <w:pPr>
        <w:pStyle w:val="BodyText"/>
        <w:spacing w:before="5"/>
        <w:rPr>
          <w:sz w:val="7"/>
        </w:rPr>
      </w:pPr>
    </w:p>
    <w:p>
      <w:pPr>
        <w:spacing w:before="0"/>
        <w:ind w:left="863" w:right="0" w:firstLine="0"/>
        <w:jc w:val="left"/>
        <w:rPr>
          <w:sz w:val="8"/>
        </w:rPr>
      </w:pPr>
      <w:r>
        <w:rPr/>
        <w:pict>
          <v:shape style="position:absolute;margin-left:57.909pt;margin-top:-150.572845pt;width:677.7pt;height:431pt;mso-position-horizontal-relative:page;mso-position-vertical-relative:paragraph;z-index:25178419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0"/>
                    <w:gridCol w:w="614"/>
                    <w:gridCol w:w="522"/>
                    <w:gridCol w:w="578"/>
                    <w:gridCol w:w="795"/>
                    <w:gridCol w:w="795"/>
                    <w:gridCol w:w="795"/>
                    <w:gridCol w:w="1051"/>
                    <w:gridCol w:w="487"/>
                    <w:gridCol w:w="741"/>
                    <w:gridCol w:w="798"/>
                    <w:gridCol w:w="1050"/>
                    <w:gridCol w:w="790"/>
                    <w:gridCol w:w="816"/>
                    <w:gridCol w:w="870"/>
                    <w:gridCol w:w="664"/>
                  </w:tblGrid>
                  <w:tr>
                    <w:trPr>
                      <w:trHeight w:val="134" w:hRule="atLeast"/>
                    </w:trPr>
                    <w:tc>
                      <w:tcPr>
                        <w:tcW w:w="2180" w:type="dxa"/>
                        <w:vMerge w:val="restart"/>
                        <w:shd w:val="clear" w:color="auto" w:fill="E0EEE0"/>
                      </w:tcPr>
                      <w:p>
                        <w:pPr>
                          <w:pStyle w:val="TableParagraph"/>
                          <w:spacing w:before="4"/>
                          <w:jc w:val="left"/>
                          <w:rPr>
                            <w:sz w:val="12"/>
                          </w:rPr>
                        </w:pPr>
                      </w:p>
                      <w:p>
                        <w:pPr>
                          <w:pStyle w:val="TableParagraph"/>
                          <w:ind w:left="20"/>
                          <w:jc w:val="left"/>
                          <w:rPr>
                            <w:b/>
                            <w:sz w:val="14"/>
                          </w:rPr>
                        </w:pPr>
                        <w:r>
                          <w:rPr>
                            <w:b/>
                            <w:sz w:val="14"/>
                          </w:rPr>
                          <w:t>Study Assumptions and Results</w:t>
                        </w:r>
                      </w:p>
                    </w:tc>
                    <w:tc>
                      <w:tcPr>
                        <w:tcW w:w="614" w:type="dxa"/>
                        <w:tcBorders>
                          <w:right w:val="nil"/>
                        </w:tcBorders>
                        <w:shd w:val="clear" w:color="auto" w:fill="E0EEE0"/>
                      </w:tcPr>
                      <w:p>
                        <w:pPr>
                          <w:pStyle w:val="TableParagraph"/>
                          <w:jc w:val="left"/>
                          <w:rPr>
                            <w:sz w:val="8"/>
                          </w:rPr>
                        </w:pPr>
                      </w:p>
                    </w:tc>
                    <w:tc>
                      <w:tcPr>
                        <w:tcW w:w="522" w:type="dxa"/>
                        <w:tcBorders>
                          <w:left w:val="nil"/>
                          <w:right w:val="nil"/>
                        </w:tcBorders>
                        <w:shd w:val="clear" w:color="auto" w:fill="E0EEE0"/>
                      </w:tcPr>
                      <w:p>
                        <w:pPr>
                          <w:pStyle w:val="TableParagraph"/>
                          <w:jc w:val="left"/>
                          <w:rPr>
                            <w:sz w:val="8"/>
                          </w:rPr>
                        </w:pPr>
                      </w:p>
                    </w:tc>
                    <w:tc>
                      <w:tcPr>
                        <w:tcW w:w="578" w:type="dxa"/>
                        <w:tcBorders>
                          <w:left w:val="nil"/>
                          <w:right w:val="nil"/>
                        </w:tcBorders>
                        <w:shd w:val="clear" w:color="auto" w:fill="E0EEE0"/>
                      </w:tcPr>
                      <w:p>
                        <w:pPr>
                          <w:pStyle w:val="TableParagraph"/>
                          <w:jc w:val="left"/>
                          <w:rPr>
                            <w:sz w:val="8"/>
                          </w:rPr>
                        </w:pPr>
                      </w:p>
                    </w:tc>
                    <w:tc>
                      <w:tcPr>
                        <w:tcW w:w="795" w:type="dxa"/>
                        <w:tcBorders>
                          <w:left w:val="nil"/>
                          <w:right w:val="nil"/>
                        </w:tcBorders>
                        <w:shd w:val="clear" w:color="auto" w:fill="E0EEE0"/>
                      </w:tcPr>
                      <w:p>
                        <w:pPr>
                          <w:pStyle w:val="TableParagraph"/>
                          <w:spacing w:line="115" w:lineRule="exact"/>
                          <w:ind w:left="476"/>
                          <w:jc w:val="left"/>
                          <w:rPr>
                            <w:b/>
                            <w:sz w:val="14"/>
                          </w:rPr>
                        </w:pPr>
                        <w:r>
                          <w:rPr>
                            <w:b/>
                            <w:w w:val="115"/>
                            <w:sz w:val="14"/>
                          </w:rPr>
                          <w:t>ADv</w:t>
                        </w:r>
                      </w:p>
                    </w:tc>
                    <w:tc>
                      <w:tcPr>
                        <w:tcW w:w="795" w:type="dxa"/>
                        <w:tcBorders>
                          <w:left w:val="nil"/>
                          <w:right w:val="nil"/>
                        </w:tcBorders>
                        <w:shd w:val="clear" w:color="auto" w:fill="E0EEE0"/>
                      </w:tcPr>
                      <w:p>
                        <w:pPr>
                          <w:pStyle w:val="TableParagraph"/>
                          <w:spacing w:line="115" w:lineRule="exact"/>
                          <w:ind w:left="-33" w:right="-130"/>
                          <w:rPr>
                            <w:b/>
                            <w:sz w:val="14"/>
                          </w:rPr>
                        </w:pPr>
                        <w:r>
                          <w:rPr>
                            <w:b/>
                            <w:sz w:val="14"/>
                          </w:rPr>
                          <w:t>ANCED</w:t>
                        </w:r>
                        <w:r>
                          <w:rPr>
                            <w:b/>
                            <w:spacing w:val="-8"/>
                            <w:sz w:val="14"/>
                          </w:rPr>
                          <w:t> </w:t>
                        </w:r>
                        <w:r>
                          <w:rPr>
                            <w:b/>
                            <w:sz w:val="14"/>
                          </w:rPr>
                          <w:t>NGCC</w:t>
                        </w:r>
                      </w:p>
                    </w:tc>
                    <w:tc>
                      <w:tcPr>
                        <w:tcW w:w="795" w:type="dxa"/>
                        <w:tcBorders>
                          <w:left w:val="nil"/>
                          <w:right w:val="nil"/>
                        </w:tcBorders>
                        <w:shd w:val="clear" w:color="auto" w:fill="E0EEE0"/>
                      </w:tcPr>
                      <w:p>
                        <w:pPr>
                          <w:pStyle w:val="TableParagraph"/>
                          <w:jc w:val="left"/>
                          <w:rPr>
                            <w:sz w:val="8"/>
                          </w:rPr>
                        </w:pPr>
                      </w:p>
                    </w:tc>
                    <w:tc>
                      <w:tcPr>
                        <w:tcW w:w="1051" w:type="dxa"/>
                        <w:tcBorders>
                          <w:left w:val="nil"/>
                          <w:right w:val="nil"/>
                        </w:tcBorders>
                        <w:shd w:val="clear" w:color="auto" w:fill="E0EEE0"/>
                      </w:tcPr>
                      <w:p>
                        <w:pPr>
                          <w:pStyle w:val="TableParagraph"/>
                          <w:jc w:val="left"/>
                          <w:rPr>
                            <w:sz w:val="8"/>
                          </w:rPr>
                        </w:pPr>
                      </w:p>
                    </w:tc>
                    <w:tc>
                      <w:tcPr>
                        <w:tcW w:w="487" w:type="dxa"/>
                        <w:tcBorders>
                          <w:left w:val="nil"/>
                          <w:right w:val="double" w:sz="1" w:space="0" w:color="000000"/>
                        </w:tcBorders>
                        <w:shd w:val="clear" w:color="auto" w:fill="E0EEE0"/>
                      </w:tcPr>
                      <w:p>
                        <w:pPr>
                          <w:pStyle w:val="TableParagraph"/>
                          <w:jc w:val="left"/>
                          <w:rPr>
                            <w:sz w:val="8"/>
                          </w:rPr>
                        </w:pPr>
                      </w:p>
                    </w:tc>
                    <w:tc>
                      <w:tcPr>
                        <w:tcW w:w="741" w:type="dxa"/>
                        <w:tcBorders>
                          <w:left w:val="double" w:sz="1" w:space="0" w:color="000000"/>
                          <w:right w:val="nil"/>
                        </w:tcBorders>
                        <w:shd w:val="clear" w:color="auto" w:fill="E0EEE0"/>
                      </w:tcPr>
                      <w:p>
                        <w:pPr>
                          <w:pStyle w:val="TableParagraph"/>
                          <w:jc w:val="left"/>
                          <w:rPr>
                            <w:sz w:val="8"/>
                          </w:rPr>
                        </w:pPr>
                      </w:p>
                    </w:tc>
                    <w:tc>
                      <w:tcPr>
                        <w:tcW w:w="798" w:type="dxa"/>
                        <w:tcBorders>
                          <w:left w:val="nil"/>
                          <w:right w:val="nil"/>
                        </w:tcBorders>
                        <w:shd w:val="clear" w:color="auto" w:fill="E0EEE0"/>
                      </w:tcPr>
                      <w:p>
                        <w:pPr>
                          <w:pStyle w:val="TableParagraph"/>
                          <w:jc w:val="left"/>
                          <w:rPr>
                            <w:sz w:val="8"/>
                          </w:rPr>
                        </w:pPr>
                      </w:p>
                    </w:tc>
                    <w:tc>
                      <w:tcPr>
                        <w:tcW w:w="1050" w:type="dxa"/>
                        <w:tcBorders>
                          <w:left w:val="nil"/>
                          <w:right w:val="nil"/>
                        </w:tcBorders>
                        <w:shd w:val="clear" w:color="auto" w:fill="E0EEE0"/>
                      </w:tcPr>
                      <w:p>
                        <w:pPr>
                          <w:pStyle w:val="TableParagraph"/>
                          <w:spacing w:line="115" w:lineRule="exact"/>
                          <w:ind w:left="-33" w:right="-116"/>
                          <w:rPr>
                            <w:b/>
                            <w:sz w:val="14"/>
                          </w:rPr>
                        </w:pPr>
                        <w:r>
                          <w:rPr>
                            <w:b/>
                            <w:spacing w:val="-3"/>
                            <w:w w:val="105"/>
                            <w:sz w:val="14"/>
                          </w:rPr>
                          <w:t>ADvANCED</w:t>
                        </w:r>
                        <w:r>
                          <w:rPr>
                            <w:b/>
                            <w:spacing w:val="-8"/>
                            <w:w w:val="105"/>
                            <w:sz w:val="14"/>
                          </w:rPr>
                          <w:t> </w:t>
                        </w:r>
                        <w:r>
                          <w:rPr>
                            <w:b/>
                            <w:spacing w:val="-1"/>
                            <w:w w:val="105"/>
                            <w:sz w:val="14"/>
                          </w:rPr>
                          <w:t>iGCC</w:t>
                        </w:r>
                      </w:p>
                    </w:tc>
                    <w:tc>
                      <w:tcPr>
                        <w:tcW w:w="790" w:type="dxa"/>
                        <w:tcBorders>
                          <w:left w:val="nil"/>
                          <w:right w:val="nil"/>
                        </w:tcBorders>
                        <w:shd w:val="clear" w:color="auto" w:fill="E0EEE0"/>
                      </w:tcPr>
                      <w:p>
                        <w:pPr>
                          <w:pStyle w:val="TableParagraph"/>
                          <w:jc w:val="left"/>
                          <w:rPr>
                            <w:sz w:val="8"/>
                          </w:rPr>
                        </w:pPr>
                      </w:p>
                    </w:tc>
                    <w:tc>
                      <w:tcPr>
                        <w:tcW w:w="816" w:type="dxa"/>
                        <w:tcBorders>
                          <w:left w:val="nil"/>
                          <w:right w:val="double" w:sz="1" w:space="0" w:color="000000"/>
                        </w:tcBorders>
                        <w:shd w:val="clear" w:color="auto" w:fill="E0EEE0"/>
                      </w:tcPr>
                      <w:p>
                        <w:pPr>
                          <w:pStyle w:val="TableParagraph"/>
                          <w:jc w:val="left"/>
                          <w:rPr>
                            <w:sz w:val="8"/>
                          </w:rPr>
                        </w:pPr>
                      </w:p>
                    </w:tc>
                    <w:tc>
                      <w:tcPr>
                        <w:tcW w:w="870" w:type="dxa"/>
                        <w:tcBorders>
                          <w:left w:val="double" w:sz="1" w:space="0" w:color="000000"/>
                          <w:right w:val="nil"/>
                        </w:tcBorders>
                        <w:shd w:val="clear" w:color="auto" w:fill="E0EEE0"/>
                      </w:tcPr>
                      <w:p>
                        <w:pPr>
                          <w:pStyle w:val="TableParagraph"/>
                          <w:spacing w:line="115" w:lineRule="exact"/>
                          <w:ind w:left="9"/>
                          <w:rPr>
                            <w:b/>
                            <w:sz w:val="14"/>
                          </w:rPr>
                        </w:pPr>
                        <w:r>
                          <w:rPr>
                            <w:b/>
                            <w:w w:val="105"/>
                            <w:sz w:val="14"/>
                          </w:rPr>
                          <w:t>ADvANCED</w:t>
                        </w:r>
                      </w:p>
                    </w:tc>
                    <w:tc>
                      <w:tcPr>
                        <w:tcW w:w="664" w:type="dxa"/>
                        <w:tcBorders>
                          <w:left w:val="nil"/>
                        </w:tcBorders>
                        <w:shd w:val="clear" w:color="auto" w:fill="E0EEE0"/>
                      </w:tcPr>
                      <w:p>
                        <w:pPr>
                          <w:pStyle w:val="TableParagraph"/>
                          <w:spacing w:line="115" w:lineRule="exact"/>
                          <w:ind w:right="12"/>
                          <w:rPr>
                            <w:b/>
                            <w:sz w:val="14"/>
                          </w:rPr>
                        </w:pPr>
                        <w:r>
                          <w:rPr>
                            <w:b/>
                            <w:spacing w:val="-4"/>
                            <w:w w:val="110"/>
                            <w:sz w:val="14"/>
                          </w:rPr>
                          <w:t>HyBRiDS</w:t>
                        </w:r>
                      </w:p>
                    </w:tc>
                  </w:tr>
                  <w:tr>
                    <w:trPr>
                      <w:trHeight w:val="302" w:hRule="atLeast"/>
                    </w:trPr>
                    <w:tc>
                      <w:tcPr>
                        <w:tcW w:w="2180" w:type="dxa"/>
                        <w:vMerge/>
                        <w:tcBorders>
                          <w:top w:val="nil"/>
                        </w:tcBorders>
                        <w:shd w:val="clear" w:color="auto" w:fill="E0EEE0"/>
                      </w:tcPr>
                      <w:p>
                        <w:pPr>
                          <w:rPr>
                            <w:sz w:val="2"/>
                            <w:szCs w:val="2"/>
                          </w:rPr>
                        </w:pPr>
                      </w:p>
                    </w:tc>
                    <w:tc>
                      <w:tcPr>
                        <w:tcW w:w="614" w:type="dxa"/>
                        <w:shd w:val="clear" w:color="auto" w:fill="E0EEE0"/>
                      </w:tcPr>
                      <w:p>
                        <w:pPr>
                          <w:pStyle w:val="TableParagraph"/>
                          <w:spacing w:line="159" w:lineRule="exact"/>
                          <w:ind w:left="28" w:right="22"/>
                          <w:rPr>
                            <w:b/>
                            <w:sz w:val="14"/>
                          </w:rPr>
                        </w:pPr>
                        <w:r>
                          <w:rPr>
                            <w:b/>
                            <w:sz w:val="14"/>
                          </w:rPr>
                          <w:t>Simbeck</w:t>
                        </w:r>
                      </w:p>
                    </w:tc>
                    <w:tc>
                      <w:tcPr>
                        <w:tcW w:w="522" w:type="dxa"/>
                        <w:shd w:val="clear" w:color="auto" w:fill="E0EEE0"/>
                      </w:tcPr>
                      <w:p>
                        <w:pPr>
                          <w:pStyle w:val="TableParagraph"/>
                          <w:spacing w:line="159" w:lineRule="exact"/>
                          <w:ind w:left="22"/>
                          <w:jc w:val="left"/>
                          <w:rPr>
                            <w:b/>
                            <w:sz w:val="14"/>
                          </w:rPr>
                        </w:pPr>
                        <w:r>
                          <w:rPr>
                            <w:b/>
                            <w:sz w:val="14"/>
                          </w:rPr>
                          <w:t>Parsons</w:t>
                        </w:r>
                      </w:p>
                    </w:tc>
                    <w:tc>
                      <w:tcPr>
                        <w:tcW w:w="578" w:type="dxa"/>
                        <w:shd w:val="clear" w:color="auto" w:fill="E0EEE0"/>
                      </w:tcPr>
                      <w:p>
                        <w:pPr>
                          <w:pStyle w:val="TableParagraph"/>
                          <w:spacing w:line="159" w:lineRule="exact"/>
                          <w:ind w:left="30" w:right="23"/>
                          <w:rPr>
                            <w:b/>
                            <w:sz w:val="14"/>
                          </w:rPr>
                        </w:pPr>
                        <w:r>
                          <w:rPr>
                            <w:b/>
                            <w:sz w:val="14"/>
                          </w:rPr>
                          <w:t>Parsons</w:t>
                        </w:r>
                      </w:p>
                    </w:tc>
                    <w:tc>
                      <w:tcPr>
                        <w:tcW w:w="795" w:type="dxa"/>
                        <w:shd w:val="clear" w:color="auto" w:fill="E0EEE0"/>
                      </w:tcPr>
                      <w:p>
                        <w:pPr>
                          <w:pStyle w:val="TableParagraph"/>
                          <w:spacing w:line="159" w:lineRule="exact"/>
                          <w:ind w:left="255"/>
                          <w:jc w:val="left"/>
                          <w:rPr>
                            <w:b/>
                            <w:sz w:val="14"/>
                          </w:rPr>
                        </w:pPr>
                        <w:r>
                          <w:rPr>
                            <w:b/>
                            <w:sz w:val="14"/>
                          </w:rPr>
                          <w:t>CCP</w:t>
                        </w:r>
                      </w:p>
                    </w:tc>
                    <w:tc>
                      <w:tcPr>
                        <w:tcW w:w="795" w:type="dxa"/>
                        <w:shd w:val="clear" w:color="auto" w:fill="E0EEE0"/>
                      </w:tcPr>
                      <w:p>
                        <w:pPr>
                          <w:pStyle w:val="TableParagraph"/>
                          <w:spacing w:line="159" w:lineRule="exact"/>
                          <w:ind w:left="15" w:right="2"/>
                          <w:rPr>
                            <w:b/>
                            <w:sz w:val="14"/>
                          </w:rPr>
                        </w:pPr>
                        <w:r>
                          <w:rPr>
                            <w:b/>
                            <w:sz w:val="14"/>
                          </w:rPr>
                          <w:t>CCP</w:t>
                        </w:r>
                      </w:p>
                    </w:tc>
                    <w:tc>
                      <w:tcPr>
                        <w:tcW w:w="795" w:type="dxa"/>
                        <w:shd w:val="clear" w:color="auto" w:fill="E0EEE0"/>
                      </w:tcPr>
                      <w:p>
                        <w:pPr>
                          <w:pStyle w:val="TableParagraph"/>
                          <w:spacing w:line="159" w:lineRule="exact"/>
                          <w:ind w:left="15" w:right="3"/>
                          <w:rPr>
                            <w:b/>
                            <w:sz w:val="14"/>
                          </w:rPr>
                        </w:pPr>
                        <w:r>
                          <w:rPr>
                            <w:b/>
                            <w:sz w:val="14"/>
                          </w:rPr>
                          <w:t>CCP</w:t>
                        </w:r>
                      </w:p>
                    </w:tc>
                    <w:tc>
                      <w:tcPr>
                        <w:tcW w:w="1051" w:type="dxa"/>
                        <w:shd w:val="clear" w:color="auto" w:fill="E0EEE0"/>
                      </w:tcPr>
                      <w:p>
                        <w:pPr>
                          <w:pStyle w:val="TableParagraph"/>
                          <w:spacing w:line="159" w:lineRule="exact"/>
                          <w:ind w:right="368"/>
                          <w:jc w:val="right"/>
                          <w:rPr>
                            <w:b/>
                            <w:sz w:val="14"/>
                          </w:rPr>
                        </w:pPr>
                        <w:r>
                          <w:rPr>
                            <w:b/>
                            <w:sz w:val="14"/>
                          </w:rPr>
                          <w:t>CCP</w:t>
                        </w:r>
                      </w:p>
                    </w:tc>
                    <w:tc>
                      <w:tcPr>
                        <w:tcW w:w="487" w:type="dxa"/>
                        <w:tcBorders>
                          <w:right w:val="double" w:sz="1" w:space="0" w:color="000000"/>
                        </w:tcBorders>
                        <w:shd w:val="clear" w:color="auto" w:fill="E0EEE0"/>
                      </w:tcPr>
                      <w:p>
                        <w:pPr>
                          <w:pStyle w:val="TableParagraph"/>
                          <w:spacing w:line="159" w:lineRule="exact"/>
                          <w:ind w:left="42"/>
                          <w:jc w:val="left"/>
                          <w:rPr>
                            <w:b/>
                            <w:sz w:val="14"/>
                          </w:rPr>
                        </w:pPr>
                        <w:r>
                          <w:rPr>
                            <w:b/>
                            <w:sz w:val="14"/>
                          </w:rPr>
                          <w:t>Dillon</w:t>
                        </w:r>
                      </w:p>
                      <w:p>
                        <w:pPr>
                          <w:pStyle w:val="TableParagraph"/>
                          <w:spacing w:line="117" w:lineRule="exact" w:before="7"/>
                          <w:ind w:left="85"/>
                          <w:jc w:val="left"/>
                          <w:rPr>
                            <w:b/>
                            <w:i/>
                            <w:sz w:val="14"/>
                          </w:rPr>
                        </w:pPr>
                        <w:r>
                          <w:rPr>
                            <w:b/>
                            <w:i/>
                            <w:sz w:val="14"/>
                          </w:rPr>
                          <w:t>et al.</w:t>
                        </w:r>
                      </w:p>
                    </w:tc>
                    <w:tc>
                      <w:tcPr>
                        <w:tcW w:w="741" w:type="dxa"/>
                        <w:tcBorders>
                          <w:left w:val="double" w:sz="1" w:space="0" w:color="000000"/>
                        </w:tcBorders>
                        <w:shd w:val="clear" w:color="auto" w:fill="E0EEE0"/>
                      </w:tcPr>
                      <w:p>
                        <w:pPr>
                          <w:pStyle w:val="TableParagraph"/>
                          <w:spacing w:line="159" w:lineRule="exact"/>
                          <w:ind w:left="65" w:right="43"/>
                          <w:rPr>
                            <w:b/>
                            <w:sz w:val="14"/>
                          </w:rPr>
                        </w:pPr>
                        <w:r>
                          <w:rPr>
                            <w:b/>
                            <w:sz w:val="14"/>
                          </w:rPr>
                          <w:t>Parsons</w:t>
                        </w:r>
                      </w:p>
                    </w:tc>
                    <w:tc>
                      <w:tcPr>
                        <w:tcW w:w="798" w:type="dxa"/>
                        <w:shd w:val="clear" w:color="auto" w:fill="E0EEE0"/>
                      </w:tcPr>
                      <w:p>
                        <w:pPr>
                          <w:pStyle w:val="TableParagraph"/>
                          <w:spacing w:line="159" w:lineRule="exact"/>
                          <w:ind w:left="23" w:right="14"/>
                          <w:rPr>
                            <w:b/>
                            <w:sz w:val="14"/>
                          </w:rPr>
                        </w:pPr>
                        <w:r>
                          <w:rPr>
                            <w:b/>
                            <w:spacing w:val="-1"/>
                            <w:sz w:val="14"/>
                          </w:rPr>
                          <w:t>NE</w:t>
                        </w:r>
                        <w:r>
                          <w:rPr>
                            <w:b/>
                            <w:w w:val="200"/>
                            <w:sz w:val="14"/>
                          </w:rPr>
                          <w:t>t</w:t>
                        </w:r>
                        <w:r>
                          <w:rPr>
                            <w:b/>
                            <w:sz w:val="14"/>
                          </w:rPr>
                          <w:t>L</w:t>
                        </w:r>
                      </w:p>
                    </w:tc>
                    <w:tc>
                      <w:tcPr>
                        <w:tcW w:w="1050" w:type="dxa"/>
                        <w:shd w:val="clear" w:color="auto" w:fill="E0EEE0"/>
                      </w:tcPr>
                      <w:p>
                        <w:pPr>
                          <w:pStyle w:val="TableParagraph"/>
                          <w:spacing w:line="159" w:lineRule="exact"/>
                          <w:ind w:left="215" w:right="206"/>
                          <w:rPr>
                            <w:b/>
                            <w:sz w:val="14"/>
                          </w:rPr>
                        </w:pPr>
                        <w:r>
                          <w:rPr>
                            <w:b/>
                            <w:spacing w:val="-1"/>
                            <w:sz w:val="14"/>
                          </w:rPr>
                          <w:t>NE</w:t>
                        </w:r>
                        <w:r>
                          <w:rPr>
                            <w:b/>
                            <w:w w:val="200"/>
                            <w:sz w:val="14"/>
                          </w:rPr>
                          <w:t>t</w:t>
                        </w:r>
                        <w:r>
                          <w:rPr>
                            <w:b/>
                            <w:sz w:val="14"/>
                          </w:rPr>
                          <w:t>L</w:t>
                        </w:r>
                      </w:p>
                    </w:tc>
                    <w:tc>
                      <w:tcPr>
                        <w:tcW w:w="790" w:type="dxa"/>
                        <w:shd w:val="clear" w:color="auto" w:fill="E0EEE0"/>
                      </w:tcPr>
                      <w:p>
                        <w:pPr>
                          <w:pStyle w:val="TableParagraph"/>
                          <w:spacing w:line="159" w:lineRule="exact"/>
                          <w:ind w:left="223" w:right="214"/>
                          <w:rPr>
                            <w:b/>
                            <w:sz w:val="14"/>
                          </w:rPr>
                        </w:pPr>
                        <w:r>
                          <w:rPr>
                            <w:b/>
                            <w:sz w:val="14"/>
                          </w:rPr>
                          <w:t>CCP</w:t>
                        </w:r>
                      </w:p>
                    </w:tc>
                    <w:tc>
                      <w:tcPr>
                        <w:tcW w:w="816" w:type="dxa"/>
                        <w:tcBorders>
                          <w:right w:val="double" w:sz="1" w:space="0" w:color="000000"/>
                        </w:tcBorders>
                        <w:shd w:val="clear" w:color="auto" w:fill="E0EEE0"/>
                      </w:tcPr>
                      <w:p>
                        <w:pPr>
                          <w:pStyle w:val="TableParagraph"/>
                          <w:spacing w:line="159" w:lineRule="exact"/>
                          <w:ind w:left="174" w:right="182"/>
                          <w:rPr>
                            <w:b/>
                            <w:sz w:val="14"/>
                          </w:rPr>
                        </w:pPr>
                        <w:r>
                          <w:rPr>
                            <w:b/>
                            <w:sz w:val="14"/>
                          </w:rPr>
                          <w:t>CCP</w:t>
                        </w:r>
                      </w:p>
                    </w:tc>
                    <w:tc>
                      <w:tcPr>
                        <w:tcW w:w="870" w:type="dxa"/>
                        <w:tcBorders>
                          <w:left w:val="double" w:sz="1" w:space="0" w:color="000000"/>
                        </w:tcBorders>
                        <w:shd w:val="clear" w:color="auto" w:fill="E0EEE0"/>
                      </w:tcPr>
                      <w:p>
                        <w:pPr>
                          <w:pStyle w:val="TableParagraph"/>
                          <w:spacing w:line="159" w:lineRule="exact"/>
                          <w:ind w:left="130" w:right="100"/>
                          <w:rPr>
                            <w:b/>
                            <w:sz w:val="14"/>
                          </w:rPr>
                        </w:pPr>
                        <w:r>
                          <w:rPr>
                            <w:b/>
                            <w:spacing w:val="-1"/>
                            <w:sz w:val="14"/>
                          </w:rPr>
                          <w:t>NE</w:t>
                        </w:r>
                        <w:r>
                          <w:rPr>
                            <w:b/>
                            <w:w w:val="200"/>
                            <w:sz w:val="14"/>
                          </w:rPr>
                          <w:t>t</w:t>
                        </w:r>
                        <w:r>
                          <w:rPr>
                            <w:b/>
                            <w:sz w:val="14"/>
                          </w:rPr>
                          <w:t>L</w:t>
                        </w:r>
                      </w:p>
                    </w:tc>
                    <w:tc>
                      <w:tcPr>
                        <w:tcW w:w="664" w:type="dxa"/>
                        <w:shd w:val="clear" w:color="auto" w:fill="E0EEE0"/>
                      </w:tcPr>
                      <w:p>
                        <w:pPr>
                          <w:pStyle w:val="TableParagraph"/>
                          <w:spacing w:line="159" w:lineRule="exact"/>
                          <w:ind w:left="71" w:right="68"/>
                          <w:rPr>
                            <w:b/>
                            <w:sz w:val="14"/>
                          </w:rPr>
                        </w:pPr>
                        <w:r>
                          <w:rPr>
                            <w:b/>
                            <w:sz w:val="14"/>
                          </w:rPr>
                          <w:t>Parsons</w:t>
                        </w:r>
                      </w:p>
                    </w:tc>
                  </w:tr>
                  <w:tr>
                    <w:trPr>
                      <w:trHeight w:val="134" w:hRule="atLeast"/>
                    </w:trPr>
                    <w:tc>
                      <w:tcPr>
                        <w:tcW w:w="2180" w:type="dxa"/>
                        <w:vMerge/>
                        <w:tcBorders>
                          <w:top w:val="nil"/>
                        </w:tcBorders>
                        <w:shd w:val="clear" w:color="auto" w:fill="E0EEE0"/>
                      </w:tcPr>
                      <w:p>
                        <w:pPr>
                          <w:rPr>
                            <w:sz w:val="2"/>
                            <w:szCs w:val="2"/>
                          </w:rPr>
                        </w:pPr>
                      </w:p>
                    </w:tc>
                    <w:tc>
                      <w:tcPr>
                        <w:tcW w:w="614" w:type="dxa"/>
                        <w:shd w:val="clear" w:color="auto" w:fill="E0EEE0"/>
                      </w:tcPr>
                      <w:p>
                        <w:pPr>
                          <w:pStyle w:val="TableParagraph"/>
                          <w:spacing w:line="115" w:lineRule="exact"/>
                          <w:ind w:left="28" w:right="22"/>
                          <w:rPr>
                            <w:b/>
                            <w:sz w:val="14"/>
                          </w:rPr>
                        </w:pPr>
                        <w:r>
                          <w:rPr>
                            <w:b/>
                            <w:sz w:val="14"/>
                          </w:rPr>
                          <w:t>2002</w:t>
                        </w:r>
                      </w:p>
                    </w:tc>
                    <w:tc>
                      <w:tcPr>
                        <w:tcW w:w="522" w:type="dxa"/>
                        <w:shd w:val="clear" w:color="auto" w:fill="E0EEE0"/>
                      </w:tcPr>
                      <w:p>
                        <w:pPr>
                          <w:pStyle w:val="TableParagraph"/>
                          <w:spacing w:line="115" w:lineRule="exact"/>
                          <w:ind w:left="80"/>
                          <w:jc w:val="left"/>
                          <w:rPr>
                            <w:b/>
                            <w:sz w:val="14"/>
                          </w:rPr>
                        </w:pPr>
                        <w:r>
                          <w:rPr>
                            <w:b/>
                            <w:sz w:val="14"/>
                          </w:rPr>
                          <w:t>2002b</w:t>
                        </w:r>
                      </w:p>
                    </w:tc>
                    <w:tc>
                      <w:tcPr>
                        <w:tcW w:w="578" w:type="dxa"/>
                        <w:shd w:val="clear" w:color="auto" w:fill="E0EEE0"/>
                      </w:tcPr>
                      <w:p>
                        <w:pPr>
                          <w:pStyle w:val="TableParagraph"/>
                          <w:spacing w:line="115" w:lineRule="exact"/>
                          <w:ind w:left="29" w:right="23"/>
                          <w:rPr>
                            <w:b/>
                            <w:sz w:val="14"/>
                          </w:rPr>
                        </w:pPr>
                        <w:r>
                          <w:rPr>
                            <w:b/>
                            <w:sz w:val="14"/>
                          </w:rPr>
                          <w:t>2002b</w:t>
                        </w:r>
                      </w:p>
                    </w:tc>
                    <w:tc>
                      <w:tcPr>
                        <w:tcW w:w="795" w:type="dxa"/>
                        <w:shd w:val="clear" w:color="auto" w:fill="E0EEE0"/>
                      </w:tcPr>
                      <w:p>
                        <w:pPr>
                          <w:pStyle w:val="TableParagraph"/>
                          <w:spacing w:line="115" w:lineRule="exact"/>
                          <w:ind w:left="255"/>
                          <w:jc w:val="left"/>
                          <w:rPr>
                            <w:b/>
                            <w:sz w:val="14"/>
                          </w:rPr>
                        </w:pPr>
                        <w:r>
                          <w:rPr>
                            <w:b/>
                            <w:sz w:val="14"/>
                          </w:rPr>
                          <w:t>2005</w:t>
                        </w:r>
                      </w:p>
                    </w:tc>
                    <w:tc>
                      <w:tcPr>
                        <w:tcW w:w="795" w:type="dxa"/>
                        <w:shd w:val="clear" w:color="auto" w:fill="E0EEE0"/>
                      </w:tcPr>
                      <w:p>
                        <w:pPr>
                          <w:pStyle w:val="TableParagraph"/>
                          <w:spacing w:line="115" w:lineRule="exact"/>
                          <w:ind w:left="14" w:right="9"/>
                          <w:rPr>
                            <w:b/>
                            <w:sz w:val="14"/>
                          </w:rPr>
                        </w:pPr>
                        <w:r>
                          <w:rPr>
                            <w:b/>
                            <w:sz w:val="14"/>
                          </w:rPr>
                          <w:t>2005</w:t>
                        </w:r>
                      </w:p>
                    </w:tc>
                    <w:tc>
                      <w:tcPr>
                        <w:tcW w:w="795" w:type="dxa"/>
                        <w:shd w:val="clear" w:color="auto" w:fill="E0EEE0"/>
                      </w:tcPr>
                      <w:p>
                        <w:pPr>
                          <w:pStyle w:val="TableParagraph"/>
                          <w:spacing w:line="115" w:lineRule="exact"/>
                          <w:ind w:left="13" w:right="9"/>
                          <w:rPr>
                            <w:b/>
                            <w:sz w:val="14"/>
                          </w:rPr>
                        </w:pPr>
                        <w:r>
                          <w:rPr>
                            <w:b/>
                            <w:sz w:val="14"/>
                          </w:rPr>
                          <w:t>2005</w:t>
                        </w:r>
                      </w:p>
                    </w:tc>
                    <w:tc>
                      <w:tcPr>
                        <w:tcW w:w="1051" w:type="dxa"/>
                        <w:shd w:val="clear" w:color="auto" w:fill="E0EEE0"/>
                      </w:tcPr>
                      <w:p>
                        <w:pPr>
                          <w:pStyle w:val="TableParagraph"/>
                          <w:spacing w:line="115" w:lineRule="exact"/>
                          <w:ind w:right="376"/>
                          <w:jc w:val="right"/>
                          <w:rPr>
                            <w:b/>
                            <w:sz w:val="14"/>
                          </w:rPr>
                        </w:pPr>
                        <w:r>
                          <w:rPr>
                            <w:b/>
                            <w:sz w:val="14"/>
                          </w:rPr>
                          <w:t>2005</w:t>
                        </w:r>
                      </w:p>
                    </w:tc>
                    <w:tc>
                      <w:tcPr>
                        <w:tcW w:w="487" w:type="dxa"/>
                        <w:tcBorders>
                          <w:right w:val="double" w:sz="1" w:space="0" w:color="000000"/>
                        </w:tcBorders>
                        <w:shd w:val="clear" w:color="auto" w:fill="E0EEE0"/>
                      </w:tcPr>
                      <w:p>
                        <w:pPr>
                          <w:pStyle w:val="TableParagraph"/>
                          <w:spacing w:line="115" w:lineRule="exact"/>
                          <w:ind w:left="12" w:right="26"/>
                          <w:rPr>
                            <w:b/>
                            <w:sz w:val="14"/>
                          </w:rPr>
                        </w:pPr>
                        <w:r>
                          <w:rPr>
                            <w:b/>
                            <w:sz w:val="14"/>
                          </w:rPr>
                          <w:t>2005</w:t>
                        </w:r>
                      </w:p>
                    </w:tc>
                    <w:tc>
                      <w:tcPr>
                        <w:tcW w:w="741" w:type="dxa"/>
                        <w:tcBorders>
                          <w:left w:val="double" w:sz="1" w:space="0" w:color="000000"/>
                        </w:tcBorders>
                        <w:shd w:val="clear" w:color="auto" w:fill="E0EEE0"/>
                      </w:tcPr>
                      <w:p>
                        <w:pPr>
                          <w:pStyle w:val="TableParagraph"/>
                          <w:spacing w:line="115" w:lineRule="exact"/>
                          <w:ind w:left="65" w:right="43"/>
                          <w:rPr>
                            <w:b/>
                            <w:sz w:val="14"/>
                          </w:rPr>
                        </w:pPr>
                        <w:r>
                          <w:rPr>
                            <w:b/>
                            <w:sz w:val="14"/>
                          </w:rPr>
                          <w:t>2002b</w:t>
                        </w:r>
                      </w:p>
                    </w:tc>
                    <w:tc>
                      <w:tcPr>
                        <w:tcW w:w="798" w:type="dxa"/>
                        <w:shd w:val="clear" w:color="auto" w:fill="E0EEE0"/>
                      </w:tcPr>
                      <w:p>
                        <w:pPr>
                          <w:pStyle w:val="TableParagraph"/>
                          <w:spacing w:line="115" w:lineRule="exact"/>
                          <w:ind w:left="21" w:right="19"/>
                          <w:rPr>
                            <w:b/>
                            <w:sz w:val="14"/>
                          </w:rPr>
                        </w:pPr>
                        <w:r>
                          <w:rPr>
                            <w:b/>
                            <w:sz w:val="14"/>
                          </w:rPr>
                          <w:t>2002</w:t>
                        </w:r>
                      </w:p>
                    </w:tc>
                    <w:tc>
                      <w:tcPr>
                        <w:tcW w:w="1050" w:type="dxa"/>
                        <w:shd w:val="clear" w:color="auto" w:fill="E0EEE0"/>
                      </w:tcPr>
                      <w:p>
                        <w:pPr>
                          <w:pStyle w:val="TableParagraph"/>
                          <w:spacing w:line="115" w:lineRule="exact"/>
                          <w:ind w:left="215" w:right="213"/>
                          <w:rPr>
                            <w:b/>
                            <w:sz w:val="14"/>
                          </w:rPr>
                        </w:pPr>
                        <w:r>
                          <w:rPr>
                            <w:b/>
                            <w:sz w:val="14"/>
                          </w:rPr>
                          <w:t>2002</w:t>
                        </w:r>
                      </w:p>
                    </w:tc>
                    <w:tc>
                      <w:tcPr>
                        <w:tcW w:w="790" w:type="dxa"/>
                        <w:shd w:val="clear" w:color="auto" w:fill="E0EEE0"/>
                      </w:tcPr>
                      <w:p>
                        <w:pPr>
                          <w:pStyle w:val="TableParagraph"/>
                          <w:spacing w:line="115" w:lineRule="exact"/>
                          <w:ind w:left="223" w:right="221"/>
                          <w:rPr>
                            <w:b/>
                            <w:sz w:val="14"/>
                          </w:rPr>
                        </w:pPr>
                        <w:r>
                          <w:rPr>
                            <w:b/>
                            <w:sz w:val="14"/>
                          </w:rPr>
                          <w:t>2005</w:t>
                        </w:r>
                      </w:p>
                    </w:tc>
                    <w:tc>
                      <w:tcPr>
                        <w:tcW w:w="816" w:type="dxa"/>
                        <w:tcBorders>
                          <w:right w:val="double" w:sz="1" w:space="0" w:color="000000"/>
                        </w:tcBorders>
                        <w:shd w:val="clear" w:color="auto" w:fill="E0EEE0"/>
                      </w:tcPr>
                      <w:p>
                        <w:pPr>
                          <w:pStyle w:val="TableParagraph"/>
                          <w:spacing w:line="115" w:lineRule="exact"/>
                          <w:ind w:left="174" w:right="189"/>
                          <w:rPr>
                            <w:b/>
                            <w:sz w:val="14"/>
                          </w:rPr>
                        </w:pPr>
                        <w:r>
                          <w:rPr>
                            <w:b/>
                            <w:sz w:val="14"/>
                          </w:rPr>
                          <w:t>2005</w:t>
                        </w:r>
                      </w:p>
                    </w:tc>
                    <w:tc>
                      <w:tcPr>
                        <w:tcW w:w="870" w:type="dxa"/>
                        <w:tcBorders>
                          <w:left w:val="double" w:sz="1" w:space="0" w:color="000000"/>
                        </w:tcBorders>
                        <w:shd w:val="clear" w:color="auto" w:fill="E0EEE0"/>
                      </w:tcPr>
                      <w:p>
                        <w:pPr>
                          <w:pStyle w:val="TableParagraph"/>
                          <w:spacing w:line="115" w:lineRule="exact"/>
                          <w:ind w:left="130" w:right="108"/>
                          <w:rPr>
                            <w:b/>
                            <w:sz w:val="14"/>
                          </w:rPr>
                        </w:pPr>
                        <w:r>
                          <w:rPr>
                            <w:b/>
                            <w:sz w:val="14"/>
                          </w:rPr>
                          <w:t>2002</w:t>
                        </w:r>
                      </w:p>
                    </w:tc>
                    <w:tc>
                      <w:tcPr>
                        <w:tcW w:w="664" w:type="dxa"/>
                        <w:shd w:val="clear" w:color="auto" w:fill="E0EEE0"/>
                      </w:tcPr>
                      <w:p>
                        <w:pPr>
                          <w:pStyle w:val="TableParagraph"/>
                          <w:spacing w:line="115" w:lineRule="exact"/>
                          <w:ind w:left="71" w:right="68"/>
                          <w:rPr>
                            <w:b/>
                            <w:sz w:val="14"/>
                          </w:rPr>
                        </w:pPr>
                        <w:r>
                          <w:rPr>
                            <w:b/>
                            <w:sz w:val="14"/>
                          </w:rPr>
                          <w:t>2002b</w:t>
                        </w:r>
                      </w:p>
                    </w:tc>
                  </w:tr>
                  <w:tr>
                    <w:trPr>
                      <w:trHeight w:val="151" w:hRule="atLeast"/>
                    </w:trPr>
                    <w:tc>
                      <w:tcPr>
                        <w:tcW w:w="2180" w:type="dxa"/>
                        <w:shd w:val="clear" w:color="auto" w:fill="F9FCF9"/>
                      </w:tcPr>
                      <w:p>
                        <w:pPr>
                          <w:pStyle w:val="TableParagraph"/>
                          <w:spacing w:line="132" w:lineRule="exact"/>
                          <w:ind w:left="106"/>
                          <w:jc w:val="left"/>
                          <w:rPr>
                            <w:b/>
                            <w:i/>
                            <w:sz w:val="14"/>
                          </w:rPr>
                        </w:pPr>
                        <w:r>
                          <w:rPr>
                            <w:b/>
                            <w:i/>
                            <w:sz w:val="14"/>
                          </w:rPr>
                          <w:t>Reference Plant (without capture)</w:t>
                        </w:r>
                      </w:p>
                    </w:tc>
                    <w:tc>
                      <w:tcPr>
                        <w:tcW w:w="614" w:type="dxa"/>
                        <w:shd w:val="clear" w:color="auto" w:fill="F9FCF9"/>
                      </w:tcPr>
                      <w:p>
                        <w:pPr>
                          <w:pStyle w:val="TableParagraph"/>
                          <w:jc w:val="left"/>
                          <w:rPr>
                            <w:sz w:val="8"/>
                          </w:rPr>
                        </w:pPr>
                      </w:p>
                    </w:tc>
                    <w:tc>
                      <w:tcPr>
                        <w:tcW w:w="522" w:type="dxa"/>
                        <w:shd w:val="clear" w:color="auto" w:fill="F9FCF9"/>
                      </w:tcPr>
                      <w:p>
                        <w:pPr>
                          <w:pStyle w:val="TableParagraph"/>
                          <w:jc w:val="left"/>
                          <w:rPr>
                            <w:sz w:val="8"/>
                          </w:rPr>
                        </w:pPr>
                      </w:p>
                    </w:tc>
                    <w:tc>
                      <w:tcPr>
                        <w:tcW w:w="578"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1051" w:type="dxa"/>
                        <w:shd w:val="clear" w:color="auto" w:fill="F9FCF9"/>
                      </w:tcPr>
                      <w:p>
                        <w:pPr>
                          <w:pStyle w:val="TableParagraph"/>
                          <w:jc w:val="left"/>
                          <w:rPr>
                            <w:sz w:val="8"/>
                          </w:rPr>
                        </w:pPr>
                      </w:p>
                    </w:tc>
                    <w:tc>
                      <w:tcPr>
                        <w:tcW w:w="487" w:type="dxa"/>
                        <w:tcBorders>
                          <w:right w:val="double" w:sz="1" w:space="0" w:color="000000"/>
                        </w:tcBorders>
                        <w:shd w:val="clear" w:color="auto" w:fill="F9FCF9"/>
                      </w:tcPr>
                      <w:p>
                        <w:pPr>
                          <w:pStyle w:val="TableParagraph"/>
                          <w:jc w:val="left"/>
                          <w:rPr>
                            <w:sz w:val="8"/>
                          </w:rPr>
                        </w:pPr>
                      </w:p>
                    </w:tc>
                    <w:tc>
                      <w:tcPr>
                        <w:tcW w:w="741" w:type="dxa"/>
                        <w:tcBorders>
                          <w:left w:val="double" w:sz="1" w:space="0" w:color="000000"/>
                        </w:tcBorders>
                        <w:shd w:val="clear" w:color="auto" w:fill="F9FCF9"/>
                      </w:tcPr>
                      <w:p>
                        <w:pPr>
                          <w:pStyle w:val="TableParagraph"/>
                          <w:spacing w:line="132" w:lineRule="exact"/>
                          <w:ind w:left="22"/>
                          <w:rPr>
                            <w:b/>
                            <w:i/>
                            <w:sz w:val="14"/>
                          </w:rPr>
                        </w:pPr>
                        <w:r>
                          <w:rPr>
                            <w:b/>
                            <w:i/>
                            <w:sz w:val="14"/>
                          </w:rPr>
                          <w:t>*</w:t>
                        </w:r>
                      </w:p>
                    </w:tc>
                    <w:tc>
                      <w:tcPr>
                        <w:tcW w:w="798" w:type="dxa"/>
                        <w:shd w:val="clear" w:color="auto" w:fill="F9FCF9"/>
                      </w:tcPr>
                      <w:p>
                        <w:pPr>
                          <w:pStyle w:val="TableParagraph"/>
                          <w:spacing w:line="132" w:lineRule="exact"/>
                          <w:ind w:left="2"/>
                          <w:rPr>
                            <w:b/>
                            <w:i/>
                            <w:sz w:val="14"/>
                          </w:rPr>
                        </w:pPr>
                        <w:r>
                          <w:rPr>
                            <w:b/>
                            <w:i/>
                            <w:sz w:val="14"/>
                          </w:rPr>
                          <w:t>*</w:t>
                        </w:r>
                      </w:p>
                    </w:tc>
                    <w:tc>
                      <w:tcPr>
                        <w:tcW w:w="1050" w:type="dxa"/>
                        <w:shd w:val="clear" w:color="auto" w:fill="F9FCF9"/>
                      </w:tcPr>
                      <w:p>
                        <w:pPr>
                          <w:pStyle w:val="TableParagraph"/>
                          <w:spacing w:line="132" w:lineRule="exact"/>
                          <w:ind w:left="2"/>
                          <w:rPr>
                            <w:b/>
                            <w:i/>
                            <w:sz w:val="14"/>
                          </w:rPr>
                        </w:pPr>
                        <w:r>
                          <w:rPr>
                            <w:b/>
                            <w:i/>
                            <w:sz w:val="14"/>
                          </w:rPr>
                          <w:t>*</w:t>
                        </w:r>
                      </w:p>
                    </w:tc>
                    <w:tc>
                      <w:tcPr>
                        <w:tcW w:w="790" w:type="dxa"/>
                        <w:shd w:val="clear" w:color="auto" w:fill="F9FCF9"/>
                      </w:tcPr>
                      <w:p>
                        <w:pPr>
                          <w:pStyle w:val="TableParagraph"/>
                          <w:jc w:val="left"/>
                          <w:rPr>
                            <w:sz w:val="8"/>
                          </w:rPr>
                        </w:pPr>
                      </w:p>
                    </w:tc>
                    <w:tc>
                      <w:tcPr>
                        <w:tcW w:w="816" w:type="dxa"/>
                        <w:tcBorders>
                          <w:right w:val="double" w:sz="1" w:space="0" w:color="000000"/>
                        </w:tcBorders>
                        <w:shd w:val="clear" w:color="auto" w:fill="F9FCF9"/>
                      </w:tcPr>
                      <w:p>
                        <w:pPr>
                          <w:pStyle w:val="TableParagraph"/>
                          <w:jc w:val="left"/>
                          <w:rPr>
                            <w:sz w:val="8"/>
                          </w:rPr>
                        </w:pPr>
                      </w:p>
                    </w:tc>
                    <w:tc>
                      <w:tcPr>
                        <w:tcW w:w="870" w:type="dxa"/>
                        <w:tcBorders>
                          <w:left w:val="double" w:sz="1" w:space="0" w:color="000000"/>
                        </w:tcBorders>
                        <w:shd w:val="clear" w:color="auto" w:fill="F9FCF9"/>
                      </w:tcPr>
                      <w:p>
                        <w:pPr>
                          <w:pStyle w:val="TableParagraph"/>
                          <w:spacing w:line="132" w:lineRule="exact"/>
                          <w:ind w:left="22"/>
                          <w:rPr>
                            <w:b/>
                            <w:i/>
                            <w:sz w:val="14"/>
                          </w:rPr>
                        </w:pPr>
                        <w:r>
                          <w:rPr>
                            <w:b/>
                            <w:i/>
                            <w:sz w:val="14"/>
                          </w:rPr>
                          <w:t>*</w:t>
                        </w:r>
                      </w:p>
                    </w:tc>
                    <w:tc>
                      <w:tcPr>
                        <w:tcW w:w="664" w:type="dxa"/>
                        <w:shd w:val="clear" w:color="auto" w:fill="F9FCF9"/>
                      </w:tcPr>
                      <w:p>
                        <w:pPr>
                          <w:pStyle w:val="TableParagraph"/>
                          <w:jc w:val="left"/>
                          <w:rPr>
                            <w:sz w:val="8"/>
                          </w:rPr>
                        </w:pPr>
                      </w:p>
                    </w:tc>
                  </w:tr>
                  <w:tr>
                    <w:trPr>
                      <w:trHeight w:val="991" w:hRule="atLeast"/>
                    </w:trPr>
                    <w:tc>
                      <w:tcPr>
                        <w:tcW w:w="2180" w:type="dxa"/>
                        <w:shd w:val="clear" w:color="auto" w:fill="F9FCF9"/>
                      </w:tcPr>
                      <w:p>
                        <w:pPr>
                          <w:pStyle w:val="TableParagraph"/>
                          <w:spacing w:line="159" w:lineRule="exact"/>
                          <w:ind w:left="20"/>
                          <w:jc w:val="left"/>
                          <w:rPr>
                            <w:sz w:val="14"/>
                          </w:rPr>
                        </w:pPr>
                        <w:r>
                          <w:rPr>
                            <w:sz w:val="14"/>
                          </w:rPr>
                          <w:t>Power plant type</w:t>
                        </w:r>
                      </w:p>
                    </w:tc>
                    <w:tc>
                      <w:tcPr>
                        <w:tcW w:w="614" w:type="dxa"/>
                        <w:shd w:val="clear" w:color="auto" w:fill="F9FCF9"/>
                      </w:tcPr>
                      <w:p>
                        <w:pPr>
                          <w:pStyle w:val="TableParagraph"/>
                          <w:spacing w:line="249" w:lineRule="auto"/>
                          <w:ind w:left="95" w:right="86" w:firstLine="36"/>
                          <w:jc w:val="both"/>
                          <w:rPr>
                            <w:sz w:val="14"/>
                          </w:rPr>
                        </w:pPr>
                        <w:r>
                          <w:rPr>
                            <w:sz w:val="14"/>
                          </w:rPr>
                          <w:t>comb. cycle H-class turbine</w:t>
                        </w:r>
                      </w:p>
                    </w:tc>
                    <w:tc>
                      <w:tcPr>
                        <w:tcW w:w="522" w:type="dxa"/>
                        <w:shd w:val="clear" w:color="auto" w:fill="F9FCF9"/>
                      </w:tcPr>
                      <w:p>
                        <w:pPr>
                          <w:pStyle w:val="TableParagraph"/>
                          <w:spacing w:line="249" w:lineRule="auto"/>
                          <w:ind w:left="49" w:right="40" w:firstLine="36"/>
                          <w:jc w:val="both"/>
                          <w:rPr>
                            <w:sz w:val="14"/>
                          </w:rPr>
                        </w:pPr>
                        <w:r>
                          <w:rPr>
                            <w:sz w:val="14"/>
                          </w:rPr>
                          <w:t>comb. cycle H-class turbine</w:t>
                        </w:r>
                      </w:p>
                    </w:tc>
                    <w:tc>
                      <w:tcPr>
                        <w:tcW w:w="578" w:type="dxa"/>
                        <w:shd w:val="clear" w:color="auto" w:fill="F9FCF9"/>
                      </w:tcPr>
                      <w:p>
                        <w:pPr>
                          <w:pStyle w:val="TableParagraph"/>
                          <w:spacing w:line="249" w:lineRule="auto"/>
                          <w:ind w:left="77" w:right="68" w:firstLine="36"/>
                          <w:jc w:val="both"/>
                          <w:rPr>
                            <w:sz w:val="14"/>
                          </w:rPr>
                        </w:pPr>
                        <w:r>
                          <w:rPr>
                            <w:sz w:val="14"/>
                          </w:rPr>
                          <w:t>comb. cycle H-class turbine</w:t>
                        </w:r>
                      </w:p>
                    </w:tc>
                    <w:tc>
                      <w:tcPr>
                        <w:tcW w:w="795" w:type="dxa"/>
                        <w:shd w:val="clear" w:color="auto" w:fill="F9FCF9"/>
                      </w:tcPr>
                      <w:p>
                        <w:pPr>
                          <w:pStyle w:val="TableParagraph"/>
                          <w:jc w:val="left"/>
                          <w:rPr>
                            <w:sz w:val="14"/>
                          </w:rPr>
                        </w:pPr>
                      </w:p>
                    </w:tc>
                    <w:tc>
                      <w:tcPr>
                        <w:tcW w:w="795" w:type="dxa"/>
                        <w:shd w:val="clear" w:color="auto" w:fill="F9FCF9"/>
                      </w:tcPr>
                      <w:p>
                        <w:pPr>
                          <w:pStyle w:val="TableParagraph"/>
                          <w:jc w:val="left"/>
                          <w:rPr>
                            <w:sz w:val="14"/>
                          </w:rPr>
                        </w:pPr>
                      </w:p>
                    </w:tc>
                    <w:tc>
                      <w:tcPr>
                        <w:tcW w:w="795" w:type="dxa"/>
                        <w:shd w:val="clear" w:color="auto" w:fill="F9FCF9"/>
                      </w:tcPr>
                      <w:p>
                        <w:pPr>
                          <w:pStyle w:val="TableParagraph"/>
                          <w:jc w:val="left"/>
                          <w:rPr>
                            <w:sz w:val="14"/>
                          </w:rPr>
                        </w:pPr>
                      </w:p>
                    </w:tc>
                    <w:tc>
                      <w:tcPr>
                        <w:tcW w:w="1051" w:type="dxa"/>
                        <w:shd w:val="clear" w:color="auto" w:fill="F9FCF9"/>
                      </w:tcPr>
                      <w:p>
                        <w:pPr>
                          <w:pStyle w:val="TableParagraph"/>
                          <w:jc w:val="left"/>
                          <w:rPr>
                            <w:sz w:val="14"/>
                          </w:rPr>
                        </w:pPr>
                      </w:p>
                    </w:tc>
                    <w:tc>
                      <w:tcPr>
                        <w:tcW w:w="487" w:type="dxa"/>
                        <w:tcBorders>
                          <w:right w:val="double" w:sz="1" w:space="0" w:color="000000"/>
                        </w:tcBorders>
                        <w:shd w:val="clear" w:color="auto" w:fill="F9FCF9"/>
                      </w:tcPr>
                      <w:p>
                        <w:pPr>
                          <w:pStyle w:val="TableParagraph"/>
                          <w:spacing w:line="159" w:lineRule="exact"/>
                          <w:ind w:left="12" w:right="26"/>
                          <w:rPr>
                            <w:sz w:val="14"/>
                          </w:rPr>
                        </w:pPr>
                        <w:r>
                          <w:rPr>
                            <w:sz w:val="14"/>
                          </w:rPr>
                          <w:t>NGCC</w:t>
                        </w:r>
                      </w:p>
                    </w:tc>
                    <w:tc>
                      <w:tcPr>
                        <w:tcW w:w="741" w:type="dxa"/>
                        <w:tcBorders>
                          <w:left w:val="double" w:sz="1" w:space="0" w:color="000000"/>
                        </w:tcBorders>
                        <w:shd w:val="clear" w:color="auto" w:fill="F9FCF9"/>
                      </w:tcPr>
                      <w:p>
                        <w:pPr>
                          <w:pStyle w:val="TableParagraph"/>
                          <w:spacing w:line="225" w:lineRule="auto" w:before="5"/>
                          <w:ind w:left="110" w:right="79" w:firstLine="84"/>
                          <w:jc w:val="left"/>
                          <w:rPr>
                            <w:sz w:val="14"/>
                          </w:rPr>
                        </w:pPr>
                        <w:r>
                          <w:rPr>
                            <w:sz w:val="14"/>
                          </w:rPr>
                          <w:t>E-gas, O</w:t>
                        </w:r>
                        <w:r>
                          <w:rPr>
                            <w:position w:val="-4"/>
                            <w:sz w:val="8"/>
                          </w:rPr>
                          <w:t>2</w:t>
                        </w:r>
                        <w:r>
                          <w:rPr>
                            <w:sz w:val="14"/>
                          </w:rPr>
                          <w:t>, </w:t>
                        </w:r>
                        <w:r>
                          <w:rPr>
                            <w:spacing w:val="-4"/>
                            <w:sz w:val="14"/>
                          </w:rPr>
                          <w:t>water </w:t>
                        </w:r>
                        <w:r>
                          <w:rPr>
                            <w:spacing w:val="-1"/>
                            <w:sz w:val="14"/>
                          </w:rPr>
                          <w:t>scrubber;</w:t>
                        </w:r>
                      </w:p>
                      <w:p>
                        <w:pPr>
                          <w:pStyle w:val="TableParagraph"/>
                          <w:spacing w:line="249" w:lineRule="auto" w:before="5"/>
                          <w:ind w:left="173" w:right="127" w:hanging="12"/>
                          <w:jc w:val="left"/>
                          <w:rPr>
                            <w:sz w:val="14"/>
                          </w:rPr>
                        </w:pPr>
                        <w:r>
                          <w:rPr>
                            <w:spacing w:val="-1"/>
                            <w:sz w:val="14"/>
                          </w:rPr>
                          <w:t>H-class </w:t>
                        </w:r>
                        <w:r>
                          <w:rPr>
                            <w:sz w:val="14"/>
                          </w:rPr>
                          <w:t>turbine</w:t>
                        </w:r>
                      </w:p>
                    </w:tc>
                    <w:tc>
                      <w:tcPr>
                        <w:tcW w:w="798" w:type="dxa"/>
                        <w:shd w:val="clear" w:color="auto" w:fill="F9FCF9"/>
                      </w:tcPr>
                      <w:p>
                        <w:pPr>
                          <w:pStyle w:val="TableParagraph"/>
                          <w:spacing w:line="204" w:lineRule="auto" w:before="11"/>
                          <w:ind w:left="23" w:right="19"/>
                          <w:rPr>
                            <w:sz w:val="14"/>
                          </w:rPr>
                        </w:pPr>
                        <w:r>
                          <w:rPr>
                            <w:sz w:val="14"/>
                          </w:rPr>
                          <w:t>E-gas, O</w:t>
                        </w:r>
                        <w:r>
                          <w:rPr>
                            <w:position w:val="-4"/>
                            <w:sz w:val="8"/>
                          </w:rPr>
                          <w:t>2</w:t>
                        </w:r>
                        <w:r>
                          <w:rPr>
                            <w:sz w:val="14"/>
                          </w:rPr>
                          <w:t>, CGCU,</w:t>
                        </w:r>
                      </w:p>
                      <w:p>
                        <w:pPr>
                          <w:pStyle w:val="TableParagraph"/>
                          <w:spacing w:line="249" w:lineRule="auto" w:before="12"/>
                          <w:ind w:left="23" w:right="19"/>
                          <w:rPr>
                            <w:sz w:val="14"/>
                          </w:rPr>
                        </w:pPr>
                        <w:r>
                          <w:rPr>
                            <w:sz w:val="14"/>
                          </w:rPr>
                          <w:t>Hydraulic air compression</w:t>
                        </w:r>
                      </w:p>
                    </w:tc>
                    <w:tc>
                      <w:tcPr>
                        <w:tcW w:w="1050" w:type="dxa"/>
                        <w:shd w:val="clear" w:color="auto" w:fill="F9FCF9"/>
                      </w:tcPr>
                      <w:p>
                        <w:pPr>
                          <w:pStyle w:val="TableParagraph"/>
                          <w:spacing w:line="204" w:lineRule="auto" w:before="11"/>
                          <w:ind w:left="215" w:right="211"/>
                          <w:rPr>
                            <w:sz w:val="14"/>
                          </w:rPr>
                        </w:pPr>
                        <w:r>
                          <w:rPr>
                            <w:sz w:val="14"/>
                          </w:rPr>
                          <w:t>E-gas, </w:t>
                        </w:r>
                        <w:r>
                          <w:rPr>
                            <w:spacing w:val="-7"/>
                            <w:sz w:val="14"/>
                          </w:rPr>
                          <w:t>O</w:t>
                        </w:r>
                        <w:r>
                          <w:rPr>
                            <w:spacing w:val="-7"/>
                            <w:position w:val="-4"/>
                            <w:sz w:val="8"/>
                          </w:rPr>
                          <w:t>2</w:t>
                        </w:r>
                        <w:r>
                          <w:rPr>
                            <w:spacing w:val="-7"/>
                            <w:sz w:val="14"/>
                          </w:rPr>
                          <w:t>, </w:t>
                        </w:r>
                        <w:r>
                          <w:rPr>
                            <w:sz w:val="14"/>
                          </w:rPr>
                          <w:t>CGCU,</w:t>
                        </w:r>
                      </w:p>
                      <w:p>
                        <w:pPr>
                          <w:pStyle w:val="TableParagraph"/>
                          <w:spacing w:line="160" w:lineRule="atLeast" w:before="12"/>
                          <w:ind w:left="25" w:right="20" w:hanging="1"/>
                          <w:rPr>
                            <w:sz w:val="14"/>
                          </w:rPr>
                        </w:pPr>
                        <w:r>
                          <w:rPr>
                            <w:sz w:val="14"/>
                          </w:rPr>
                          <w:t>Hydraulic air compression </w:t>
                        </w:r>
                        <w:r>
                          <w:rPr>
                            <w:spacing w:val="-5"/>
                            <w:sz w:val="14"/>
                          </w:rPr>
                          <w:t>with </w:t>
                        </w:r>
                        <w:r>
                          <w:rPr>
                            <w:sz w:val="14"/>
                          </w:rPr>
                          <w:t>open loop water system</w:t>
                        </w:r>
                      </w:p>
                    </w:tc>
                    <w:tc>
                      <w:tcPr>
                        <w:tcW w:w="790" w:type="dxa"/>
                        <w:shd w:val="clear" w:color="auto" w:fill="F9FCF9"/>
                      </w:tcPr>
                      <w:p>
                        <w:pPr>
                          <w:pStyle w:val="TableParagraph"/>
                          <w:spacing w:line="159" w:lineRule="exact"/>
                          <w:ind w:left="31"/>
                          <w:jc w:val="left"/>
                          <w:rPr>
                            <w:sz w:val="14"/>
                          </w:rPr>
                        </w:pPr>
                        <w:r>
                          <w:rPr>
                            <w:sz w:val="14"/>
                          </w:rPr>
                          <w:t>Canada coke</w:t>
                        </w:r>
                      </w:p>
                      <w:p>
                        <w:pPr>
                          <w:pStyle w:val="TableParagraph"/>
                          <w:spacing w:before="7"/>
                          <w:ind w:left="68"/>
                          <w:jc w:val="left"/>
                          <w:rPr>
                            <w:sz w:val="14"/>
                          </w:rPr>
                        </w:pPr>
                        <w:r>
                          <w:rPr>
                            <w:sz w:val="14"/>
                          </w:rPr>
                          <w:t>gasification</w:t>
                        </w:r>
                      </w:p>
                    </w:tc>
                    <w:tc>
                      <w:tcPr>
                        <w:tcW w:w="816" w:type="dxa"/>
                        <w:tcBorders>
                          <w:right w:val="double" w:sz="1" w:space="0" w:color="000000"/>
                        </w:tcBorders>
                        <w:shd w:val="clear" w:color="auto" w:fill="F9FCF9"/>
                      </w:tcPr>
                      <w:p>
                        <w:pPr>
                          <w:pStyle w:val="TableParagraph"/>
                          <w:spacing w:line="159" w:lineRule="exact"/>
                          <w:ind w:left="29"/>
                          <w:jc w:val="left"/>
                          <w:rPr>
                            <w:sz w:val="14"/>
                          </w:rPr>
                        </w:pPr>
                        <w:r>
                          <w:rPr>
                            <w:sz w:val="14"/>
                          </w:rPr>
                          <w:t>Canada coke</w:t>
                        </w:r>
                      </w:p>
                      <w:p>
                        <w:pPr>
                          <w:pStyle w:val="TableParagraph"/>
                          <w:spacing w:before="7"/>
                          <w:ind w:left="66"/>
                          <w:jc w:val="left"/>
                          <w:rPr>
                            <w:sz w:val="14"/>
                          </w:rPr>
                        </w:pPr>
                        <w:r>
                          <w:rPr>
                            <w:sz w:val="14"/>
                          </w:rPr>
                          <w:t>gasification</w:t>
                        </w:r>
                      </w:p>
                    </w:tc>
                    <w:tc>
                      <w:tcPr>
                        <w:tcW w:w="870" w:type="dxa"/>
                        <w:tcBorders>
                          <w:left w:val="double" w:sz="1" w:space="0" w:color="000000"/>
                        </w:tcBorders>
                        <w:shd w:val="clear" w:color="auto" w:fill="F9FCF9"/>
                      </w:tcPr>
                      <w:p>
                        <w:pPr>
                          <w:pStyle w:val="TableParagraph"/>
                          <w:spacing w:line="181" w:lineRule="exact"/>
                          <w:ind w:left="153"/>
                          <w:jc w:val="left"/>
                          <w:rPr>
                            <w:sz w:val="14"/>
                          </w:rPr>
                        </w:pPr>
                        <w:r>
                          <w:rPr>
                            <w:sz w:val="14"/>
                          </w:rPr>
                          <w:t>E-gas,</w:t>
                        </w:r>
                        <w:r>
                          <w:rPr>
                            <w:spacing w:val="-1"/>
                            <w:sz w:val="14"/>
                          </w:rPr>
                          <w:t> </w:t>
                        </w:r>
                        <w:r>
                          <w:rPr>
                            <w:sz w:val="14"/>
                          </w:rPr>
                          <w:t>O</w:t>
                        </w:r>
                        <w:r>
                          <w:rPr>
                            <w:position w:val="-4"/>
                            <w:sz w:val="8"/>
                          </w:rPr>
                          <w:t>2</w:t>
                        </w:r>
                        <w:r>
                          <w:rPr>
                            <w:sz w:val="14"/>
                          </w:rPr>
                          <w:t>,</w:t>
                        </w:r>
                      </w:p>
                      <w:p>
                        <w:pPr>
                          <w:pStyle w:val="TableParagraph"/>
                          <w:spacing w:line="146" w:lineRule="exact"/>
                          <w:ind w:left="90"/>
                          <w:jc w:val="left"/>
                          <w:rPr>
                            <w:sz w:val="14"/>
                          </w:rPr>
                        </w:pPr>
                        <w:r>
                          <w:rPr>
                            <w:sz w:val="14"/>
                          </w:rPr>
                          <w:t>HGCU,</w:t>
                        </w:r>
                        <w:r>
                          <w:rPr>
                            <w:spacing w:val="-5"/>
                            <w:sz w:val="14"/>
                          </w:rPr>
                          <w:t> </w:t>
                        </w:r>
                        <w:r>
                          <w:rPr>
                            <w:sz w:val="14"/>
                          </w:rPr>
                          <w:t>“G”</w:t>
                        </w:r>
                      </w:p>
                      <w:p>
                        <w:pPr>
                          <w:pStyle w:val="TableParagraph"/>
                          <w:spacing w:before="7"/>
                          <w:ind w:left="138"/>
                          <w:jc w:val="left"/>
                          <w:rPr>
                            <w:sz w:val="14"/>
                          </w:rPr>
                        </w:pPr>
                        <w:r>
                          <w:rPr>
                            <w:sz w:val="14"/>
                          </w:rPr>
                          <w:t>GT, SOFC</w:t>
                        </w:r>
                      </w:p>
                    </w:tc>
                    <w:tc>
                      <w:tcPr>
                        <w:tcW w:w="664" w:type="dxa"/>
                        <w:shd w:val="clear" w:color="auto" w:fill="F9FCF9"/>
                      </w:tcPr>
                      <w:p>
                        <w:pPr>
                          <w:pStyle w:val="TableParagraph"/>
                          <w:spacing w:line="249" w:lineRule="auto"/>
                          <w:ind w:left="153" w:hanging="7"/>
                          <w:jc w:val="left"/>
                          <w:rPr>
                            <w:sz w:val="14"/>
                          </w:rPr>
                        </w:pPr>
                        <w:r>
                          <w:rPr>
                            <w:sz w:val="14"/>
                          </w:rPr>
                          <w:t>CHAT SOFC</w:t>
                        </w:r>
                      </w:p>
                    </w:tc>
                  </w:tr>
                  <w:tr>
                    <w:trPr>
                      <w:trHeight w:val="319" w:hRule="atLeast"/>
                    </w:trPr>
                    <w:tc>
                      <w:tcPr>
                        <w:tcW w:w="2180" w:type="dxa"/>
                        <w:shd w:val="clear" w:color="auto" w:fill="F9FCF9"/>
                      </w:tcPr>
                      <w:p>
                        <w:pPr>
                          <w:pStyle w:val="TableParagraph"/>
                          <w:spacing w:line="159" w:lineRule="exact"/>
                          <w:ind w:left="20"/>
                          <w:jc w:val="left"/>
                          <w:rPr>
                            <w:sz w:val="14"/>
                          </w:rPr>
                        </w:pPr>
                        <w:r>
                          <w:rPr>
                            <w:sz w:val="14"/>
                          </w:rPr>
                          <w:t>Fuel type (bit, sub-bit, lig; NG, other)</w:t>
                        </w:r>
                      </w:p>
                      <w:p>
                        <w:pPr>
                          <w:pStyle w:val="TableParagraph"/>
                          <w:spacing w:line="134" w:lineRule="exact" w:before="7"/>
                          <w:ind w:left="20"/>
                          <w:jc w:val="left"/>
                          <w:rPr>
                            <w:sz w:val="14"/>
                          </w:rPr>
                        </w:pPr>
                        <w:r>
                          <w:rPr>
                            <w:sz w:val="14"/>
                          </w:rPr>
                          <w:t>and %S</w:t>
                        </w:r>
                      </w:p>
                    </w:tc>
                    <w:tc>
                      <w:tcPr>
                        <w:tcW w:w="614" w:type="dxa"/>
                        <w:shd w:val="clear" w:color="auto" w:fill="F9FCF9"/>
                      </w:tcPr>
                      <w:p>
                        <w:pPr>
                          <w:pStyle w:val="TableParagraph"/>
                          <w:spacing w:line="159" w:lineRule="exact"/>
                          <w:ind w:left="28" w:right="22"/>
                          <w:rPr>
                            <w:sz w:val="14"/>
                          </w:rPr>
                        </w:pPr>
                        <w:r>
                          <w:rPr>
                            <w:sz w:val="14"/>
                          </w:rPr>
                          <w:t>Nat. gas</w:t>
                        </w:r>
                      </w:p>
                    </w:tc>
                    <w:tc>
                      <w:tcPr>
                        <w:tcW w:w="522" w:type="dxa"/>
                        <w:shd w:val="clear" w:color="auto" w:fill="F9FCF9"/>
                      </w:tcPr>
                      <w:p>
                        <w:pPr>
                          <w:pStyle w:val="TableParagraph"/>
                          <w:spacing w:line="159" w:lineRule="exact"/>
                          <w:ind w:left="30"/>
                          <w:jc w:val="left"/>
                          <w:rPr>
                            <w:sz w:val="14"/>
                          </w:rPr>
                        </w:pPr>
                        <w:r>
                          <w:rPr>
                            <w:sz w:val="14"/>
                          </w:rPr>
                          <w:t>Nat. gas</w:t>
                        </w:r>
                      </w:p>
                    </w:tc>
                    <w:tc>
                      <w:tcPr>
                        <w:tcW w:w="578" w:type="dxa"/>
                        <w:shd w:val="clear" w:color="auto" w:fill="F9FCF9"/>
                      </w:tcPr>
                      <w:p>
                        <w:pPr>
                          <w:pStyle w:val="TableParagraph"/>
                          <w:spacing w:line="159" w:lineRule="exact"/>
                          <w:ind w:left="29" w:right="23"/>
                          <w:rPr>
                            <w:sz w:val="14"/>
                          </w:rPr>
                        </w:pPr>
                        <w:r>
                          <w:rPr>
                            <w:sz w:val="14"/>
                          </w:rPr>
                          <w:t>Nat. gas</w:t>
                        </w:r>
                      </w:p>
                    </w:tc>
                    <w:tc>
                      <w:tcPr>
                        <w:tcW w:w="795" w:type="dxa"/>
                        <w:shd w:val="clear" w:color="auto" w:fill="F9FCF9"/>
                      </w:tcPr>
                      <w:p>
                        <w:pPr>
                          <w:pStyle w:val="TableParagraph"/>
                          <w:spacing w:line="159" w:lineRule="exact"/>
                          <w:ind w:left="15" w:right="9"/>
                          <w:rPr>
                            <w:sz w:val="14"/>
                          </w:rPr>
                        </w:pPr>
                        <w:r>
                          <w:rPr>
                            <w:sz w:val="14"/>
                          </w:rPr>
                          <w:t>NG</w:t>
                        </w:r>
                      </w:p>
                    </w:tc>
                    <w:tc>
                      <w:tcPr>
                        <w:tcW w:w="795" w:type="dxa"/>
                        <w:shd w:val="clear" w:color="auto" w:fill="F9FCF9"/>
                      </w:tcPr>
                      <w:p>
                        <w:pPr>
                          <w:pStyle w:val="TableParagraph"/>
                          <w:spacing w:line="159" w:lineRule="exact"/>
                          <w:ind w:left="14" w:right="9"/>
                          <w:rPr>
                            <w:sz w:val="14"/>
                          </w:rPr>
                        </w:pPr>
                        <w:r>
                          <w:rPr>
                            <w:sz w:val="14"/>
                          </w:rPr>
                          <w:t>NG</w:t>
                        </w:r>
                      </w:p>
                    </w:tc>
                    <w:tc>
                      <w:tcPr>
                        <w:tcW w:w="795" w:type="dxa"/>
                        <w:shd w:val="clear" w:color="auto" w:fill="F9FCF9"/>
                      </w:tcPr>
                      <w:p>
                        <w:pPr>
                          <w:pStyle w:val="TableParagraph"/>
                          <w:spacing w:line="159" w:lineRule="exact"/>
                          <w:ind w:left="13" w:right="9"/>
                          <w:rPr>
                            <w:sz w:val="14"/>
                          </w:rPr>
                        </w:pPr>
                        <w:r>
                          <w:rPr>
                            <w:sz w:val="14"/>
                          </w:rPr>
                          <w:t>NG</w:t>
                        </w:r>
                      </w:p>
                    </w:tc>
                    <w:tc>
                      <w:tcPr>
                        <w:tcW w:w="1051" w:type="dxa"/>
                        <w:shd w:val="clear" w:color="auto" w:fill="F9FCF9"/>
                      </w:tcPr>
                      <w:p>
                        <w:pPr>
                          <w:pStyle w:val="TableParagraph"/>
                          <w:spacing w:line="159" w:lineRule="exact"/>
                          <w:ind w:right="415"/>
                          <w:jc w:val="right"/>
                          <w:rPr>
                            <w:sz w:val="14"/>
                          </w:rPr>
                        </w:pPr>
                        <w:r>
                          <w:rPr>
                            <w:sz w:val="14"/>
                          </w:rPr>
                          <w:t>NG</w:t>
                        </w:r>
                      </w:p>
                    </w:tc>
                    <w:tc>
                      <w:tcPr>
                        <w:tcW w:w="487" w:type="dxa"/>
                        <w:tcBorders>
                          <w:right w:val="double" w:sz="1" w:space="0" w:color="000000"/>
                        </w:tcBorders>
                        <w:shd w:val="clear" w:color="auto" w:fill="F9FCF9"/>
                      </w:tcPr>
                      <w:p>
                        <w:pPr>
                          <w:pStyle w:val="TableParagraph"/>
                          <w:spacing w:line="159" w:lineRule="exact"/>
                          <w:ind w:left="12" w:right="26"/>
                          <w:rPr>
                            <w:sz w:val="14"/>
                          </w:rPr>
                        </w:pPr>
                        <w:r>
                          <w:rPr>
                            <w:sz w:val="14"/>
                          </w:rPr>
                          <w:t>NG</w:t>
                        </w:r>
                      </w:p>
                    </w:tc>
                    <w:tc>
                      <w:tcPr>
                        <w:tcW w:w="741" w:type="dxa"/>
                        <w:tcBorders>
                          <w:left w:val="double" w:sz="1" w:space="0" w:color="000000"/>
                        </w:tcBorders>
                        <w:shd w:val="clear" w:color="auto" w:fill="F9FCF9"/>
                      </w:tcPr>
                      <w:p>
                        <w:pPr>
                          <w:pStyle w:val="TableParagraph"/>
                          <w:spacing w:line="159" w:lineRule="exact"/>
                          <w:ind w:left="65" w:right="43"/>
                          <w:rPr>
                            <w:sz w:val="14"/>
                          </w:rPr>
                        </w:pPr>
                        <w:r>
                          <w:rPr>
                            <w:sz w:val="14"/>
                          </w:rPr>
                          <w:t>Illinois #6</w:t>
                        </w:r>
                      </w:p>
                    </w:tc>
                    <w:tc>
                      <w:tcPr>
                        <w:tcW w:w="798" w:type="dxa"/>
                        <w:shd w:val="clear" w:color="auto" w:fill="F9FCF9"/>
                      </w:tcPr>
                      <w:p>
                        <w:pPr>
                          <w:pStyle w:val="TableParagraph"/>
                          <w:spacing w:line="159" w:lineRule="exact"/>
                          <w:ind w:left="21" w:right="19"/>
                          <w:rPr>
                            <w:sz w:val="14"/>
                          </w:rPr>
                        </w:pPr>
                        <w:r>
                          <w:rPr>
                            <w:sz w:val="14"/>
                          </w:rPr>
                          <w:t>Illinois #6</w:t>
                        </w:r>
                      </w:p>
                    </w:tc>
                    <w:tc>
                      <w:tcPr>
                        <w:tcW w:w="1050" w:type="dxa"/>
                        <w:shd w:val="clear" w:color="auto" w:fill="F9FCF9"/>
                      </w:tcPr>
                      <w:p>
                        <w:pPr>
                          <w:pStyle w:val="TableParagraph"/>
                          <w:spacing w:line="159" w:lineRule="exact"/>
                          <w:ind w:left="215" w:right="213"/>
                          <w:rPr>
                            <w:sz w:val="14"/>
                          </w:rPr>
                        </w:pPr>
                        <w:r>
                          <w:rPr>
                            <w:sz w:val="14"/>
                          </w:rPr>
                          <w:t>Illinois #6</w:t>
                        </w:r>
                      </w:p>
                    </w:tc>
                    <w:tc>
                      <w:tcPr>
                        <w:tcW w:w="790" w:type="dxa"/>
                        <w:shd w:val="clear" w:color="auto" w:fill="F9FCF9"/>
                      </w:tcPr>
                      <w:p>
                        <w:pPr>
                          <w:pStyle w:val="TableParagraph"/>
                          <w:spacing w:line="159" w:lineRule="exact"/>
                          <w:ind w:left="223" w:right="221"/>
                          <w:rPr>
                            <w:sz w:val="14"/>
                          </w:rPr>
                        </w:pPr>
                        <w:r>
                          <w:rPr>
                            <w:sz w:val="14"/>
                          </w:rPr>
                          <w:t>Coke</w:t>
                        </w:r>
                      </w:p>
                    </w:tc>
                    <w:tc>
                      <w:tcPr>
                        <w:tcW w:w="816" w:type="dxa"/>
                        <w:tcBorders>
                          <w:right w:val="double" w:sz="1" w:space="0" w:color="000000"/>
                        </w:tcBorders>
                        <w:shd w:val="clear" w:color="auto" w:fill="F9FCF9"/>
                      </w:tcPr>
                      <w:p>
                        <w:pPr>
                          <w:pStyle w:val="TableParagraph"/>
                          <w:spacing w:line="159" w:lineRule="exact"/>
                          <w:ind w:left="174" w:right="189"/>
                          <w:rPr>
                            <w:sz w:val="14"/>
                          </w:rPr>
                        </w:pPr>
                        <w:r>
                          <w:rPr>
                            <w:sz w:val="14"/>
                          </w:rPr>
                          <w:t>Coke</w:t>
                        </w:r>
                      </w:p>
                    </w:tc>
                    <w:tc>
                      <w:tcPr>
                        <w:tcW w:w="870" w:type="dxa"/>
                        <w:tcBorders>
                          <w:left w:val="double" w:sz="1" w:space="0" w:color="000000"/>
                        </w:tcBorders>
                        <w:shd w:val="clear" w:color="auto" w:fill="F9FCF9"/>
                      </w:tcPr>
                      <w:p>
                        <w:pPr>
                          <w:pStyle w:val="TableParagraph"/>
                          <w:spacing w:line="159" w:lineRule="exact"/>
                          <w:ind w:left="130" w:right="108"/>
                          <w:rPr>
                            <w:sz w:val="14"/>
                          </w:rPr>
                        </w:pPr>
                        <w:r>
                          <w:rPr>
                            <w:sz w:val="14"/>
                          </w:rPr>
                          <w:t>Illinois #6</w:t>
                        </w:r>
                      </w:p>
                    </w:tc>
                    <w:tc>
                      <w:tcPr>
                        <w:tcW w:w="664" w:type="dxa"/>
                        <w:shd w:val="clear" w:color="auto" w:fill="F9FCF9"/>
                      </w:tcPr>
                      <w:p>
                        <w:pPr>
                          <w:pStyle w:val="TableParagraph"/>
                          <w:spacing w:line="159" w:lineRule="exact"/>
                          <w:ind w:left="71" w:right="68"/>
                          <w:rPr>
                            <w:sz w:val="14"/>
                          </w:rPr>
                        </w:pPr>
                        <w:r>
                          <w:rPr>
                            <w:sz w:val="14"/>
                          </w:rPr>
                          <w:t>Nat. gas</w:t>
                        </w: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Reference plant net size (MW)</w:t>
                        </w:r>
                      </w:p>
                    </w:tc>
                    <w:tc>
                      <w:tcPr>
                        <w:tcW w:w="614" w:type="dxa"/>
                        <w:shd w:val="clear" w:color="auto" w:fill="F9FCF9"/>
                      </w:tcPr>
                      <w:p>
                        <w:pPr>
                          <w:pStyle w:val="TableParagraph"/>
                          <w:spacing w:line="132" w:lineRule="exact"/>
                          <w:ind w:left="28" w:right="22"/>
                          <w:rPr>
                            <w:sz w:val="14"/>
                          </w:rPr>
                        </w:pPr>
                        <w:r>
                          <w:rPr>
                            <w:sz w:val="14"/>
                          </w:rPr>
                          <w:t>480</w:t>
                        </w:r>
                      </w:p>
                    </w:tc>
                    <w:tc>
                      <w:tcPr>
                        <w:tcW w:w="522" w:type="dxa"/>
                        <w:shd w:val="clear" w:color="auto" w:fill="F9FCF9"/>
                      </w:tcPr>
                      <w:p>
                        <w:pPr>
                          <w:pStyle w:val="TableParagraph"/>
                          <w:spacing w:line="132" w:lineRule="exact"/>
                          <w:ind w:left="154"/>
                          <w:jc w:val="left"/>
                          <w:rPr>
                            <w:sz w:val="14"/>
                          </w:rPr>
                        </w:pPr>
                        <w:r>
                          <w:rPr>
                            <w:sz w:val="14"/>
                          </w:rPr>
                          <w:t>384</w:t>
                        </w:r>
                      </w:p>
                    </w:tc>
                    <w:tc>
                      <w:tcPr>
                        <w:tcW w:w="578" w:type="dxa"/>
                        <w:shd w:val="clear" w:color="auto" w:fill="F9FCF9"/>
                      </w:tcPr>
                      <w:p>
                        <w:pPr>
                          <w:pStyle w:val="TableParagraph"/>
                          <w:spacing w:line="132" w:lineRule="exact"/>
                          <w:ind w:left="29" w:right="23"/>
                          <w:rPr>
                            <w:sz w:val="14"/>
                          </w:rPr>
                        </w:pPr>
                        <w:r>
                          <w:rPr>
                            <w:sz w:val="14"/>
                          </w:rPr>
                          <w:t>384</w:t>
                        </w:r>
                      </w:p>
                    </w:tc>
                    <w:tc>
                      <w:tcPr>
                        <w:tcW w:w="795" w:type="dxa"/>
                        <w:shd w:val="clear" w:color="auto" w:fill="F9FCF9"/>
                      </w:tcPr>
                      <w:p>
                        <w:pPr>
                          <w:pStyle w:val="TableParagraph"/>
                          <w:spacing w:line="132" w:lineRule="exact"/>
                          <w:ind w:left="15" w:right="9"/>
                          <w:rPr>
                            <w:sz w:val="14"/>
                          </w:rPr>
                        </w:pPr>
                        <w:r>
                          <w:rPr>
                            <w:sz w:val="14"/>
                          </w:rPr>
                          <w:t>392</w:t>
                        </w:r>
                      </w:p>
                    </w:tc>
                    <w:tc>
                      <w:tcPr>
                        <w:tcW w:w="795" w:type="dxa"/>
                        <w:shd w:val="clear" w:color="auto" w:fill="F9FCF9"/>
                      </w:tcPr>
                      <w:p>
                        <w:pPr>
                          <w:pStyle w:val="TableParagraph"/>
                          <w:spacing w:line="132" w:lineRule="exact"/>
                          <w:ind w:left="14" w:right="9"/>
                          <w:rPr>
                            <w:sz w:val="14"/>
                          </w:rPr>
                        </w:pPr>
                        <w:r>
                          <w:rPr>
                            <w:sz w:val="14"/>
                          </w:rPr>
                          <w:t>392</w:t>
                        </w:r>
                      </w:p>
                    </w:tc>
                    <w:tc>
                      <w:tcPr>
                        <w:tcW w:w="795" w:type="dxa"/>
                        <w:shd w:val="clear" w:color="auto" w:fill="F9FCF9"/>
                      </w:tcPr>
                      <w:p>
                        <w:pPr>
                          <w:pStyle w:val="TableParagraph"/>
                          <w:spacing w:line="132" w:lineRule="exact"/>
                          <w:ind w:left="13" w:right="9"/>
                          <w:rPr>
                            <w:sz w:val="14"/>
                          </w:rPr>
                        </w:pPr>
                        <w:r>
                          <w:rPr>
                            <w:sz w:val="14"/>
                          </w:rPr>
                          <w:t>392</w:t>
                        </w:r>
                      </w:p>
                    </w:tc>
                    <w:tc>
                      <w:tcPr>
                        <w:tcW w:w="1051" w:type="dxa"/>
                        <w:shd w:val="clear" w:color="auto" w:fill="F9FCF9"/>
                      </w:tcPr>
                      <w:p>
                        <w:pPr>
                          <w:pStyle w:val="TableParagraph"/>
                          <w:spacing w:line="132" w:lineRule="exact"/>
                          <w:ind w:right="411"/>
                          <w:jc w:val="right"/>
                          <w:rPr>
                            <w:sz w:val="14"/>
                          </w:rPr>
                        </w:pPr>
                        <w:r>
                          <w:rPr>
                            <w:sz w:val="14"/>
                          </w:rPr>
                          <w:t>507</w:t>
                        </w: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388</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425</w:t>
                        </w:r>
                      </w:p>
                    </w:tc>
                    <w:tc>
                      <w:tcPr>
                        <w:tcW w:w="798" w:type="dxa"/>
                        <w:shd w:val="clear" w:color="auto" w:fill="F9FCF9"/>
                      </w:tcPr>
                      <w:p>
                        <w:pPr>
                          <w:pStyle w:val="TableParagraph"/>
                          <w:spacing w:line="132" w:lineRule="exact"/>
                          <w:ind w:left="21" w:right="19"/>
                          <w:rPr>
                            <w:sz w:val="14"/>
                          </w:rPr>
                        </w:pPr>
                        <w:r>
                          <w:rPr>
                            <w:sz w:val="14"/>
                          </w:rPr>
                          <w:t>326</w:t>
                        </w:r>
                      </w:p>
                    </w:tc>
                    <w:tc>
                      <w:tcPr>
                        <w:tcW w:w="1050" w:type="dxa"/>
                        <w:shd w:val="clear" w:color="auto" w:fill="F9FCF9"/>
                      </w:tcPr>
                      <w:p>
                        <w:pPr>
                          <w:pStyle w:val="TableParagraph"/>
                          <w:spacing w:line="132" w:lineRule="exact"/>
                          <w:ind w:left="215" w:right="213"/>
                          <w:rPr>
                            <w:sz w:val="14"/>
                          </w:rPr>
                        </w:pPr>
                        <w:r>
                          <w:rPr>
                            <w:sz w:val="14"/>
                          </w:rPr>
                          <w:t>408</w:t>
                        </w:r>
                      </w:p>
                    </w:tc>
                    <w:tc>
                      <w:tcPr>
                        <w:tcW w:w="790" w:type="dxa"/>
                        <w:shd w:val="clear" w:color="auto" w:fill="F9FCF9"/>
                      </w:tcPr>
                      <w:p>
                        <w:pPr>
                          <w:pStyle w:val="TableParagraph"/>
                          <w:spacing w:line="132" w:lineRule="exact"/>
                          <w:ind w:left="223" w:right="221"/>
                          <w:rPr>
                            <w:sz w:val="14"/>
                          </w:rPr>
                        </w:pPr>
                        <w:r>
                          <w:rPr>
                            <w:sz w:val="14"/>
                          </w:rPr>
                          <w:t>588</w:t>
                        </w:r>
                      </w:p>
                    </w:tc>
                    <w:tc>
                      <w:tcPr>
                        <w:tcW w:w="816" w:type="dxa"/>
                        <w:tcBorders>
                          <w:right w:val="double" w:sz="1" w:space="0" w:color="000000"/>
                        </w:tcBorders>
                        <w:shd w:val="clear" w:color="auto" w:fill="F9FCF9"/>
                      </w:tcPr>
                      <w:p>
                        <w:pPr>
                          <w:pStyle w:val="TableParagraph"/>
                          <w:spacing w:line="132" w:lineRule="exact"/>
                          <w:ind w:left="174" w:right="189"/>
                          <w:rPr>
                            <w:sz w:val="14"/>
                          </w:rPr>
                        </w:pPr>
                        <w:r>
                          <w:rPr>
                            <w:sz w:val="14"/>
                          </w:rPr>
                          <w:t>588</w:t>
                        </w: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644</w:t>
                        </w:r>
                      </w:p>
                    </w:tc>
                    <w:tc>
                      <w:tcPr>
                        <w:tcW w:w="664" w:type="dxa"/>
                        <w:shd w:val="clear" w:color="auto" w:fill="F9FCF9"/>
                      </w:tcPr>
                      <w:p>
                        <w:pPr>
                          <w:pStyle w:val="TableParagraph"/>
                          <w:spacing w:line="132" w:lineRule="exact"/>
                          <w:ind w:left="71" w:right="68"/>
                          <w:rPr>
                            <w:sz w:val="14"/>
                          </w:rPr>
                        </w:pPr>
                        <w:r>
                          <w:rPr>
                            <w:sz w:val="14"/>
                          </w:rPr>
                          <w:t>557</w:t>
                        </w: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Plant capacity factor (%)</w:t>
                        </w:r>
                      </w:p>
                    </w:tc>
                    <w:tc>
                      <w:tcPr>
                        <w:tcW w:w="614" w:type="dxa"/>
                        <w:shd w:val="clear" w:color="auto" w:fill="F9FCF9"/>
                      </w:tcPr>
                      <w:p>
                        <w:pPr>
                          <w:pStyle w:val="TableParagraph"/>
                          <w:spacing w:line="132" w:lineRule="exact"/>
                          <w:ind w:left="28" w:right="22"/>
                          <w:rPr>
                            <w:sz w:val="14"/>
                          </w:rPr>
                        </w:pPr>
                        <w:r>
                          <w:rPr>
                            <w:sz w:val="14"/>
                          </w:rPr>
                          <w:t>80</w:t>
                        </w:r>
                      </w:p>
                    </w:tc>
                    <w:tc>
                      <w:tcPr>
                        <w:tcW w:w="522" w:type="dxa"/>
                        <w:shd w:val="clear" w:color="auto" w:fill="F9FCF9"/>
                      </w:tcPr>
                      <w:p>
                        <w:pPr>
                          <w:pStyle w:val="TableParagraph"/>
                          <w:spacing w:line="132" w:lineRule="exact"/>
                          <w:ind w:left="169" w:right="163"/>
                          <w:rPr>
                            <w:sz w:val="14"/>
                          </w:rPr>
                        </w:pPr>
                        <w:r>
                          <w:rPr>
                            <w:sz w:val="14"/>
                          </w:rPr>
                          <w:t>65</w:t>
                        </w:r>
                      </w:p>
                    </w:tc>
                    <w:tc>
                      <w:tcPr>
                        <w:tcW w:w="578" w:type="dxa"/>
                        <w:shd w:val="clear" w:color="auto" w:fill="F9FCF9"/>
                      </w:tcPr>
                      <w:p>
                        <w:pPr>
                          <w:pStyle w:val="TableParagraph"/>
                          <w:spacing w:line="132" w:lineRule="exact"/>
                          <w:ind w:left="29" w:right="23"/>
                          <w:rPr>
                            <w:sz w:val="14"/>
                          </w:rPr>
                        </w:pPr>
                        <w:r>
                          <w:rPr>
                            <w:sz w:val="14"/>
                          </w:rPr>
                          <w:t>80</w:t>
                        </w:r>
                      </w:p>
                    </w:tc>
                    <w:tc>
                      <w:tcPr>
                        <w:tcW w:w="795" w:type="dxa"/>
                        <w:shd w:val="clear" w:color="auto" w:fill="F9FCF9"/>
                      </w:tcPr>
                      <w:p>
                        <w:pPr>
                          <w:pStyle w:val="TableParagraph"/>
                          <w:spacing w:line="132" w:lineRule="exact"/>
                          <w:ind w:left="15" w:right="9"/>
                          <w:rPr>
                            <w:sz w:val="14"/>
                          </w:rPr>
                        </w:pPr>
                        <w:r>
                          <w:rPr>
                            <w:sz w:val="14"/>
                          </w:rPr>
                          <w:t>95</w:t>
                        </w:r>
                      </w:p>
                    </w:tc>
                    <w:tc>
                      <w:tcPr>
                        <w:tcW w:w="795" w:type="dxa"/>
                        <w:shd w:val="clear" w:color="auto" w:fill="F9FCF9"/>
                      </w:tcPr>
                      <w:p>
                        <w:pPr>
                          <w:pStyle w:val="TableParagraph"/>
                          <w:spacing w:line="132" w:lineRule="exact"/>
                          <w:ind w:left="14" w:right="9"/>
                          <w:rPr>
                            <w:sz w:val="14"/>
                          </w:rPr>
                        </w:pPr>
                        <w:r>
                          <w:rPr>
                            <w:sz w:val="14"/>
                          </w:rPr>
                          <w:t>95</w:t>
                        </w:r>
                      </w:p>
                    </w:tc>
                    <w:tc>
                      <w:tcPr>
                        <w:tcW w:w="795" w:type="dxa"/>
                        <w:shd w:val="clear" w:color="auto" w:fill="F9FCF9"/>
                      </w:tcPr>
                      <w:p>
                        <w:pPr>
                          <w:pStyle w:val="TableParagraph"/>
                          <w:spacing w:line="132" w:lineRule="exact"/>
                          <w:ind w:left="13" w:right="9"/>
                          <w:rPr>
                            <w:sz w:val="14"/>
                          </w:rPr>
                        </w:pPr>
                        <w:r>
                          <w:rPr>
                            <w:sz w:val="14"/>
                          </w:rPr>
                          <w:t>95</w:t>
                        </w:r>
                      </w:p>
                    </w:tc>
                    <w:tc>
                      <w:tcPr>
                        <w:tcW w:w="1051" w:type="dxa"/>
                        <w:shd w:val="clear" w:color="auto" w:fill="F9FCF9"/>
                      </w:tcPr>
                      <w:p>
                        <w:pPr>
                          <w:pStyle w:val="TableParagraph"/>
                          <w:spacing w:line="132" w:lineRule="exact"/>
                          <w:ind w:left="12" w:right="8"/>
                          <w:rPr>
                            <w:sz w:val="14"/>
                          </w:rPr>
                        </w:pPr>
                        <w:r>
                          <w:rPr>
                            <w:sz w:val="14"/>
                          </w:rPr>
                          <w:t>95</w:t>
                        </w: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85</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80</w:t>
                        </w:r>
                      </w:p>
                    </w:tc>
                    <w:tc>
                      <w:tcPr>
                        <w:tcW w:w="798" w:type="dxa"/>
                        <w:shd w:val="clear" w:color="auto" w:fill="F9FCF9"/>
                      </w:tcPr>
                      <w:p>
                        <w:pPr>
                          <w:pStyle w:val="TableParagraph"/>
                          <w:spacing w:line="132" w:lineRule="exact"/>
                          <w:ind w:left="21" w:right="19"/>
                          <w:rPr>
                            <w:sz w:val="14"/>
                          </w:rPr>
                        </w:pPr>
                        <w:r>
                          <w:rPr>
                            <w:sz w:val="14"/>
                          </w:rPr>
                          <w:t>85</w:t>
                        </w:r>
                      </w:p>
                    </w:tc>
                    <w:tc>
                      <w:tcPr>
                        <w:tcW w:w="1050" w:type="dxa"/>
                        <w:shd w:val="clear" w:color="auto" w:fill="F9FCF9"/>
                      </w:tcPr>
                      <w:p>
                        <w:pPr>
                          <w:pStyle w:val="TableParagraph"/>
                          <w:spacing w:line="132" w:lineRule="exact"/>
                          <w:ind w:left="215" w:right="213"/>
                          <w:rPr>
                            <w:sz w:val="14"/>
                          </w:rPr>
                        </w:pPr>
                        <w:r>
                          <w:rPr>
                            <w:sz w:val="14"/>
                          </w:rPr>
                          <w:t>85</w:t>
                        </w:r>
                      </w:p>
                    </w:tc>
                    <w:tc>
                      <w:tcPr>
                        <w:tcW w:w="790" w:type="dxa"/>
                        <w:shd w:val="clear" w:color="auto" w:fill="F9FCF9"/>
                      </w:tcPr>
                      <w:p>
                        <w:pPr>
                          <w:pStyle w:val="TableParagraph"/>
                          <w:spacing w:line="132" w:lineRule="exact"/>
                          <w:ind w:left="223" w:right="221"/>
                          <w:rPr>
                            <w:sz w:val="14"/>
                          </w:rPr>
                        </w:pPr>
                        <w:r>
                          <w:rPr>
                            <w:sz w:val="14"/>
                          </w:rPr>
                          <w:t>91.3</w:t>
                        </w:r>
                      </w:p>
                    </w:tc>
                    <w:tc>
                      <w:tcPr>
                        <w:tcW w:w="816" w:type="dxa"/>
                        <w:tcBorders>
                          <w:right w:val="double" w:sz="1" w:space="0" w:color="000000"/>
                        </w:tcBorders>
                        <w:shd w:val="clear" w:color="auto" w:fill="F9FCF9"/>
                      </w:tcPr>
                      <w:p>
                        <w:pPr>
                          <w:pStyle w:val="TableParagraph"/>
                          <w:spacing w:line="132" w:lineRule="exact"/>
                          <w:ind w:left="174" w:right="189"/>
                          <w:rPr>
                            <w:sz w:val="14"/>
                          </w:rPr>
                        </w:pPr>
                        <w:r>
                          <w:rPr>
                            <w:sz w:val="14"/>
                          </w:rPr>
                          <w:t>91.3</w:t>
                        </w: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85</w:t>
                        </w:r>
                      </w:p>
                    </w:tc>
                    <w:tc>
                      <w:tcPr>
                        <w:tcW w:w="664" w:type="dxa"/>
                        <w:shd w:val="clear" w:color="auto" w:fill="F9FCF9"/>
                      </w:tcPr>
                      <w:p>
                        <w:pPr>
                          <w:pStyle w:val="TableParagraph"/>
                          <w:spacing w:line="132" w:lineRule="exact"/>
                          <w:ind w:left="71" w:right="68"/>
                          <w:rPr>
                            <w:sz w:val="14"/>
                          </w:rPr>
                        </w:pPr>
                        <w:r>
                          <w:rPr>
                            <w:sz w:val="14"/>
                          </w:rPr>
                          <w:t>80</w:t>
                        </w: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Net plant efficiency, LHV (%)</w:t>
                        </w:r>
                      </w:p>
                    </w:tc>
                    <w:tc>
                      <w:tcPr>
                        <w:tcW w:w="614" w:type="dxa"/>
                        <w:shd w:val="clear" w:color="auto" w:fill="F9FCF9"/>
                      </w:tcPr>
                      <w:p>
                        <w:pPr>
                          <w:pStyle w:val="TableParagraph"/>
                          <w:spacing w:line="132" w:lineRule="exact"/>
                          <w:ind w:left="28" w:right="22"/>
                          <w:rPr>
                            <w:sz w:val="14"/>
                          </w:rPr>
                        </w:pPr>
                        <w:r>
                          <w:rPr>
                            <w:sz w:val="14"/>
                          </w:rPr>
                          <w:t>60.0</w:t>
                        </w:r>
                      </w:p>
                    </w:tc>
                    <w:tc>
                      <w:tcPr>
                        <w:tcW w:w="522" w:type="dxa"/>
                        <w:shd w:val="clear" w:color="auto" w:fill="F9FCF9"/>
                      </w:tcPr>
                      <w:p>
                        <w:pPr>
                          <w:pStyle w:val="TableParagraph"/>
                          <w:spacing w:line="132" w:lineRule="exact"/>
                          <w:ind w:left="136"/>
                          <w:jc w:val="left"/>
                          <w:rPr>
                            <w:sz w:val="14"/>
                          </w:rPr>
                        </w:pPr>
                        <w:r>
                          <w:rPr>
                            <w:sz w:val="14"/>
                          </w:rPr>
                          <w:t>59.5</w:t>
                        </w:r>
                      </w:p>
                    </w:tc>
                    <w:tc>
                      <w:tcPr>
                        <w:tcW w:w="578" w:type="dxa"/>
                        <w:shd w:val="clear" w:color="auto" w:fill="F9FCF9"/>
                      </w:tcPr>
                      <w:p>
                        <w:pPr>
                          <w:pStyle w:val="TableParagraph"/>
                          <w:spacing w:line="132" w:lineRule="exact"/>
                          <w:ind w:left="29" w:right="23"/>
                          <w:rPr>
                            <w:sz w:val="14"/>
                          </w:rPr>
                        </w:pPr>
                        <w:r>
                          <w:rPr>
                            <w:sz w:val="14"/>
                          </w:rPr>
                          <w:t>59.5</w:t>
                        </w:r>
                      </w:p>
                    </w:tc>
                    <w:tc>
                      <w:tcPr>
                        <w:tcW w:w="795" w:type="dxa"/>
                        <w:shd w:val="clear" w:color="auto" w:fill="F9FCF9"/>
                      </w:tcPr>
                      <w:p>
                        <w:pPr>
                          <w:pStyle w:val="TableParagraph"/>
                          <w:spacing w:line="132" w:lineRule="exact"/>
                          <w:ind w:left="214"/>
                          <w:jc w:val="left"/>
                          <w:rPr>
                            <w:sz w:val="14"/>
                          </w:rPr>
                        </w:pPr>
                        <w:r>
                          <w:rPr>
                            <w:sz w:val="14"/>
                          </w:rPr>
                          <w:t>57.6%</w:t>
                        </w:r>
                      </w:p>
                    </w:tc>
                    <w:tc>
                      <w:tcPr>
                        <w:tcW w:w="795" w:type="dxa"/>
                        <w:shd w:val="clear" w:color="auto" w:fill="F9FCF9"/>
                      </w:tcPr>
                      <w:p>
                        <w:pPr>
                          <w:pStyle w:val="TableParagraph"/>
                          <w:spacing w:line="132" w:lineRule="exact"/>
                          <w:ind w:left="14" w:right="9"/>
                          <w:rPr>
                            <w:sz w:val="14"/>
                          </w:rPr>
                        </w:pPr>
                        <w:r>
                          <w:rPr>
                            <w:sz w:val="14"/>
                          </w:rPr>
                          <w:t>57.6%</w:t>
                        </w:r>
                      </w:p>
                    </w:tc>
                    <w:tc>
                      <w:tcPr>
                        <w:tcW w:w="795" w:type="dxa"/>
                        <w:shd w:val="clear" w:color="auto" w:fill="F9FCF9"/>
                      </w:tcPr>
                      <w:p>
                        <w:pPr>
                          <w:pStyle w:val="TableParagraph"/>
                          <w:spacing w:line="132" w:lineRule="exact"/>
                          <w:ind w:left="13" w:right="9"/>
                          <w:rPr>
                            <w:sz w:val="14"/>
                          </w:rPr>
                        </w:pPr>
                        <w:r>
                          <w:rPr>
                            <w:sz w:val="14"/>
                          </w:rPr>
                          <w:t>57.6%</w:t>
                        </w:r>
                      </w:p>
                    </w:tc>
                    <w:tc>
                      <w:tcPr>
                        <w:tcW w:w="1051" w:type="dxa"/>
                        <w:shd w:val="clear" w:color="auto" w:fill="F9FCF9"/>
                      </w:tcPr>
                      <w:p>
                        <w:pPr>
                          <w:pStyle w:val="TableParagraph"/>
                          <w:spacing w:line="132" w:lineRule="exact"/>
                          <w:ind w:right="335"/>
                          <w:jc w:val="right"/>
                          <w:rPr>
                            <w:sz w:val="14"/>
                          </w:rPr>
                        </w:pPr>
                        <w:r>
                          <w:rPr>
                            <w:sz w:val="14"/>
                          </w:rPr>
                          <w:t>57.6%</w:t>
                        </w: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56.0</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41.1</w:t>
                        </w:r>
                      </w:p>
                    </w:tc>
                    <w:tc>
                      <w:tcPr>
                        <w:tcW w:w="798" w:type="dxa"/>
                        <w:shd w:val="clear" w:color="auto" w:fill="F9FCF9"/>
                      </w:tcPr>
                      <w:p>
                        <w:pPr>
                          <w:pStyle w:val="TableParagraph"/>
                          <w:spacing w:line="132" w:lineRule="exact"/>
                          <w:ind w:left="21" w:right="19"/>
                          <w:rPr>
                            <w:sz w:val="14"/>
                          </w:rPr>
                        </w:pPr>
                        <w:r>
                          <w:rPr>
                            <w:sz w:val="14"/>
                          </w:rPr>
                          <w:t>43.8</w:t>
                        </w:r>
                      </w:p>
                    </w:tc>
                    <w:tc>
                      <w:tcPr>
                        <w:tcW w:w="1050" w:type="dxa"/>
                        <w:shd w:val="clear" w:color="auto" w:fill="F9FCF9"/>
                      </w:tcPr>
                      <w:p>
                        <w:pPr>
                          <w:pStyle w:val="TableParagraph"/>
                          <w:spacing w:line="132" w:lineRule="exact"/>
                          <w:ind w:left="215" w:right="213"/>
                          <w:rPr>
                            <w:sz w:val="14"/>
                          </w:rPr>
                        </w:pPr>
                        <w:r>
                          <w:rPr>
                            <w:sz w:val="14"/>
                          </w:rPr>
                          <w:t>54.9</w:t>
                        </w:r>
                      </w:p>
                    </w:tc>
                    <w:tc>
                      <w:tcPr>
                        <w:tcW w:w="790" w:type="dxa"/>
                        <w:shd w:val="clear" w:color="auto" w:fill="F9FCF9"/>
                      </w:tcPr>
                      <w:p>
                        <w:pPr>
                          <w:pStyle w:val="TableParagraph"/>
                          <w:jc w:val="left"/>
                          <w:rPr>
                            <w:sz w:val="8"/>
                          </w:rPr>
                        </w:pPr>
                      </w:p>
                    </w:tc>
                    <w:tc>
                      <w:tcPr>
                        <w:tcW w:w="816" w:type="dxa"/>
                        <w:tcBorders>
                          <w:right w:val="double" w:sz="1" w:space="0" w:color="000000"/>
                        </w:tcBorders>
                        <w:shd w:val="clear" w:color="auto" w:fill="F9FCF9"/>
                      </w:tcPr>
                      <w:p>
                        <w:pPr>
                          <w:pStyle w:val="TableParagraph"/>
                          <w:jc w:val="left"/>
                          <w:rPr>
                            <w:sz w:val="8"/>
                          </w:rPr>
                        </w:pP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56.4</w:t>
                        </w:r>
                      </w:p>
                    </w:tc>
                    <w:tc>
                      <w:tcPr>
                        <w:tcW w:w="664" w:type="dxa"/>
                        <w:shd w:val="clear" w:color="auto" w:fill="F9FCF9"/>
                      </w:tcPr>
                      <w:p>
                        <w:pPr>
                          <w:pStyle w:val="TableParagraph"/>
                          <w:spacing w:line="132" w:lineRule="exact"/>
                          <w:ind w:left="71" w:right="68"/>
                          <w:rPr>
                            <w:sz w:val="14"/>
                          </w:rPr>
                        </w:pPr>
                        <w:r>
                          <w:rPr>
                            <w:sz w:val="14"/>
                          </w:rPr>
                          <w:t>66.2</w:t>
                        </w: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Fuel cost, LHV (US$ GJ</w:t>
                        </w:r>
                        <w:r>
                          <w:rPr>
                            <w:position w:val="5"/>
                            <w:sz w:val="8"/>
                          </w:rPr>
                          <w:t>−1</w:t>
                        </w:r>
                        <w:r>
                          <w:rPr>
                            <w:sz w:val="14"/>
                          </w:rPr>
                          <w:t>)</w:t>
                        </w:r>
                      </w:p>
                    </w:tc>
                    <w:tc>
                      <w:tcPr>
                        <w:tcW w:w="614" w:type="dxa"/>
                        <w:shd w:val="clear" w:color="auto" w:fill="F9FCF9"/>
                      </w:tcPr>
                      <w:p>
                        <w:pPr>
                          <w:pStyle w:val="TableParagraph"/>
                          <w:spacing w:line="132" w:lineRule="exact"/>
                          <w:ind w:left="28" w:right="22"/>
                          <w:rPr>
                            <w:sz w:val="14"/>
                          </w:rPr>
                        </w:pPr>
                        <w:r>
                          <w:rPr>
                            <w:sz w:val="14"/>
                          </w:rPr>
                          <w:t>4.86</w:t>
                        </w:r>
                      </w:p>
                    </w:tc>
                    <w:tc>
                      <w:tcPr>
                        <w:tcW w:w="522" w:type="dxa"/>
                        <w:shd w:val="clear" w:color="auto" w:fill="F9FCF9"/>
                      </w:tcPr>
                      <w:p>
                        <w:pPr>
                          <w:pStyle w:val="TableParagraph"/>
                          <w:spacing w:line="132" w:lineRule="exact"/>
                          <w:ind w:left="136"/>
                          <w:jc w:val="left"/>
                          <w:rPr>
                            <w:sz w:val="14"/>
                          </w:rPr>
                        </w:pPr>
                        <w:r>
                          <w:rPr>
                            <w:sz w:val="14"/>
                          </w:rPr>
                          <w:t>2.82</w:t>
                        </w:r>
                      </w:p>
                    </w:tc>
                    <w:tc>
                      <w:tcPr>
                        <w:tcW w:w="578" w:type="dxa"/>
                        <w:shd w:val="clear" w:color="auto" w:fill="F9FCF9"/>
                      </w:tcPr>
                      <w:p>
                        <w:pPr>
                          <w:pStyle w:val="TableParagraph"/>
                          <w:spacing w:line="132" w:lineRule="exact"/>
                          <w:ind w:left="29" w:right="23"/>
                          <w:rPr>
                            <w:sz w:val="14"/>
                          </w:rPr>
                        </w:pPr>
                        <w:r>
                          <w:rPr>
                            <w:sz w:val="14"/>
                          </w:rPr>
                          <w:t>2.82</w:t>
                        </w:r>
                      </w:p>
                    </w:tc>
                    <w:tc>
                      <w:tcPr>
                        <w:tcW w:w="795" w:type="dxa"/>
                        <w:shd w:val="clear" w:color="auto" w:fill="F9FCF9"/>
                      </w:tcPr>
                      <w:p>
                        <w:pPr>
                          <w:pStyle w:val="TableParagraph"/>
                          <w:spacing w:line="132" w:lineRule="exact"/>
                          <w:ind w:left="15" w:right="9"/>
                          <w:rPr>
                            <w:sz w:val="14"/>
                          </w:rPr>
                        </w:pPr>
                        <w:r>
                          <w:rPr>
                            <w:sz w:val="14"/>
                          </w:rPr>
                          <w:t>2.96</w:t>
                        </w:r>
                      </w:p>
                    </w:tc>
                    <w:tc>
                      <w:tcPr>
                        <w:tcW w:w="795" w:type="dxa"/>
                        <w:shd w:val="clear" w:color="auto" w:fill="F9FCF9"/>
                      </w:tcPr>
                      <w:p>
                        <w:pPr>
                          <w:pStyle w:val="TableParagraph"/>
                          <w:spacing w:line="132" w:lineRule="exact"/>
                          <w:ind w:left="14" w:right="9"/>
                          <w:rPr>
                            <w:sz w:val="14"/>
                          </w:rPr>
                        </w:pPr>
                        <w:r>
                          <w:rPr>
                            <w:sz w:val="14"/>
                          </w:rPr>
                          <w:t>2.96</w:t>
                        </w:r>
                      </w:p>
                    </w:tc>
                    <w:tc>
                      <w:tcPr>
                        <w:tcW w:w="795" w:type="dxa"/>
                        <w:shd w:val="clear" w:color="auto" w:fill="F9FCF9"/>
                      </w:tcPr>
                      <w:p>
                        <w:pPr>
                          <w:pStyle w:val="TableParagraph"/>
                          <w:spacing w:line="132" w:lineRule="exact"/>
                          <w:ind w:left="13" w:right="9"/>
                          <w:rPr>
                            <w:sz w:val="14"/>
                          </w:rPr>
                        </w:pPr>
                        <w:r>
                          <w:rPr>
                            <w:sz w:val="14"/>
                          </w:rPr>
                          <w:t>2.96</w:t>
                        </w:r>
                      </w:p>
                    </w:tc>
                    <w:tc>
                      <w:tcPr>
                        <w:tcW w:w="1051" w:type="dxa"/>
                        <w:shd w:val="clear" w:color="auto" w:fill="F9FCF9"/>
                      </w:tcPr>
                      <w:p>
                        <w:pPr>
                          <w:pStyle w:val="TableParagraph"/>
                          <w:spacing w:line="132" w:lineRule="exact"/>
                          <w:ind w:right="393"/>
                          <w:jc w:val="right"/>
                          <w:rPr>
                            <w:sz w:val="14"/>
                          </w:rPr>
                        </w:pPr>
                        <w:r>
                          <w:rPr>
                            <w:sz w:val="14"/>
                          </w:rPr>
                          <w:t>2.96</w:t>
                        </w: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3.00</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1.23</w:t>
                        </w:r>
                      </w:p>
                    </w:tc>
                    <w:tc>
                      <w:tcPr>
                        <w:tcW w:w="798" w:type="dxa"/>
                        <w:shd w:val="clear" w:color="auto" w:fill="F9FCF9"/>
                      </w:tcPr>
                      <w:p>
                        <w:pPr>
                          <w:pStyle w:val="TableParagraph"/>
                          <w:spacing w:line="132" w:lineRule="exact"/>
                          <w:ind w:left="21" w:right="19"/>
                          <w:rPr>
                            <w:sz w:val="14"/>
                          </w:rPr>
                        </w:pPr>
                        <w:r>
                          <w:rPr>
                            <w:sz w:val="14"/>
                          </w:rPr>
                          <w:t>1.03</w:t>
                        </w:r>
                      </w:p>
                    </w:tc>
                    <w:tc>
                      <w:tcPr>
                        <w:tcW w:w="1050" w:type="dxa"/>
                        <w:shd w:val="clear" w:color="auto" w:fill="F9FCF9"/>
                      </w:tcPr>
                      <w:p>
                        <w:pPr>
                          <w:pStyle w:val="TableParagraph"/>
                          <w:spacing w:line="132" w:lineRule="exact"/>
                          <w:ind w:left="215" w:right="213"/>
                          <w:rPr>
                            <w:sz w:val="14"/>
                          </w:rPr>
                        </w:pPr>
                        <w:r>
                          <w:rPr>
                            <w:sz w:val="14"/>
                          </w:rPr>
                          <w:t>1.03</w:t>
                        </w:r>
                      </w:p>
                    </w:tc>
                    <w:tc>
                      <w:tcPr>
                        <w:tcW w:w="790" w:type="dxa"/>
                        <w:shd w:val="clear" w:color="auto" w:fill="F9FCF9"/>
                      </w:tcPr>
                      <w:p>
                        <w:pPr>
                          <w:pStyle w:val="TableParagraph"/>
                          <w:spacing w:line="132" w:lineRule="exact"/>
                          <w:ind w:left="223" w:right="221"/>
                          <w:rPr>
                            <w:sz w:val="14"/>
                          </w:rPr>
                        </w:pPr>
                        <w:r>
                          <w:rPr>
                            <w:sz w:val="14"/>
                          </w:rPr>
                          <w:t>2.96</w:t>
                        </w:r>
                      </w:p>
                    </w:tc>
                    <w:tc>
                      <w:tcPr>
                        <w:tcW w:w="816" w:type="dxa"/>
                        <w:tcBorders>
                          <w:right w:val="double" w:sz="1" w:space="0" w:color="000000"/>
                        </w:tcBorders>
                        <w:shd w:val="clear" w:color="auto" w:fill="F9FCF9"/>
                      </w:tcPr>
                      <w:p>
                        <w:pPr>
                          <w:pStyle w:val="TableParagraph"/>
                          <w:spacing w:line="132" w:lineRule="exact"/>
                          <w:ind w:left="174" w:right="189"/>
                          <w:rPr>
                            <w:sz w:val="14"/>
                          </w:rPr>
                        </w:pPr>
                        <w:r>
                          <w:rPr>
                            <w:sz w:val="14"/>
                          </w:rPr>
                          <w:t>2.96</w:t>
                        </w: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1.03</w:t>
                        </w:r>
                      </w:p>
                    </w:tc>
                    <w:tc>
                      <w:tcPr>
                        <w:tcW w:w="664" w:type="dxa"/>
                        <w:shd w:val="clear" w:color="auto" w:fill="F9FCF9"/>
                      </w:tcPr>
                      <w:p>
                        <w:pPr>
                          <w:pStyle w:val="TableParagraph"/>
                          <w:spacing w:line="132" w:lineRule="exact"/>
                          <w:ind w:left="71" w:right="68"/>
                          <w:rPr>
                            <w:sz w:val="14"/>
                          </w:rPr>
                        </w:pPr>
                        <w:r>
                          <w:rPr>
                            <w:sz w:val="14"/>
                          </w:rPr>
                          <w:t>2.82</w:t>
                        </w: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Reference plant emission rate</w:t>
                        </w:r>
                      </w:p>
                    </w:tc>
                    <w:tc>
                      <w:tcPr>
                        <w:tcW w:w="614" w:type="dxa"/>
                        <w:shd w:val="clear" w:color="auto" w:fill="F9FCF9"/>
                      </w:tcPr>
                      <w:p>
                        <w:pPr>
                          <w:pStyle w:val="TableParagraph"/>
                          <w:jc w:val="left"/>
                          <w:rPr>
                            <w:sz w:val="8"/>
                          </w:rPr>
                        </w:pPr>
                      </w:p>
                    </w:tc>
                    <w:tc>
                      <w:tcPr>
                        <w:tcW w:w="522" w:type="dxa"/>
                        <w:shd w:val="clear" w:color="auto" w:fill="F9FCF9"/>
                      </w:tcPr>
                      <w:p>
                        <w:pPr>
                          <w:pStyle w:val="TableParagraph"/>
                          <w:jc w:val="left"/>
                          <w:rPr>
                            <w:sz w:val="8"/>
                          </w:rPr>
                        </w:pPr>
                      </w:p>
                    </w:tc>
                    <w:tc>
                      <w:tcPr>
                        <w:tcW w:w="578"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1051" w:type="dxa"/>
                        <w:shd w:val="clear" w:color="auto" w:fill="F9FCF9"/>
                      </w:tcPr>
                      <w:p>
                        <w:pPr>
                          <w:pStyle w:val="TableParagraph"/>
                          <w:jc w:val="left"/>
                          <w:rPr>
                            <w:sz w:val="8"/>
                          </w:rPr>
                        </w:pPr>
                      </w:p>
                    </w:tc>
                    <w:tc>
                      <w:tcPr>
                        <w:tcW w:w="487" w:type="dxa"/>
                        <w:tcBorders>
                          <w:right w:val="double" w:sz="1" w:space="0" w:color="000000"/>
                        </w:tcBorders>
                        <w:shd w:val="clear" w:color="auto" w:fill="F9FCF9"/>
                      </w:tcPr>
                      <w:p>
                        <w:pPr>
                          <w:pStyle w:val="TableParagraph"/>
                          <w:jc w:val="left"/>
                          <w:rPr>
                            <w:sz w:val="8"/>
                          </w:rPr>
                        </w:pPr>
                      </w:p>
                    </w:tc>
                    <w:tc>
                      <w:tcPr>
                        <w:tcW w:w="741" w:type="dxa"/>
                        <w:tcBorders>
                          <w:left w:val="double" w:sz="1" w:space="0" w:color="000000"/>
                        </w:tcBorders>
                        <w:shd w:val="clear" w:color="auto" w:fill="F9FCF9"/>
                      </w:tcPr>
                      <w:p>
                        <w:pPr>
                          <w:pStyle w:val="TableParagraph"/>
                          <w:jc w:val="left"/>
                          <w:rPr>
                            <w:sz w:val="8"/>
                          </w:rPr>
                        </w:pPr>
                      </w:p>
                    </w:tc>
                    <w:tc>
                      <w:tcPr>
                        <w:tcW w:w="798" w:type="dxa"/>
                        <w:shd w:val="clear" w:color="auto" w:fill="F9FCF9"/>
                      </w:tcPr>
                      <w:p>
                        <w:pPr>
                          <w:pStyle w:val="TableParagraph"/>
                          <w:jc w:val="left"/>
                          <w:rPr>
                            <w:sz w:val="8"/>
                          </w:rPr>
                        </w:pPr>
                      </w:p>
                    </w:tc>
                    <w:tc>
                      <w:tcPr>
                        <w:tcW w:w="1050" w:type="dxa"/>
                        <w:shd w:val="clear" w:color="auto" w:fill="F9FCF9"/>
                      </w:tcPr>
                      <w:p>
                        <w:pPr>
                          <w:pStyle w:val="TableParagraph"/>
                          <w:jc w:val="left"/>
                          <w:rPr>
                            <w:sz w:val="8"/>
                          </w:rPr>
                        </w:pPr>
                      </w:p>
                    </w:tc>
                    <w:tc>
                      <w:tcPr>
                        <w:tcW w:w="790" w:type="dxa"/>
                        <w:shd w:val="clear" w:color="auto" w:fill="F9FCF9"/>
                      </w:tcPr>
                      <w:p>
                        <w:pPr>
                          <w:pStyle w:val="TableParagraph"/>
                          <w:jc w:val="left"/>
                          <w:rPr>
                            <w:sz w:val="8"/>
                          </w:rPr>
                        </w:pPr>
                      </w:p>
                    </w:tc>
                    <w:tc>
                      <w:tcPr>
                        <w:tcW w:w="816" w:type="dxa"/>
                        <w:tcBorders>
                          <w:right w:val="double" w:sz="1" w:space="0" w:color="000000"/>
                        </w:tcBorders>
                        <w:shd w:val="clear" w:color="auto" w:fill="F9FCF9"/>
                      </w:tcPr>
                      <w:p>
                        <w:pPr>
                          <w:pStyle w:val="TableParagraph"/>
                          <w:jc w:val="left"/>
                          <w:rPr>
                            <w:sz w:val="8"/>
                          </w:rPr>
                        </w:pPr>
                      </w:p>
                    </w:tc>
                    <w:tc>
                      <w:tcPr>
                        <w:tcW w:w="870" w:type="dxa"/>
                        <w:tcBorders>
                          <w:left w:val="double" w:sz="1" w:space="0" w:color="000000"/>
                        </w:tcBorders>
                        <w:shd w:val="clear" w:color="auto" w:fill="F9FCF9"/>
                      </w:tcPr>
                      <w:p>
                        <w:pPr>
                          <w:pStyle w:val="TableParagraph"/>
                          <w:jc w:val="left"/>
                          <w:rPr>
                            <w:sz w:val="8"/>
                          </w:rPr>
                        </w:pPr>
                      </w:p>
                    </w:tc>
                    <w:tc>
                      <w:tcPr>
                        <w:tcW w:w="664" w:type="dxa"/>
                        <w:shd w:val="clear" w:color="auto" w:fill="F9FCF9"/>
                      </w:tcPr>
                      <w:p>
                        <w:pPr>
                          <w:pStyle w:val="TableParagraph"/>
                          <w:jc w:val="left"/>
                          <w:rPr>
                            <w:sz w:val="8"/>
                          </w:rPr>
                        </w:pP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(tCO MWh</w:t>
                        </w:r>
                        <w:r>
                          <w:rPr>
                            <w:position w:val="5"/>
                            <w:sz w:val="8"/>
                          </w:rPr>
                          <w:t>−1</w:t>
                        </w:r>
                        <w:r>
                          <w:rPr>
                            <w:sz w:val="14"/>
                          </w:rPr>
                          <w:t>)</w:t>
                        </w:r>
                      </w:p>
                    </w:tc>
                    <w:tc>
                      <w:tcPr>
                        <w:tcW w:w="614" w:type="dxa"/>
                        <w:shd w:val="clear" w:color="auto" w:fill="F9FCF9"/>
                      </w:tcPr>
                      <w:p>
                        <w:pPr>
                          <w:pStyle w:val="TableParagraph"/>
                          <w:spacing w:line="132" w:lineRule="exact"/>
                          <w:ind w:left="28" w:right="22"/>
                          <w:rPr>
                            <w:sz w:val="14"/>
                          </w:rPr>
                        </w:pPr>
                        <w:r>
                          <w:rPr>
                            <w:sz w:val="14"/>
                          </w:rPr>
                          <w:t>0.342</w:t>
                        </w:r>
                      </w:p>
                    </w:tc>
                    <w:tc>
                      <w:tcPr>
                        <w:tcW w:w="522" w:type="dxa"/>
                        <w:shd w:val="clear" w:color="auto" w:fill="F9FCF9"/>
                      </w:tcPr>
                      <w:p>
                        <w:pPr>
                          <w:pStyle w:val="TableParagraph"/>
                          <w:spacing w:line="132" w:lineRule="exact"/>
                          <w:ind w:left="101"/>
                          <w:jc w:val="left"/>
                          <w:rPr>
                            <w:sz w:val="14"/>
                          </w:rPr>
                        </w:pPr>
                        <w:r>
                          <w:rPr>
                            <w:sz w:val="14"/>
                          </w:rPr>
                          <w:t>0.338</w:t>
                        </w:r>
                      </w:p>
                    </w:tc>
                    <w:tc>
                      <w:tcPr>
                        <w:tcW w:w="578" w:type="dxa"/>
                        <w:shd w:val="clear" w:color="auto" w:fill="F9FCF9"/>
                      </w:tcPr>
                      <w:p>
                        <w:pPr>
                          <w:pStyle w:val="TableParagraph"/>
                          <w:spacing w:line="132" w:lineRule="exact"/>
                          <w:ind w:left="29" w:right="23"/>
                          <w:rPr>
                            <w:sz w:val="14"/>
                          </w:rPr>
                        </w:pPr>
                        <w:r>
                          <w:rPr>
                            <w:sz w:val="14"/>
                          </w:rPr>
                          <w:t>0.338</w:t>
                        </w:r>
                      </w:p>
                    </w:tc>
                    <w:tc>
                      <w:tcPr>
                        <w:tcW w:w="795" w:type="dxa"/>
                        <w:shd w:val="clear" w:color="auto" w:fill="F9FCF9"/>
                      </w:tcPr>
                      <w:p>
                        <w:pPr>
                          <w:pStyle w:val="TableParagraph"/>
                          <w:spacing w:line="132" w:lineRule="exact"/>
                          <w:ind w:left="15" w:right="9"/>
                          <w:rPr>
                            <w:sz w:val="14"/>
                          </w:rPr>
                        </w:pPr>
                        <w:r>
                          <w:rPr>
                            <w:sz w:val="14"/>
                          </w:rPr>
                          <w:t>0.37</w:t>
                        </w:r>
                      </w:p>
                    </w:tc>
                    <w:tc>
                      <w:tcPr>
                        <w:tcW w:w="795" w:type="dxa"/>
                        <w:shd w:val="clear" w:color="auto" w:fill="F9FCF9"/>
                      </w:tcPr>
                      <w:p>
                        <w:pPr>
                          <w:pStyle w:val="TableParagraph"/>
                          <w:spacing w:line="132" w:lineRule="exact"/>
                          <w:ind w:left="14" w:right="9"/>
                          <w:rPr>
                            <w:sz w:val="14"/>
                          </w:rPr>
                        </w:pPr>
                        <w:r>
                          <w:rPr>
                            <w:sz w:val="14"/>
                          </w:rPr>
                          <w:t>0.37</w:t>
                        </w:r>
                      </w:p>
                    </w:tc>
                    <w:tc>
                      <w:tcPr>
                        <w:tcW w:w="795" w:type="dxa"/>
                        <w:shd w:val="clear" w:color="auto" w:fill="F9FCF9"/>
                      </w:tcPr>
                      <w:p>
                        <w:pPr>
                          <w:pStyle w:val="TableParagraph"/>
                          <w:spacing w:line="132" w:lineRule="exact"/>
                          <w:ind w:left="13" w:right="9"/>
                          <w:rPr>
                            <w:sz w:val="14"/>
                          </w:rPr>
                        </w:pPr>
                        <w:r>
                          <w:rPr>
                            <w:sz w:val="14"/>
                          </w:rPr>
                          <w:t>0.37</w:t>
                        </w:r>
                      </w:p>
                    </w:tc>
                    <w:tc>
                      <w:tcPr>
                        <w:tcW w:w="1051" w:type="dxa"/>
                        <w:shd w:val="clear" w:color="auto" w:fill="F9FCF9"/>
                      </w:tcPr>
                      <w:p>
                        <w:pPr>
                          <w:pStyle w:val="TableParagraph"/>
                          <w:spacing w:line="132" w:lineRule="exact"/>
                          <w:ind w:right="393"/>
                          <w:jc w:val="right"/>
                          <w:rPr>
                            <w:sz w:val="14"/>
                          </w:rPr>
                        </w:pPr>
                        <w:r>
                          <w:rPr>
                            <w:sz w:val="14"/>
                          </w:rPr>
                          <w:t>0.37</w:t>
                        </w: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0.371</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0.720</w:t>
                        </w:r>
                      </w:p>
                    </w:tc>
                    <w:tc>
                      <w:tcPr>
                        <w:tcW w:w="798" w:type="dxa"/>
                        <w:shd w:val="clear" w:color="auto" w:fill="F9FCF9"/>
                      </w:tcPr>
                      <w:p>
                        <w:pPr>
                          <w:pStyle w:val="TableParagraph"/>
                          <w:spacing w:line="132" w:lineRule="exact"/>
                          <w:ind w:left="21" w:right="19"/>
                          <w:rPr>
                            <w:sz w:val="14"/>
                          </w:rPr>
                        </w:pPr>
                        <w:r>
                          <w:rPr>
                            <w:sz w:val="14"/>
                          </w:rPr>
                          <w:t>0.712</w:t>
                        </w:r>
                      </w:p>
                    </w:tc>
                    <w:tc>
                      <w:tcPr>
                        <w:tcW w:w="1050" w:type="dxa"/>
                        <w:shd w:val="clear" w:color="auto" w:fill="F9FCF9"/>
                      </w:tcPr>
                      <w:p>
                        <w:pPr>
                          <w:pStyle w:val="TableParagraph"/>
                          <w:spacing w:line="132" w:lineRule="exact"/>
                          <w:ind w:left="215" w:right="213"/>
                          <w:rPr>
                            <w:sz w:val="14"/>
                          </w:rPr>
                        </w:pPr>
                        <w:r>
                          <w:rPr>
                            <w:sz w:val="14"/>
                          </w:rPr>
                          <w:t>0.568</w:t>
                        </w:r>
                      </w:p>
                    </w:tc>
                    <w:tc>
                      <w:tcPr>
                        <w:tcW w:w="790" w:type="dxa"/>
                        <w:shd w:val="clear" w:color="auto" w:fill="F9FCF9"/>
                      </w:tcPr>
                      <w:p>
                        <w:pPr>
                          <w:pStyle w:val="TableParagraph"/>
                          <w:spacing w:line="132" w:lineRule="exact"/>
                          <w:ind w:left="223" w:right="221"/>
                          <w:rPr>
                            <w:sz w:val="14"/>
                          </w:rPr>
                        </w:pPr>
                        <w:r>
                          <w:rPr>
                            <w:sz w:val="14"/>
                          </w:rPr>
                          <w:t>0.95</w:t>
                        </w:r>
                      </w:p>
                    </w:tc>
                    <w:tc>
                      <w:tcPr>
                        <w:tcW w:w="816" w:type="dxa"/>
                        <w:tcBorders>
                          <w:right w:val="double" w:sz="1" w:space="0" w:color="000000"/>
                        </w:tcBorders>
                        <w:shd w:val="clear" w:color="auto" w:fill="F9FCF9"/>
                      </w:tcPr>
                      <w:p>
                        <w:pPr>
                          <w:pStyle w:val="TableParagraph"/>
                          <w:spacing w:line="132" w:lineRule="exact"/>
                          <w:ind w:left="174" w:right="189"/>
                          <w:rPr>
                            <w:sz w:val="14"/>
                          </w:rPr>
                        </w:pPr>
                        <w:r>
                          <w:rPr>
                            <w:sz w:val="14"/>
                          </w:rPr>
                          <w:t>0.95</w:t>
                        </w: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0.572</w:t>
                        </w:r>
                      </w:p>
                    </w:tc>
                    <w:tc>
                      <w:tcPr>
                        <w:tcW w:w="664" w:type="dxa"/>
                        <w:shd w:val="clear" w:color="auto" w:fill="F9FCF9"/>
                      </w:tcPr>
                      <w:p>
                        <w:pPr>
                          <w:pStyle w:val="TableParagraph"/>
                          <w:spacing w:line="132" w:lineRule="exact"/>
                          <w:ind w:left="71" w:right="68"/>
                          <w:rPr>
                            <w:sz w:val="14"/>
                          </w:rPr>
                        </w:pPr>
                        <w:r>
                          <w:rPr>
                            <w:sz w:val="14"/>
                          </w:rPr>
                          <w:t>0.302</w:t>
                        </w:r>
                      </w:p>
                    </w:tc>
                  </w:tr>
                  <w:tr>
                    <w:trPr>
                      <w:trHeight w:val="151" w:hRule="atLeast"/>
                    </w:trPr>
                    <w:tc>
                      <w:tcPr>
                        <w:tcW w:w="2180" w:type="dxa"/>
                        <w:shd w:val="clear" w:color="auto" w:fill="F9FCF9"/>
                      </w:tcPr>
                      <w:p>
                        <w:pPr>
                          <w:pStyle w:val="TableParagraph"/>
                          <w:spacing w:line="132" w:lineRule="exact"/>
                          <w:ind w:left="160"/>
                          <w:jc w:val="left"/>
                          <w:rPr>
                            <w:b/>
                            <w:i/>
                            <w:sz w:val="14"/>
                          </w:rPr>
                        </w:pPr>
                        <w:r>
                          <w:rPr>
                            <w:b/>
                            <w:i/>
                            <w:sz w:val="14"/>
                          </w:rPr>
                          <w:t>Capture Plant Design</w:t>
                        </w:r>
                      </w:p>
                    </w:tc>
                    <w:tc>
                      <w:tcPr>
                        <w:tcW w:w="614" w:type="dxa"/>
                        <w:shd w:val="clear" w:color="auto" w:fill="F9FCF9"/>
                      </w:tcPr>
                      <w:p>
                        <w:pPr>
                          <w:pStyle w:val="TableParagraph"/>
                          <w:jc w:val="left"/>
                          <w:rPr>
                            <w:sz w:val="8"/>
                          </w:rPr>
                        </w:pPr>
                      </w:p>
                    </w:tc>
                    <w:tc>
                      <w:tcPr>
                        <w:tcW w:w="522" w:type="dxa"/>
                        <w:shd w:val="clear" w:color="auto" w:fill="F9FCF9"/>
                      </w:tcPr>
                      <w:p>
                        <w:pPr>
                          <w:pStyle w:val="TableParagraph"/>
                          <w:jc w:val="left"/>
                          <w:rPr>
                            <w:sz w:val="8"/>
                          </w:rPr>
                        </w:pPr>
                      </w:p>
                    </w:tc>
                    <w:tc>
                      <w:tcPr>
                        <w:tcW w:w="578"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1051" w:type="dxa"/>
                        <w:shd w:val="clear" w:color="auto" w:fill="F9FCF9"/>
                      </w:tcPr>
                      <w:p>
                        <w:pPr>
                          <w:pStyle w:val="TableParagraph"/>
                          <w:jc w:val="left"/>
                          <w:rPr>
                            <w:sz w:val="8"/>
                          </w:rPr>
                        </w:pPr>
                      </w:p>
                    </w:tc>
                    <w:tc>
                      <w:tcPr>
                        <w:tcW w:w="487" w:type="dxa"/>
                        <w:tcBorders>
                          <w:right w:val="double" w:sz="1" w:space="0" w:color="000000"/>
                        </w:tcBorders>
                        <w:shd w:val="clear" w:color="auto" w:fill="F9FCF9"/>
                      </w:tcPr>
                      <w:p>
                        <w:pPr>
                          <w:pStyle w:val="TableParagraph"/>
                          <w:jc w:val="left"/>
                          <w:rPr>
                            <w:sz w:val="8"/>
                          </w:rPr>
                        </w:pPr>
                      </w:p>
                    </w:tc>
                    <w:tc>
                      <w:tcPr>
                        <w:tcW w:w="741" w:type="dxa"/>
                        <w:tcBorders>
                          <w:left w:val="double" w:sz="1" w:space="0" w:color="000000"/>
                        </w:tcBorders>
                        <w:shd w:val="clear" w:color="auto" w:fill="F9FCF9"/>
                      </w:tcPr>
                      <w:p>
                        <w:pPr>
                          <w:pStyle w:val="TableParagraph"/>
                          <w:jc w:val="left"/>
                          <w:rPr>
                            <w:sz w:val="8"/>
                          </w:rPr>
                        </w:pPr>
                      </w:p>
                    </w:tc>
                    <w:tc>
                      <w:tcPr>
                        <w:tcW w:w="798" w:type="dxa"/>
                        <w:shd w:val="clear" w:color="auto" w:fill="F9FCF9"/>
                      </w:tcPr>
                      <w:p>
                        <w:pPr>
                          <w:pStyle w:val="TableParagraph"/>
                          <w:jc w:val="left"/>
                          <w:rPr>
                            <w:sz w:val="8"/>
                          </w:rPr>
                        </w:pPr>
                      </w:p>
                    </w:tc>
                    <w:tc>
                      <w:tcPr>
                        <w:tcW w:w="1050" w:type="dxa"/>
                        <w:shd w:val="clear" w:color="auto" w:fill="F9FCF9"/>
                      </w:tcPr>
                      <w:p>
                        <w:pPr>
                          <w:pStyle w:val="TableParagraph"/>
                          <w:jc w:val="left"/>
                          <w:rPr>
                            <w:sz w:val="8"/>
                          </w:rPr>
                        </w:pPr>
                      </w:p>
                    </w:tc>
                    <w:tc>
                      <w:tcPr>
                        <w:tcW w:w="790" w:type="dxa"/>
                        <w:shd w:val="clear" w:color="auto" w:fill="F9FCF9"/>
                      </w:tcPr>
                      <w:p>
                        <w:pPr>
                          <w:pStyle w:val="TableParagraph"/>
                          <w:jc w:val="left"/>
                          <w:rPr>
                            <w:sz w:val="8"/>
                          </w:rPr>
                        </w:pPr>
                      </w:p>
                    </w:tc>
                    <w:tc>
                      <w:tcPr>
                        <w:tcW w:w="816" w:type="dxa"/>
                        <w:tcBorders>
                          <w:right w:val="double" w:sz="1" w:space="0" w:color="000000"/>
                        </w:tcBorders>
                        <w:shd w:val="clear" w:color="auto" w:fill="F9FCF9"/>
                      </w:tcPr>
                      <w:p>
                        <w:pPr>
                          <w:pStyle w:val="TableParagraph"/>
                          <w:jc w:val="left"/>
                          <w:rPr>
                            <w:sz w:val="8"/>
                          </w:rPr>
                        </w:pPr>
                      </w:p>
                    </w:tc>
                    <w:tc>
                      <w:tcPr>
                        <w:tcW w:w="870" w:type="dxa"/>
                        <w:tcBorders>
                          <w:left w:val="double" w:sz="1" w:space="0" w:color="000000"/>
                        </w:tcBorders>
                        <w:shd w:val="clear" w:color="auto" w:fill="F9FCF9"/>
                      </w:tcPr>
                      <w:p>
                        <w:pPr>
                          <w:pStyle w:val="TableParagraph"/>
                          <w:jc w:val="left"/>
                          <w:rPr>
                            <w:sz w:val="8"/>
                          </w:rPr>
                        </w:pPr>
                      </w:p>
                    </w:tc>
                    <w:tc>
                      <w:tcPr>
                        <w:tcW w:w="664" w:type="dxa"/>
                        <w:shd w:val="clear" w:color="auto" w:fill="F9FCF9"/>
                      </w:tcPr>
                      <w:p>
                        <w:pPr>
                          <w:pStyle w:val="TableParagraph"/>
                          <w:jc w:val="left"/>
                          <w:rPr>
                            <w:sz w:val="8"/>
                          </w:rPr>
                        </w:pPr>
                      </w:p>
                    </w:tc>
                  </w:tr>
                  <w:tr>
                    <w:trPr>
                      <w:trHeight w:val="655" w:hRule="atLeast"/>
                    </w:trPr>
                    <w:tc>
                      <w:tcPr>
                        <w:tcW w:w="2180" w:type="dxa"/>
                        <w:shd w:val="clear" w:color="auto" w:fill="F9FCF9"/>
                      </w:tcPr>
                      <w:p>
                        <w:pPr>
                          <w:pStyle w:val="TableParagraph"/>
                          <w:spacing w:line="235" w:lineRule="auto"/>
                          <w:ind w:left="20"/>
                          <w:jc w:val="left"/>
                          <w:rPr>
                            <w:sz w:val="14"/>
                          </w:rPr>
                        </w:pPr>
                        <w:r>
                          <w:rPr>
                            <w:sz w:val="14"/>
                          </w:rPr>
                          <w:t>CO</w:t>
                        </w:r>
                        <w:r>
                          <w:rPr>
                            <w:position w:val="-4"/>
                            <w:sz w:val="8"/>
                          </w:rPr>
                          <w:t>2 </w:t>
                        </w:r>
                        <w:r>
                          <w:rPr>
                            <w:sz w:val="14"/>
                          </w:rPr>
                          <w:t>capture technology</w:t>
                        </w:r>
                      </w:p>
                    </w:tc>
                    <w:tc>
                      <w:tcPr>
                        <w:tcW w:w="614" w:type="dxa"/>
                        <w:shd w:val="clear" w:color="auto" w:fill="F9FCF9"/>
                      </w:tcPr>
                      <w:p>
                        <w:pPr>
                          <w:pStyle w:val="TableParagraph"/>
                          <w:spacing w:line="159" w:lineRule="exact"/>
                          <w:ind w:left="28" w:right="14"/>
                          <w:rPr>
                            <w:sz w:val="14"/>
                          </w:rPr>
                        </w:pPr>
                        <w:r>
                          <w:rPr>
                            <w:sz w:val="14"/>
                          </w:rPr>
                          <w:t>MEA</w:t>
                        </w:r>
                      </w:p>
                    </w:tc>
                    <w:tc>
                      <w:tcPr>
                        <w:tcW w:w="522" w:type="dxa"/>
                        <w:shd w:val="clear" w:color="auto" w:fill="F9FCF9"/>
                      </w:tcPr>
                      <w:p>
                        <w:pPr>
                          <w:pStyle w:val="TableParagraph"/>
                          <w:spacing w:line="159" w:lineRule="exact"/>
                          <w:ind w:left="107"/>
                          <w:jc w:val="left"/>
                          <w:rPr>
                            <w:sz w:val="14"/>
                          </w:rPr>
                        </w:pPr>
                        <w:r>
                          <w:rPr>
                            <w:sz w:val="14"/>
                          </w:rPr>
                          <w:t>MEA</w:t>
                        </w:r>
                      </w:p>
                    </w:tc>
                    <w:tc>
                      <w:tcPr>
                        <w:tcW w:w="578" w:type="dxa"/>
                        <w:shd w:val="clear" w:color="auto" w:fill="F9FCF9"/>
                      </w:tcPr>
                      <w:p>
                        <w:pPr>
                          <w:pStyle w:val="TableParagraph"/>
                          <w:spacing w:line="159" w:lineRule="exact"/>
                          <w:ind w:left="30" w:right="16"/>
                          <w:rPr>
                            <w:sz w:val="14"/>
                          </w:rPr>
                        </w:pPr>
                        <w:r>
                          <w:rPr>
                            <w:sz w:val="14"/>
                          </w:rPr>
                          <w:t>MEA</w:t>
                        </w:r>
                      </w:p>
                    </w:tc>
                    <w:tc>
                      <w:tcPr>
                        <w:tcW w:w="795" w:type="dxa"/>
                        <w:shd w:val="clear" w:color="auto" w:fill="F9FCF9"/>
                      </w:tcPr>
                      <w:p>
                        <w:pPr>
                          <w:pStyle w:val="TableParagraph"/>
                          <w:spacing w:line="249" w:lineRule="auto"/>
                          <w:ind w:left="42" w:right="33" w:hanging="1"/>
                          <w:rPr>
                            <w:sz w:val="14"/>
                          </w:rPr>
                        </w:pPr>
                        <w:r>
                          <w:rPr>
                            <w:sz w:val="14"/>
                          </w:rPr>
                          <w:t>MEA low- cost/ </w:t>
                        </w:r>
                        <w:r>
                          <w:rPr>
                            <w:spacing w:val="-7"/>
                            <w:sz w:val="14"/>
                          </w:rPr>
                          <w:t>CCGT- </w:t>
                        </w:r>
                        <w:r>
                          <w:rPr>
                            <w:sz w:val="14"/>
                          </w:rPr>
                          <w:t>integrated</w:t>
                        </w:r>
                      </w:p>
                      <w:p>
                        <w:pPr>
                          <w:pStyle w:val="TableParagraph"/>
                          <w:spacing w:line="134" w:lineRule="exact"/>
                          <w:ind w:left="15" w:right="9"/>
                          <w:rPr>
                            <w:sz w:val="14"/>
                          </w:rPr>
                        </w:pPr>
                        <w:r>
                          <w:rPr>
                            <w:sz w:val="14"/>
                          </w:rPr>
                          <w:t>(post-comb.)</w:t>
                        </w:r>
                      </w:p>
                    </w:tc>
                    <w:tc>
                      <w:tcPr>
                        <w:tcW w:w="795" w:type="dxa"/>
                        <w:shd w:val="clear" w:color="auto" w:fill="F9FCF9"/>
                      </w:tcPr>
                      <w:p>
                        <w:pPr>
                          <w:pStyle w:val="TableParagraph"/>
                          <w:spacing w:line="249" w:lineRule="auto"/>
                          <w:ind w:left="66" w:right="59" w:firstLine="25"/>
                          <w:jc w:val="both"/>
                          <w:rPr>
                            <w:sz w:val="14"/>
                          </w:rPr>
                        </w:pPr>
                        <w:r>
                          <w:rPr>
                            <w:sz w:val="14"/>
                          </w:rPr>
                          <w:t>Membrane Contactor; KS-1 (post-</w:t>
                        </w:r>
                      </w:p>
                      <w:p>
                        <w:pPr>
                          <w:pStyle w:val="TableParagraph"/>
                          <w:spacing w:line="134" w:lineRule="exact"/>
                          <w:ind w:left="199"/>
                          <w:jc w:val="left"/>
                          <w:rPr>
                            <w:sz w:val="14"/>
                          </w:rPr>
                        </w:pPr>
                        <w:r>
                          <w:rPr>
                            <w:sz w:val="14"/>
                          </w:rPr>
                          <w:t>comb.)</w:t>
                        </w:r>
                      </w:p>
                    </w:tc>
                    <w:tc>
                      <w:tcPr>
                        <w:tcW w:w="795" w:type="dxa"/>
                        <w:shd w:val="clear" w:color="auto" w:fill="F9FCF9"/>
                      </w:tcPr>
                      <w:p>
                        <w:pPr>
                          <w:pStyle w:val="TableParagraph"/>
                          <w:spacing w:line="249" w:lineRule="auto"/>
                          <w:ind w:left="91" w:right="85" w:firstLine="23"/>
                          <w:jc w:val="both"/>
                          <w:rPr>
                            <w:sz w:val="14"/>
                          </w:rPr>
                        </w:pPr>
                        <w:r>
                          <w:rPr>
                            <w:sz w:val="14"/>
                          </w:rPr>
                          <w:t>Hydrogen Membrane Reformer</w:t>
                        </w:r>
                      </w:p>
                      <w:p>
                        <w:pPr>
                          <w:pStyle w:val="TableParagraph"/>
                          <w:spacing w:line="134" w:lineRule="exact"/>
                          <w:ind w:left="62"/>
                          <w:jc w:val="left"/>
                          <w:rPr>
                            <w:sz w:val="14"/>
                          </w:rPr>
                        </w:pPr>
                        <w:r>
                          <w:rPr>
                            <w:sz w:val="14"/>
                          </w:rPr>
                          <w:t>(pre-comb.)</w:t>
                        </w:r>
                      </w:p>
                    </w:tc>
                    <w:tc>
                      <w:tcPr>
                        <w:tcW w:w="1051" w:type="dxa"/>
                        <w:shd w:val="clear" w:color="auto" w:fill="F9FCF9"/>
                      </w:tcPr>
                      <w:p>
                        <w:pPr>
                          <w:pStyle w:val="TableParagraph"/>
                          <w:spacing w:line="249" w:lineRule="auto"/>
                          <w:ind w:left="64" w:right="58" w:hanging="1"/>
                          <w:rPr>
                            <w:sz w:val="14"/>
                          </w:rPr>
                        </w:pPr>
                        <w:r>
                          <w:rPr>
                            <w:sz w:val="14"/>
                          </w:rPr>
                          <w:t>Sorption Enhanced </w:t>
                        </w:r>
                        <w:r>
                          <w:rPr>
                            <w:spacing w:val="-6"/>
                            <w:sz w:val="14"/>
                          </w:rPr>
                          <w:t>Water </w:t>
                        </w:r>
                        <w:r>
                          <w:rPr>
                            <w:sz w:val="14"/>
                          </w:rPr>
                          <w:t>Gas Shift- Air</w:t>
                        </w:r>
                      </w:p>
                      <w:p>
                        <w:pPr>
                          <w:pStyle w:val="TableParagraph"/>
                          <w:spacing w:line="134" w:lineRule="exact"/>
                          <w:ind w:left="12" w:right="8"/>
                          <w:rPr>
                            <w:sz w:val="14"/>
                          </w:rPr>
                        </w:pPr>
                        <w:r>
                          <w:rPr>
                            <w:sz w:val="14"/>
                          </w:rPr>
                          <w:t>ATR (pre-comb.)</w:t>
                        </w:r>
                      </w:p>
                    </w:tc>
                    <w:tc>
                      <w:tcPr>
                        <w:tcW w:w="487" w:type="dxa"/>
                        <w:tcBorders>
                          <w:right w:val="double" w:sz="1" w:space="0" w:color="000000"/>
                        </w:tcBorders>
                        <w:shd w:val="clear" w:color="auto" w:fill="F9FCF9"/>
                      </w:tcPr>
                      <w:p>
                        <w:pPr>
                          <w:pStyle w:val="TableParagraph"/>
                          <w:spacing w:line="249" w:lineRule="auto"/>
                          <w:ind w:left="116" w:right="79" w:hanging="36"/>
                          <w:jc w:val="left"/>
                          <w:rPr>
                            <w:sz w:val="14"/>
                          </w:rPr>
                        </w:pPr>
                        <w:r>
                          <w:rPr>
                            <w:sz w:val="14"/>
                          </w:rPr>
                          <w:t>Oxy- fuel</w:t>
                        </w:r>
                      </w:p>
                    </w:tc>
                    <w:tc>
                      <w:tcPr>
                        <w:tcW w:w="741" w:type="dxa"/>
                        <w:tcBorders>
                          <w:left w:val="double" w:sz="1" w:space="0" w:color="000000"/>
                        </w:tcBorders>
                        <w:shd w:val="clear" w:color="auto" w:fill="F9FCF9"/>
                      </w:tcPr>
                      <w:p>
                        <w:pPr>
                          <w:pStyle w:val="TableParagraph"/>
                          <w:spacing w:line="159" w:lineRule="exact"/>
                          <w:ind w:left="65" w:right="43"/>
                          <w:rPr>
                            <w:sz w:val="14"/>
                          </w:rPr>
                        </w:pPr>
                        <w:r>
                          <w:rPr>
                            <w:sz w:val="14"/>
                          </w:rPr>
                          <w:t>Selexol</w:t>
                        </w:r>
                      </w:p>
                    </w:tc>
                    <w:tc>
                      <w:tcPr>
                        <w:tcW w:w="798" w:type="dxa"/>
                        <w:shd w:val="clear" w:color="auto" w:fill="F9FCF9"/>
                      </w:tcPr>
                      <w:p>
                        <w:pPr>
                          <w:pStyle w:val="TableParagraph"/>
                          <w:spacing w:line="159" w:lineRule="exact"/>
                          <w:ind w:left="21" w:right="19"/>
                          <w:rPr>
                            <w:sz w:val="14"/>
                          </w:rPr>
                        </w:pPr>
                        <w:r>
                          <w:rPr>
                            <w:sz w:val="14"/>
                          </w:rPr>
                          <w:t>Selexol</w:t>
                        </w:r>
                      </w:p>
                    </w:tc>
                    <w:tc>
                      <w:tcPr>
                        <w:tcW w:w="1050" w:type="dxa"/>
                        <w:shd w:val="clear" w:color="auto" w:fill="F9FCF9"/>
                      </w:tcPr>
                      <w:p>
                        <w:pPr>
                          <w:pStyle w:val="TableParagraph"/>
                          <w:jc w:val="left"/>
                          <w:rPr>
                            <w:sz w:val="14"/>
                          </w:rPr>
                        </w:pPr>
                      </w:p>
                    </w:tc>
                    <w:tc>
                      <w:tcPr>
                        <w:tcW w:w="790" w:type="dxa"/>
                        <w:shd w:val="clear" w:color="auto" w:fill="F9FCF9"/>
                      </w:tcPr>
                      <w:p>
                        <w:pPr>
                          <w:pStyle w:val="TableParagraph"/>
                          <w:spacing w:line="249" w:lineRule="auto"/>
                          <w:ind w:left="31" w:right="27" w:hanging="1"/>
                          <w:rPr>
                            <w:sz w:val="14"/>
                          </w:rPr>
                        </w:pPr>
                        <w:r>
                          <w:rPr>
                            <w:sz w:val="14"/>
                          </w:rPr>
                          <w:t>IGCC with capture (pre- comb.)</w:t>
                        </w:r>
                      </w:p>
                    </w:tc>
                    <w:tc>
                      <w:tcPr>
                        <w:tcW w:w="816" w:type="dxa"/>
                        <w:tcBorders>
                          <w:right w:val="double" w:sz="1" w:space="0" w:color="000000"/>
                        </w:tcBorders>
                        <w:shd w:val="clear" w:color="auto" w:fill="F9FCF9"/>
                      </w:tcPr>
                      <w:p>
                        <w:pPr>
                          <w:pStyle w:val="TableParagraph"/>
                          <w:spacing w:line="249" w:lineRule="auto"/>
                          <w:ind w:left="29" w:right="45" w:hanging="1"/>
                          <w:rPr>
                            <w:sz w:val="14"/>
                          </w:rPr>
                        </w:pPr>
                        <w:r>
                          <w:rPr>
                            <w:sz w:val="14"/>
                          </w:rPr>
                          <w:t>IGCC with advanced capture (pre-</w:t>
                        </w:r>
                      </w:p>
                      <w:p>
                        <w:pPr>
                          <w:pStyle w:val="TableParagraph"/>
                          <w:spacing w:line="134" w:lineRule="exact"/>
                          <w:ind w:left="174" w:right="189"/>
                          <w:rPr>
                            <w:sz w:val="14"/>
                          </w:rPr>
                        </w:pPr>
                        <w:r>
                          <w:rPr>
                            <w:sz w:val="14"/>
                          </w:rPr>
                          <w:t>comb.)</w:t>
                        </w:r>
                      </w:p>
                    </w:tc>
                    <w:tc>
                      <w:tcPr>
                        <w:tcW w:w="870" w:type="dxa"/>
                        <w:tcBorders>
                          <w:left w:val="double" w:sz="1" w:space="0" w:color="000000"/>
                        </w:tcBorders>
                        <w:shd w:val="clear" w:color="auto" w:fill="F9FCF9"/>
                      </w:tcPr>
                      <w:p>
                        <w:pPr>
                          <w:pStyle w:val="TableParagraph"/>
                          <w:spacing w:line="159" w:lineRule="exact"/>
                          <w:ind w:left="130" w:right="108"/>
                          <w:rPr>
                            <w:sz w:val="14"/>
                          </w:rPr>
                        </w:pPr>
                        <w:r>
                          <w:rPr>
                            <w:sz w:val="14"/>
                          </w:rPr>
                          <w:t>Selexol</w:t>
                        </w:r>
                      </w:p>
                    </w:tc>
                    <w:tc>
                      <w:tcPr>
                        <w:tcW w:w="664" w:type="dxa"/>
                        <w:shd w:val="clear" w:color="auto" w:fill="F9FCF9"/>
                      </w:tcPr>
                      <w:p>
                        <w:pPr>
                          <w:pStyle w:val="TableParagraph"/>
                          <w:jc w:val="left"/>
                          <w:rPr>
                            <w:sz w:val="14"/>
                          </w:rPr>
                        </w:pP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Net plant size with capture (MW)</w:t>
                        </w:r>
                      </w:p>
                    </w:tc>
                    <w:tc>
                      <w:tcPr>
                        <w:tcW w:w="614" w:type="dxa"/>
                        <w:shd w:val="clear" w:color="auto" w:fill="F9FCF9"/>
                      </w:tcPr>
                      <w:p>
                        <w:pPr>
                          <w:pStyle w:val="TableParagraph"/>
                          <w:spacing w:line="132" w:lineRule="exact"/>
                          <w:ind w:left="28" w:right="22"/>
                          <w:rPr>
                            <w:sz w:val="14"/>
                          </w:rPr>
                        </w:pPr>
                        <w:r>
                          <w:rPr>
                            <w:sz w:val="14"/>
                          </w:rPr>
                          <w:t>413</w:t>
                        </w:r>
                      </w:p>
                    </w:tc>
                    <w:tc>
                      <w:tcPr>
                        <w:tcW w:w="522" w:type="dxa"/>
                        <w:shd w:val="clear" w:color="auto" w:fill="F9FCF9"/>
                      </w:tcPr>
                      <w:p>
                        <w:pPr>
                          <w:pStyle w:val="TableParagraph"/>
                          <w:spacing w:line="132" w:lineRule="exact"/>
                          <w:ind w:left="157"/>
                          <w:jc w:val="left"/>
                          <w:rPr>
                            <w:sz w:val="14"/>
                          </w:rPr>
                        </w:pPr>
                        <w:r>
                          <w:rPr>
                            <w:sz w:val="14"/>
                          </w:rPr>
                          <w:t>311</w:t>
                        </w:r>
                      </w:p>
                    </w:tc>
                    <w:tc>
                      <w:tcPr>
                        <w:tcW w:w="578" w:type="dxa"/>
                        <w:shd w:val="clear" w:color="auto" w:fill="F9FCF9"/>
                      </w:tcPr>
                      <w:p>
                        <w:pPr>
                          <w:pStyle w:val="TableParagraph"/>
                          <w:spacing w:line="132" w:lineRule="exact"/>
                          <w:ind w:left="29" w:right="23"/>
                          <w:rPr>
                            <w:sz w:val="14"/>
                          </w:rPr>
                        </w:pPr>
                        <w:r>
                          <w:rPr>
                            <w:sz w:val="14"/>
                          </w:rPr>
                          <w:t>311</w:t>
                        </w:r>
                      </w:p>
                    </w:tc>
                    <w:tc>
                      <w:tcPr>
                        <w:tcW w:w="795" w:type="dxa"/>
                        <w:shd w:val="clear" w:color="auto" w:fill="F9FCF9"/>
                      </w:tcPr>
                      <w:p>
                        <w:pPr>
                          <w:pStyle w:val="TableParagraph"/>
                          <w:spacing w:line="132" w:lineRule="exact"/>
                          <w:ind w:left="15" w:right="9"/>
                          <w:rPr>
                            <w:sz w:val="14"/>
                          </w:rPr>
                        </w:pPr>
                        <w:r>
                          <w:rPr>
                            <w:sz w:val="14"/>
                          </w:rPr>
                          <w:t>345</w:t>
                        </w:r>
                      </w:p>
                    </w:tc>
                    <w:tc>
                      <w:tcPr>
                        <w:tcW w:w="795" w:type="dxa"/>
                        <w:shd w:val="clear" w:color="auto" w:fill="F9FCF9"/>
                      </w:tcPr>
                      <w:p>
                        <w:pPr>
                          <w:pStyle w:val="TableParagraph"/>
                          <w:spacing w:line="132" w:lineRule="exact"/>
                          <w:ind w:left="14" w:right="9"/>
                          <w:rPr>
                            <w:sz w:val="14"/>
                          </w:rPr>
                        </w:pPr>
                        <w:r>
                          <w:rPr>
                            <w:sz w:val="14"/>
                          </w:rPr>
                          <w:t>335</w:t>
                        </w:r>
                      </w:p>
                    </w:tc>
                    <w:tc>
                      <w:tcPr>
                        <w:tcW w:w="795" w:type="dxa"/>
                        <w:shd w:val="clear" w:color="auto" w:fill="F9FCF9"/>
                      </w:tcPr>
                      <w:p>
                        <w:pPr>
                          <w:pStyle w:val="TableParagraph"/>
                          <w:spacing w:line="132" w:lineRule="exact"/>
                          <w:ind w:left="13" w:right="9"/>
                          <w:rPr>
                            <w:sz w:val="14"/>
                          </w:rPr>
                        </w:pPr>
                        <w:r>
                          <w:rPr>
                            <w:sz w:val="14"/>
                          </w:rPr>
                          <w:t>361</w:t>
                        </w:r>
                      </w:p>
                    </w:tc>
                    <w:tc>
                      <w:tcPr>
                        <w:tcW w:w="1051" w:type="dxa"/>
                        <w:shd w:val="clear" w:color="auto" w:fill="F9FCF9"/>
                      </w:tcPr>
                      <w:p>
                        <w:pPr>
                          <w:pStyle w:val="TableParagraph"/>
                          <w:spacing w:line="132" w:lineRule="exact"/>
                          <w:ind w:right="411"/>
                          <w:jc w:val="right"/>
                          <w:rPr>
                            <w:sz w:val="14"/>
                          </w:rPr>
                        </w:pPr>
                        <w:r>
                          <w:rPr>
                            <w:sz w:val="14"/>
                          </w:rPr>
                          <w:t>424</w:t>
                        </w: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440</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387</w:t>
                        </w:r>
                      </w:p>
                    </w:tc>
                    <w:tc>
                      <w:tcPr>
                        <w:tcW w:w="798" w:type="dxa"/>
                        <w:shd w:val="clear" w:color="auto" w:fill="F9FCF9"/>
                      </w:tcPr>
                      <w:p>
                        <w:pPr>
                          <w:pStyle w:val="TableParagraph"/>
                          <w:spacing w:line="132" w:lineRule="exact"/>
                          <w:ind w:left="21" w:right="19"/>
                          <w:rPr>
                            <w:sz w:val="14"/>
                          </w:rPr>
                        </w:pPr>
                        <w:r>
                          <w:rPr>
                            <w:sz w:val="14"/>
                          </w:rPr>
                          <w:t>312</w:t>
                        </w:r>
                      </w:p>
                    </w:tc>
                    <w:tc>
                      <w:tcPr>
                        <w:tcW w:w="1050" w:type="dxa"/>
                        <w:shd w:val="clear" w:color="auto" w:fill="F9FCF9"/>
                      </w:tcPr>
                      <w:p>
                        <w:pPr>
                          <w:pStyle w:val="TableParagraph"/>
                          <w:spacing w:line="132" w:lineRule="exact"/>
                          <w:ind w:left="215" w:right="213"/>
                          <w:rPr>
                            <w:sz w:val="14"/>
                          </w:rPr>
                        </w:pPr>
                        <w:r>
                          <w:rPr>
                            <w:sz w:val="14"/>
                          </w:rPr>
                          <w:t>404</w:t>
                        </w:r>
                      </w:p>
                    </w:tc>
                    <w:tc>
                      <w:tcPr>
                        <w:tcW w:w="790" w:type="dxa"/>
                        <w:shd w:val="clear" w:color="auto" w:fill="F9FCF9"/>
                      </w:tcPr>
                      <w:p>
                        <w:pPr>
                          <w:pStyle w:val="TableParagraph"/>
                          <w:spacing w:line="132" w:lineRule="exact"/>
                          <w:ind w:left="223" w:right="221"/>
                          <w:rPr>
                            <w:sz w:val="14"/>
                          </w:rPr>
                        </w:pPr>
                        <w:r>
                          <w:rPr>
                            <w:sz w:val="14"/>
                          </w:rPr>
                          <w:t>699</w:t>
                        </w:r>
                      </w:p>
                    </w:tc>
                    <w:tc>
                      <w:tcPr>
                        <w:tcW w:w="816" w:type="dxa"/>
                        <w:tcBorders>
                          <w:right w:val="double" w:sz="1" w:space="0" w:color="000000"/>
                        </w:tcBorders>
                        <w:shd w:val="clear" w:color="auto" w:fill="F9FCF9"/>
                      </w:tcPr>
                      <w:p>
                        <w:pPr>
                          <w:pStyle w:val="TableParagraph"/>
                          <w:spacing w:line="132" w:lineRule="exact"/>
                          <w:ind w:left="174" w:right="189"/>
                          <w:rPr>
                            <w:sz w:val="14"/>
                          </w:rPr>
                        </w:pPr>
                        <w:r>
                          <w:rPr>
                            <w:sz w:val="14"/>
                          </w:rPr>
                          <w:t>734</w:t>
                        </w: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755</w:t>
                        </w:r>
                      </w:p>
                    </w:tc>
                    <w:tc>
                      <w:tcPr>
                        <w:tcW w:w="664" w:type="dxa"/>
                        <w:shd w:val="clear" w:color="auto" w:fill="F9FCF9"/>
                      </w:tcPr>
                      <w:p>
                        <w:pPr>
                          <w:pStyle w:val="TableParagraph"/>
                          <w:spacing w:line="132" w:lineRule="exact"/>
                          <w:ind w:left="71" w:right="68"/>
                          <w:rPr>
                            <w:sz w:val="14"/>
                          </w:rPr>
                        </w:pPr>
                        <w:r>
                          <w:rPr>
                            <w:sz w:val="14"/>
                          </w:rPr>
                          <w:t>517</w:t>
                        </w: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Net plant efficiency, LHV (%)</w:t>
                        </w:r>
                      </w:p>
                    </w:tc>
                    <w:tc>
                      <w:tcPr>
                        <w:tcW w:w="614" w:type="dxa"/>
                        <w:shd w:val="clear" w:color="auto" w:fill="F9FCF9"/>
                      </w:tcPr>
                      <w:p>
                        <w:pPr>
                          <w:pStyle w:val="TableParagraph"/>
                          <w:spacing w:line="132" w:lineRule="exact"/>
                          <w:ind w:left="28" w:right="22"/>
                          <w:rPr>
                            <w:sz w:val="14"/>
                          </w:rPr>
                        </w:pPr>
                        <w:r>
                          <w:rPr>
                            <w:sz w:val="14"/>
                          </w:rPr>
                          <w:t>51.7</w:t>
                        </w:r>
                      </w:p>
                    </w:tc>
                    <w:tc>
                      <w:tcPr>
                        <w:tcW w:w="522" w:type="dxa"/>
                        <w:shd w:val="clear" w:color="auto" w:fill="F9FCF9"/>
                      </w:tcPr>
                      <w:p>
                        <w:pPr>
                          <w:pStyle w:val="TableParagraph"/>
                          <w:spacing w:line="132" w:lineRule="exact"/>
                          <w:ind w:left="136"/>
                          <w:jc w:val="left"/>
                          <w:rPr>
                            <w:sz w:val="14"/>
                          </w:rPr>
                        </w:pPr>
                        <w:r>
                          <w:rPr>
                            <w:sz w:val="14"/>
                          </w:rPr>
                          <w:t>48.1</w:t>
                        </w:r>
                      </w:p>
                    </w:tc>
                    <w:tc>
                      <w:tcPr>
                        <w:tcW w:w="578" w:type="dxa"/>
                        <w:shd w:val="clear" w:color="auto" w:fill="F9FCF9"/>
                      </w:tcPr>
                      <w:p>
                        <w:pPr>
                          <w:pStyle w:val="TableParagraph"/>
                          <w:spacing w:line="132" w:lineRule="exact"/>
                          <w:ind w:left="29" w:right="23"/>
                          <w:rPr>
                            <w:sz w:val="14"/>
                          </w:rPr>
                        </w:pPr>
                        <w:r>
                          <w:rPr>
                            <w:sz w:val="14"/>
                          </w:rPr>
                          <w:t>48.1</w:t>
                        </w:r>
                      </w:p>
                    </w:tc>
                    <w:tc>
                      <w:tcPr>
                        <w:tcW w:w="795" w:type="dxa"/>
                        <w:shd w:val="clear" w:color="auto" w:fill="F9FCF9"/>
                      </w:tcPr>
                      <w:p>
                        <w:pPr>
                          <w:pStyle w:val="TableParagraph"/>
                          <w:spacing w:line="132" w:lineRule="exact"/>
                          <w:ind w:left="15" w:right="9"/>
                          <w:rPr>
                            <w:sz w:val="14"/>
                          </w:rPr>
                        </w:pPr>
                        <w:r>
                          <w:rPr>
                            <w:sz w:val="14"/>
                          </w:rPr>
                          <w:t>50.6</w:t>
                        </w:r>
                      </w:p>
                    </w:tc>
                    <w:tc>
                      <w:tcPr>
                        <w:tcW w:w="795" w:type="dxa"/>
                        <w:shd w:val="clear" w:color="auto" w:fill="F9FCF9"/>
                      </w:tcPr>
                      <w:p>
                        <w:pPr>
                          <w:pStyle w:val="TableParagraph"/>
                          <w:spacing w:line="132" w:lineRule="exact"/>
                          <w:ind w:left="14" w:right="9"/>
                          <w:rPr>
                            <w:sz w:val="14"/>
                          </w:rPr>
                        </w:pPr>
                        <w:r>
                          <w:rPr>
                            <w:sz w:val="14"/>
                          </w:rPr>
                          <w:t>49.2</w:t>
                        </w:r>
                      </w:p>
                    </w:tc>
                    <w:tc>
                      <w:tcPr>
                        <w:tcW w:w="795" w:type="dxa"/>
                        <w:shd w:val="clear" w:color="auto" w:fill="F9FCF9"/>
                      </w:tcPr>
                      <w:p>
                        <w:pPr>
                          <w:pStyle w:val="TableParagraph"/>
                          <w:spacing w:line="132" w:lineRule="exact"/>
                          <w:ind w:left="13" w:right="9"/>
                          <w:rPr>
                            <w:sz w:val="14"/>
                          </w:rPr>
                        </w:pPr>
                        <w:r>
                          <w:rPr>
                            <w:sz w:val="14"/>
                          </w:rPr>
                          <w:t>53.0</w:t>
                        </w:r>
                      </w:p>
                    </w:tc>
                    <w:tc>
                      <w:tcPr>
                        <w:tcW w:w="1051" w:type="dxa"/>
                        <w:shd w:val="clear" w:color="auto" w:fill="F9FCF9"/>
                      </w:tcPr>
                      <w:p>
                        <w:pPr>
                          <w:pStyle w:val="TableParagraph"/>
                          <w:spacing w:line="132" w:lineRule="exact"/>
                          <w:ind w:right="393"/>
                          <w:jc w:val="right"/>
                          <w:rPr>
                            <w:sz w:val="14"/>
                          </w:rPr>
                        </w:pPr>
                        <w:r>
                          <w:rPr>
                            <w:sz w:val="14"/>
                          </w:rPr>
                          <w:t>48.2</w:t>
                        </w: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44.7</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33.8</w:t>
                        </w:r>
                      </w:p>
                    </w:tc>
                    <w:tc>
                      <w:tcPr>
                        <w:tcW w:w="798" w:type="dxa"/>
                        <w:shd w:val="clear" w:color="auto" w:fill="F9FCF9"/>
                      </w:tcPr>
                      <w:p>
                        <w:pPr>
                          <w:pStyle w:val="TableParagraph"/>
                          <w:spacing w:line="132" w:lineRule="exact"/>
                          <w:ind w:left="21" w:right="19"/>
                          <w:rPr>
                            <w:sz w:val="14"/>
                          </w:rPr>
                        </w:pPr>
                        <w:r>
                          <w:rPr>
                            <w:sz w:val="14"/>
                          </w:rPr>
                          <w:t>35.2</w:t>
                        </w:r>
                      </w:p>
                    </w:tc>
                    <w:tc>
                      <w:tcPr>
                        <w:tcW w:w="1050" w:type="dxa"/>
                        <w:shd w:val="clear" w:color="auto" w:fill="F9FCF9"/>
                      </w:tcPr>
                      <w:p>
                        <w:pPr>
                          <w:pStyle w:val="TableParagraph"/>
                          <w:spacing w:line="132" w:lineRule="exact"/>
                          <w:ind w:left="215" w:right="213"/>
                          <w:rPr>
                            <w:sz w:val="14"/>
                          </w:rPr>
                        </w:pPr>
                        <w:r>
                          <w:rPr>
                            <w:sz w:val="14"/>
                          </w:rPr>
                          <w:t>45.4</w:t>
                        </w:r>
                      </w:p>
                    </w:tc>
                    <w:tc>
                      <w:tcPr>
                        <w:tcW w:w="790" w:type="dxa"/>
                        <w:shd w:val="clear" w:color="auto" w:fill="F9FCF9"/>
                      </w:tcPr>
                      <w:p>
                        <w:pPr>
                          <w:pStyle w:val="TableParagraph"/>
                          <w:jc w:val="left"/>
                          <w:rPr>
                            <w:sz w:val="8"/>
                          </w:rPr>
                        </w:pPr>
                      </w:p>
                    </w:tc>
                    <w:tc>
                      <w:tcPr>
                        <w:tcW w:w="816" w:type="dxa"/>
                        <w:tcBorders>
                          <w:right w:val="double" w:sz="1" w:space="0" w:color="000000"/>
                        </w:tcBorders>
                        <w:shd w:val="clear" w:color="auto" w:fill="F9FCF9"/>
                      </w:tcPr>
                      <w:p>
                        <w:pPr>
                          <w:pStyle w:val="TableParagraph"/>
                          <w:jc w:val="left"/>
                          <w:rPr>
                            <w:sz w:val="8"/>
                          </w:rPr>
                        </w:pP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49.7</w:t>
                        </w:r>
                      </w:p>
                    </w:tc>
                    <w:tc>
                      <w:tcPr>
                        <w:tcW w:w="664" w:type="dxa"/>
                        <w:shd w:val="clear" w:color="auto" w:fill="F9FCF9"/>
                      </w:tcPr>
                      <w:p>
                        <w:pPr>
                          <w:pStyle w:val="TableParagraph"/>
                          <w:spacing w:line="132" w:lineRule="exact"/>
                          <w:ind w:left="71" w:right="68"/>
                          <w:rPr>
                            <w:sz w:val="14"/>
                          </w:rPr>
                        </w:pPr>
                        <w:r>
                          <w:rPr>
                            <w:sz w:val="14"/>
                          </w:rPr>
                          <w:t>46.1</w:t>
                        </w: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CO</w:t>
                        </w:r>
                        <w:r>
                          <w:rPr>
                            <w:position w:val="-4"/>
                            <w:sz w:val="8"/>
                          </w:rPr>
                          <w:t>2</w:t>
                        </w:r>
                        <w:r>
                          <w:rPr>
                            <w:sz w:val="14"/>
                          </w:rPr>
                          <w:t>capture system efficiency (%)</w:t>
                        </w:r>
                      </w:p>
                    </w:tc>
                    <w:tc>
                      <w:tcPr>
                        <w:tcW w:w="614" w:type="dxa"/>
                        <w:shd w:val="clear" w:color="auto" w:fill="F9FCF9"/>
                      </w:tcPr>
                      <w:p>
                        <w:pPr>
                          <w:pStyle w:val="TableParagraph"/>
                          <w:spacing w:line="132" w:lineRule="exact"/>
                          <w:ind w:left="28" w:right="22"/>
                          <w:rPr>
                            <w:sz w:val="14"/>
                          </w:rPr>
                        </w:pPr>
                        <w:r>
                          <w:rPr>
                            <w:sz w:val="14"/>
                          </w:rPr>
                          <w:t>85</w:t>
                        </w:r>
                      </w:p>
                    </w:tc>
                    <w:tc>
                      <w:tcPr>
                        <w:tcW w:w="522" w:type="dxa"/>
                        <w:shd w:val="clear" w:color="auto" w:fill="F9FCF9"/>
                      </w:tcPr>
                      <w:p>
                        <w:pPr>
                          <w:pStyle w:val="TableParagraph"/>
                          <w:spacing w:line="132" w:lineRule="exact"/>
                          <w:ind w:left="169" w:right="163"/>
                          <w:rPr>
                            <w:sz w:val="14"/>
                          </w:rPr>
                        </w:pPr>
                        <w:r>
                          <w:rPr>
                            <w:sz w:val="14"/>
                          </w:rPr>
                          <w:t>90</w:t>
                        </w:r>
                      </w:p>
                    </w:tc>
                    <w:tc>
                      <w:tcPr>
                        <w:tcW w:w="578" w:type="dxa"/>
                        <w:shd w:val="clear" w:color="auto" w:fill="F9FCF9"/>
                      </w:tcPr>
                      <w:p>
                        <w:pPr>
                          <w:pStyle w:val="TableParagraph"/>
                          <w:spacing w:line="132" w:lineRule="exact"/>
                          <w:ind w:left="29" w:right="23"/>
                          <w:rPr>
                            <w:sz w:val="14"/>
                          </w:rPr>
                        </w:pPr>
                        <w:r>
                          <w:rPr>
                            <w:sz w:val="14"/>
                          </w:rPr>
                          <w:t>90</w:t>
                        </w:r>
                      </w:p>
                    </w:tc>
                    <w:tc>
                      <w:tcPr>
                        <w:tcW w:w="795" w:type="dxa"/>
                        <w:shd w:val="clear" w:color="auto" w:fill="F9FCF9"/>
                      </w:tcPr>
                      <w:p>
                        <w:pPr>
                          <w:pStyle w:val="TableParagraph"/>
                          <w:spacing w:line="132" w:lineRule="exact"/>
                          <w:ind w:left="15" w:right="9"/>
                          <w:rPr>
                            <w:sz w:val="14"/>
                          </w:rPr>
                        </w:pPr>
                        <w:r>
                          <w:rPr>
                            <w:sz w:val="14"/>
                          </w:rPr>
                          <w:t>86</w:t>
                        </w:r>
                      </w:p>
                    </w:tc>
                    <w:tc>
                      <w:tcPr>
                        <w:tcW w:w="795" w:type="dxa"/>
                        <w:shd w:val="clear" w:color="auto" w:fill="F9FCF9"/>
                      </w:tcPr>
                      <w:p>
                        <w:pPr>
                          <w:pStyle w:val="TableParagraph"/>
                          <w:spacing w:line="132" w:lineRule="exact"/>
                          <w:ind w:left="14" w:right="9"/>
                          <w:rPr>
                            <w:sz w:val="14"/>
                          </w:rPr>
                        </w:pPr>
                        <w:r>
                          <w:rPr>
                            <w:sz w:val="14"/>
                          </w:rPr>
                          <w:t>86</w:t>
                        </w:r>
                      </w:p>
                    </w:tc>
                    <w:tc>
                      <w:tcPr>
                        <w:tcW w:w="795" w:type="dxa"/>
                        <w:shd w:val="clear" w:color="auto" w:fill="F9FCF9"/>
                      </w:tcPr>
                      <w:p>
                        <w:pPr>
                          <w:pStyle w:val="TableParagraph"/>
                          <w:spacing w:line="132" w:lineRule="exact"/>
                          <w:ind w:left="13" w:right="9"/>
                          <w:rPr>
                            <w:sz w:val="14"/>
                          </w:rPr>
                        </w:pPr>
                        <w:r>
                          <w:rPr>
                            <w:sz w:val="14"/>
                          </w:rPr>
                          <w:t>100</w:t>
                        </w:r>
                      </w:p>
                    </w:tc>
                    <w:tc>
                      <w:tcPr>
                        <w:tcW w:w="1051" w:type="dxa"/>
                        <w:shd w:val="clear" w:color="auto" w:fill="F9FCF9"/>
                      </w:tcPr>
                      <w:p>
                        <w:pPr>
                          <w:pStyle w:val="TableParagraph"/>
                          <w:spacing w:line="132" w:lineRule="exact"/>
                          <w:ind w:left="12" w:right="8"/>
                          <w:rPr>
                            <w:sz w:val="14"/>
                          </w:rPr>
                        </w:pPr>
                        <w:r>
                          <w:rPr>
                            <w:sz w:val="14"/>
                          </w:rPr>
                          <w:t>90</w:t>
                        </w:r>
                      </w:p>
                    </w:tc>
                    <w:tc>
                      <w:tcPr>
                        <w:tcW w:w="487" w:type="dxa"/>
                        <w:tcBorders>
                          <w:right w:val="double" w:sz="1" w:space="0" w:color="000000"/>
                        </w:tcBorders>
                        <w:shd w:val="clear" w:color="auto" w:fill="F9FCF9"/>
                      </w:tcPr>
                      <w:p>
                        <w:pPr>
                          <w:pStyle w:val="TableParagraph"/>
                          <w:jc w:val="left"/>
                          <w:rPr>
                            <w:sz w:val="8"/>
                          </w:rPr>
                        </w:pP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91.5</w:t>
                        </w:r>
                      </w:p>
                    </w:tc>
                    <w:tc>
                      <w:tcPr>
                        <w:tcW w:w="798" w:type="dxa"/>
                        <w:shd w:val="clear" w:color="auto" w:fill="F9FCF9"/>
                      </w:tcPr>
                      <w:p>
                        <w:pPr>
                          <w:pStyle w:val="TableParagraph"/>
                          <w:spacing w:line="132" w:lineRule="exact"/>
                          <w:ind w:left="21" w:right="19"/>
                          <w:rPr>
                            <w:sz w:val="14"/>
                          </w:rPr>
                        </w:pPr>
                        <w:r>
                          <w:rPr>
                            <w:sz w:val="14"/>
                          </w:rPr>
                          <w:t>92.7</w:t>
                        </w:r>
                      </w:p>
                    </w:tc>
                    <w:tc>
                      <w:tcPr>
                        <w:tcW w:w="1050" w:type="dxa"/>
                        <w:shd w:val="clear" w:color="auto" w:fill="F9FCF9"/>
                      </w:tcPr>
                      <w:p>
                        <w:pPr>
                          <w:pStyle w:val="TableParagraph"/>
                          <w:spacing w:line="132" w:lineRule="exact"/>
                          <w:ind w:left="215" w:right="213"/>
                          <w:rPr>
                            <w:sz w:val="14"/>
                          </w:rPr>
                        </w:pPr>
                        <w:r>
                          <w:rPr>
                            <w:sz w:val="14"/>
                          </w:rPr>
                          <w:t>92.7</w:t>
                        </w:r>
                      </w:p>
                    </w:tc>
                    <w:tc>
                      <w:tcPr>
                        <w:tcW w:w="790" w:type="dxa"/>
                        <w:shd w:val="clear" w:color="auto" w:fill="F9FCF9"/>
                      </w:tcPr>
                      <w:p>
                        <w:pPr>
                          <w:pStyle w:val="TableParagraph"/>
                          <w:jc w:val="left"/>
                          <w:rPr>
                            <w:sz w:val="8"/>
                          </w:rPr>
                        </w:pPr>
                      </w:p>
                    </w:tc>
                    <w:tc>
                      <w:tcPr>
                        <w:tcW w:w="816" w:type="dxa"/>
                        <w:tcBorders>
                          <w:right w:val="double" w:sz="1" w:space="0" w:color="000000"/>
                        </w:tcBorders>
                        <w:shd w:val="clear" w:color="auto" w:fill="F9FCF9"/>
                      </w:tcPr>
                      <w:p>
                        <w:pPr>
                          <w:pStyle w:val="TableParagraph"/>
                          <w:jc w:val="left"/>
                          <w:rPr>
                            <w:sz w:val="8"/>
                          </w:rPr>
                        </w:pP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90</w:t>
                        </w:r>
                      </w:p>
                    </w:tc>
                    <w:tc>
                      <w:tcPr>
                        <w:tcW w:w="664" w:type="dxa"/>
                        <w:shd w:val="clear" w:color="auto" w:fill="F9FCF9"/>
                      </w:tcPr>
                      <w:p>
                        <w:pPr>
                          <w:pStyle w:val="TableParagraph"/>
                          <w:spacing w:line="132" w:lineRule="exact"/>
                          <w:ind w:left="71" w:right="68"/>
                          <w:rPr>
                            <w:sz w:val="14"/>
                          </w:rPr>
                        </w:pPr>
                        <w:r>
                          <w:rPr>
                            <w:sz w:val="14"/>
                          </w:rPr>
                          <w:t>86.8</w:t>
                        </w:r>
                      </w:p>
                    </w:tc>
                  </w:tr>
                  <w:tr>
                    <w:trPr>
                      <w:trHeight w:val="319" w:hRule="atLeast"/>
                    </w:trPr>
                    <w:tc>
                      <w:tcPr>
                        <w:tcW w:w="2180" w:type="dxa"/>
                        <w:shd w:val="clear" w:color="auto" w:fill="F9FCF9"/>
                      </w:tcPr>
                      <w:p>
                        <w:pPr>
                          <w:pStyle w:val="TableParagraph"/>
                          <w:spacing w:line="181" w:lineRule="exact"/>
                          <w:ind w:left="20"/>
                          <w:jc w:val="left"/>
                          <w:rPr>
                            <w:sz w:val="14"/>
                          </w:rPr>
                        </w:pPr>
                        <w:r>
                          <w:rPr>
                            <w:sz w:val="14"/>
                          </w:rPr>
                          <w:t>CO</w:t>
                        </w:r>
                        <w:r>
                          <w:rPr>
                            <w:position w:val="-4"/>
                            <w:sz w:val="8"/>
                          </w:rPr>
                          <w:t>2 </w:t>
                        </w:r>
                        <w:r>
                          <w:rPr>
                            <w:sz w:val="14"/>
                          </w:rPr>
                          <w:t>emission rate after capture</w:t>
                        </w:r>
                      </w:p>
                      <w:p>
                        <w:pPr>
                          <w:pStyle w:val="TableParagraph"/>
                          <w:spacing w:line="119" w:lineRule="exact"/>
                          <w:ind w:left="20"/>
                          <w:jc w:val="left"/>
                          <w:rPr>
                            <w:sz w:val="14"/>
                          </w:rPr>
                        </w:pPr>
                        <w:r>
                          <w:rPr>
                            <w:sz w:val="14"/>
                          </w:rPr>
                          <w:t>(t/MWh)</w:t>
                        </w:r>
                      </w:p>
                    </w:tc>
                    <w:tc>
                      <w:tcPr>
                        <w:tcW w:w="614" w:type="dxa"/>
                        <w:shd w:val="clear" w:color="auto" w:fill="F9FCF9"/>
                      </w:tcPr>
                      <w:p>
                        <w:pPr>
                          <w:pStyle w:val="TableParagraph"/>
                          <w:spacing w:line="159" w:lineRule="exact"/>
                          <w:ind w:left="28" w:right="22"/>
                          <w:rPr>
                            <w:sz w:val="14"/>
                          </w:rPr>
                        </w:pPr>
                        <w:r>
                          <w:rPr>
                            <w:sz w:val="14"/>
                          </w:rPr>
                          <w:t>0.06</w:t>
                        </w:r>
                      </w:p>
                    </w:tc>
                    <w:tc>
                      <w:tcPr>
                        <w:tcW w:w="522" w:type="dxa"/>
                        <w:shd w:val="clear" w:color="auto" w:fill="F9FCF9"/>
                      </w:tcPr>
                      <w:p>
                        <w:pPr>
                          <w:pStyle w:val="TableParagraph"/>
                          <w:spacing w:line="159" w:lineRule="exact"/>
                          <w:ind w:left="101"/>
                          <w:jc w:val="left"/>
                          <w:rPr>
                            <w:sz w:val="14"/>
                          </w:rPr>
                        </w:pPr>
                        <w:r>
                          <w:rPr>
                            <w:sz w:val="14"/>
                          </w:rPr>
                          <w:t>0.042</w:t>
                        </w:r>
                      </w:p>
                    </w:tc>
                    <w:tc>
                      <w:tcPr>
                        <w:tcW w:w="578" w:type="dxa"/>
                        <w:shd w:val="clear" w:color="auto" w:fill="F9FCF9"/>
                      </w:tcPr>
                      <w:p>
                        <w:pPr>
                          <w:pStyle w:val="TableParagraph"/>
                          <w:spacing w:line="159" w:lineRule="exact"/>
                          <w:ind w:left="29" w:right="23"/>
                          <w:rPr>
                            <w:sz w:val="14"/>
                          </w:rPr>
                        </w:pPr>
                        <w:r>
                          <w:rPr>
                            <w:sz w:val="14"/>
                          </w:rPr>
                          <w:t>0.042</w:t>
                        </w:r>
                      </w:p>
                    </w:tc>
                    <w:tc>
                      <w:tcPr>
                        <w:tcW w:w="795" w:type="dxa"/>
                        <w:shd w:val="clear" w:color="auto" w:fill="F9FCF9"/>
                      </w:tcPr>
                      <w:p>
                        <w:pPr>
                          <w:pStyle w:val="TableParagraph"/>
                          <w:spacing w:line="159" w:lineRule="exact"/>
                          <w:ind w:left="15" w:right="9"/>
                          <w:rPr>
                            <w:sz w:val="14"/>
                          </w:rPr>
                        </w:pPr>
                        <w:r>
                          <w:rPr>
                            <w:sz w:val="14"/>
                          </w:rPr>
                          <w:t>0.06</w:t>
                        </w:r>
                      </w:p>
                    </w:tc>
                    <w:tc>
                      <w:tcPr>
                        <w:tcW w:w="795" w:type="dxa"/>
                        <w:shd w:val="clear" w:color="auto" w:fill="F9FCF9"/>
                      </w:tcPr>
                      <w:p>
                        <w:pPr>
                          <w:pStyle w:val="TableParagraph"/>
                          <w:spacing w:line="159" w:lineRule="exact"/>
                          <w:ind w:left="14" w:right="9"/>
                          <w:rPr>
                            <w:sz w:val="14"/>
                          </w:rPr>
                        </w:pPr>
                        <w:r>
                          <w:rPr>
                            <w:sz w:val="14"/>
                          </w:rPr>
                          <w:t>0.06</w:t>
                        </w:r>
                      </w:p>
                    </w:tc>
                    <w:tc>
                      <w:tcPr>
                        <w:tcW w:w="795" w:type="dxa"/>
                        <w:shd w:val="clear" w:color="auto" w:fill="F9FCF9"/>
                      </w:tcPr>
                      <w:p>
                        <w:pPr>
                          <w:pStyle w:val="TableParagraph"/>
                          <w:spacing w:line="159" w:lineRule="exact"/>
                          <w:ind w:left="13" w:right="9"/>
                          <w:rPr>
                            <w:sz w:val="14"/>
                          </w:rPr>
                        </w:pPr>
                        <w:r>
                          <w:rPr>
                            <w:sz w:val="14"/>
                          </w:rPr>
                          <w:t>0.00</w:t>
                        </w:r>
                      </w:p>
                    </w:tc>
                    <w:tc>
                      <w:tcPr>
                        <w:tcW w:w="1051" w:type="dxa"/>
                        <w:shd w:val="clear" w:color="auto" w:fill="F9FCF9"/>
                      </w:tcPr>
                      <w:p>
                        <w:pPr>
                          <w:pStyle w:val="TableParagraph"/>
                          <w:spacing w:line="159" w:lineRule="exact"/>
                          <w:ind w:right="393"/>
                          <w:jc w:val="right"/>
                          <w:rPr>
                            <w:sz w:val="14"/>
                          </w:rPr>
                        </w:pPr>
                        <w:r>
                          <w:rPr>
                            <w:sz w:val="14"/>
                          </w:rPr>
                          <w:t>0.04</w:t>
                        </w:r>
                      </w:p>
                    </w:tc>
                    <w:tc>
                      <w:tcPr>
                        <w:tcW w:w="487" w:type="dxa"/>
                        <w:tcBorders>
                          <w:right w:val="double" w:sz="1" w:space="0" w:color="000000"/>
                        </w:tcBorders>
                        <w:shd w:val="clear" w:color="auto" w:fill="F9FCF9"/>
                      </w:tcPr>
                      <w:p>
                        <w:pPr>
                          <w:pStyle w:val="TableParagraph"/>
                          <w:spacing w:line="159" w:lineRule="exact"/>
                          <w:ind w:left="12" w:right="26"/>
                          <w:rPr>
                            <w:sz w:val="14"/>
                          </w:rPr>
                        </w:pPr>
                        <w:r>
                          <w:rPr>
                            <w:sz w:val="14"/>
                          </w:rPr>
                          <w:t>0.011</w:t>
                        </w:r>
                      </w:p>
                    </w:tc>
                    <w:tc>
                      <w:tcPr>
                        <w:tcW w:w="741" w:type="dxa"/>
                        <w:tcBorders>
                          <w:left w:val="double" w:sz="1" w:space="0" w:color="000000"/>
                        </w:tcBorders>
                        <w:shd w:val="clear" w:color="auto" w:fill="F9FCF9"/>
                      </w:tcPr>
                      <w:p>
                        <w:pPr>
                          <w:pStyle w:val="TableParagraph"/>
                          <w:spacing w:line="159" w:lineRule="exact"/>
                          <w:ind w:left="65" w:right="43"/>
                          <w:rPr>
                            <w:sz w:val="14"/>
                          </w:rPr>
                        </w:pPr>
                        <w:r>
                          <w:rPr>
                            <w:sz w:val="14"/>
                          </w:rPr>
                          <w:t>0.074</w:t>
                        </w:r>
                      </w:p>
                    </w:tc>
                    <w:tc>
                      <w:tcPr>
                        <w:tcW w:w="798" w:type="dxa"/>
                        <w:shd w:val="clear" w:color="auto" w:fill="F9FCF9"/>
                      </w:tcPr>
                      <w:p>
                        <w:pPr>
                          <w:pStyle w:val="TableParagraph"/>
                          <w:spacing w:line="159" w:lineRule="exact"/>
                          <w:ind w:left="21" w:right="19"/>
                          <w:rPr>
                            <w:sz w:val="14"/>
                          </w:rPr>
                        </w:pPr>
                        <w:r>
                          <w:rPr>
                            <w:sz w:val="14"/>
                          </w:rPr>
                          <w:t>0.065</w:t>
                        </w:r>
                      </w:p>
                    </w:tc>
                    <w:tc>
                      <w:tcPr>
                        <w:tcW w:w="1050" w:type="dxa"/>
                        <w:shd w:val="clear" w:color="auto" w:fill="F9FCF9"/>
                      </w:tcPr>
                      <w:p>
                        <w:pPr>
                          <w:pStyle w:val="TableParagraph"/>
                          <w:spacing w:line="159" w:lineRule="exact"/>
                          <w:ind w:left="215" w:right="213"/>
                          <w:rPr>
                            <w:sz w:val="14"/>
                          </w:rPr>
                        </w:pPr>
                        <w:r>
                          <w:rPr>
                            <w:sz w:val="14"/>
                          </w:rPr>
                          <w:t>0.050</w:t>
                        </w:r>
                      </w:p>
                    </w:tc>
                    <w:tc>
                      <w:tcPr>
                        <w:tcW w:w="790" w:type="dxa"/>
                        <w:shd w:val="clear" w:color="auto" w:fill="F9FCF9"/>
                      </w:tcPr>
                      <w:p>
                        <w:pPr>
                          <w:pStyle w:val="TableParagraph"/>
                          <w:spacing w:line="159" w:lineRule="exact"/>
                          <w:ind w:left="223" w:right="221"/>
                          <w:rPr>
                            <w:sz w:val="14"/>
                          </w:rPr>
                        </w:pPr>
                        <w:r>
                          <w:rPr>
                            <w:sz w:val="14"/>
                          </w:rPr>
                          <w:t>0.27</w:t>
                        </w:r>
                      </w:p>
                    </w:tc>
                    <w:tc>
                      <w:tcPr>
                        <w:tcW w:w="816" w:type="dxa"/>
                        <w:tcBorders>
                          <w:right w:val="double" w:sz="1" w:space="0" w:color="000000"/>
                        </w:tcBorders>
                        <w:shd w:val="clear" w:color="auto" w:fill="F9FCF9"/>
                      </w:tcPr>
                      <w:p>
                        <w:pPr>
                          <w:pStyle w:val="TableParagraph"/>
                          <w:spacing w:line="159" w:lineRule="exact"/>
                          <w:ind w:left="174" w:right="189"/>
                          <w:rPr>
                            <w:sz w:val="14"/>
                          </w:rPr>
                        </w:pPr>
                        <w:r>
                          <w:rPr>
                            <w:sz w:val="14"/>
                          </w:rPr>
                          <w:t>0.28</w:t>
                        </w:r>
                      </w:p>
                    </w:tc>
                    <w:tc>
                      <w:tcPr>
                        <w:tcW w:w="870" w:type="dxa"/>
                        <w:tcBorders>
                          <w:left w:val="double" w:sz="1" w:space="0" w:color="000000"/>
                        </w:tcBorders>
                        <w:shd w:val="clear" w:color="auto" w:fill="F9FCF9"/>
                      </w:tcPr>
                      <w:p>
                        <w:pPr>
                          <w:pStyle w:val="TableParagraph"/>
                          <w:spacing w:line="159" w:lineRule="exact"/>
                          <w:ind w:left="130" w:right="108"/>
                          <w:rPr>
                            <w:sz w:val="14"/>
                          </w:rPr>
                        </w:pPr>
                        <w:r>
                          <w:rPr>
                            <w:sz w:val="14"/>
                          </w:rPr>
                          <w:t>0.046</w:t>
                        </w:r>
                      </w:p>
                    </w:tc>
                    <w:tc>
                      <w:tcPr>
                        <w:tcW w:w="664" w:type="dxa"/>
                        <w:shd w:val="clear" w:color="auto" w:fill="F9FCF9"/>
                      </w:tcPr>
                      <w:p>
                        <w:pPr>
                          <w:pStyle w:val="TableParagraph"/>
                          <w:spacing w:line="159" w:lineRule="exact"/>
                          <w:ind w:left="71" w:right="68"/>
                          <w:rPr>
                            <w:sz w:val="14"/>
                          </w:rPr>
                        </w:pPr>
                        <w:r>
                          <w:rPr>
                            <w:sz w:val="14"/>
                          </w:rPr>
                          <w:t>0.043</w:t>
                        </w: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CO</w:t>
                        </w:r>
                        <w:r>
                          <w:rPr>
                            <w:position w:val="-4"/>
                            <w:sz w:val="8"/>
                          </w:rPr>
                          <w:t>2 </w:t>
                        </w:r>
                        <w:r>
                          <w:rPr>
                            <w:sz w:val="14"/>
                          </w:rPr>
                          <w:t>captured (Mt yr−1)</w:t>
                        </w:r>
                      </w:p>
                    </w:tc>
                    <w:tc>
                      <w:tcPr>
                        <w:tcW w:w="614" w:type="dxa"/>
                        <w:shd w:val="clear" w:color="auto" w:fill="F9FCF9"/>
                      </w:tcPr>
                      <w:p>
                        <w:pPr>
                          <w:pStyle w:val="TableParagraph"/>
                          <w:spacing w:line="132" w:lineRule="exact"/>
                          <w:ind w:left="28" w:right="22"/>
                          <w:rPr>
                            <w:sz w:val="14"/>
                          </w:rPr>
                        </w:pPr>
                        <w:r>
                          <w:rPr>
                            <w:sz w:val="14"/>
                          </w:rPr>
                          <w:t>0.980</w:t>
                        </w:r>
                      </w:p>
                    </w:tc>
                    <w:tc>
                      <w:tcPr>
                        <w:tcW w:w="522" w:type="dxa"/>
                        <w:shd w:val="clear" w:color="auto" w:fill="F9FCF9"/>
                      </w:tcPr>
                      <w:p>
                        <w:pPr>
                          <w:pStyle w:val="TableParagraph"/>
                          <w:spacing w:line="132" w:lineRule="exact"/>
                          <w:ind w:left="101"/>
                          <w:jc w:val="left"/>
                          <w:rPr>
                            <w:sz w:val="14"/>
                          </w:rPr>
                        </w:pPr>
                        <w:r>
                          <w:rPr>
                            <w:sz w:val="14"/>
                          </w:rPr>
                          <w:t>0.669</w:t>
                        </w:r>
                      </w:p>
                    </w:tc>
                    <w:tc>
                      <w:tcPr>
                        <w:tcW w:w="578" w:type="dxa"/>
                        <w:shd w:val="clear" w:color="auto" w:fill="F9FCF9"/>
                      </w:tcPr>
                      <w:p>
                        <w:pPr>
                          <w:pStyle w:val="TableParagraph"/>
                          <w:spacing w:line="132" w:lineRule="exact"/>
                          <w:ind w:left="29" w:right="23"/>
                          <w:rPr>
                            <w:sz w:val="14"/>
                          </w:rPr>
                        </w:pPr>
                        <w:r>
                          <w:rPr>
                            <w:sz w:val="14"/>
                          </w:rPr>
                          <w:t>0.823</w:t>
                        </w:r>
                      </w:p>
                    </w:tc>
                    <w:tc>
                      <w:tcPr>
                        <w:tcW w:w="795" w:type="dxa"/>
                        <w:shd w:val="clear" w:color="auto" w:fill="F9FCF9"/>
                      </w:tcPr>
                      <w:p>
                        <w:pPr>
                          <w:pStyle w:val="TableParagraph"/>
                          <w:spacing w:line="132" w:lineRule="exact"/>
                          <w:ind w:left="15" w:right="9"/>
                          <w:rPr>
                            <w:sz w:val="14"/>
                          </w:rPr>
                        </w:pPr>
                        <w:r>
                          <w:rPr>
                            <w:sz w:val="14"/>
                          </w:rPr>
                          <w:t>1.09</w:t>
                        </w:r>
                      </w:p>
                    </w:tc>
                    <w:tc>
                      <w:tcPr>
                        <w:tcW w:w="795" w:type="dxa"/>
                        <w:shd w:val="clear" w:color="auto" w:fill="F9FCF9"/>
                      </w:tcPr>
                      <w:p>
                        <w:pPr>
                          <w:pStyle w:val="TableParagraph"/>
                          <w:spacing w:line="132" w:lineRule="exact"/>
                          <w:ind w:left="14" w:right="9"/>
                          <w:rPr>
                            <w:sz w:val="14"/>
                          </w:rPr>
                        </w:pPr>
                        <w:r>
                          <w:rPr>
                            <w:sz w:val="14"/>
                          </w:rPr>
                          <w:t>1.09</w:t>
                        </w:r>
                      </w:p>
                    </w:tc>
                    <w:tc>
                      <w:tcPr>
                        <w:tcW w:w="795" w:type="dxa"/>
                        <w:shd w:val="clear" w:color="auto" w:fill="F9FCF9"/>
                      </w:tcPr>
                      <w:p>
                        <w:pPr>
                          <w:pStyle w:val="TableParagraph"/>
                          <w:spacing w:line="132" w:lineRule="exact"/>
                          <w:ind w:left="13" w:right="9"/>
                          <w:rPr>
                            <w:sz w:val="14"/>
                          </w:rPr>
                        </w:pPr>
                        <w:r>
                          <w:rPr>
                            <w:sz w:val="14"/>
                          </w:rPr>
                          <w:t>1.27</w:t>
                        </w:r>
                      </w:p>
                    </w:tc>
                    <w:tc>
                      <w:tcPr>
                        <w:tcW w:w="1051" w:type="dxa"/>
                        <w:shd w:val="clear" w:color="auto" w:fill="F9FCF9"/>
                      </w:tcPr>
                      <w:p>
                        <w:pPr>
                          <w:pStyle w:val="TableParagraph"/>
                          <w:spacing w:line="132" w:lineRule="exact"/>
                          <w:ind w:right="393"/>
                          <w:jc w:val="right"/>
                          <w:rPr>
                            <w:sz w:val="14"/>
                          </w:rPr>
                        </w:pPr>
                        <w:r>
                          <w:rPr>
                            <w:sz w:val="14"/>
                          </w:rPr>
                          <w:t>1.47</w:t>
                        </w:r>
                      </w:p>
                    </w:tc>
                    <w:tc>
                      <w:tcPr>
                        <w:tcW w:w="487" w:type="dxa"/>
                        <w:tcBorders>
                          <w:right w:val="double" w:sz="1" w:space="0" w:color="000000"/>
                        </w:tcBorders>
                        <w:shd w:val="clear" w:color="auto" w:fill="F9FCF9"/>
                      </w:tcPr>
                      <w:p>
                        <w:pPr>
                          <w:pStyle w:val="TableParagraph"/>
                          <w:jc w:val="left"/>
                          <w:rPr>
                            <w:sz w:val="8"/>
                          </w:rPr>
                        </w:pP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2.074</w:t>
                        </w:r>
                      </w:p>
                    </w:tc>
                    <w:tc>
                      <w:tcPr>
                        <w:tcW w:w="798" w:type="dxa"/>
                        <w:shd w:val="clear" w:color="auto" w:fill="F9FCF9"/>
                      </w:tcPr>
                      <w:p>
                        <w:pPr>
                          <w:pStyle w:val="TableParagraph"/>
                          <w:spacing w:line="132" w:lineRule="exact"/>
                          <w:ind w:left="21" w:right="19"/>
                          <w:rPr>
                            <w:sz w:val="14"/>
                          </w:rPr>
                        </w:pPr>
                        <w:r>
                          <w:rPr>
                            <w:sz w:val="14"/>
                          </w:rPr>
                          <w:t>1.984</w:t>
                        </w:r>
                      </w:p>
                    </w:tc>
                    <w:tc>
                      <w:tcPr>
                        <w:tcW w:w="1050" w:type="dxa"/>
                        <w:shd w:val="clear" w:color="auto" w:fill="F9FCF9"/>
                      </w:tcPr>
                      <w:p>
                        <w:pPr>
                          <w:pStyle w:val="TableParagraph"/>
                          <w:spacing w:line="132" w:lineRule="exact"/>
                          <w:ind w:left="215" w:right="213"/>
                          <w:rPr>
                            <w:sz w:val="14"/>
                          </w:rPr>
                        </w:pPr>
                        <w:r>
                          <w:rPr>
                            <w:sz w:val="14"/>
                          </w:rPr>
                          <w:t>1.984</w:t>
                        </w:r>
                      </w:p>
                    </w:tc>
                    <w:tc>
                      <w:tcPr>
                        <w:tcW w:w="790" w:type="dxa"/>
                        <w:shd w:val="clear" w:color="auto" w:fill="F9FCF9"/>
                      </w:tcPr>
                      <w:p>
                        <w:pPr>
                          <w:pStyle w:val="TableParagraph"/>
                          <w:spacing w:line="132" w:lineRule="exact"/>
                          <w:ind w:left="223" w:right="221"/>
                          <w:rPr>
                            <w:sz w:val="14"/>
                          </w:rPr>
                        </w:pPr>
                        <w:r>
                          <w:rPr>
                            <w:sz w:val="14"/>
                          </w:rPr>
                          <w:t>6.80</w:t>
                        </w:r>
                      </w:p>
                    </w:tc>
                    <w:tc>
                      <w:tcPr>
                        <w:tcW w:w="816" w:type="dxa"/>
                        <w:tcBorders>
                          <w:right w:val="double" w:sz="1" w:space="0" w:color="000000"/>
                        </w:tcBorders>
                        <w:shd w:val="clear" w:color="auto" w:fill="F9FCF9"/>
                      </w:tcPr>
                      <w:p>
                        <w:pPr>
                          <w:pStyle w:val="TableParagraph"/>
                          <w:spacing w:line="132" w:lineRule="exact"/>
                          <w:ind w:left="174" w:right="189"/>
                          <w:rPr>
                            <w:sz w:val="14"/>
                          </w:rPr>
                        </w:pPr>
                        <w:r>
                          <w:rPr>
                            <w:sz w:val="14"/>
                          </w:rPr>
                          <w:t>6.44</w:t>
                        </w: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3.390</w:t>
                        </w:r>
                      </w:p>
                    </w:tc>
                    <w:tc>
                      <w:tcPr>
                        <w:tcW w:w="664" w:type="dxa"/>
                        <w:shd w:val="clear" w:color="auto" w:fill="F9FCF9"/>
                      </w:tcPr>
                      <w:p>
                        <w:pPr>
                          <w:pStyle w:val="TableParagraph"/>
                          <w:jc w:val="left"/>
                          <w:rPr>
                            <w:sz w:val="8"/>
                          </w:rPr>
                        </w:pP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CO</w:t>
                        </w:r>
                        <w:r>
                          <w:rPr>
                            <w:position w:val="-4"/>
                            <w:sz w:val="8"/>
                          </w:rPr>
                          <w:t>2 </w:t>
                        </w:r>
                        <w:r>
                          <w:rPr>
                            <w:sz w:val="14"/>
                          </w:rPr>
                          <w:t>product pressure (MPa)</w:t>
                        </w:r>
                      </w:p>
                    </w:tc>
                    <w:tc>
                      <w:tcPr>
                        <w:tcW w:w="614" w:type="dxa"/>
                        <w:shd w:val="clear" w:color="auto" w:fill="F9FCF9"/>
                      </w:tcPr>
                      <w:p>
                        <w:pPr>
                          <w:pStyle w:val="TableParagraph"/>
                          <w:spacing w:line="132" w:lineRule="exact"/>
                          <w:ind w:left="28" w:right="22"/>
                          <w:rPr>
                            <w:sz w:val="14"/>
                          </w:rPr>
                        </w:pPr>
                        <w:r>
                          <w:rPr>
                            <w:sz w:val="14"/>
                          </w:rPr>
                          <w:t>13.7</w:t>
                        </w:r>
                      </w:p>
                    </w:tc>
                    <w:tc>
                      <w:tcPr>
                        <w:tcW w:w="522" w:type="dxa"/>
                        <w:shd w:val="clear" w:color="auto" w:fill="F9FCF9"/>
                      </w:tcPr>
                      <w:p>
                        <w:pPr>
                          <w:pStyle w:val="TableParagraph"/>
                          <w:spacing w:line="132" w:lineRule="exact"/>
                          <w:ind w:left="171"/>
                          <w:jc w:val="left"/>
                          <w:rPr>
                            <w:sz w:val="14"/>
                          </w:rPr>
                        </w:pPr>
                        <w:r>
                          <w:rPr>
                            <w:sz w:val="14"/>
                          </w:rPr>
                          <w:t>8.3</w:t>
                        </w:r>
                      </w:p>
                    </w:tc>
                    <w:tc>
                      <w:tcPr>
                        <w:tcW w:w="578" w:type="dxa"/>
                        <w:shd w:val="clear" w:color="auto" w:fill="F9FCF9"/>
                      </w:tcPr>
                      <w:p>
                        <w:pPr>
                          <w:pStyle w:val="TableParagraph"/>
                          <w:spacing w:line="132" w:lineRule="exact"/>
                          <w:ind w:left="29" w:right="23"/>
                          <w:rPr>
                            <w:sz w:val="14"/>
                          </w:rPr>
                        </w:pPr>
                        <w:r>
                          <w:rPr>
                            <w:sz w:val="14"/>
                          </w:rPr>
                          <w:t>8.3</w:t>
                        </w:r>
                      </w:p>
                    </w:tc>
                    <w:tc>
                      <w:tcPr>
                        <w:tcW w:w="795"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1051" w:type="dxa"/>
                        <w:shd w:val="clear" w:color="auto" w:fill="F9FCF9"/>
                      </w:tcPr>
                      <w:p>
                        <w:pPr>
                          <w:pStyle w:val="TableParagraph"/>
                          <w:jc w:val="left"/>
                          <w:rPr>
                            <w:sz w:val="8"/>
                          </w:rPr>
                        </w:pP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11</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8.3</w:t>
                        </w:r>
                      </w:p>
                    </w:tc>
                    <w:tc>
                      <w:tcPr>
                        <w:tcW w:w="798" w:type="dxa"/>
                        <w:shd w:val="clear" w:color="auto" w:fill="F9FCF9"/>
                      </w:tcPr>
                      <w:p>
                        <w:pPr>
                          <w:pStyle w:val="TableParagraph"/>
                          <w:spacing w:line="132" w:lineRule="exact"/>
                          <w:ind w:left="21" w:right="19"/>
                          <w:rPr>
                            <w:sz w:val="14"/>
                          </w:rPr>
                        </w:pPr>
                        <w:r>
                          <w:rPr>
                            <w:sz w:val="14"/>
                          </w:rPr>
                          <w:t>14.5</w:t>
                        </w:r>
                      </w:p>
                    </w:tc>
                    <w:tc>
                      <w:tcPr>
                        <w:tcW w:w="1050" w:type="dxa"/>
                        <w:shd w:val="clear" w:color="auto" w:fill="F9FCF9"/>
                      </w:tcPr>
                      <w:p>
                        <w:pPr>
                          <w:pStyle w:val="TableParagraph"/>
                          <w:spacing w:line="132" w:lineRule="exact"/>
                          <w:ind w:left="215" w:right="213"/>
                          <w:rPr>
                            <w:sz w:val="14"/>
                          </w:rPr>
                        </w:pPr>
                        <w:r>
                          <w:rPr>
                            <w:sz w:val="14"/>
                          </w:rPr>
                          <w:t>14.5</w:t>
                        </w:r>
                      </w:p>
                    </w:tc>
                    <w:tc>
                      <w:tcPr>
                        <w:tcW w:w="790" w:type="dxa"/>
                        <w:shd w:val="clear" w:color="auto" w:fill="F9FCF9"/>
                      </w:tcPr>
                      <w:p>
                        <w:pPr>
                          <w:pStyle w:val="TableParagraph"/>
                          <w:jc w:val="left"/>
                          <w:rPr>
                            <w:sz w:val="8"/>
                          </w:rPr>
                        </w:pPr>
                      </w:p>
                    </w:tc>
                    <w:tc>
                      <w:tcPr>
                        <w:tcW w:w="816" w:type="dxa"/>
                        <w:tcBorders>
                          <w:right w:val="double" w:sz="1" w:space="0" w:color="000000"/>
                        </w:tcBorders>
                        <w:shd w:val="clear" w:color="auto" w:fill="F9FCF9"/>
                      </w:tcPr>
                      <w:p>
                        <w:pPr>
                          <w:pStyle w:val="TableParagraph"/>
                          <w:jc w:val="left"/>
                          <w:rPr>
                            <w:sz w:val="8"/>
                          </w:rPr>
                        </w:pP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14.5</w:t>
                        </w:r>
                      </w:p>
                    </w:tc>
                    <w:tc>
                      <w:tcPr>
                        <w:tcW w:w="664" w:type="dxa"/>
                        <w:shd w:val="clear" w:color="auto" w:fill="F9FCF9"/>
                      </w:tcPr>
                      <w:p>
                        <w:pPr>
                          <w:pStyle w:val="TableParagraph"/>
                          <w:spacing w:line="132" w:lineRule="exact"/>
                          <w:ind w:left="71" w:right="68"/>
                          <w:rPr>
                            <w:sz w:val="14"/>
                          </w:rPr>
                        </w:pPr>
                        <w:r>
                          <w:rPr>
                            <w:sz w:val="14"/>
                          </w:rPr>
                          <w:t>8.3</w:t>
                        </w:r>
                      </w:p>
                    </w:tc>
                  </w:tr>
                  <w:tr>
                    <w:trPr>
                      <w:trHeight w:val="319" w:hRule="atLeast"/>
                    </w:trPr>
                    <w:tc>
                      <w:tcPr>
                        <w:tcW w:w="2180" w:type="dxa"/>
                        <w:shd w:val="clear" w:color="auto" w:fill="F9FCF9"/>
                      </w:tcPr>
                      <w:p>
                        <w:pPr>
                          <w:pStyle w:val="TableParagraph"/>
                          <w:spacing w:line="159" w:lineRule="exact"/>
                          <w:ind w:left="20"/>
                          <w:jc w:val="left"/>
                          <w:rPr>
                            <w:sz w:val="14"/>
                          </w:rPr>
                        </w:pPr>
                        <w:r>
                          <w:rPr>
                            <w:sz w:val="14"/>
                          </w:rPr>
                          <w:t>CCS energy requirement(% more</w:t>
                        </w:r>
                      </w:p>
                      <w:p>
                        <w:pPr>
                          <w:pStyle w:val="TableParagraph"/>
                          <w:spacing w:line="134" w:lineRule="exact" w:before="7"/>
                          <w:ind w:left="20"/>
                          <w:jc w:val="left"/>
                          <w:rPr>
                            <w:sz w:val="14"/>
                          </w:rPr>
                        </w:pPr>
                        <w:r>
                          <w:rPr>
                            <w:sz w:val="14"/>
                          </w:rPr>
                          <w:t>input MWh−1)</w:t>
                        </w:r>
                      </w:p>
                    </w:tc>
                    <w:tc>
                      <w:tcPr>
                        <w:tcW w:w="614" w:type="dxa"/>
                        <w:shd w:val="clear" w:color="auto" w:fill="F9FCF9"/>
                      </w:tcPr>
                      <w:p>
                        <w:pPr>
                          <w:pStyle w:val="TableParagraph"/>
                          <w:spacing w:line="159" w:lineRule="exact"/>
                          <w:ind w:left="28" w:right="22"/>
                          <w:rPr>
                            <w:sz w:val="14"/>
                          </w:rPr>
                        </w:pPr>
                        <w:r>
                          <w:rPr>
                            <w:sz w:val="14"/>
                          </w:rPr>
                          <w:t>16</w:t>
                        </w:r>
                      </w:p>
                    </w:tc>
                    <w:tc>
                      <w:tcPr>
                        <w:tcW w:w="522" w:type="dxa"/>
                        <w:shd w:val="clear" w:color="auto" w:fill="F9FCF9"/>
                      </w:tcPr>
                      <w:p>
                        <w:pPr>
                          <w:pStyle w:val="TableParagraph"/>
                          <w:spacing w:line="159" w:lineRule="exact"/>
                          <w:ind w:left="169" w:right="163"/>
                          <w:rPr>
                            <w:sz w:val="14"/>
                          </w:rPr>
                        </w:pPr>
                        <w:r>
                          <w:rPr>
                            <w:sz w:val="14"/>
                          </w:rPr>
                          <w:t>24</w:t>
                        </w:r>
                      </w:p>
                    </w:tc>
                    <w:tc>
                      <w:tcPr>
                        <w:tcW w:w="578" w:type="dxa"/>
                        <w:shd w:val="clear" w:color="auto" w:fill="F9FCF9"/>
                      </w:tcPr>
                      <w:p>
                        <w:pPr>
                          <w:pStyle w:val="TableParagraph"/>
                          <w:spacing w:line="159" w:lineRule="exact"/>
                          <w:ind w:left="29" w:right="23"/>
                          <w:rPr>
                            <w:sz w:val="14"/>
                          </w:rPr>
                        </w:pPr>
                        <w:r>
                          <w:rPr>
                            <w:sz w:val="14"/>
                          </w:rPr>
                          <w:t>24</w:t>
                        </w:r>
                      </w:p>
                    </w:tc>
                    <w:tc>
                      <w:tcPr>
                        <w:tcW w:w="795" w:type="dxa"/>
                        <w:shd w:val="clear" w:color="auto" w:fill="F9FCF9"/>
                      </w:tcPr>
                      <w:p>
                        <w:pPr>
                          <w:pStyle w:val="TableParagraph"/>
                          <w:jc w:val="left"/>
                          <w:rPr>
                            <w:sz w:val="14"/>
                          </w:rPr>
                        </w:pPr>
                      </w:p>
                    </w:tc>
                    <w:tc>
                      <w:tcPr>
                        <w:tcW w:w="795" w:type="dxa"/>
                        <w:shd w:val="clear" w:color="auto" w:fill="F9FCF9"/>
                      </w:tcPr>
                      <w:p>
                        <w:pPr>
                          <w:pStyle w:val="TableParagraph"/>
                          <w:jc w:val="left"/>
                          <w:rPr>
                            <w:sz w:val="14"/>
                          </w:rPr>
                        </w:pPr>
                      </w:p>
                    </w:tc>
                    <w:tc>
                      <w:tcPr>
                        <w:tcW w:w="795" w:type="dxa"/>
                        <w:shd w:val="clear" w:color="auto" w:fill="F9FCF9"/>
                      </w:tcPr>
                      <w:p>
                        <w:pPr>
                          <w:pStyle w:val="TableParagraph"/>
                          <w:jc w:val="left"/>
                          <w:rPr>
                            <w:sz w:val="14"/>
                          </w:rPr>
                        </w:pPr>
                      </w:p>
                    </w:tc>
                    <w:tc>
                      <w:tcPr>
                        <w:tcW w:w="1051" w:type="dxa"/>
                        <w:shd w:val="clear" w:color="auto" w:fill="F9FCF9"/>
                      </w:tcPr>
                      <w:p>
                        <w:pPr>
                          <w:pStyle w:val="TableParagraph"/>
                          <w:jc w:val="left"/>
                          <w:rPr>
                            <w:sz w:val="14"/>
                          </w:rPr>
                        </w:pPr>
                      </w:p>
                    </w:tc>
                    <w:tc>
                      <w:tcPr>
                        <w:tcW w:w="487" w:type="dxa"/>
                        <w:tcBorders>
                          <w:right w:val="double" w:sz="1" w:space="0" w:color="000000"/>
                        </w:tcBorders>
                        <w:shd w:val="clear" w:color="auto" w:fill="F9FCF9"/>
                      </w:tcPr>
                      <w:p>
                        <w:pPr>
                          <w:pStyle w:val="TableParagraph"/>
                          <w:spacing w:line="159" w:lineRule="exact"/>
                          <w:ind w:left="12" w:right="26"/>
                          <w:rPr>
                            <w:sz w:val="14"/>
                          </w:rPr>
                        </w:pPr>
                        <w:r>
                          <w:rPr>
                            <w:sz w:val="14"/>
                          </w:rPr>
                          <w:t>25</w:t>
                        </w:r>
                      </w:p>
                    </w:tc>
                    <w:tc>
                      <w:tcPr>
                        <w:tcW w:w="741" w:type="dxa"/>
                        <w:tcBorders>
                          <w:left w:val="double" w:sz="1" w:space="0" w:color="000000"/>
                        </w:tcBorders>
                        <w:shd w:val="clear" w:color="auto" w:fill="F9FCF9"/>
                      </w:tcPr>
                      <w:p>
                        <w:pPr>
                          <w:pStyle w:val="TableParagraph"/>
                          <w:spacing w:line="159" w:lineRule="exact"/>
                          <w:ind w:left="65" w:right="43"/>
                          <w:rPr>
                            <w:sz w:val="14"/>
                          </w:rPr>
                        </w:pPr>
                        <w:r>
                          <w:rPr>
                            <w:sz w:val="14"/>
                          </w:rPr>
                          <w:t>22</w:t>
                        </w:r>
                      </w:p>
                    </w:tc>
                    <w:tc>
                      <w:tcPr>
                        <w:tcW w:w="798" w:type="dxa"/>
                        <w:shd w:val="clear" w:color="auto" w:fill="F9FCF9"/>
                      </w:tcPr>
                      <w:p>
                        <w:pPr>
                          <w:pStyle w:val="TableParagraph"/>
                          <w:spacing w:line="159" w:lineRule="exact"/>
                          <w:ind w:left="21" w:right="19"/>
                          <w:rPr>
                            <w:sz w:val="14"/>
                          </w:rPr>
                        </w:pPr>
                        <w:r>
                          <w:rPr>
                            <w:sz w:val="14"/>
                          </w:rPr>
                          <w:t>24</w:t>
                        </w:r>
                      </w:p>
                    </w:tc>
                    <w:tc>
                      <w:tcPr>
                        <w:tcW w:w="1050" w:type="dxa"/>
                        <w:shd w:val="clear" w:color="auto" w:fill="F9FCF9"/>
                      </w:tcPr>
                      <w:p>
                        <w:pPr>
                          <w:pStyle w:val="TableParagraph"/>
                          <w:spacing w:line="159" w:lineRule="exact"/>
                          <w:ind w:left="215" w:right="213"/>
                          <w:rPr>
                            <w:sz w:val="14"/>
                          </w:rPr>
                        </w:pPr>
                        <w:r>
                          <w:rPr>
                            <w:sz w:val="14"/>
                          </w:rPr>
                          <w:t>21</w:t>
                        </w:r>
                      </w:p>
                    </w:tc>
                    <w:tc>
                      <w:tcPr>
                        <w:tcW w:w="790" w:type="dxa"/>
                        <w:shd w:val="clear" w:color="auto" w:fill="F9FCF9"/>
                      </w:tcPr>
                      <w:p>
                        <w:pPr>
                          <w:pStyle w:val="TableParagraph"/>
                          <w:jc w:val="left"/>
                          <w:rPr>
                            <w:sz w:val="14"/>
                          </w:rPr>
                        </w:pPr>
                      </w:p>
                    </w:tc>
                    <w:tc>
                      <w:tcPr>
                        <w:tcW w:w="816" w:type="dxa"/>
                        <w:tcBorders>
                          <w:right w:val="double" w:sz="1" w:space="0" w:color="000000"/>
                        </w:tcBorders>
                        <w:shd w:val="clear" w:color="auto" w:fill="F9FCF9"/>
                      </w:tcPr>
                      <w:p>
                        <w:pPr>
                          <w:pStyle w:val="TableParagraph"/>
                          <w:jc w:val="left"/>
                          <w:rPr>
                            <w:sz w:val="14"/>
                          </w:rPr>
                        </w:pPr>
                      </w:p>
                    </w:tc>
                    <w:tc>
                      <w:tcPr>
                        <w:tcW w:w="870" w:type="dxa"/>
                        <w:tcBorders>
                          <w:left w:val="double" w:sz="1" w:space="0" w:color="000000"/>
                        </w:tcBorders>
                        <w:shd w:val="clear" w:color="auto" w:fill="F9FCF9"/>
                      </w:tcPr>
                      <w:p>
                        <w:pPr>
                          <w:pStyle w:val="TableParagraph"/>
                          <w:spacing w:line="159" w:lineRule="exact"/>
                          <w:ind w:left="130" w:right="108"/>
                          <w:rPr>
                            <w:sz w:val="14"/>
                          </w:rPr>
                        </w:pPr>
                        <w:r>
                          <w:rPr>
                            <w:sz w:val="14"/>
                          </w:rPr>
                          <w:t>13</w:t>
                        </w:r>
                      </w:p>
                    </w:tc>
                    <w:tc>
                      <w:tcPr>
                        <w:tcW w:w="664" w:type="dxa"/>
                        <w:shd w:val="clear" w:color="auto" w:fill="F9FCF9"/>
                      </w:tcPr>
                      <w:p>
                        <w:pPr>
                          <w:pStyle w:val="TableParagraph"/>
                          <w:spacing w:line="159" w:lineRule="exact"/>
                          <w:ind w:left="71" w:right="68"/>
                          <w:rPr>
                            <w:sz w:val="14"/>
                          </w:rPr>
                        </w:pPr>
                        <w:r>
                          <w:rPr>
                            <w:sz w:val="14"/>
                          </w:rPr>
                          <w:t>44</w:t>
                        </w:r>
                      </w:p>
                    </w:tc>
                  </w:tr>
                  <w:tr>
                    <w:trPr>
                      <w:trHeight w:val="151" w:hRule="atLeast"/>
                    </w:trPr>
                    <w:tc>
                      <w:tcPr>
                        <w:tcW w:w="2180" w:type="dxa"/>
                        <w:shd w:val="clear" w:color="auto" w:fill="F9FCF9"/>
                      </w:tcPr>
                      <w:p>
                        <w:pPr>
                          <w:pStyle w:val="TableParagraph"/>
                          <w:spacing w:line="132" w:lineRule="exact"/>
                          <w:ind w:left="20"/>
                          <w:jc w:val="left"/>
                          <w:rPr>
                            <w:b/>
                            <w:sz w:val="14"/>
                          </w:rPr>
                        </w:pPr>
                        <w:r>
                          <w:rPr>
                            <w:b/>
                            <w:sz w:val="14"/>
                          </w:rPr>
                          <w:t>CO</w:t>
                        </w:r>
                        <w:r>
                          <w:rPr>
                            <w:b/>
                            <w:position w:val="-4"/>
                            <w:sz w:val="8"/>
                          </w:rPr>
                          <w:t>2 </w:t>
                        </w:r>
                        <w:r>
                          <w:rPr>
                            <w:b/>
                            <w:sz w:val="14"/>
                          </w:rPr>
                          <w:t>reduction per kWh (%)</w:t>
                        </w:r>
                      </w:p>
                    </w:tc>
                    <w:tc>
                      <w:tcPr>
                        <w:tcW w:w="614" w:type="dxa"/>
                        <w:shd w:val="clear" w:color="auto" w:fill="F9FCF9"/>
                      </w:tcPr>
                      <w:p>
                        <w:pPr>
                          <w:pStyle w:val="TableParagraph"/>
                          <w:spacing w:line="132" w:lineRule="exact"/>
                          <w:ind w:left="28" w:right="22"/>
                          <w:rPr>
                            <w:sz w:val="14"/>
                          </w:rPr>
                        </w:pPr>
                        <w:r>
                          <w:rPr>
                            <w:sz w:val="14"/>
                          </w:rPr>
                          <w:t>82</w:t>
                        </w:r>
                      </w:p>
                    </w:tc>
                    <w:tc>
                      <w:tcPr>
                        <w:tcW w:w="522" w:type="dxa"/>
                        <w:shd w:val="clear" w:color="auto" w:fill="F9FCF9"/>
                      </w:tcPr>
                      <w:p>
                        <w:pPr>
                          <w:pStyle w:val="TableParagraph"/>
                          <w:spacing w:line="132" w:lineRule="exact"/>
                          <w:ind w:left="169" w:right="163"/>
                          <w:rPr>
                            <w:sz w:val="14"/>
                          </w:rPr>
                        </w:pPr>
                        <w:r>
                          <w:rPr>
                            <w:sz w:val="14"/>
                          </w:rPr>
                          <w:t>88</w:t>
                        </w:r>
                      </w:p>
                    </w:tc>
                    <w:tc>
                      <w:tcPr>
                        <w:tcW w:w="578" w:type="dxa"/>
                        <w:shd w:val="clear" w:color="auto" w:fill="F9FCF9"/>
                      </w:tcPr>
                      <w:p>
                        <w:pPr>
                          <w:pStyle w:val="TableParagraph"/>
                          <w:spacing w:line="132" w:lineRule="exact"/>
                          <w:ind w:left="29" w:right="23"/>
                          <w:rPr>
                            <w:sz w:val="14"/>
                          </w:rPr>
                        </w:pPr>
                        <w:r>
                          <w:rPr>
                            <w:sz w:val="14"/>
                          </w:rPr>
                          <w:t>88</w:t>
                        </w:r>
                      </w:p>
                    </w:tc>
                    <w:tc>
                      <w:tcPr>
                        <w:tcW w:w="795" w:type="dxa"/>
                        <w:shd w:val="clear" w:color="auto" w:fill="F9FCF9"/>
                      </w:tcPr>
                      <w:p>
                        <w:pPr>
                          <w:pStyle w:val="TableParagraph"/>
                          <w:spacing w:line="132" w:lineRule="exact"/>
                          <w:ind w:left="15" w:right="9"/>
                          <w:rPr>
                            <w:sz w:val="14"/>
                          </w:rPr>
                        </w:pPr>
                        <w:r>
                          <w:rPr>
                            <w:sz w:val="14"/>
                          </w:rPr>
                          <w:t>84.1</w:t>
                        </w:r>
                      </w:p>
                    </w:tc>
                    <w:tc>
                      <w:tcPr>
                        <w:tcW w:w="795" w:type="dxa"/>
                        <w:shd w:val="clear" w:color="auto" w:fill="F9FCF9"/>
                      </w:tcPr>
                      <w:p>
                        <w:pPr>
                          <w:pStyle w:val="TableParagraph"/>
                          <w:spacing w:line="132" w:lineRule="exact"/>
                          <w:ind w:left="14" w:right="9"/>
                          <w:rPr>
                            <w:sz w:val="14"/>
                          </w:rPr>
                        </w:pPr>
                        <w:r>
                          <w:rPr>
                            <w:sz w:val="14"/>
                          </w:rPr>
                          <w:t>83.6</w:t>
                        </w:r>
                      </w:p>
                    </w:tc>
                    <w:tc>
                      <w:tcPr>
                        <w:tcW w:w="795" w:type="dxa"/>
                        <w:shd w:val="clear" w:color="auto" w:fill="F9FCF9"/>
                      </w:tcPr>
                      <w:p>
                        <w:pPr>
                          <w:pStyle w:val="TableParagraph"/>
                          <w:spacing w:line="132" w:lineRule="exact"/>
                          <w:ind w:left="13" w:right="9"/>
                          <w:rPr>
                            <w:sz w:val="14"/>
                          </w:rPr>
                        </w:pPr>
                        <w:r>
                          <w:rPr>
                            <w:sz w:val="14"/>
                          </w:rPr>
                          <w:t>100</w:t>
                        </w:r>
                      </w:p>
                    </w:tc>
                    <w:tc>
                      <w:tcPr>
                        <w:tcW w:w="1051" w:type="dxa"/>
                        <w:shd w:val="clear" w:color="auto" w:fill="F9FCF9"/>
                      </w:tcPr>
                      <w:p>
                        <w:pPr>
                          <w:pStyle w:val="TableParagraph"/>
                          <w:spacing w:line="132" w:lineRule="exact"/>
                          <w:ind w:right="393"/>
                          <w:jc w:val="right"/>
                          <w:rPr>
                            <w:sz w:val="14"/>
                          </w:rPr>
                        </w:pPr>
                        <w:r>
                          <w:rPr>
                            <w:sz w:val="14"/>
                          </w:rPr>
                          <w:t>87.9</w:t>
                        </w: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97.0</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90</w:t>
                        </w:r>
                      </w:p>
                    </w:tc>
                    <w:tc>
                      <w:tcPr>
                        <w:tcW w:w="798" w:type="dxa"/>
                        <w:shd w:val="clear" w:color="auto" w:fill="F9FCF9"/>
                      </w:tcPr>
                      <w:p>
                        <w:pPr>
                          <w:pStyle w:val="TableParagraph"/>
                          <w:spacing w:line="132" w:lineRule="exact"/>
                          <w:ind w:left="21" w:right="19"/>
                          <w:rPr>
                            <w:sz w:val="14"/>
                          </w:rPr>
                        </w:pPr>
                        <w:r>
                          <w:rPr>
                            <w:sz w:val="14"/>
                          </w:rPr>
                          <w:t>91</w:t>
                        </w:r>
                      </w:p>
                    </w:tc>
                    <w:tc>
                      <w:tcPr>
                        <w:tcW w:w="1050" w:type="dxa"/>
                        <w:shd w:val="clear" w:color="auto" w:fill="F9FCF9"/>
                      </w:tcPr>
                      <w:p>
                        <w:pPr>
                          <w:pStyle w:val="TableParagraph"/>
                          <w:spacing w:line="132" w:lineRule="exact"/>
                          <w:ind w:left="215" w:right="213"/>
                          <w:rPr>
                            <w:sz w:val="14"/>
                          </w:rPr>
                        </w:pPr>
                        <w:r>
                          <w:rPr>
                            <w:sz w:val="14"/>
                          </w:rPr>
                          <w:t>91</w:t>
                        </w:r>
                      </w:p>
                    </w:tc>
                    <w:tc>
                      <w:tcPr>
                        <w:tcW w:w="790" w:type="dxa"/>
                        <w:shd w:val="clear" w:color="auto" w:fill="F9FCF9"/>
                      </w:tcPr>
                      <w:p>
                        <w:pPr>
                          <w:pStyle w:val="TableParagraph"/>
                          <w:spacing w:line="132" w:lineRule="exact"/>
                          <w:ind w:left="223" w:right="221"/>
                          <w:rPr>
                            <w:sz w:val="14"/>
                          </w:rPr>
                        </w:pPr>
                        <w:r>
                          <w:rPr>
                            <w:sz w:val="14"/>
                          </w:rPr>
                          <w:t>71.2</w:t>
                        </w:r>
                      </w:p>
                    </w:tc>
                    <w:tc>
                      <w:tcPr>
                        <w:tcW w:w="816" w:type="dxa"/>
                        <w:tcBorders>
                          <w:right w:val="double" w:sz="1" w:space="0" w:color="000000"/>
                        </w:tcBorders>
                        <w:shd w:val="clear" w:color="auto" w:fill="F9FCF9"/>
                      </w:tcPr>
                      <w:p>
                        <w:pPr>
                          <w:pStyle w:val="TableParagraph"/>
                          <w:spacing w:line="132" w:lineRule="exact"/>
                          <w:ind w:left="174" w:right="189"/>
                          <w:rPr>
                            <w:sz w:val="14"/>
                          </w:rPr>
                        </w:pPr>
                        <w:r>
                          <w:rPr>
                            <w:sz w:val="14"/>
                          </w:rPr>
                          <w:t>71.1</w:t>
                        </w: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92</w:t>
                        </w:r>
                      </w:p>
                    </w:tc>
                    <w:tc>
                      <w:tcPr>
                        <w:tcW w:w="664" w:type="dxa"/>
                        <w:shd w:val="clear" w:color="auto" w:fill="F9FCF9"/>
                      </w:tcPr>
                      <w:p>
                        <w:pPr>
                          <w:pStyle w:val="TableParagraph"/>
                          <w:spacing w:line="132" w:lineRule="exact"/>
                          <w:ind w:left="71" w:right="68"/>
                          <w:rPr>
                            <w:sz w:val="14"/>
                          </w:rPr>
                        </w:pPr>
                        <w:r>
                          <w:rPr>
                            <w:sz w:val="14"/>
                          </w:rPr>
                          <w:t>86</w:t>
                        </w:r>
                      </w:p>
                    </w:tc>
                  </w:tr>
                  <w:tr>
                    <w:trPr>
                      <w:trHeight w:val="151" w:hRule="atLeast"/>
                    </w:trPr>
                    <w:tc>
                      <w:tcPr>
                        <w:tcW w:w="2180" w:type="dxa"/>
                        <w:shd w:val="clear" w:color="auto" w:fill="F9FCF9"/>
                      </w:tcPr>
                      <w:p>
                        <w:pPr>
                          <w:pStyle w:val="TableParagraph"/>
                          <w:spacing w:line="132" w:lineRule="exact"/>
                          <w:ind w:left="160"/>
                          <w:jc w:val="left"/>
                          <w:rPr>
                            <w:b/>
                            <w:i/>
                            <w:sz w:val="14"/>
                          </w:rPr>
                        </w:pPr>
                        <w:r>
                          <w:rPr>
                            <w:b/>
                            <w:i/>
                            <w:sz w:val="14"/>
                          </w:rPr>
                          <w:t>Cost Results</w:t>
                        </w:r>
                      </w:p>
                    </w:tc>
                    <w:tc>
                      <w:tcPr>
                        <w:tcW w:w="614" w:type="dxa"/>
                        <w:shd w:val="clear" w:color="auto" w:fill="F9FCF9"/>
                      </w:tcPr>
                      <w:p>
                        <w:pPr>
                          <w:pStyle w:val="TableParagraph"/>
                          <w:jc w:val="left"/>
                          <w:rPr>
                            <w:sz w:val="8"/>
                          </w:rPr>
                        </w:pPr>
                      </w:p>
                    </w:tc>
                    <w:tc>
                      <w:tcPr>
                        <w:tcW w:w="522" w:type="dxa"/>
                        <w:shd w:val="clear" w:color="auto" w:fill="F9FCF9"/>
                      </w:tcPr>
                      <w:p>
                        <w:pPr>
                          <w:pStyle w:val="TableParagraph"/>
                          <w:jc w:val="left"/>
                          <w:rPr>
                            <w:sz w:val="8"/>
                          </w:rPr>
                        </w:pPr>
                      </w:p>
                    </w:tc>
                    <w:tc>
                      <w:tcPr>
                        <w:tcW w:w="578"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1051" w:type="dxa"/>
                        <w:shd w:val="clear" w:color="auto" w:fill="F9FCF9"/>
                      </w:tcPr>
                      <w:p>
                        <w:pPr>
                          <w:pStyle w:val="TableParagraph"/>
                          <w:jc w:val="left"/>
                          <w:rPr>
                            <w:sz w:val="8"/>
                          </w:rPr>
                        </w:pPr>
                      </w:p>
                    </w:tc>
                    <w:tc>
                      <w:tcPr>
                        <w:tcW w:w="487" w:type="dxa"/>
                        <w:tcBorders>
                          <w:right w:val="double" w:sz="1" w:space="0" w:color="000000"/>
                        </w:tcBorders>
                        <w:shd w:val="clear" w:color="auto" w:fill="F9FCF9"/>
                      </w:tcPr>
                      <w:p>
                        <w:pPr>
                          <w:pStyle w:val="TableParagraph"/>
                          <w:jc w:val="left"/>
                          <w:rPr>
                            <w:sz w:val="8"/>
                          </w:rPr>
                        </w:pPr>
                      </w:p>
                    </w:tc>
                    <w:tc>
                      <w:tcPr>
                        <w:tcW w:w="741" w:type="dxa"/>
                        <w:tcBorders>
                          <w:left w:val="double" w:sz="1" w:space="0" w:color="000000"/>
                        </w:tcBorders>
                        <w:shd w:val="clear" w:color="auto" w:fill="F9FCF9"/>
                      </w:tcPr>
                      <w:p>
                        <w:pPr>
                          <w:pStyle w:val="TableParagraph"/>
                          <w:jc w:val="left"/>
                          <w:rPr>
                            <w:sz w:val="8"/>
                          </w:rPr>
                        </w:pPr>
                      </w:p>
                    </w:tc>
                    <w:tc>
                      <w:tcPr>
                        <w:tcW w:w="798" w:type="dxa"/>
                        <w:shd w:val="clear" w:color="auto" w:fill="F9FCF9"/>
                      </w:tcPr>
                      <w:p>
                        <w:pPr>
                          <w:pStyle w:val="TableParagraph"/>
                          <w:jc w:val="left"/>
                          <w:rPr>
                            <w:sz w:val="8"/>
                          </w:rPr>
                        </w:pPr>
                      </w:p>
                    </w:tc>
                    <w:tc>
                      <w:tcPr>
                        <w:tcW w:w="1050" w:type="dxa"/>
                        <w:shd w:val="clear" w:color="auto" w:fill="F9FCF9"/>
                      </w:tcPr>
                      <w:p>
                        <w:pPr>
                          <w:pStyle w:val="TableParagraph"/>
                          <w:jc w:val="left"/>
                          <w:rPr>
                            <w:sz w:val="8"/>
                          </w:rPr>
                        </w:pPr>
                      </w:p>
                    </w:tc>
                    <w:tc>
                      <w:tcPr>
                        <w:tcW w:w="790" w:type="dxa"/>
                        <w:shd w:val="clear" w:color="auto" w:fill="F9FCF9"/>
                      </w:tcPr>
                      <w:p>
                        <w:pPr>
                          <w:pStyle w:val="TableParagraph"/>
                          <w:jc w:val="left"/>
                          <w:rPr>
                            <w:sz w:val="8"/>
                          </w:rPr>
                        </w:pPr>
                      </w:p>
                    </w:tc>
                    <w:tc>
                      <w:tcPr>
                        <w:tcW w:w="816" w:type="dxa"/>
                        <w:tcBorders>
                          <w:right w:val="double" w:sz="1" w:space="0" w:color="000000"/>
                        </w:tcBorders>
                        <w:shd w:val="clear" w:color="auto" w:fill="F9FCF9"/>
                      </w:tcPr>
                      <w:p>
                        <w:pPr>
                          <w:pStyle w:val="TableParagraph"/>
                          <w:jc w:val="left"/>
                          <w:rPr>
                            <w:sz w:val="8"/>
                          </w:rPr>
                        </w:pPr>
                      </w:p>
                    </w:tc>
                    <w:tc>
                      <w:tcPr>
                        <w:tcW w:w="870" w:type="dxa"/>
                        <w:tcBorders>
                          <w:left w:val="double" w:sz="1" w:space="0" w:color="000000"/>
                        </w:tcBorders>
                        <w:shd w:val="clear" w:color="auto" w:fill="F9FCF9"/>
                      </w:tcPr>
                      <w:p>
                        <w:pPr>
                          <w:pStyle w:val="TableParagraph"/>
                          <w:jc w:val="left"/>
                          <w:rPr>
                            <w:sz w:val="8"/>
                          </w:rPr>
                        </w:pPr>
                      </w:p>
                    </w:tc>
                    <w:tc>
                      <w:tcPr>
                        <w:tcW w:w="664" w:type="dxa"/>
                        <w:shd w:val="clear" w:color="auto" w:fill="F9FCF9"/>
                      </w:tcPr>
                      <w:p>
                        <w:pPr>
                          <w:pStyle w:val="TableParagraph"/>
                          <w:jc w:val="left"/>
                          <w:rPr>
                            <w:sz w:val="8"/>
                          </w:rPr>
                        </w:pP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Cost year basis (constant dollars)</w:t>
                        </w:r>
                      </w:p>
                    </w:tc>
                    <w:tc>
                      <w:tcPr>
                        <w:tcW w:w="614" w:type="dxa"/>
                        <w:shd w:val="clear" w:color="auto" w:fill="F9FCF9"/>
                      </w:tcPr>
                      <w:p>
                        <w:pPr>
                          <w:pStyle w:val="TableParagraph"/>
                          <w:spacing w:line="132" w:lineRule="exact"/>
                          <w:ind w:left="28" w:right="22"/>
                          <w:rPr>
                            <w:sz w:val="14"/>
                          </w:rPr>
                        </w:pPr>
                        <w:r>
                          <w:rPr>
                            <w:sz w:val="14"/>
                          </w:rPr>
                          <w:t>2001</w:t>
                        </w:r>
                      </w:p>
                    </w:tc>
                    <w:tc>
                      <w:tcPr>
                        <w:tcW w:w="522" w:type="dxa"/>
                        <w:shd w:val="clear" w:color="auto" w:fill="F9FCF9"/>
                      </w:tcPr>
                      <w:p>
                        <w:pPr>
                          <w:pStyle w:val="TableParagraph"/>
                          <w:spacing w:line="132" w:lineRule="exact"/>
                          <w:ind w:left="119"/>
                          <w:jc w:val="left"/>
                          <w:rPr>
                            <w:sz w:val="14"/>
                          </w:rPr>
                        </w:pPr>
                        <w:r>
                          <w:rPr>
                            <w:sz w:val="14"/>
                          </w:rPr>
                          <w:t>2000</w:t>
                        </w:r>
                      </w:p>
                    </w:tc>
                    <w:tc>
                      <w:tcPr>
                        <w:tcW w:w="578" w:type="dxa"/>
                        <w:shd w:val="clear" w:color="auto" w:fill="F9FCF9"/>
                      </w:tcPr>
                      <w:p>
                        <w:pPr>
                          <w:pStyle w:val="TableParagraph"/>
                          <w:spacing w:line="132" w:lineRule="exact"/>
                          <w:ind w:left="29" w:right="23"/>
                          <w:rPr>
                            <w:sz w:val="14"/>
                          </w:rPr>
                        </w:pPr>
                        <w:r>
                          <w:rPr>
                            <w:sz w:val="14"/>
                          </w:rPr>
                          <w:t>2000</w:t>
                        </w:r>
                      </w:p>
                    </w:tc>
                    <w:tc>
                      <w:tcPr>
                        <w:tcW w:w="795"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1051" w:type="dxa"/>
                        <w:shd w:val="clear" w:color="auto" w:fill="F9FCF9"/>
                      </w:tcPr>
                      <w:p>
                        <w:pPr>
                          <w:pStyle w:val="TableParagraph"/>
                          <w:jc w:val="left"/>
                          <w:rPr>
                            <w:sz w:val="8"/>
                          </w:rPr>
                        </w:pPr>
                      </w:p>
                    </w:tc>
                    <w:tc>
                      <w:tcPr>
                        <w:tcW w:w="487" w:type="dxa"/>
                        <w:tcBorders>
                          <w:right w:val="double" w:sz="1" w:space="0" w:color="000000"/>
                        </w:tcBorders>
                        <w:shd w:val="clear" w:color="auto" w:fill="F9FCF9"/>
                      </w:tcPr>
                      <w:p>
                        <w:pPr>
                          <w:pStyle w:val="TableParagraph"/>
                          <w:jc w:val="left"/>
                          <w:rPr>
                            <w:sz w:val="8"/>
                          </w:rPr>
                        </w:pP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2000</w:t>
                        </w:r>
                      </w:p>
                    </w:tc>
                    <w:tc>
                      <w:tcPr>
                        <w:tcW w:w="798" w:type="dxa"/>
                        <w:shd w:val="clear" w:color="auto" w:fill="F9FCF9"/>
                      </w:tcPr>
                      <w:p>
                        <w:pPr>
                          <w:pStyle w:val="TableParagraph"/>
                          <w:spacing w:line="132" w:lineRule="exact"/>
                          <w:ind w:left="21" w:right="19"/>
                          <w:rPr>
                            <w:sz w:val="14"/>
                          </w:rPr>
                        </w:pPr>
                        <w:r>
                          <w:rPr>
                            <w:sz w:val="14"/>
                          </w:rPr>
                          <w:t>2002</w:t>
                        </w:r>
                      </w:p>
                    </w:tc>
                    <w:tc>
                      <w:tcPr>
                        <w:tcW w:w="1050" w:type="dxa"/>
                        <w:shd w:val="clear" w:color="auto" w:fill="F9FCF9"/>
                      </w:tcPr>
                      <w:p>
                        <w:pPr>
                          <w:pStyle w:val="TableParagraph"/>
                          <w:spacing w:line="132" w:lineRule="exact"/>
                          <w:ind w:left="215" w:right="213"/>
                          <w:rPr>
                            <w:sz w:val="14"/>
                          </w:rPr>
                        </w:pPr>
                        <w:r>
                          <w:rPr>
                            <w:sz w:val="14"/>
                          </w:rPr>
                          <w:t>2002</w:t>
                        </w:r>
                      </w:p>
                    </w:tc>
                    <w:tc>
                      <w:tcPr>
                        <w:tcW w:w="790" w:type="dxa"/>
                        <w:shd w:val="clear" w:color="auto" w:fill="F9FCF9"/>
                      </w:tcPr>
                      <w:p>
                        <w:pPr>
                          <w:pStyle w:val="TableParagraph"/>
                          <w:jc w:val="left"/>
                          <w:rPr>
                            <w:sz w:val="8"/>
                          </w:rPr>
                        </w:pPr>
                      </w:p>
                    </w:tc>
                    <w:tc>
                      <w:tcPr>
                        <w:tcW w:w="816" w:type="dxa"/>
                        <w:tcBorders>
                          <w:right w:val="double" w:sz="1" w:space="0" w:color="000000"/>
                        </w:tcBorders>
                        <w:shd w:val="clear" w:color="auto" w:fill="F9FCF9"/>
                      </w:tcPr>
                      <w:p>
                        <w:pPr>
                          <w:pStyle w:val="TableParagraph"/>
                          <w:jc w:val="left"/>
                          <w:rPr>
                            <w:sz w:val="8"/>
                          </w:rPr>
                        </w:pP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2002</w:t>
                        </w:r>
                      </w:p>
                    </w:tc>
                    <w:tc>
                      <w:tcPr>
                        <w:tcW w:w="664" w:type="dxa"/>
                        <w:shd w:val="clear" w:color="auto" w:fill="F9FCF9"/>
                      </w:tcPr>
                      <w:p>
                        <w:pPr>
                          <w:pStyle w:val="TableParagraph"/>
                          <w:spacing w:line="132" w:lineRule="exact"/>
                          <w:ind w:left="71" w:right="68"/>
                          <w:rPr>
                            <w:sz w:val="14"/>
                          </w:rPr>
                        </w:pPr>
                        <w:r>
                          <w:rPr>
                            <w:sz w:val="14"/>
                          </w:rPr>
                          <w:t>2000</w:t>
                        </w: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Fixed charge factor (%)</w:t>
                        </w:r>
                      </w:p>
                    </w:tc>
                    <w:tc>
                      <w:tcPr>
                        <w:tcW w:w="614" w:type="dxa"/>
                        <w:shd w:val="clear" w:color="auto" w:fill="F9FCF9"/>
                      </w:tcPr>
                      <w:p>
                        <w:pPr>
                          <w:pStyle w:val="TableParagraph"/>
                          <w:spacing w:line="132" w:lineRule="exact"/>
                          <w:ind w:left="28" w:right="22"/>
                          <w:rPr>
                            <w:sz w:val="14"/>
                          </w:rPr>
                        </w:pPr>
                        <w:r>
                          <w:rPr>
                            <w:sz w:val="14"/>
                          </w:rPr>
                          <w:t>15.0</w:t>
                        </w:r>
                      </w:p>
                    </w:tc>
                    <w:tc>
                      <w:tcPr>
                        <w:tcW w:w="522" w:type="dxa"/>
                        <w:shd w:val="clear" w:color="auto" w:fill="F9FCF9"/>
                      </w:tcPr>
                      <w:p>
                        <w:pPr>
                          <w:pStyle w:val="TableParagraph"/>
                          <w:jc w:val="left"/>
                          <w:rPr>
                            <w:sz w:val="8"/>
                          </w:rPr>
                        </w:pPr>
                      </w:p>
                    </w:tc>
                    <w:tc>
                      <w:tcPr>
                        <w:tcW w:w="578" w:type="dxa"/>
                        <w:shd w:val="clear" w:color="auto" w:fill="F9FCF9"/>
                      </w:tcPr>
                      <w:p>
                        <w:pPr>
                          <w:pStyle w:val="TableParagraph"/>
                          <w:jc w:val="left"/>
                          <w:rPr>
                            <w:sz w:val="8"/>
                          </w:rPr>
                        </w:pPr>
                      </w:p>
                    </w:tc>
                    <w:tc>
                      <w:tcPr>
                        <w:tcW w:w="795" w:type="dxa"/>
                        <w:shd w:val="clear" w:color="auto" w:fill="F9FCF9"/>
                      </w:tcPr>
                      <w:p>
                        <w:pPr>
                          <w:pStyle w:val="TableParagraph"/>
                          <w:spacing w:line="132" w:lineRule="exact"/>
                          <w:ind w:left="15" w:right="9"/>
                          <w:rPr>
                            <w:sz w:val="14"/>
                          </w:rPr>
                        </w:pPr>
                        <w:r>
                          <w:rPr>
                            <w:sz w:val="14"/>
                          </w:rPr>
                          <w:t>11.0</w:t>
                        </w:r>
                      </w:p>
                    </w:tc>
                    <w:tc>
                      <w:tcPr>
                        <w:tcW w:w="795" w:type="dxa"/>
                        <w:shd w:val="clear" w:color="auto" w:fill="F9FCF9"/>
                      </w:tcPr>
                      <w:p>
                        <w:pPr>
                          <w:pStyle w:val="TableParagraph"/>
                          <w:spacing w:line="132" w:lineRule="exact"/>
                          <w:ind w:left="14" w:right="9"/>
                          <w:rPr>
                            <w:sz w:val="14"/>
                          </w:rPr>
                        </w:pPr>
                        <w:r>
                          <w:rPr>
                            <w:sz w:val="14"/>
                          </w:rPr>
                          <w:t>11.0</w:t>
                        </w:r>
                      </w:p>
                    </w:tc>
                    <w:tc>
                      <w:tcPr>
                        <w:tcW w:w="795" w:type="dxa"/>
                        <w:shd w:val="clear" w:color="auto" w:fill="F9FCF9"/>
                      </w:tcPr>
                      <w:p>
                        <w:pPr>
                          <w:pStyle w:val="TableParagraph"/>
                          <w:spacing w:line="132" w:lineRule="exact"/>
                          <w:ind w:left="13" w:right="9"/>
                          <w:rPr>
                            <w:sz w:val="14"/>
                          </w:rPr>
                        </w:pPr>
                        <w:r>
                          <w:rPr>
                            <w:sz w:val="14"/>
                          </w:rPr>
                          <w:t>11.0</w:t>
                        </w:r>
                      </w:p>
                    </w:tc>
                    <w:tc>
                      <w:tcPr>
                        <w:tcW w:w="1051" w:type="dxa"/>
                        <w:shd w:val="clear" w:color="auto" w:fill="F9FCF9"/>
                      </w:tcPr>
                      <w:p>
                        <w:pPr>
                          <w:pStyle w:val="TableParagraph"/>
                          <w:spacing w:line="132" w:lineRule="exact"/>
                          <w:ind w:right="396"/>
                          <w:jc w:val="right"/>
                          <w:rPr>
                            <w:sz w:val="14"/>
                          </w:rPr>
                        </w:pPr>
                        <w:r>
                          <w:rPr>
                            <w:sz w:val="14"/>
                          </w:rPr>
                          <w:t>11.0</w:t>
                        </w: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11</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15.0</w:t>
                        </w:r>
                      </w:p>
                    </w:tc>
                    <w:tc>
                      <w:tcPr>
                        <w:tcW w:w="798" w:type="dxa"/>
                        <w:shd w:val="clear" w:color="auto" w:fill="F9FCF9"/>
                      </w:tcPr>
                      <w:p>
                        <w:pPr>
                          <w:pStyle w:val="TableParagraph"/>
                          <w:spacing w:line="132" w:lineRule="exact"/>
                          <w:ind w:left="21" w:right="19"/>
                          <w:rPr>
                            <w:sz w:val="14"/>
                          </w:rPr>
                        </w:pPr>
                        <w:r>
                          <w:rPr>
                            <w:sz w:val="14"/>
                          </w:rPr>
                          <w:t>14.8</w:t>
                        </w:r>
                      </w:p>
                    </w:tc>
                    <w:tc>
                      <w:tcPr>
                        <w:tcW w:w="1050" w:type="dxa"/>
                        <w:shd w:val="clear" w:color="auto" w:fill="F9FCF9"/>
                      </w:tcPr>
                      <w:p>
                        <w:pPr>
                          <w:pStyle w:val="TableParagraph"/>
                          <w:spacing w:line="132" w:lineRule="exact"/>
                          <w:ind w:left="215" w:right="213"/>
                          <w:rPr>
                            <w:sz w:val="14"/>
                          </w:rPr>
                        </w:pPr>
                        <w:r>
                          <w:rPr>
                            <w:sz w:val="14"/>
                          </w:rPr>
                          <w:t>14.8</w:t>
                        </w:r>
                      </w:p>
                    </w:tc>
                    <w:tc>
                      <w:tcPr>
                        <w:tcW w:w="790" w:type="dxa"/>
                        <w:shd w:val="clear" w:color="auto" w:fill="F9FCF9"/>
                      </w:tcPr>
                      <w:p>
                        <w:pPr>
                          <w:pStyle w:val="TableParagraph"/>
                          <w:spacing w:line="132" w:lineRule="exact"/>
                          <w:ind w:left="223" w:right="221"/>
                          <w:rPr>
                            <w:sz w:val="14"/>
                          </w:rPr>
                        </w:pPr>
                        <w:r>
                          <w:rPr>
                            <w:sz w:val="14"/>
                          </w:rPr>
                          <w:t>11.0</w:t>
                        </w:r>
                      </w:p>
                    </w:tc>
                    <w:tc>
                      <w:tcPr>
                        <w:tcW w:w="816" w:type="dxa"/>
                        <w:tcBorders>
                          <w:right w:val="double" w:sz="1" w:space="0" w:color="000000"/>
                        </w:tcBorders>
                        <w:shd w:val="clear" w:color="auto" w:fill="F9FCF9"/>
                      </w:tcPr>
                      <w:p>
                        <w:pPr>
                          <w:pStyle w:val="TableParagraph"/>
                          <w:spacing w:line="132" w:lineRule="exact"/>
                          <w:ind w:left="174" w:right="189"/>
                          <w:rPr>
                            <w:sz w:val="14"/>
                          </w:rPr>
                        </w:pPr>
                        <w:r>
                          <w:rPr>
                            <w:sz w:val="14"/>
                          </w:rPr>
                          <w:t>11.0</w:t>
                        </w: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14.8</w:t>
                        </w:r>
                      </w:p>
                    </w:tc>
                    <w:tc>
                      <w:tcPr>
                        <w:tcW w:w="664" w:type="dxa"/>
                        <w:shd w:val="clear" w:color="auto" w:fill="F9FCF9"/>
                      </w:tcPr>
                      <w:p>
                        <w:pPr>
                          <w:pStyle w:val="TableParagraph"/>
                          <w:jc w:val="left"/>
                          <w:rPr>
                            <w:sz w:val="8"/>
                          </w:rPr>
                        </w:pP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Reference plant TCR (US$ kW</w:t>
                        </w:r>
                        <w:r>
                          <w:rPr>
                            <w:position w:val="5"/>
                            <w:sz w:val="8"/>
                          </w:rPr>
                          <w:t>−1</w:t>
                        </w:r>
                        <w:r>
                          <w:rPr>
                            <w:sz w:val="14"/>
                          </w:rPr>
                          <w:t>)</w:t>
                        </w:r>
                      </w:p>
                    </w:tc>
                    <w:tc>
                      <w:tcPr>
                        <w:tcW w:w="614" w:type="dxa"/>
                        <w:shd w:val="clear" w:color="auto" w:fill="F9FCF9"/>
                      </w:tcPr>
                      <w:p>
                        <w:pPr>
                          <w:pStyle w:val="TableParagraph"/>
                          <w:spacing w:line="132" w:lineRule="exact"/>
                          <w:ind w:left="28" w:right="22"/>
                          <w:rPr>
                            <w:sz w:val="14"/>
                          </w:rPr>
                        </w:pPr>
                        <w:r>
                          <w:rPr>
                            <w:sz w:val="14"/>
                          </w:rPr>
                          <w:t>582</w:t>
                        </w:r>
                      </w:p>
                    </w:tc>
                    <w:tc>
                      <w:tcPr>
                        <w:tcW w:w="522" w:type="dxa"/>
                        <w:shd w:val="clear" w:color="auto" w:fill="F9FCF9"/>
                      </w:tcPr>
                      <w:p>
                        <w:pPr>
                          <w:pStyle w:val="TableParagraph"/>
                          <w:spacing w:line="132" w:lineRule="exact"/>
                          <w:ind w:left="154"/>
                          <w:jc w:val="left"/>
                          <w:rPr>
                            <w:sz w:val="14"/>
                          </w:rPr>
                        </w:pPr>
                        <w:r>
                          <w:rPr>
                            <w:sz w:val="14"/>
                          </w:rPr>
                          <w:t>539</w:t>
                        </w:r>
                      </w:p>
                    </w:tc>
                    <w:tc>
                      <w:tcPr>
                        <w:tcW w:w="578" w:type="dxa"/>
                        <w:shd w:val="clear" w:color="auto" w:fill="F9FCF9"/>
                      </w:tcPr>
                      <w:p>
                        <w:pPr>
                          <w:pStyle w:val="TableParagraph"/>
                          <w:spacing w:line="132" w:lineRule="exact"/>
                          <w:ind w:left="29" w:right="23"/>
                          <w:rPr>
                            <w:sz w:val="14"/>
                          </w:rPr>
                        </w:pPr>
                        <w:r>
                          <w:rPr>
                            <w:sz w:val="14"/>
                          </w:rPr>
                          <w:t>496</w:t>
                        </w:r>
                      </w:p>
                    </w:tc>
                    <w:tc>
                      <w:tcPr>
                        <w:tcW w:w="795" w:type="dxa"/>
                        <w:shd w:val="clear" w:color="auto" w:fill="F9FCF9"/>
                      </w:tcPr>
                      <w:p>
                        <w:pPr>
                          <w:pStyle w:val="TableParagraph"/>
                          <w:spacing w:line="132" w:lineRule="exact"/>
                          <w:ind w:left="15" w:right="9"/>
                          <w:rPr>
                            <w:sz w:val="14"/>
                          </w:rPr>
                        </w:pPr>
                        <w:r>
                          <w:rPr>
                            <w:sz w:val="14"/>
                          </w:rPr>
                          <w:t>724</w:t>
                        </w:r>
                      </w:p>
                    </w:tc>
                    <w:tc>
                      <w:tcPr>
                        <w:tcW w:w="795" w:type="dxa"/>
                        <w:shd w:val="clear" w:color="auto" w:fill="F9FCF9"/>
                      </w:tcPr>
                      <w:p>
                        <w:pPr>
                          <w:pStyle w:val="TableParagraph"/>
                          <w:spacing w:line="132" w:lineRule="exact"/>
                          <w:ind w:left="14" w:right="9"/>
                          <w:rPr>
                            <w:sz w:val="14"/>
                          </w:rPr>
                        </w:pPr>
                        <w:r>
                          <w:rPr>
                            <w:sz w:val="14"/>
                          </w:rPr>
                          <w:t>724</w:t>
                        </w:r>
                      </w:p>
                    </w:tc>
                    <w:tc>
                      <w:tcPr>
                        <w:tcW w:w="795" w:type="dxa"/>
                        <w:shd w:val="clear" w:color="auto" w:fill="F9FCF9"/>
                      </w:tcPr>
                      <w:p>
                        <w:pPr>
                          <w:pStyle w:val="TableParagraph"/>
                          <w:spacing w:line="132" w:lineRule="exact"/>
                          <w:ind w:left="13" w:right="9"/>
                          <w:rPr>
                            <w:sz w:val="14"/>
                          </w:rPr>
                        </w:pPr>
                        <w:r>
                          <w:rPr>
                            <w:sz w:val="14"/>
                          </w:rPr>
                          <w:t>724</w:t>
                        </w:r>
                      </w:p>
                    </w:tc>
                    <w:tc>
                      <w:tcPr>
                        <w:tcW w:w="1051" w:type="dxa"/>
                        <w:shd w:val="clear" w:color="auto" w:fill="F9FCF9"/>
                      </w:tcPr>
                      <w:p>
                        <w:pPr>
                          <w:pStyle w:val="TableParagraph"/>
                          <w:spacing w:line="132" w:lineRule="exact"/>
                          <w:ind w:right="411"/>
                          <w:jc w:val="right"/>
                          <w:rPr>
                            <w:sz w:val="14"/>
                          </w:rPr>
                        </w:pPr>
                        <w:r>
                          <w:rPr>
                            <w:sz w:val="14"/>
                          </w:rPr>
                          <w:t>724</w:t>
                        </w: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559</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1249</w:t>
                        </w:r>
                      </w:p>
                    </w:tc>
                    <w:tc>
                      <w:tcPr>
                        <w:tcW w:w="798" w:type="dxa"/>
                        <w:shd w:val="clear" w:color="auto" w:fill="F9FCF9"/>
                      </w:tcPr>
                      <w:p>
                        <w:pPr>
                          <w:pStyle w:val="TableParagraph"/>
                          <w:spacing w:line="132" w:lineRule="exact"/>
                          <w:ind w:left="21" w:right="19"/>
                          <w:rPr>
                            <w:sz w:val="14"/>
                          </w:rPr>
                        </w:pPr>
                        <w:r>
                          <w:rPr>
                            <w:sz w:val="14"/>
                          </w:rPr>
                          <w:t>1436</w:t>
                        </w:r>
                      </w:p>
                    </w:tc>
                    <w:tc>
                      <w:tcPr>
                        <w:tcW w:w="1050" w:type="dxa"/>
                        <w:shd w:val="clear" w:color="auto" w:fill="F9FCF9"/>
                      </w:tcPr>
                      <w:p>
                        <w:pPr>
                          <w:pStyle w:val="TableParagraph"/>
                          <w:spacing w:line="132" w:lineRule="exact"/>
                          <w:ind w:left="215" w:right="213"/>
                          <w:rPr>
                            <w:sz w:val="14"/>
                          </w:rPr>
                        </w:pPr>
                        <w:r>
                          <w:rPr>
                            <w:sz w:val="14"/>
                          </w:rPr>
                          <w:t>881.4</w:t>
                        </w:r>
                      </w:p>
                    </w:tc>
                    <w:tc>
                      <w:tcPr>
                        <w:tcW w:w="790" w:type="dxa"/>
                        <w:shd w:val="clear" w:color="auto" w:fill="F9FCF9"/>
                      </w:tcPr>
                      <w:p>
                        <w:pPr>
                          <w:pStyle w:val="TableParagraph"/>
                          <w:spacing w:line="132" w:lineRule="exact"/>
                          <w:ind w:left="223" w:right="221"/>
                          <w:rPr>
                            <w:sz w:val="14"/>
                          </w:rPr>
                        </w:pPr>
                        <w:r>
                          <w:rPr>
                            <w:sz w:val="14"/>
                          </w:rPr>
                          <w:t>1398</w:t>
                        </w:r>
                      </w:p>
                    </w:tc>
                    <w:tc>
                      <w:tcPr>
                        <w:tcW w:w="816" w:type="dxa"/>
                        <w:tcBorders>
                          <w:right w:val="double" w:sz="1" w:space="0" w:color="000000"/>
                        </w:tcBorders>
                        <w:shd w:val="clear" w:color="auto" w:fill="F9FCF9"/>
                      </w:tcPr>
                      <w:p>
                        <w:pPr>
                          <w:pStyle w:val="TableParagraph"/>
                          <w:spacing w:line="132" w:lineRule="exact"/>
                          <w:ind w:left="174" w:right="189"/>
                          <w:rPr>
                            <w:sz w:val="14"/>
                          </w:rPr>
                        </w:pPr>
                        <w:r>
                          <w:rPr>
                            <w:sz w:val="14"/>
                          </w:rPr>
                          <w:t>1398</w:t>
                        </w: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1508</w:t>
                        </w:r>
                      </w:p>
                    </w:tc>
                    <w:tc>
                      <w:tcPr>
                        <w:tcW w:w="664" w:type="dxa"/>
                        <w:shd w:val="clear" w:color="auto" w:fill="F9FCF9"/>
                      </w:tcPr>
                      <w:p>
                        <w:pPr>
                          <w:pStyle w:val="TableParagraph"/>
                          <w:spacing w:line="132" w:lineRule="exact"/>
                          <w:ind w:left="71" w:right="68"/>
                          <w:rPr>
                            <w:sz w:val="14"/>
                          </w:rPr>
                        </w:pPr>
                        <w:r>
                          <w:rPr>
                            <w:sz w:val="14"/>
                          </w:rPr>
                          <w:t>623</w:t>
                        </w: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Capture plant TCR (US$ kW</w:t>
                        </w:r>
                        <w:r>
                          <w:rPr>
                            <w:position w:val="5"/>
                            <w:sz w:val="8"/>
                          </w:rPr>
                          <w:t>−1</w:t>
                        </w:r>
                        <w:r>
                          <w:rPr>
                            <w:sz w:val="14"/>
                          </w:rPr>
                          <w:t>)</w:t>
                        </w:r>
                      </w:p>
                    </w:tc>
                    <w:tc>
                      <w:tcPr>
                        <w:tcW w:w="614" w:type="dxa"/>
                        <w:shd w:val="clear" w:color="auto" w:fill="F9FCF9"/>
                      </w:tcPr>
                      <w:p>
                        <w:pPr>
                          <w:pStyle w:val="TableParagraph"/>
                          <w:spacing w:line="132" w:lineRule="exact"/>
                          <w:ind w:left="28" w:right="22"/>
                          <w:rPr>
                            <w:sz w:val="14"/>
                          </w:rPr>
                        </w:pPr>
                        <w:r>
                          <w:rPr>
                            <w:sz w:val="14"/>
                          </w:rPr>
                          <w:t>1216</w:t>
                        </w:r>
                      </w:p>
                    </w:tc>
                    <w:tc>
                      <w:tcPr>
                        <w:tcW w:w="522" w:type="dxa"/>
                        <w:shd w:val="clear" w:color="auto" w:fill="F9FCF9"/>
                      </w:tcPr>
                      <w:p>
                        <w:pPr>
                          <w:pStyle w:val="TableParagraph"/>
                          <w:spacing w:line="132" w:lineRule="exact"/>
                          <w:ind w:left="119"/>
                          <w:jc w:val="left"/>
                          <w:rPr>
                            <w:sz w:val="14"/>
                          </w:rPr>
                        </w:pPr>
                        <w:r>
                          <w:rPr>
                            <w:sz w:val="14"/>
                          </w:rPr>
                          <w:t>1026</w:t>
                        </w:r>
                      </w:p>
                    </w:tc>
                    <w:tc>
                      <w:tcPr>
                        <w:tcW w:w="578" w:type="dxa"/>
                        <w:shd w:val="clear" w:color="auto" w:fill="F9FCF9"/>
                      </w:tcPr>
                      <w:p>
                        <w:pPr>
                          <w:pStyle w:val="TableParagraph"/>
                          <w:spacing w:line="132" w:lineRule="exact"/>
                          <w:ind w:left="29" w:right="23"/>
                          <w:rPr>
                            <w:sz w:val="14"/>
                          </w:rPr>
                        </w:pPr>
                        <w:r>
                          <w:rPr>
                            <w:sz w:val="14"/>
                          </w:rPr>
                          <w:t>943</w:t>
                        </w:r>
                      </w:p>
                    </w:tc>
                    <w:tc>
                      <w:tcPr>
                        <w:tcW w:w="795" w:type="dxa"/>
                        <w:shd w:val="clear" w:color="auto" w:fill="F9FCF9"/>
                      </w:tcPr>
                      <w:p>
                        <w:pPr>
                          <w:pStyle w:val="TableParagraph"/>
                          <w:spacing w:line="132" w:lineRule="exact"/>
                          <w:ind w:left="255"/>
                          <w:jc w:val="left"/>
                          <w:rPr>
                            <w:sz w:val="14"/>
                          </w:rPr>
                        </w:pPr>
                        <w:r>
                          <w:rPr>
                            <w:sz w:val="14"/>
                          </w:rPr>
                          <w:t>1002</w:t>
                        </w:r>
                      </w:p>
                    </w:tc>
                    <w:tc>
                      <w:tcPr>
                        <w:tcW w:w="795" w:type="dxa"/>
                        <w:shd w:val="clear" w:color="auto" w:fill="F9FCF9"/>
                      </w:tcPr>
                      <w:p>
                        <w:pPr>
                          <w:pStyle w:val="TableParagraph"/>
                          <w:spacing w:line="132" w:lineRule="exact"/>
                          <w:ind w:left="14" w:right="9"/>
                          <w:rPr>
                            <w:sz w:val="14"/>
                          </w:rPr>
                        </w:pPr>
                        <w:r>
                          <w:rPr>
                            <w:sz w:val="14"/>
                          </w:rPr>
                          <w:t>1225</w:t>
                        </w:r>
                      </w:p>
                    </w:tc>
                    <w:tc>
                      <w:tcPr>
                        <w:tcW w:w="795" w:type="dxa"/>
                        <w:shd w:val="clear" w:color="auto" w:fill="F9FCF9"/>
                      </w:tcPr>
                      <w:p>
                        <w:pPr>
                          <w:pStyle w:val="TableParagraph"/>
                          <w:spacing w:line="132" w:lineRule="exact"/>
                          <w:ind w:left="13" w:right="9"/>
                          <w:rPr>
                            <w:sz w:val="14"/>
                          </w:rPr>
                        </w:pPr>
                        <w:r>
                          <w:rPr>
                            <w:sz w:val="14"/>
                          </w:rPr>
                          <w:t>1058</w:t>
                        </w:r>
                      </w:p>
                    </w:tc>
                    <w:tc>
                      <w:tcPr>
                        <w:tcW w:w="1051" w:type="dxa"/>
                        <w:shd w:val="clear" w:color="auto" w:fill="F9FCF9"/>
                      </w:tcPr>
                      <w:p>
                        <w:pPr>
                          <w:pStyle w:val="TableParagraph"/>
                          <w:spacing w:line="132" w:lineRule="exact"/>
                          <w:ind w:right="376"/>
                          <w:jc w:val="right"/>
                          <w:rPr>
                            <w:sz w:val="14"/>
                          </w:rPr>
                        </w:pPr>
                        <w:r>
                          <w:rPr>
                            <w:sz w:val="14"/>
                          </w:rPr>
                          <w:t>1089</w:t>
                        </w: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1034</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1698</w:t>
                        </w:r>
                      </w:p>
                    </w:tc>
                    <w:tc>
                      <w:tcPr>
                        <w:tcW w:w="798" w:type="dxa"/>
                        <w:shd w:val="clear" w:color="auto" w:fill="F9FCF9"/>
                      </w:tcPr>
                      <w:p>
                        <w:pPr>
                          <w:pStyle w:val="TableParagraph"/>
                          <w:spacing w:line="132" w:lineRule="exact"/>
                          <w:ind w:left="21" w:right="19"/>
                          <w:rPr>
                            <w:sz w:val="14"/>
                          </w:rPr>
                        </w:pPr>
                        <w:r>
                          <w:rPr>
                            <w:sz w:val="14"/>
                          </w:rPr>
                          <w:t>2189</w:t>
                        </w:r>
                      </w:p>
                    </w:tc>
                    <w:tc>
                      <w:tcPr>
                        <w:tcW w:w="1050" w:type="dxa"/>
                        <w:shd w:val="clear" w:color="auto" w:fill="F9FCF9"/>
                      </w:tcPr>
                      <w:p>
                        <w:pPr>
                          <w:pStyle w:val="TableParagraph"/>
                          <w:spacing w:line="132" w:lineRule="exact"/>
                          <w:ind w:left="215" w:right="213"/>
                          <w:rPr>
                            <w:sz w:val="14"/>
                          </w:rPr>
                        </w:pPr>
                        <w:r>
                          <w:rPr>
                            <w:sz w:val="14"/>
                          </w:rPr>
                          <w:t>1450</w:t>
                        </w:r>
                      </w:p>
                    </w:tc>
                    <w:tc>
                      <w:tcPr>
                        <w:tcW w:w="790" w:type="dxa"/>
                        <w:shd w:val="clear" w:color="auto" w:fill="F9FCF9"/>
                      </w:tcPr>
                      <w:p>
                        <w:pPr>
                          <w:pStyle w:val="TableParagraph"/>
                          <w:spacing w:line="132" w:lineRule="exact"/>
                          <w:ind w:left="223" w:right="221"/>
                          <w:rPr>
                            <w:sz w:val="14"/>
                          </w:rPr>
                        </w:pPr>
                        <w:r>
                          <w:rPr>
                            <w:sz w:val="14"/>
                          </w:rPr>
                          <w:t>1919</w:t>
                        </w:r>
                      </w:p>
                    </w:tc>
                    <w:tc>
                      <w:tcPr>
                        <w:tcW w:w="816" w:type="dxa"/>
                        <w:tcBorders>
                          <w:right w:val="double" w:sz="1" w:space="0" w:color="000000"/>
                        </w:tcBorders>
                        <w:shd w:val="clear" w:color="auto" w:fill="F9FCF9"/>
                      </w:tcPr>
                      <w:p>
                        <w:pPr>
                          <w:pStyle w:val="TableParagraph"/>
                          <w:spacing w:line="132" w:lineRule="exact"/>
                          <w:ind w:left="174" w:right="189"/>
                          <w:rPr>
                            <w:sz w:val="14"/>
                          </w:rPr>
                        </w:pPr>
                        <w:r>
                          <w:rPr>
                            <w:sz w:val="14"/>
                          </w:rPr>
                          <w:t>1823</w:t>
                        </w: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1822</w:t>
                        </w:r>
                      </w:p>
                    </w:tc>
                    <w:tc>
                      <w:tcPr>
                        <w:tcW w:w="664" w:type="dxa"/>
                        <w:shd w:val="clear" w:color="auto" w:fill="F9FCF9"/>
                      </w:tcPr>
                      <w:p>
                        <w:pPr>
                          <w:pStyle w:val="TableParagraph"/>
                          <w:jc w:val="left"/>
                          <w:rPr>
                            <w:sz w:val="8"/>
                          </w:rPr>
                        </w:pP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Incremental TCR for capture</w:t>
                        </w:r>
                      </w:p>
                    </w:tc>
                    <w:tc>
                      <w:tcPr>
                        <w:tcW w:w="614" w:type="dxa"/>
                        <w:shd w:val="clear" w:color="auto" w:fill="F9FCF9"/>
                      </w:tcPr>
                      <w:p>
                        <w:pPr>
                          <w:pStyle w:val="TableParagraph"/>
                          <w:jc w:val="left"/>
                          <w:rPr>
                            <w:sz w:val="8"/>
                          </w:rPr>
                        </w:pPr>
                      </w:p>
                    </w:tc>
                    <w:tc>
                      <w:tcPr>
                        <w:tcW w:w="522" w:type="dxa"/>
                        <w:shd w:val="clear" w:color="auto" w:fill="F9FCF9"/>
                      </w:tcPr>
                      <w:p>
                        <w:pPr>
                          <w:pStyle w:val="TableParagraph"/>
                          <w:jc w:val="left"/>
                          <w:rPr>
                            <w:sz w:val="8"/>
                          </w:rPr>
                        </w:pPr>
                      </w:p>
                    </w:tc>
                    <w:tc>
                      <w:tcPr>
                        <w:tcW w:w="578"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1051" w:type="dxa"/>
                        <w:shd w:val="clear" w:color="auto" w:fill="F9FCF9"/>
                      </w:tcPr>
                      <w:p>
                        <w:pPr>
                          <w:pStyle w:val="TableParagraph"/>
                          <w:jc w:val="left"/>
                          <w:rPr>
                            <w:sz w:val="8"/>
                          </w:rPr>
                        </w:pPr>
                      </w:p>
                    </w:tc>
                    <w:tc>
                      <w:tcPr>
                        <w:tcW w:w="487" w:type="dxa"/>
                        <w:tcBorders>
                          <w:right w:val="double" w:sz="1" w:space="0" w:color="000000"/>
                        </w:tcBorders>
                        <w:shd w:val="clear" w:color="auto" w:fill="F9FCF9"/>
                      </w:tcPr>
                      <w:p>
                        <w:pPr>
                          <w:pStyle w:val="TableParagraph"/>
                          <w:jc w:val="left"/>
                          <w:rPr>
                            <w:sz w:val="8"/>
                          </w:rPr>
                        </w:pPr>
                      </w:p>
                    </w:tc>
                    <w:tc>
                      <w:tcPr>
                        <w:tcW w:w="741" w:type="dxa"/>
                        <w:tcBorders>
                          <w:left w:val="double" w:sz="1" w:space="0" w:color="000000"/>
                        </w:tcBorders>
                        <w:shd w:val="clear" w:color="auto" w:fill="F9FCF9"/>
                      </w:tcPr>
                      <w:p>
                        <w:pPr>
                          <w:pStyle w:val="TableParagraph"/>
                          <w:jc w:val="left"/>
                          <w:rPr>
                            <w:sz w:val="8"/>
                          </w:rPr>
                        </w:pPr>
                      </w:p>
                    </w:tc>
                    <w:tc>
                      <w:tcPr>
                        <w:tcW w:w="798" w:type="dxa"/>
                        <w:shd w:val="clear" w:color="auto" w:fill="F9FCF9"/>
                      </w:tcPr>
                      <w:p>
                        <w:pPr>
                          <w:pStyle w:val="TableParagraph"/>
                          <w:jc w:val="left"/>
                          <w:rPr>
                            <w:sz w:val="8"/>
                          </w:rPr>
                        </w:pPr>
                      </w:p>
                    </w:tc>
                    <w:tc>
                      <w:tcPr>
                        <w:tcW w:w="1050" w:type="dxa"/>
                        <w:shd w:val="clear" w:color="auto" w:fill="F9FCF9"/>
                      </w:tcPr>
                      <w:p>
                        <w:pPr>
                          <w:pStyle w:val="TableParagraph"/>
                          <w:jc w:val="left"/>
                          <w:rPr>
                            <w:sz w:val="8"/>
                          </w:rPr>
                        </w:pPr>
                      </w:p>
                    </w:tc>
                    <w:tc>
                      <w:tcPr>
                        <w:tcW w:w="790" w:type="dxa"/>
                        <w:shd w:val="clear" w:color="auto" w:fill="F9FCF9"/>
                      </w:tcPr>
                      <w:p>
                        <w:pPr>
                          <w:pStyle w:val="TableParagraph"/>
                          <w:jc w:val="left"/>
                          <w:rPr>
                            <w:sz w:val="8"/>
                          </w:rPr>
                        </w:pPr>
                      </w:p>
                    </w:tc>
                    <w:tc>
                      <w:tcPr>
                        <w:tcW w:w="816" w:type="dxa"/>
                        <w:tcBorders>
                          <w:right w:val="double" w:sz="1" w:space="0" w:color="000000"/>
                        </w:tcBorders>
                        <w:shd w:val="clear" w:color="auto" w:fill="F9FCF9"/>
                      </w:tcPr>
                      <w:p>
                        <w:pPr>
                          <w:pStyle w:val="TableParagraph"/>
                          <w:jc w:val="left"/>
                          <w:rPr>
                            <w:sz w:val="8"/>
                          </w:rPr>
                        </w:pPr>
                      </w:p>
                    </w:tc>
                    <w:tc>
                      <w:tcPr>
                        <w:tcW w:w="870" w:type="dxa"/>
                        <w:tcBorders>
                          <w:left w:val="double" w:sz="1" w:space="0" w:color="000000"/>
                        </w:tcBorders>
                        <w:shd w:val="clear" w:color="auto" w:fill="F9FCF9"/>
                      </w:tcPr>
                      <w:p>
                        <w:pPr>
                          <w:pStyle w:val="TableParagraph"/>
                          <w:jc w:val="left"/>
                          <w:rPr>
                            <w:sz w:val="8"/>
                          </w:rPr>
                        </w:pPr>
                      </w:p>
                    </w:tc>
                    <w:tc>
                      <w:tcPr>
                        <w:tcW w:w="664" w:type="dxa"/>
                        <w:shd w:val="clear" w:color="auto" w:fill="F9FCF9"/>
                      </w:tcPr>
                      <w:p>
                        <w:pPr>
                          <w:pStyle w:val="TableParagraph"/>
                          <w:jc w:val="left"/>
                          <w:rPr>
                            <w:sz w:val="8"/>
                          </w:rPr>
                        </w:pP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(US$ kW</w:t>
                        </w:r>
                        <w:r>
                          <w:rPr>
                            <w:position w:val="5"/>
                            <w:sz w:val="8"/>
                          </w:rPr>
                          <w:t>−1</w:t>
                        </w:r>
                        <w:r>
                          <w:rPr>
                            <w:sz w:val="14"/>
                          </w:rPr>
                          <w:t>)</w:t>
                        </w:r>
                      </w:p>
                    </w:tc>
                    <w:tc>
                      <w:tcPr>
                        <w:tcW w:w="614" w:type="dxa"/>
                        <w:shd w:val="clear" w:color="auto" w:fill="F9FCF9"/>
                      </w:tcPr>
                      <w:p>
                        <w:pPr>
                          <w:pStyle w:val="TableParagraph"/>
                          <w:spacing w:line="132" w:lineRule="exact"/>
                          <w:ind w:left="28" w:right="22"/>
                          <w:rPr>
                            <w:sz w:val="14"/>
                          </w:rPr>
                        </w:pPr>
                        <w:r>
                          <w:rPr>
                            <w:sz w:val="14"/>
                          </w:rPr>
                          <w:t>634</w:t>
                        </w:r>
                      </w:p>
                    </w:tc>
                    <w:tc>
                      <w:tcPr>
                        <w:tcW w:w="522" w:type="dxa"/>
                        <w:shd w:val="clear" w:color="auto" w:fill="F9FCF9"/>
                      </w:tcPr>
                      <w:p>
                        <w:pPr>
                          <w:pStyle w:val="TableParagraph"/>
                          <w:spacing w:line="132" w:lineRule="exact"/>
                          <w:ind w:left="154"/>
                          <w:jc w:val="left"/>
                          <w:rPr>
                            <w:sz w:val="14"/>
                          </w:rPr>
                        </w:pPr>
                        <w:r>
                          <w:rPr>
                            <w:sz w:val="14"/>
                          </w:rPr>
                          <w:t>487</w:t>
                        </w:r>
                      </w:p>
                    </w:tc>
                    <w:tc>
                      <w:tcPr>
                        <w:tcW w:w="578" w:type="dxa"/>
                        <w:shd w:val="clear" w:color="auto" w:fill="F9FCF9"/>
                      </w:tcPr>
                      <w:p>
                        <w:pPr>
                          <w:pStyle w:val="TableParagraph"/>
                          <w:spacing w:line="132" w:lineRule="exact"/>
                          <w:ind w:left="29" w:right="23"/>
                          <w:rPr>
                            <w:sz w:val="14"/>
                          </w:rPr>
                        </w:pPr>
                        <w:r>
                          <w:rPr>
                            <w:sz w:val="14"/>
                          </w:rPr>
                          <w:t>447</w:t>
                        </w:r>
                      </w:p>
                    </w:tc>
                    <w:tc>
                      <w:tcPr>
                        <w:tcW w:w="795" w:type="dxa"/>
                        <w:shd w:val="clear" w:color="auto" w:fill="F9FCF9"/>
                      </w:tcPr>
                      <w:p>
                        <w:pPr>
                          <w:pStyle w:val="TableParagraph"/>
                          <w:spacing w:line="132" w:lineRule="exact"/>
                          <w:ind w:left="15" w:right="9"/>
                          <w:rPr>
                            <w:sz w:val="14"/>
                          </w:rPr>
                        </w:pPr>
                        <w:r>
                          <w:rPr>
                            <w:sz w:val="14"/>
                          </w:rPr>
                          <w:t>278</w:t>
                        </w:r>
                      </w:p>
                    </w:tc>
                    <w:tc>
                      <w:tcPr>
                        <w:tcW w:w="795" w:type="dxa"/>
                        <w:shd w:val="clear" w:color="auto" w:fill="F9FCF9"/>
                      </w:tcPr>
                      <w:p>
                        <w:pPr>
                          <w:pStyle w:val="TableParagraph"/>
                          <w:spacing w:line="132" w:lineRule="exact"/>
                          <w:ind w:left="14" w:right="9"/>
                          <w:rPr>
                            <w:sz w:val="14"/>
                          </w:rPr>
                        </w:pPr>
                        <w:r>
                          <w:rPr>
                            <w:sz w:val="14"/>
                          </w:rPr>
                          <w:t>501</w:t>
                        </w:r>
                      </w:p>
                    </w:tc>
                    <w:tc>
                      <w:tcPr>
                        <w:tcW w:w="795" w:type="dxa"/>
                        <w:shd w:val="clear" w:color="auto" w:fill="F9FCF9"/>
                      </w:tcPr>
                      <w:p>
                        <w:pPr>
                          <w:pStyle w:val="TableParagraph"/>
                          <w:spacing w:line="132" w:lineRule="exact"/>
                          <w:ind w:left="13" w:right="9"/>
                          <w:rPr>
                            <w:sz w:val="14"/>
                          </w:rPr>
                        </w:pPr>
                        <w:r>
                          <w:rPr>
                            <w:sz w:val="14"/>
                          </w:rPr>
                          <w:t>334</w:t>
                        </w:r>
                      </w:p>
                    </w:tc>
                    <w:tc>
                      <w:tcPr>
                        <w:tcW w:w="1051" w:type="dxa"/>
                        <w:shd w:val="clear" w:color="auto" w:fill="F9FCF9"/>
                      </w:tcPr>
                      <w:p>
                        <w:pPr>
                          <w:pStyle w:val="TableParagraph"/>
                          <w:spacing w:line="132" w:lineRule="exact"/>
                          <w:ind w:right="411"/>
                          <w:jc w:val="right"/>
                          <w:rPr>
                            <w:sz w:val="14"/>
                          </w:rPr>
                        </w:pPr>
                        <w:r>
                          <w:rPr>
                            <w:sz w:val="14"/>
                          </w:rPr>
                          <w:t>365</w:t>
                        </w: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475</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449</w:t>
                        </w:r>
                      </w:p>
                    </w:tc>
                    <w:tc>
                      <w:tcPr>
                        <w:tcW w:w="798" w:type="dxa"/>
                        <w:shd w:val="clear" w:color="auto" w:fill="F9FCF9"/>
                      </w:tcPr>
                      <w:p>
                        <w:pPr>
                          <w:pStyle w:val="TableParagraph"/>
                          <w:spacing w:line="132" w:lineRule="exact"/>
                          <w:ind w:left="21" w:right="19"/>
                          <w:rPr>
                            <w:sz w:val="14"/>
                          </w:rPr>
                        </w:pPr>
                        <w:r>
                          <w:rPr>
                            <w:sz w:val="14"/>
                          </w:rPr>
                          <w:t>753</w:t>
                        </w:r>
                      </w:p>
                    </w:tc>
                    <w:tc>
                      <w:tcPr>
                        <w:tcW w:w="1050" w:type="dxa"/>
                        <w:shd w:val="clear" w:color="auto" w:fill="F9FCF9"/>
                      </w:tcPr>
                      <w:p>
                        <w:pPr>
                          <w:pStyle w:val="TableParagraph"/>
                          <w:spacing w:line="132" w:lineRule="exact"/>
                          <w:ind w:left="215" w:right="213"/>
                          <w:rPr>
                            <w:sz w:val="14"/>
                          </w:rPr>
                        </w:pPr>
                        <w:r>
                          <w:rPr>
                            <w:sz w:val="14"/>
                          </w:rPr>
                          <w:t>568</w:t>
                        </w:r>
                      </w:p>
                    </w:tc>
                    <w:tc>
                      <w:tcPr>
                        <w:tcW w:w="790" w:type="dxa"/>
                        <w:shd w:val="clear" w:color="auto" w:fill="F9FCF9"/>
                      </w:tcPr>
                      <w:p>
                        <w:pPr>
                          <w:pStyle w:val="TableParagraph"/>
                          <w:spacing w:line="132" w:lineRule="exact"/>
                          <w:ind w:left="223" w:right="221"/>
                          <w:rPr>
                            <w:sz w:val="14"/>
                          </w:rPr>
                        </w:pPr>
                        <w:r>
                          <w:rPr>
                            <w:sz w:val="14"/>
                          </w:rPr>
                          <w:t>521</w:t>
                        </w:r>
                      </w:p>
                    </w:tc>
                    <w:tc>
                      <w:tcPr>
                        <w:tcW w:w="816" w:type="dxa"/>
                        <w:tcBorders>
                          <w:right w:val="double" w:sz="1" w:space="0" w:color="000000"/>
                        </w:tcBorders>
                        <w:shd w:val="clear" w:color="auto" w:fill="F9FCF9"/>
                      </w:tcPr>
                      <w:p>
                        <w:pPr>
                          <w:pStyle w:val="TableParagraph"/>
                          <w:spacing w:line="132" w:lineRule="exact"/>
                          <w:ind w:left="174" w:right="189"/>
                          <w:rPr>
                            <w:sz w:val="14"/>
                          </w:rPr>
                        </w:pPr>
                        <w:r>
                          <w:rPr>
                            <w:sz w:val="14"/>
                          </w:rPr>
                          <w:t>425</w:t>
                        </w: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314</w:t>
                        </w:r>
                      </w:p>
                    </w:tc>
                    <w:tc>
                      <w:tcPr>
                        <w:tcW w:w="664" w:type="dxa"/>
                        <w:shd w:val="clear" w:color="auto" w:fill="F9FCF9"/>
                      </w:tcPr>
                      <w:p>
                        <w:pPr>
                          <w:pStyle w:val="TableParagraph"/>
                          <w:jc w:val="left"/>
                          <w:rPr>
                            <w:sz w:val="8"/>
                          </w:rPr>
                        </w:pPr>
                      </w:p>
                    </w:tc>
                  </w:tr>
                  <w:tr>
                    <w:trPr>
                      <w:trHeight w:val="151" w:hRule="atLeast"/>
                    </w:trPr>
                    <w:tc>
                      <w:tcPr>
                        <w:tcW w:w="2180" w:type="dxa"/>
                        <w:shd w:val="clear" w:color="auto" w:fill="F9FCF9"/>
                      </w:tcPr>
                      <w:p>
                        <w:pPr>
                          <w:pStyle w:val="TableParagraph"/>
                          <w:spacing w:line="132" w:lineRule="exact"/>
                          <w:ind w:left="20"/>
                          <w:jc w:val="left"/>
                          <w:rPr>
                            <w:b/>
                            <w:sz w:val="14"/>
                          </w:rPr>
                        </w:pPr>
                        <w:r>
                          <w:rPr>
                            <w:b/>
                            <w:sz w:val="14"/>
                          </w:rPr>
                          <w:t>Reference plant COE (uS$ mWh</w:t>
                        </w:r>
                        <w:r>
                          <w:rPr>
                            <w:b/>
                            <w:position w:val="5"/>
                            <w:sz w:val="8"/>
                          </w:rPr>
                          <w:t>−1</w:t>
                        </w:r>
                        <w:r>
                          <w:rPr>
                            <w:b/>
                            <w:sz w:val="14"/>
                          </w:rPr>
                          <w:t>)</w:t>
                        </w:r>
                      </w:p>
                    </w:tc>
                    <w:tc>
                      <w:tcPr>
                        <w:tcW w:w="614" w:type="dxa"/>
                        <w:shd w:val="clear" w:color="auto" w:fill="F9FCF9"/>
                      </w:tcPr>
                      <w:p>
                        <w:pPr>
                          <w:pStyle w:val="TableParagraph"/>
                          <w:spacing w:line="132" w:lineRule="exact"/>
                          <w:ind w:left="28" w:right="22"/>
                          <w:rPr>
                            <w:sz w:val="14"/>
                          </w:rPr>
                        </w:pPr>
                        <w:r>
                          <w:rPr>
                            <w:sz w:val="14"/>
                          </w:rPr>
                          <w:t>42.9</w:t>
                        </w:r>
                      </w:p>
                    </w:tc>
                    <w:tc>
                      <w:tcPr>
                        <w:tcW w:w="522" w:type="dxa"/>
                        <w:shd w:val="clear" w:color="auto" w:fill="F9FCF9"/>
                      </w:tcPr>
                      <w:p>
                        <w:pPr>
                          <w:pStyle w:val="TableParagraph"/>
                          <w:spacing w:line="132" w:lineRule="exact"/>
                          <w:ind w:left="136"/>
                          <w:jc w:val="left"/>
                          <w:rPr>
                            <w:sz w:val="14"/>
                          </w:rPr>
                        </w:pPr>
                        <w:r>
                          <w:rPr>
                            <w:sz w:val="14"/>
                          </w:rPr>
                          <w:t>33.5</w:t>
                        </w:r>
                      </w:p>
                    </w:tc>
                    <w:tc>
                      <w:tcPr>
                        <w:tcW w:w="578" w:type="dxa"/>
                        <w:shd w:val="clear" w:color="auto" w:fill="F9FCF9"/>
                      </w:tcPr>
                      <w:p>
                        <w:pPr>
                          <w:pStyle w:val="TableParagraph"/>
                          <w:spacing w:line="132" w:lineRule="exact"/>
                          <w:ind w:left="29" w:right="23"/>
                          <w:rPr>
                            <w:sz w:val="14"/>
                          </w:rPr>
                        </w:pPr>
                        <w:r>
                          <w:rPr>
                            <w:sz w:val="14"/>
                          </w:rPr>
                          <w:t>30.7</w:t>
                        </w:r>
                      </w:p>
                    </w:tc>
                    <w:tc>
                      <w:tcPr>
                        <w:tcW w:w="795" w:type="dxa"/>
                        <w:shd w:val="clear" w:color="auto" w:fill="F9FCF9"/>
                      </w:tcPr>
                      <w:p>
                        <w:pPr>
                          <w:pStyle w:val="TableParagraph"/>
                          <w:spacing w:line="132" w:lineRule="exact"/>
                          <w:ind w:left="15" w:right="9"/>
                          <w:rPr>
                            <w:sz w:val="14"/>
                          </w:rPr>
                        </w:pPr>
                        <w:r>
                          <w:rPr>
                            <w:sz w:val="14"/>
                          </w:rPr>
                          <w:t>34.2</w:t>
                        </w:r>
                      </w:p>
                    </w:tc>
                    <w:tc>
                      <w:tcPr>
                        <w:tcW w:w="795" w:type="dxa"/>
                        <w:shd w:val="clear" w:color="auto" w:fill="F9FCF9"/>
                      </w:tcPr>
                      <w:p>
                        <w:pPr>
                          <w:pStyle w:val="TableParagraph"/>
                          <w:spacing w:line="132" w:lineRule="exact"/>
                          <w:ind w:left="14" w:right="9"/>
                          <w:rPr>
                            <w:sz w:val="14"/>
                          </w:rPr>
                        </w:pPr>
                        <w:r>
                          <w:rPr>
                            <w:sz w:val="14"/>
                          </w:rPr>
                          <w:t>34.2</w:t>
                        </w:r>
                      </w:p>
                    </w:tc>
                    <w:tc>
                      <w:tcPr>
                        <w:tcW w:w="795" w:type="dxa"/>
                        <w:shd w:val="clear" w:color="auto" w:fill="F9FCF9"/>
                      </w:tcPr>
                      <w:p>
                        <w:pPr>
                          <w:pStyle w:val="TableParagraph"/>
                          <w:spacing w:line="132" w:lineRule="exact"/>
                          <w:ind w:left="13" w:right="9"/>
                          <w:rPr>
                            <w:sz w:val="14"/>
                          </w:rPr>
                        </w:pPr>
                        <w:r>
                          <w:rPr>
                            <w:sz w:val="14"/>
                          </w:rPr>
                          <w:t>34.2</w:t>
                        </w:r>
                      </w:p>
                    </w:tc>
                    <w:tc>
                      <w:tcPr>
                        <w:tcW w:w="1051" w:type="dxa"/>
                        <w:shd w:val="clear" w:color="auto" w:fill="F9FCF9"/>
                      </w:tcPr>
                      <w:p>
                        <w:pPr>
                          <w:pStyle w:val="TableParagraph"/>
                          <w:spacing w:line="132" w:lineRule="exact"/>
                          <w:ind w:right="393"/>
                          <w:jc w:val="right"/>
                          <w:rPr>
                            <w:sz w:val="14"/>
                          </w:rPr>
                        </w:pPr>
                        <w:r>
                          <w:rPr>
                            <w:sz w:val="14"/>
                          </w:rPr>
                          <w:t>34.2</w:t>
                        </w: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33.5</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41.0</w:t>
                        </w:r>
                      </w:p>
                    </w:tc>
                    <w:tc>
                      <w:tcPr>
                        <w:tcW w:w="798" w:type="dxa"/>
                        <w:shd w:val="clear" w:color="auto" w:fill="F9FCF9"/>
                      </w:tcPr>
                      <w:p>
                        <w:pPr>
                          <w:pStyle w:val="TableParagraph"/>
                          <w:spacing w:line="132" w:lineRule="exact"/>
                          <w:ind w:left="21" w:right="19"/>
                          <w:rPr>
                            <w:sz w:val="14"/>
                          </w:rPr>
                        </w:pPr>
                        <w:r>
                          <w:rPr>
                            <w:sz w:val="14"/>
                          </w:rPr>
                          <w:t>47.0</w:t>
                        </w:r>
                      </w:p>
                    </w:tc>
                    <w:tc>
                      <w:tcPr>
                        <w:tcW w:w="1050" w:type="dxa"/>
                        <w:shd w:val="clear" w:color="auto" w:fill="F9FCF9"/>
                      </w:tcPr>
                      <w:p>
                        <w:pPr>
                          <w:pStyle w:val="TableParagraph"/>
                          <w:spacing w:line="132" w:lineRule="exact"/>
                          <w:ind w:left="215" w:right="213"/>
                          <w:rPr>
                            <w:sz w:val="14"/>
                          </w:rPr>
                        </w:pPr>
                        <w:r>
                          <w:rPr>
                            <w:sz w:val="14"/>
                          </w:rPr>
                          <w:t>28.5</w:t>
                        </w:r>
                      </w:p>
                    </w:tc>
                    <w:tc>
                      <w:tcPr>
                        <w:tcW w:w="790" w:type="dxa"/>
                        <w:shd w:val="clear" w:color="auto" w:fill="F9FCF9"/>
                      </w:tcPr>
                      <w:p>
                        <w:pPr>
                          <w:pStyle w:val="TableParagraph"/>
                          <w:spacing w:line="132" w:lineRule="exact"/>
                          <w:ind w:left="223" w:right="221"/>
                          <w:rPr>
                            <w:sz w:val="14"/>
                          </w:rPr>
                        </w:pPr>
                        <w:r>
                          <w:rPr>
                            <w:sz w:val="14"/>
                          </w:rPr>
                          <w:t>32.3</w:t>
                        </w:r>
                      </w:p>
                    </w:tc>
                    <w:tc>
                      <w:tcPr>
                        <w:tcW w:w="816" w:type="dxa"/>
                        <w:tcBorders>
                          <w:right w:val="double" w:sz="1" w:space="0" w:color="000000"/>
                        </w:tcBorders>
                        <w:shd w:val="clear" w:color="auto" w:fill="F9FCF9"/>
                      </w:tcPr>
                      <w:p>
                        <w:pPr>
                          <w:pStyle w:val="TableParagraph"/>
                          <w:spacing w:line="132" w:lineRule="exact"/>
                          <w:ind w:left="174" w:right="189"/>
                          <w:rPr>
                            <w:sz w:val="14"/>
                          </w:rPr>
                        </w:pPr>
                        <w:r>
                          <w:rPr>
                            <w:sz w:val="14"/>
                          </w:rPr>
                          <w:t>32.3</w:t>
                        </w: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41.1</w:t>
                        </w:r>
                      </w:p>
                    </w:tc>
                    <w:tc>
                      <w:tcPr>
                        <w:tcW w:w="664" w:type="dxa"/>
                        <w:shd w:val="clear" w:color="auto" w:fill="F9FCF9"/>
                      </w:tcPr>
                      <w:p>
                        <w:pPr>
                          <w:pStyle w:val="TableParagraph"/>
                          <w:jc w:val="left"/>
                          <w:rPr>
                            <w:sz w:val="8"/>
                          </w:rPr>
                        </w:pPr>
                      </w:p>
                    </w:tc>
                  </w:tr>
                  <w:tr>
                    <w:trPr>
                      <w:trHeight w:val="151" w:hRule="atLeast"/>
                    </w:trPr>
                    <w:tc>
                      <w:tcPr>
                        <w:tcW w:w="2180" w:type="dxa"/>
                        <w:shd w:val="clear" w:color="auto" w:fill="F9FCF9"/>
                      </w:tcPr>
                      <w:p>
                        <w:pPr>
                          <w:pStyle w:val="TableParagraph"/>
                          <w:spacing w:line="132" w:lineRule="exact"/>
                          <w:ind w:left="20"/>
                          <w:jc w:val="left"/>
                          <w:rPr>
                            <w:b/>
                            <w:sz w:val="14"/>
                          </w:rPr>
                        </w:pPr>
                        <w:r>
                          <w:rPr>
                            <w:b/>
                            <w:sz w:val="14"/>
                          </w:rPr>
                          <w:t>Capture plant COE (uS$ mWh</w:t>
                        </w:r>
                        <w:r>
                          <w:rPr>
                            <w:b/>
                            <w:position w:val="5"/>
                            <w:sz w:val="8"/>
                          </w:rPr>
                          <w:t>−1</w:t>
                        </w:r>
                        <w:r>
                          <w:rPr>
                            <w:b/>
                            <w:sz w:val="14"/>
                          </w:rPr>
                          <w:t>)</w:t>
                        </w:r>
                      </w:p>
                    </w:tc>
                    <w:tc>
                      <w:tcPr>
                        <w:tcW w:w="614" w:type="dxa"/>
                        <w:shd w:val="clear" w:color="auto" w:fill="F9FCF9"/>
                      </w:tcPr>
                      <w:p>
                        <w:pPr>
                          <w:pStyle w:val="TableParagraph"/>
                          <w:spacing w:line="132" w:lineRule="exact"/>
                          <w:ind w:left="28" w:right="22"/>
                          <w:rPr>
                            <w:sz w:val="14"/>
                          </w:rPr>
                        </w:pPr>
                        <w:r>
                          <w:rPr>
                            <w:sz w:val="14"/>
                          </w:rPr>
                          <w:t>65.9</w:t>
                        </w:r>
                      </w:p>
                    </w:tc>
                    <w:tc>
                      <w:tcPr>
                        <w:tcW w:w="522" w:type="dxa"/>
                        <w:shd w:val="clear" w:color="auto" w:fill="F9FCF9"/>
                      </w:tcPr>
                      <w:p>
                        <w:pPr>
                          <w:pStyle w:val="TableParagraph"/>
                          <w:spacing w:line="132" w:lineRule="exact"/>
                          <w:ind w:left="136"/>
                          <w:jc w:val="left"/>
                          <w:rPr>
                            <w:sz w:val="14"/>
                          </w:rPr>
                        </w:pPr>
                        <w:r>
                          <w:rPr>
                            <w:sz w:val="14"/>
                          </w:rPr>
                          <w:t>54.1</w:t>
                        </w:r>
                      </w:p>
                    </w:tc>
                    <w:tc>
                      <w:tcPr>
                        <w:tcW w:w="578" w:type="dxa"/>
                        <w:shd w:val="clear" w:color="auto" w:fill="F9FCF9"/>
                      </w:tcPr>
                      <w:p>
                        <w:pPr>
                          <w:pStyle w:val="TableParagraph"/>
                          <w:spacing w:line="132" w:lineRule="exact"/>
                          <w:ind w:left="29" w:right="23"/>
                          <w:rPr>
                            <w:sz w:val="14"/>
                          </w:rPr>
                        </w:pPr>
                        <w:r>
                          <w:rPr>
                            <w:sz w:val="14"/>
                          </w:rPr>
                          <w:t>48.8</w:t>
                        </w:r>
                      </w:p>
                    </w:tc>
                    <w:tc>
                      <w:tcPr>
                        <w:tcW w:w="795" w:type="dxa"/>
                        <w:shd w:val="clear" w:color="auto" w:fill="F9FCF9"/>
                      </w:tcPr>
                      <w:p>
                        <w:pPr>
                          <w:pStyle w:val="TableParagraph"/>
                          <w:spacing w:line="132" w:lineRule="exact"/>
                          <w:ind w:left="15" w:right="9"/>
                          <w:rPr>
                            <w:sz w:val="14"/>
                          </w:rPr>
                        </w:pPr>
                        <w:r>
                          <w:rPr>
                            <w:sz w:val="14"/>
                          </w:rPr>
                          <w:t>45.1</w:t>
                        </w:r>
                      </w:p>
                    </w:tc>
                    <w:tc>
                      <w:tcPr>
                        <w:tcW w:w="795" w:type="dxa"/>
                        <w:shd w:val="clear" w:color="auto" w:fill="F9FCF9"/>
                      </w:tcPr>
                      <w:p>
                        <w:pPr>
                          <w:pStyle w:val="TableParagraph"/>
                          <w:spacing w:line="132" w:lineRule="exact"/>
                          <w:ind w:left="14" w:right="9"/>
                          <w:rPr>
                            <w:sz w:val="14"/>
                          </w:rPr>
                        </w:pPr>
                        <w:r>
                          <w:rPr>
                            <w:sz w:val="14"/>
                          </w:rPr>
                          <w:t>48.9</w:t>
                        </w:r>
                      </w:p>
                    </w:tc>
                    <w:tc>
                      <w:tcPr>
                        <w:tcW w:w="795" w:type="dxa"/>
                        <w:shd w:val="clear" w:color="auto" w:fill="F9FCF9"/>
                      </w:tcPr>
                      <w:p>
                        <w:pPr>
                          <w:pStyle w:val="TableParagraph"/>
                          <w:spacing w:line="132" w:lineRule="exact"/>
                          <w:ind w:left="13" w:right="9"/>
                          <w:rPr>
                            <w:sz w:val="14"/>
                          </w:rPr>
                        </w:pPr>
                        <w:r>
                          <w:rPr>
                            <w:sz w:val="14"/>
                          </w:rPr>
                          <w:t>43.2</w:t>
                        </w:r>
                      </w:p>
                    </w:tc>
                    <w:tc>
                      <w:tcPr>
                        <w:tcW w:w="1051" w:type="dxa"/>
                        <w:shd w:val="clear" w:color="auto" w:fill="F9FCF9"/>
                      </w:tcPr>
                      <w:p>
                        <w:pPr>
                          <w:pStyle w:val="TableParagraph"/>
                          <w:spacing w:line="132" w:lineRule="exact"/>
                          <w:ind w:right="393"/>
                          <w:jc w:val="right"/>
                          <w:rPr>
                            <w:sz w:val="14"/>
                          </w:rPr>
                        </w:pPr>
                        <w:r>
                          <w:rPr>
                            <w:sz w:val="14"/>
                          </w:rPr>
                          <w:t>45.4</w:t>
                        </w: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50.3</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53.6</w:t>
                        </w:r>
                      </w:p>
                    </w:tc>
                    <w:tc>
                      <w:tcPr>
                        <w:tcW w:w="798" w:type="dxa"/>
                        <w:shd w:val="clear" w:color="auto" w:fill="F9FCF9"/>
                      </w:tcPr>
                      <w:p>
                        <w:pPr>
                          <w:pStyle w:val="TableParagraph"/>
                          <w:spacing w:line="132" w:lineRule="exact"/>
                          <w:ind w:left="21" w:right="19"/>
                          <w:rPr>
                            <w:sz w:val="14"/>
                          </w:rPr>
                        </w:pPr>
                        <w:r>
                          <w:rPr>
                            <w:sz w:val="14"/>
                          </w:rPr>
                          <w:t>65.5</w:t>
                        </w:r>
                      </w:p>
                    </w:tc>
                    <w:tc>
                      <w:tcPr>
                        <w:tcW w:w="1050" w:type="dxa"/>
                        <w:shd w:val="clear" w:color="auto" w:fill="F9FCF9"/>
                      </w:tcPr>
                      <w:p>
                        <w:pPr>
                          <w:pStyle w:val="TableParagraph"/>
                          <w:spacing w:line="132" w:lineRule="exact"/>
                          <w:ind w:left="215" w:right="213"/>
                          <w:rPr>
                            <w:sz w:val="14"/>
                          </w:rPr>
                        </w:pPr>
                        <w:r>
                          <w:rPr>
                            <w:sz w:val="14"/>
                          </w:rPr>
                          <w:t>41.8</w:t>
                        </w:r>
                      </w:p>
                    </w:tc>
                    <w:tc>
                      <w:tcPr>
                        <w:tcW w:w="790" w:type="dxa"/>
                        <w:shd w:val="clear" w:color="auto" w:fill="F9FCF9"/>
                      </w:tcPr>
                      <w:p>
                        <w:pPr>
                          <w:pStyle w:val="TableParagraph"/>
                          <w:spacing w:line="132" w:lineRule="exact"/>
                          <w:ind w:left="223" w:right="221"/>
                          <w:rPr>
                            <w:sz w:val="14"/>
                          </w:rPr>
                        </w:pPr>
                        <w:r>
                          <w:rPr>
                            <w:sz w:val="14"/>
                          </w:rPr>
                          <w:t>42.1</w:t>
                        </w:r>
                      </w:p>
                    </w:tc>
                    <w:tc>
                      <w:tcPr>
                        <w:tcW w:w="816" w:type="dxa"/>
                        <w:tcBorders>
                          <w:right w:val="double" w:sz="1" w:space="0" w:color="000000"/>
                        </w:tcBorders>
                        <w:shd w:val="clear" w:color="auto" w:fill="F9FCF9"/>
                      </w:tcPr>
                      <w:p>
                        <w:pPr>
                          <w:pStyle w:val="TableParagraph"/>
                          <w:spacing w:line="132" w:lineRule="exact"/>
                          <w:ind w:left="174" w:right="189"/>
                          <w:rPr>
                            <w:sz w:val="14"/>
                          </w:rPr>
                        </w:pPr>
                        <w:r>
                          <w:rPr>
                            <w:sz w:val="14"/>
                          </w:rPr>
                          <w:t>40.5</w:t>
                        </w: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48.8</w:t>
                        </w:r>
                      </w:p>
                    </w:tc>
                    <w:tc>
                      <w:tcPr>
                        <w:tcW w:w="664" w:type="dxa"/>
                        <w:shd w:val="clear" w:color="auto" w:fill="F9FCF9"/>
                      </w:tcPr>
                      <w:p>
                        <w:pPr>
                          <w:pStyle w:val="TableParagraph"/>
                          <w:jc w:val="left"/>
                          <w:rPr>
                            <w:sz w:val="8"/>
                          </w:rPr>
                        </w:pP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Incremental COE for capture</w:t>
                        </w:r>
                      </w:p>
                    </w:tc>
                    <w:tc>
                      <w:tcPr>
                        <w:tcW w:w="614" w:type="dxa"/>
                        <w:shd w:val="clear" w:color="auto" w:fill="F9FCF9"/>
                      </w:tcPr>
                      <w:p>
                        <w:pPr>
                          <w:pStyle w:val="TableParagraph"/>
                          <w:jc w:val="left"/>
                          <w:rPr>
                            <w:sz w:val="8"/>
                          </w:rPr>
                        </w:pPr>
                      </w:p>
                    </w:tc>
                    <w:tc>
                      <w:tcPr>
                        <w:tcW w:w="522" w:type="dxa"/>
                        <w:shd w:val="clear" w:color="auto" w:fill="F9FCF9"/>
                      </w:tcPr>
                      <w:p>
                        <w:pPr>
                          <w:pStyle w:val="TableParagraph"/>
                          <w:jc w:val="left"/>
                          <w:rPr>
                            <w:sz w:val="8"/>
                          </w:rPr>
                        </w:pPr>
                      </w:p>
                    </w:tc>
                    <w:tc>
                      <w:tcPr>
                        <w:tcW w:w="578"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795" w:type="dxa"/>
                        <w:shd w:val="clear" w:color="auto" w:fill="F9FCF9"/>
                      </w:tcPr>
                      <w:p>
                        <w:pPr>
                          <w:pStyle w:val="TableParagraph"/>
                          <w:jc w:val="left"/>
                          <w:rPr>
                            <w:sz w:val="8"/>
                          </w:rPr>
                        </w:pPr>
                      </w:p>
                    </w:tc>
                    <w:tc>
                      <w:tcPr>
                        <w:tcW w:w="1051" w:type="dxa"/>
                        <w:shd w:val="clear" w:color="auto" w:fill="F9FCF9"/>
                      </w:tcPr>
                      <w:p>
                        <w:pPr>
                          <w:pStyle w:val="TableParagraph"/>
                          <w:jc w:val="left"/>
                          <w:rPr>
                            <w:sz w:val="8"/>
                          </w:rPr>
                        </w:pPr>
                      </w:p>
                    </w:tc>
                    <w:tc>
                      <w:tcPr>
                        <w:tcW w:w="487" w:type="dxa"/>
                        <w:tcBorders>
                          <w:right w:val="double" w:sz="1" w:space="0" w:color="000000"/>
                        </w:tcBorders>
                        <w:shd w:val="clear" w:color="auto" w:fill="F9FCF9"/>
                      </w:tcPr>
                      <w:p>
                        <w:pPr>
                          <w:pStyle w:val="TableParagraph"/>
                          <w:jc w:val="left"/>
                          <w:rPr>
                            <w:sz w:val="8"/>
                          </w:rPr>
                        </w:pPr>
                      </w:p>
                    </w:tc>
                    <w:tc>
                      <w:tcPr>
                        <w:tcW w:w="741" w:type="dxa"/>
                        <w:tcBorders>
                          <w:left w:val="double" w:sz="1" w:space="0" w:color="000000"/>
                        </w:tcBorders>
                        <w:shd w:val="clear" w:color="auto" w:fill="F9FCF9"/>
                      </w:tcPr>
                      <w:p>
                        <w:pPr>
                          <w:pStyle w:val="TableParagraph"/>
                          <w:jc w:val="left"/>
                          <w:rPr>
                            <w:sz w:val="8"/>
                          </w:rPr>
                        </w:pPr>
                      </w:p>
                    </w:tc>
                    <w:tc>
                      <w:tcPr>
                        <w:tcW w:w="798" w:type="dxa"/>
                        <w:shd w:val="clear" w:color="auto" w:fill="F9FCF9"/>
                      </w:tcPr>
                      <w:p>
                        <w:pPr>
                          <w:pStyle w:val="TableParagraph"/>
                          <w:jc w:val="left"/>
                          <w:rPr>
                            <w:sz w:val="8"/>
                          </w:rPr>
                        </w:pPr>
                      </w:p>
                    </w:tc>
                    <w:tc>
                      <w:tcPr>
                        <w:tcW w:w="1050" w:type="dxa"/>
                        <w:shd w:val="clear" w:color="auto" w:fill="F9FCF9"/>
                      </w:tcPr>
                      <w:p>
                        <w:pPr>
                          <w:pStyle w:val="TableParagraph"/>
                          <w:jc w:val="left"/>
                          <w:rPr>
                            <w:sz w:val="8"/>
                          </w:rPr>
                        </w:pPr>
                      </w:p>
                    </w:tc>
                    <w:tc>
                      <w:tcPr>
                        <w:tcW w:w="790" w:type="dxa"/>
                        <w:shd w:val="clear" w:color="auto" w:fill="F9FCF9"/>
                      </w:tcPr>
                      <w:p>
                        <w:pPr>
                          <w:pStyle w:val="TableParagraph"/>
                          <w:jc w:val="left"/>
                          <w:rPr>
                            <w:sz w:val="8"/>
                          </w:rPr>
                        </w:pPr>
                      </w:p>
                    </w:tc>
                    <w:tc>
                      <w:tcPr>
                        <w:tcW w:w="816" w:type="dxa"/>
                        <w:tcBorders>
                          <w:right w:val="double" w:sz="1" w:space="0" w:color="000000"/>
                        </w:tcBorders>
                        <w:shd w:val="clear" w:color="auto" w:fill="F9FCF9"/>
                      </w:tcPr>
                      <w:p>
                        <w:pPr>
                          <w:pStyle w:val="TableParagraph"/>
                          <w:jc w:val="left"/>
                          <w:rPr>
                            <w:sz w:val="8"/>
                          </w:rPr>
                        </w:pPr>
                      </w:p>
                    </w:tc>
                    <w:tc>
                      <w:tcPr>
                        <w:tcW w:w="870" w:type="dxa"/>
                        <w:tcBorders>
                          <w:left w:val="double" w:sz="1" w:space="0" w:color="000000"/>
                        </w:tcBorders>
                        <w:shd w:val="clear" w:color="auto" w:fill="F9FCF9"/>
                      </w:tcPr>
                      <w:p>
                        <w:pPr>
                          <w:pStyle w:val="TableParagraph"/>
                          <w:jc w:val="left"/>
                          <w:rPr>
                            <w:sz w:val="8"/>
                          </w:rPr>
                        </w:pPr>
                      </w:p>
                    </w:tc>
                    <w:tc>
                      <w:tcPr>
                        <w:tcW w:w="664" w:type="dxa"/>
                        <w:shd w:val="clear" w:color="auto" w:fill="F9FCF9"/>
                      </w:tcPr>
                      <w:p>
                        <w:pPr>
                          <w:pStyle w:val="TableParagraph"/>
                          <w:jc w:val="left"/>
                          <w:rPr>
                            <w:sz w:val="8"/>
                          </w:rPr>
                        </w:pP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(US$ MWh</w:t>
                        </w:r>
                        <w:r>
                          <w:rPr>
                            <w:position w:val="5"/>
                            <w:sz w:val="8"/>
                          </w:rPr>
                          <w:t>−1</w:t>
                        </w:r>
                        <w:r>
                          <w:rPr>
                            <w:sz w:val="14"/>
                          </w:rPr>
                          <w:t>)</w:t>
                        </w:r>
                      </w:p>
                    </w:tc>
                    <w:tc>
                      <w:tcPr>
                        <w:tcW w:w="614" w:type="dxa"/>
                        <w:shd w:val="clear" w:color="auto" w:fill="F9FCF9"/>
                      </w:tcPr>
                      <w:p>
                        <w:pPr>
                          <w:pStyle w:val="TableParagraph"/>
                          <w:spacing w:line="132" w:lineRule="exact"/>
                          <w:ind w:left="28" w:right="22"/>
                          <w:rPr>
                            <w:sz w:val="14"/>
                          </w:rPr>
                        </w:pPr>
                        <w:r>
                          <w:rPr>
                            <w:sz w:val="14"/>
                          </w:rPr>
                          <w:t>23</w:t>
                        </w:r>
                      </w:p>
                    </w:tc>
                    <w:tc>
                      <w:tcPr>
                        <w:tcW w:w="522" w:type="dxa"/>
                        <w:shd w:val="clear" w:color="auto" w:fill="F9FCF9"/>
                      </w:tcPr>
                      <w:p>
                        <w:pPr>
                          <w:pStyle w:val="TableParagraph"/>
                          <w:spacing w:line="132" w:lineRule="exact"/>
                          <w:ind w:left="136"/>
                          <w:jc w:val="left"/>
                          <w:rPr>
                            <w:sz w:val="14"/>
                          </w:rPr>
                        </w:pPr>
                        <w:r>
                          <w:rPr>
                            <w:sz w:val="14"/>
                          </w:rPr>
                          <w:t>20.6</w:t>
                        </w:r>
                      </w:p>
                    </w:tc>
                    <w:tc>
                      <w:tcPr>
                        <w:tcW w:w="578" w:type="dxa"/>
                        <w:shd w:val="clear" w:color="auto" w:fill="F9FCF9"/>
                      </w:tcPr>
                      <w:p>
                        <w:pPr>
                          <w:pStyle w:val="TableParagraph"/>
                          <w:spacing w:line="132" w:lineRule="exact"/>
                          <w:ind w:left="29" w:right="23"/>
                          <w:rPr>
                            <w:sz w:val="14"/>
                          </w:rPr>
                        </w:pPr>
                        <w:r>
                          <w:rPr>
                            <w:sz w:val="14"/>
                          </w:rPr>
                          <w:t>18.1</w:t>
                        </w:r>
                      </w:p>
                    </w:tc>
                    <w:tc>
                      <w:tcPr>
                        <w:tcW w:w="795" w:type="dxa"/>
                        <w:shd w:val="clear" w:color="auto" w:fill="F9FCF9"/>
                      </w:tcPr>
                      <w:p>
                        <w:pPr>
                          <w:pStyle w:val="TableParagraph"/>
                          <w:spacing w:line="132" w:lineRule="exact"/>
                          <w:ind w:left="15" w:right="9"/>
                          <w:rPr>
                            <w:sz w:val="14"/>
                          </w:rPr>
                        </w:pPr>
                        <w:r>
                          <w:rPr>
                            <w:sz w:val="14"/>
                          </w:rPr>
                          <w:t>10.9</w:t>
                        </w:r>
                      </w:p>
                    </w:tc>
                    <w:tc>
                      <w:tcPr>
                        <w:tcW w:w="795" w:type="dxa"/>
                        <w:shd w:val="clear" w:color="auto" w:fill="F9FCF9"/>
                      </w:tcPr>
                      <w:p>
                        <w:pPr>
                          <w:pStyle w:val="TableParagraph"/>
                          <w:spacing w:line="132" w:lineRule="exact"/>
                          <w:ind w:left="14" w:right="9"/>
                          <w:rPr>
                            <w:sz w:val="14"/>
                          </w:rPr>
                        </w:pPr>
                        <w:r>
                          <w:rPr>
                            <w:sz w:val="14"/>
                          </w:rPr>
                          <w:t>14.7</w:t>
                        </w:r>
                      </w:p>
                    </w:tc>
                    <w:tc>
                      <w:tcPr>
                        <w:tcW w:w="795" w:type="dxa"/>
                        <w:shd w:val="clear" w:color="auto" w:fill="F9FCF9"/>
                      </w:tcPr>
                      <w:p>
                        <w:pPr>
                          <w:pStyle w:val="TableParagraph"/>
                          <w:spacing w:line="132" w:lineRule="exact"/>
                          <w:ind w:left="13" w:right="9"/>
                          <w:rPr>
                            <w:sz w:val="14"/>
                          </w:rPr>
                        </w:pPr>
                        <w:r>
                          <w:rPr>
                            <w:sz w:val="14"/>
                          </w:rPr>
                          <w:t>9.0</w:t>
                        </w:r>
                      </w:p>
                    </w:tc>
                    <w:tc>
                      <w:tcPr>
                        <w:tcW w:w="1051" w:type="dxa"/>
                        <w:shd w:val="clear" w:color="auto" w:fill="F9FCF9"/>
                      </w:tcPr>
                      <w:p>
                        <w:pPr>
                          <w:pStyle w:val="TableParagraph"/>
                          <w:spacing w:line="132" w:lineRule="exact"/>
                          <w:ind w:right="396"/>
                          <w:jc w:val="right"/>
                          <w:rPr>
                            <w:sz w:val="14"/>
                          </w:rPr>
                        </w:pPr>
                        <w:r>
                          <w:rPr>
                            <w:sz w:val="14"/>
                          </w:rPr>
                          <w:t>11.2</w:t>
                        </w: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16.8</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12.6</w:t>
                        </w:r>
                      </w:p>
                    </w:tc>
                    <w:tc>
                      <w:tcPr>
                        <w:tcW w:w="798" w:type="dxa"/>
                        <w:shd w:val="clear" w:color="auto" w:fill="F9FCF9"/>
                      </w:tcPr>
                      <w:p>
                        <w:pPr>
                          <w:pStyle w:val="TableParagraph"/>
                          <w:spacing w:line="132" w:lineRule="exact"/>
                          <w:ind w:left="21" w:right="19"/>
                          <w:rPr>
                            <w:sz w:val="14"/>
                          </w:rPr>
                        </w:pPr>
                        <w:r>
                          <w:rPr>
                            <w:sz w:val="14"/>
                          </w:rPr>
                          <w:t>18.5</w:t>
                        </w:r>
                      </w:p>
                    </w:tc>
                    <w:tc>
                      <w:tcPr>
                        <w:tcW w:w="1050" w:type="dxa"/>
                        <w:shd w:val="clear" w:color="auto" w:fill="F9FCF9"/>
                      </w:tcPr>
                      <w:p>
                        <w:pPr>
                          <w:pStyle w:val="TableParagraph"/>
                          <w:spacing w:line="132" w:lineRule="exact"/>
                          <w:ind w:left="215" w:right="213"/>
                          <w:rPr>
                            <w:sz w:val="14"/>
                          </w:rPr>
                        </w:pPr>
                        <w:r>
                          <w:rPr>
                            <w:sz w:val="14"/>
                          </w:rPr>
                          <w:t>13.3</w:t>
                        </w:r>
                      </w:p>
                    </w:tc>
                    <w:tc>
                      <w:tcPr>
                        <w:tcW w:w="790" w:type="dxa"/>
                        <w:shd w:val="clear" w:color="auto" w:fill="F9FCF9"/>
                      </w:tcPr>
                      <w:p>
                        <w:pPr>
                          <w:pStyle w:val="TableParagraph"/>
                          <w:spacing w:line="132" w:lineRule="exact"/>
                          <w:ind w:left="223" w:right="221"/>
                          <w:rPr>
                            <w:sz w:val="14"/>
                          </w:rPr>
                        </w:pPr>
                        <w:r>
                          <w:rPr>
                            <w:sz w:val="14"/>
                          </w:rPr>
                          <w:t>9.8</w:t>
                        </w:r>
                      </w:p>
                    </w:tc>
                    <w:tc>
                      <w:tcPr>
                        <w:tcW w:w="816" w:type="dxa"/>
                        <w:tcBorders>
                          <w:right w:val="double" w:sz="1" w:space="0" w:color="000000"/>
                        </w:tcBorders>
                        <w:shd w:val="clear" w:color="auto" w:fill="F9FCF9"/>
                      </w:tcPr>
                      <w:p>
                        <w:pPr>
                          <w:pStyle w:val="TableParagraph"/>
                          <w:spacing w:line="132" w:lineRule="exact"/>
                          <w:ind w:left="174" w:right="189"/>
                          <w:rPr>
                            <w:sz w:val="14"/>
                          </w:rPr>
                        </w:pPr>
                        <w:r>
                          <w:rPr>
                            <w:sz w:val="14"/>
                          </w:rPr>
                          <w:t>8.2</w:t>
                        </w: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7.7</w:t>
                        </w:r>
                      </w:p>
                    </w:tc>
                    <w:tc>
                      <w:tcPr>
                        <w:tcW w:w="664" w:type="dxa"/>
                        <w:shd w:val="clear" w:color="auto" w:fill="F9FCF9"/>
                      </w:tcPr>
                      <w:p>
                        <w:pPr>
                          <w:pStyle w:val="TableParagraph"/>
                          <w:jc w:val="left"/>
                          <w:rPr>
                            <w:sz w:val="8"/>
                          </w:rPr>
                        </w:pPr>
                      </w:p>
                    </w:tc>
                  </w:tr>
                  <w:tr>
                    <w:trPr>
                      <w:trHeight w:val="319" w:hRule="atLeast"/>
                    </w:trPr>
                    <w:tc>
                      <w:tcPr>
                        <w:tcW w:w="2180" w:type="dxa"/>
                        <w:shd w:val="clear" w:color="auto" w:fill="F9FCF9"/>
                      </w:tcPr>
                      <w:p>
                        <w:pPr>
                          <w:pStyle w:val="TableParagraph"/>
                          <w:spacing w:line="159" w:lineRule="exact"/>
                          <w:ind w:left="20"/>
                          <w:jc w:val="left"/>
                          <w:rPr>
                            <w:sz w:val="14"/>
                          </w:rPr>
                        </w:pPr>
                        <w:r>
                          <w:rPr>
                            <w:sz w:val="14"/>
                          </w:rPr>
                          <w:t>% increase in capital cost (over ref.</w:t>
                        </w:r>
                      </w:p>
                      <w:p>
                        <w:pPr>
                          <w:pStyle w:val="TableParagraph"/>
                          <w:spacing w:line="134" w:lineRule="exact" w:before="7"/>
                          <w:ind w:left="20"/>
                          <w:jc w:val="left"/>
                          <w:rPr>
                            <w:sz w:val="14"/>
                          </w:rPr>
                        </w:pPr>
                        <w:r>
                          <w:rPr>
                            <w:sz w:val="14"/>
                          </w:rPr>
                          <w:t>plant)</w:t>
                        </w:r>
                      </w:p>
                    </w:tc>
                    <w:tc>
                      <w:tcPr>
                        <w:tcW w:w="614" w:type="dxa"/>
                        <w:shd w:val="clear" w:color="auto" w:fill="F9FCF9"/>
                      </w:tcPr>
                      <w:p>
                        <w:pPr>
                          <w:pStyle w:val="TableParagraph"/>
                          <w:spacing w:line="159" w:lineRule="exact"/>
                          <w:ind w:left="28" w:right="22"/>
                          <w:rPr>
                            <w:sz w:val="14"/>
                          </w:rPr>
                        </w:pPr>
                        <w:r>
                          <w:rPr>
                            <w:sz w:val="14"/>
                          </w:rPr>
                          <w:t>109</w:t>
                        </w:r>
                      </w:p>
                    </w:tc>
                    <w:tc>
                      <w:tcPr>
                        <w:tcW w:w="522" w:type="dxa"/>
                        <w:shd w:val="clear" w:color="auto" w:fill="F9FCF9"/>
                      </w:tcPr>
                      <w:p>
                        <w:pPr>
                          <w:pStyle w:val="TableParagraph"/>
                          <w:spacing w:line="159" w:lineRule="exact"/>
                          <w:ind w:left="169" w:right="163"/>
                          <w:rPr>
                            <w:sz w:val="14"/>
                          </w:rPr>
                        </w:pPr>
                        <w:r>
                          <w:rPr>
                            <w:sz w:val="14"/>
                          </w:rPr>
                          <w:t>90</w:t>
                        </w:r>
                      </w:p>
                    </w:tc>
                    <w:tc>
                      <w:tcPr>
                        <w:tcW w:w="578" w:type="dxa"/>
                        <w:shd w:val="clear" w:color="auto" w:fill="F9FCF9"/>
                      </w:tcPr>
                      <w:p>
                        <w:pPr>
                          <w:pStyle w:val="TableParagraph"/>
                          <w:spacing w:line="159" w:lineRule="exact"/>
                          <w:ind w:left="29" w:right="23"/>
                          <w:rPr>
                            <w:sz w:val="14"/>
                          </w:rPr>
                        </w:pPr>
                        <w:r>
                          <w:rPr>
                            <w:sz w:val="14"/>
                          </w:rPr>
                          <w:t>90</w:t>
                        </w:r>
                      </w:p>
                    </w:tc>
                    <w:tc>
                      <w:tcPr>
                        <w:tcW w:w="795" w:type="dxa"/>
                        <w:shd w:val="clear" w:color="auto" w:fill="F9FCF9"/>
                      </w:tcPr>
                      <w:p>
                        <w:pPr>
                          <w:pStyle w:val="TableParagraph"/>
                          <w:spacing w:line="159" w:lineRule="exact"/>
                          <w:ind w:left="15" w:right="9"/>
                          <w:rPr>
                            <w:sz w:val="14"/>
                          </w:rPr>
                        </w:pPr>
                        <w:r>
                          <w:rPr>
                            <w:sz w:val="14"/>
                          </w:rPr>
                          <w:t>38</w:t>
                        </w:r>
                      </w:p>
                    </w:tc>
                    <w:tc>
                      <w:tcPr>
                        <w:tcW w:w="795" w:type="dxa"/>
                        <w:shd w:val="clear" w:color="auto" w:fill="F9FCF9"/>
                      </w:tcPr>
                      <w:p>
                        <w:pPr>
                          <w:pStyle w:val="TableParagraph"/>
                          <w:spacing w:line="159" w:lineRule="exact"/>
                          <w:ind w:left="14" w:right="9"/>
                          <w:rPr>
                            <w:sz w:val="14"/>
                          </w:rPr>
                        </w:pPr>
                        <w:r>
                          <w:rPr>
                            <w:sz w:val="14"/>
                          </w:rPr>
                          <w:t>69</w:t>
                        </w:r>
                      </w:p>
                    </w:tc>
                    <w:tc>
                      <w:tcPr>
                        <w:tcW w:w="795" w:type="dxa"/>
                        <w:shd w:val="clear" w:color="auto" w:fill="F9FCF9"/>
                      </w:tcPr>
                      <w:p>
                        <w:pPr>
                          <w:pStyle w:val="TableParagraph"/>
                          <w:spacing w:line="159" w:lineRule="exact"/>
                          <w:ind w:left="13" w:right="9"/>
                          <w:rPr>
                            <w:sz w:val="14"/>
                          </w:rPr>
                        </w:pPr>
                        <w:r>
                          <w:rPr>
                            <w:sz w:val="14"/>
                          </w:rPr>
                          <w:t>46</w:t>
                        </w:r>
                      </w:p>
                    </w:tc>
                    <w:tc>
                      <w:tcPr>
                        <w:tcW w:w="1051" w:type="dxa"/>
                        <w:shd w:val="clear" w:color="auto" w:fill="F9FCF9"/>
                      </w:tcPr>
                      <w:p>
                        <w:pPr>
                          <w:pStyle w:val="TableParagraph"/>
                          <w:spacing w:line="159" w:lineRule="exact"/>
                          <w:ind w:left="12" w:right="8"/>
                          <w:rPr>
                            <w:sz w:val="14"/>
                          </w:rPr>
                        </w:pPr>
                        <w:r>
                          <w:rPr>
                            <w:sz w:val="14"/>
                          </w:rPr>
                          <w:t>50</w:t>
                        </w:r>
                      </w:p>
                    </w:tc>
                    <w:tc>
                      <w:tcPr>
                        <w:tcW w:w="487" w:type="dxa"/>
                        <w:tcBorders>
                          <w:right w:val="double" w:sz="1" w:space="0" w:color="000000"/>
                        </w:tcBorders>
                        <w:shd w:val="clear" w:color="auto" w:fill="F9FCF9"/>
                      </w:tcPr>
                      <w:p>
                        <w:pPr>
                          <w:pStyle w:val="TableParagraph"/>
                          <w:spacing w:line="159" w:lineRule="exact"/>
                          <w:ind w:left="12" w:right="26"/>
                          <w:rPr>
                            <w:sz w:val="14"/>
                          </w:rPr>
                        </w:pPr>
                        <w:r>
                          <w:rPr>
                            <w:sz w:val="14"/>
                          </w:rPr>
                          <w:t>85</w:t>
                        </w:r>
                      </w:p>
                    </w:tc>
                    <w:tc>
                      <w:tcPr>
                        <w:tcW w:w="741" w:type="dxa"/>
                        <w:tcBorders>
                          <w:left w:val="double" w:sz="1" w:space="0" w:color="000000"/>
                        </w:tcBorders>
                        <w:shd w:val="clear" w:color="auto" w:fill="F9FCF9"/>
                      </w:tcPr>
                      <w:p>
                        <w:pPr>
                          <w:pStyle w:val="TableParagraph"/>
                          <w:spacing w:line="159" w:lineRule="exact"/>
                          <w:ind w:left="65" w:right="43"/>
                          <w:rPr>
                            <w:sz w:val="14"/>
                          </w:rPr>
                        </w:pPr>
                        <w:r>
                          <w:rPr>
                            <w:sz w:val="14"/>
                          </w:rPr>
                          <w:t>36</w:t>
                        </w:r>
                      </w:p>
                    </w:tc>
                    <w:tc>
                      <w:tcPr>
                        <w:tcW w:w="798" w:type="dxa"/>
                        <w:shd w:val="clear" w:color="auto" w:fill="F9FCF9"/>
                      </w:tcPr>
                      <w:p>
                        <w:pPr>
                          <w:pStyle w:val="TableParagraph"/>
                          <w:spacing w:line="159" w:lineRule="exact"/>
                          <w:ind w:left="21" w:right="19"/>
                          <w:rPr>
                            <w:sz w:val="14"/>
                          </w:rPr>
                        </w:pPr>
                        <w:r>
                          <w:rPr>
                            <w:sz w:val="14"/>
                          </w:rPr>
                          <w:t>52</w:t>
                        </w:r>
                      </w:p>
                    </w:tc>
                    <w:tc>
                      <w:tcPr>
                        <w:tcW w:w="1050" w:type="dxa"/>
                        <w:shd w:val="clear" w:color="auto" w:fill="F9FCF9"/>
                      </w:tcPr>
                      <w:p>
                        <w:pPr>
                          <w:pStyle w:val="TableParagraph"/>
                          <w:spacing w:line="159" w:lineRule="exact"/>
                          <w:ind w:left="215" w:right="213"/>
                          <w:rPr>
                            <w:sz w:val="14"/>
                          </w:rPr>
                        </w:pPr>
                        <w:r>
                          <w:rPr>
                            <w:sz w:val="14"/>
                          </w:rPr>
                          <w:t>64</w:t>
                        </w:r>
                      </w:p>
                    </w:tc>
                    <w:tc>
                      <w:tcPr>
                        <w:tcW w:w="790" w:type="dxa"/>
                        <w:shd w:val="clear" w:color="auto" w:fill="F9FCF9"/>
                      </w:tcPr>
                      <w:p>
                        <w:pPr>
                          <w:pStyle w:val="TableParagraph"/>
                          <w:spacing w:line="159" w:lineRule="exact"/>
                          <w:ind w:left="223" w:right="221"/>
                          <w:rPr>
                            <w:sz w:val="14"/>
                          </w:rPr>
                        </w:pPr>
                        <w:r>
                          <w:rPr>
                            <w:sz w:val="14"/>
                          </w:rPr>
                          <w:t>37</w:t>
                        </w:r>
                      </w:p>
                    </w:tc>
                    <w:tc>
                      <w:tcPr>
                        <w:tcW w:w="816" w:type="dxa"/>
                        <w:tcBorders>
                          <w:right w:val="double" w:sz="1" w:space="0" w:color="000000"/>
                        </w:tcBorders>
                        <w:shd w:val="clear" w:color="auto" w:fill="F9FCF9"/>
                      </w:tcPr>
                      <w:p>
                        <w:pPr>
                          <w:pStyle w:val="TableParagraph"/>
                          <w:spacing w:line="159" w:lineRule="exact"/>
                          <w:ind w:left="174" w:right="189"/>
                          <w:rPr>
                            <w:sz w:val="14"/>
                          </w:rPr>
                        </w:pPr>
                        <w:r>
                          <w:rPr>
                            <w:sz w:val="14"/>
                          </w:rPr>
                          <w:t>30</w:t>
                        </w:r>
                      </w:p>
                    </w:tc>
                    <w:tc>
                      <w:tcPr>
                        <w:tcW w:w="870" w:type="dxa"/>
                        <w:tcBorders>
                          <w:left w:val="double" w:sz="1" w:space="0" w:color="000000"/>
                        </w:tcBorders>
                        <w:shd w:val="clear" w:color="auto" w:fill="F9FCF9"/>
                      </w:tcPr>
                      <w:p>
                        <w:pPr>
                          <w:pStyle w:val="TableParagraph"/>
                          <w:spacing w:line="159" w:lineRule="exact"/>
                          <w:ind w:left="130" w:right="108"/>
                          <w:rPr>
                            <w:sz w:val="14"/>
                          </w:rPr>
                        </w:pPr>
                        <w:r>
                          <w:rPr>
                            <w:sz w:val="14"/>
                          </w:rPr>
                          <w:t>21</w:t>
                        </w:r>
                      </w:p>
                    </w:tc>
                    <w:tc>
                      <w:tcPr>
                        <w:tcW w:w="664" w:type="dxa"/>
                        <w:shd w:val="clear" w:color="auto" w:fill="F9FCF9"/>
                      </w:tcPr>
                      <w:p>
                        <w:pPr>
                          <w:pStyle w:val="TableParagraph"/>
                          <w:jc w:val="left"/>
                          <w:rPr>
                            <w:sz w:val="14"/>
                          </w:rPr>
                        </w:pPr>
                      </w:p>
                    </w:tc>
                  </w:tr>
                  <w:tr>
                    <w:trPr>
                      <w:trHeight w:val="319" w:hRule="atLeast"/>
                    </w:trPr>
                    <w:tc>
                      <w:tcPr>
                        <w:tcW w:w="2180" w:type="dxa"/>
                        <w:shd w:val="clear" w:color="auto" w:fill="F9FCF9"/>
                      </w:tcPr>
                      <w:p>
                        <w:pPr>
                          <w:pStyle w:val="TableParagraph"/>
                          <w:spacing w:line="159" w:lineRule="exact"/>
                          <w:ind w:left="20"/>
                          <w:jc w:val="left"/>
                          <w:rPr>
                            <w:b/>
                            <w:sz w:val="14"/>
                          </w:rPr>
                        </w:pPr>
                        <w:r>
                          <w:rPr>
                            <w:b/>
                            <w:sz w:val="14"/>
                          </w:rPr>
                          <w:t>% increase in COE</w:t>
                        </w:r>
                      </w:p>
                      <w:p>
                        <w:pPr>
                          <w:pStyle w:val="TableParagraph"/>
                          <w:spacing w:line="134" w:lineRule="exact" w:before="7"/>
                          <w:ind w:left="20"/>
                          <w:jc w:val="left"/>
                          <w:rPr>
                            <w:b/>
                            <w:sz w:val="14"/>
                          </w:rPr>
                        </w:pPr>
                        <w:r>
                          <w:rPr>
                            <w:b/>
                            <w:sz w:val="14"/>
                          </w:rPr>
                          <w:t>(over ref. plant)</w:t>
                        </w:r>
                      </w:p>
                    </w:tc>
                    <w:tc>
                      <w:tcPr>
                        <w:tcW w:w="614" w:type="dxa"/>
                        <w:shd w:val="clear" w:color="auto" w:fill="F9FCF9"/>
                      </w:tcPr>
                      <w:p>
                        <w:pPr>
                          <w:pStyle w:val="TableParagraph"/>
                          <w:spacing w:line="159" w:lineRule="exact"/>
                          <w:ind w:left="28" w:right="22"/>
                          <w:rPr>
                            <w:sz w:val="14"/>
                          </w:rPr>
                        </w:pPr>
                        <w:r>
                          <w:rPr>
                            <w:sz w:val="14"/>
                          </w:rPr>
                          <w:t>54</w:t>
                        </w:r>
                      </w:p>
                    </w:tc>
                    <w:tc>
                      <w:tcPr>
                        <w:tcW w:w="522" w:type="dxa"/>
                        <w:shd w:val="clear" w:color="auto" w:fill="F9FCF9"/>
                      </w:tcPr>
                      <w:p>
                        <w:pPr>
                          <w:pStyle w:val="TableParagraph"/>
                          <w:spacing w:line="159" w:lineRule="exact"/>
                          <w:ind w:left="169" w:right="163"/>
                          <w:rPr>
                            <w:sz w:val="14"/>
                          </w:rPr>
                        </w:pPr>
                        <w:r>
                          <w:rPr>
                            <w:sz w:val="14"/>
                          </w:rPr>
                          <w:t>61</w:t>
                        </w:r>
                      </w:p>
                    </w:tc>
                    <w:tc>
                      <w:tcPr>
                        <w:tcW w:w="578" w:type="dxa"/>
                        <w:shd w:val="clear" w:color="auto" w:fill="F9FCF9"/>
                      </w:tcPr>
                      <w:p>
                        <w:pPr>
                          <w:pStyle w:val="TableParagraph"/>
                          <w:spacing w:line="159" w:lineRule="exact"/>
                          <w:ind w:left="29" w:right="23"/>
                          <w:rPr>
                            <w:sz w:val="14"/>
                          </w:rPr>
                        </w:pPr>
                        <w:r>
                          <w:rPr>
                            <w:sz w:val="14"/>
                          </w:rPr>
                          <w:t>59</w:t>
                        </w:r>
                      </w:p>
                    </w:tc>
                    <w:tc>
                      <w:tcPr>
                        <w:tcW w:w="795" w:type="dxa"/>
                        <w:shd w:val="clear" w:color="auto" w:fill="F9FCF9"/>
                      </w:tcPr>
                      <w:p>
                        <w:pPr>
                          <w:pStyle w:val="TableParagraph"/>
                          <w:spacing w:line="159" w:lineRule="exact"/>
                          <w:ind w:left="15" w:right="9"/>
                          <w:rPr>
                            <w:sz w:val="14"/>
                          </w:rPr>
                        </w:pPr>
                        <w:r>
                          <w:rPr>
                            <w:sz w:val="14"/>
                          </w:rPr>
                          <w:t>32</w:t>
                        </w:r>
                      </w:p>
                    </w:tc>
                    <w:tc>
                      <w:tcPr>
                        <w:tcW w:w="795" w:type="dxa"/>
                        <w:shd w:val="clear" w:color="auto" w:fill="F9FCF9"/>
                      </w:tcPr>
                      <w:p>
                        <w:pPr>
                          <w:pStyle w:val="TableParagraph"/>
                          <w:spacing w:line="159" w:lineRule="exact"/>
                          <w:ind w:left="14" w:right="9"/>
                          <w:rPr>
                            <w:sz w:val="14"/>
                          </w:rPr>
                        </w:pPr>
                        <w:r>
                          <w:rPr>
                            <w:sz w:val="14"/>
                          </w:rPr>
                          <w:t>43</w:t>
                        </w:r>
                      </w:p>
                    </w:tc>
                    <w:tc>
                      <w:tcPr>
                        <w:tcW w:w="795" w:type="dxa"/>
                        <w:shd w:val="clear" w:color="auto" w:fill="F9FCF9"/>
                      </w:tcPr>
                      <w:p>
                        <w:pPr>
                          <w:pStyle w:val="TableParagraph"/>
                          <w:spacing w:line="159" w:lineRule="exact"/>
                          <w:ind w:left="13" w:right="9"/>
                          <w:rPr>
                            <w:sz w:val="14"/>
                          </w:rPr>
                        </w:pPr>
                        <w:r>
                          <w:rPr>
                            <w:sz w:val="14"/>
                          </w:rPr>
                          <w:t>26</w:t>
                        </w:r>
                      </w:p>
                    </w:tc>
                    <w:tc>
                      <w:tcPr>
                        <w:tcW w:w="1051" w:type="dxa"/>
                        <w:shd w:val="clear" w:color="auto" w:fill="F9FCF9"/>
                      </w:tcPr>
                      <w:p>
                        <w:pPr>
                          <w:pStyle w:val="TableParagraph"/>
                          <w:spacing w:line="159" w:lineRule="exact"/>
                          <w:ind w:left="12" w:right="8"/>
                          <w:rPr>
                            <w:sz w:val="14"/>
                          </w:rPr>
                        </w:pPr>
                        <w:r>
                          <w:rPr>
                            <w:sz w:val="14"/>
                          </w:rPr>
                          <w:t>33</w:t>
                        </w:r>
                      </w:p>
                    </w:tc>
                    <w:tc>
                      <w:tcPr>
                        <w:tcW w:w="487" w:type="dxa"/>
                        <w:tcBorders>
                          <w:right w:val="double" w:sz="1" w:space="0" w:color="000000"/>
                        </w:tcBorders>
                        <w:shd w:val="clear" w:color="auto" w:fill="F9FCF9"/>
                      </w:tcPr>
                      <w:p>
                        <w:pPr>
                          <w:pStyle w:val="TableParagraph"/>
                          <w:spacing w:line="159" w:lineRule="exact"/>
                          <w:ind w:left="12" w:right="26"/>
                          <w:rPr>
                            <w:sz w:val="14"/>
                          </w:rPr>
                        </w:pPr>
                        <w:r>
                          <w:rPr>
                            <w:sz w:val="14"/>
                          </w:rPr>
                          <w:t>50</w:t>
                        </w:r>
                      </w:p>
                    </w:tc>
                    <w:tc>
                      <w:tcPr>
                        <w:tcW w:w="741" w:type="dxa"/>
                        <w:tcBorders>
                          <w:left w:val="double" w:sz="1" w:space="0" w:color="000000"/>
                        </w:tcBorders>
                        <w:shd w:val="clear" w:color="auto" w:fill="F9FCF9"/>
                      </w:tcPr>
                      <w:p>
                        <w:pPr>
                          <w:pStyle w:val="TableParagraph"/>
                          <w:spacing w:line="159" w:lineRule="exact"/>
                          <w:ind w:left="65" w:right="43"/>
                          <w:rPr>
                            <w:sz w:val="14"/>
                          </w:rPr>
                        </w:pPr>
                        <w:r>
                          <w:rPr>
                            <w:sz w:val="14"/>
                          </w:rPr>
                          <w:t>31</w:t>
                        </w:r>
                      </w:p>
                    </w:tc>
                    <w:tc>
                      <w:tcPr>
                        <w:tcW w:w="798" w:type="dxa"/>
                        <w:shd w:val="clear" w:color="auto" w:fill="F9FCF9"/>
                      </w:tcPr>
                      <w:p>
                        <w:pPr>
                          <w:pStyle w:val="TableParagraph"/>
                          <w:spacing w:line="159" w:lineRule="exact"/>
                          <w:ind w:left="21" w:right="19"/>
                          <w:rPr>
                            <w:sz w:val="14"/>
                          </w:rPr>
                        </w:pPr>
                        <w:r>
                          <w:rPr>
                            <w:sz w:val="14"/>
                          </w:rPr>
                          <w:t>39</w:t>
                        </w:r>
                      </w:p>
                    </w:tc>
                    <w:tc>
                      <w:tcPr>
                        <w:tcW w:w="1050" w:type="dxa"/>
                        <w:shd w:val="clear" w:color="auto" w:fill="F9FCF9"/>
                      </w:tcPr>
                      <w:p>
                        <w:pPr>
                          <w:pStyle w:val="TableParagraph"/>
                          <w:spacing w:line="159" w:lineRule="exact"/>
                          <w:ind w:left="215" w:right="213"/>
                          <w:rPr>
                            <w:sz w:val="14"/>
                          </w:rPr>
                        </w:pPr>
                        <w:r>
                          <w:rPr>
                            <w:sz w:val="14"/>
                          </w:rPr>
                          <w:t>47</w:t>
                        </w:r>
                      </w:p>
                    </w:tc>
                    <w:tc>
                      <w:tcPr>
                        <w:tcW w:w="790" w:type="dxa"/>
                        <w:shd w:val="clear" w:color="auto" w:fill="F9FCF9"/>
                      </w:tcPr>
                      <w:p>
                        <w:pPr>
                          <w:pStyle w:val="TableParagraph"/>
                          <w:spacing w:line="159" w:lineRule="exact"/>
                          <w:ind w:left="223" w:right="221"/>
                          <w:rPr>
                            <w:sz w:val="14"/>
                          </w:rPr>
                        </w:pPr>
                        <w:r>
                          <w:rPr>
                            <w:sz w:val="14"/>
                          </w:rPr>
                          <w:t>30</w:t>
                        </w:r>
                      </w:p>
                    </w:tc>
                    <w:tc>
                      <w:tcPr>
                        <w:tcW w:w="816" w:type="dxa"/>
                        <w:tcBorders>
                          <w:right w:val="double" w:sz="1" w:space="0" w:color="000000"/>
                        </w:tcBorders>
                        <w:shd w:val="clear" w:color="auto" w:fill="F9FCF9"/>
                      </w:tcPr>
                      <w:p>
                        <w:pPr>
                          <w:pStyle w:val="TableParagraph"/>
                          <w:spacing w:line="159" w:lineRule="exact"/>
                          <w:ind w:left="174" w:right="189"/>
                          <w:rPr>
                            <w:sz w:val="14"/>
                          </w:rPr>
                        </w:pPr>
                        <w:r>
                          <w:rPr>
                            <w:sz w:val="14"/>
                          </w:rPr>
                          <w:t>25</w:t>
                        </w:r>
                      </w:p>
                    </w:tc>
                    <w:tc>
                      <w:tcPr>
                        <w:tcW w:w="870" w:type="dxa"/>
                        <w:tcBorders>
                          <w:left w:val="double" w:sz="1" w:space="0" w:color="000000"/>
                        </w:tcBorders>
                        <w:shd w:val="clear" w:color="auto" w:fill="F9FCF9"/>
                      </w:tcPr>
                      <w:p>
                        <w:pPr>
                          <w:pStyle w:val="TableParagraph"/>
                          <w:spacing w:line="159" w:lineRule="exact"/>
                          <w:ind w:left="130" w:right="108"/>
                          <w:rPr>
                            <w:sz w:val="14"/>
                          </w:rPr>
                        </w:pPr>
                        <w:r>
                          <w:rPr>
                            <w:sz w:val="14"/>
                          </w:rPr>
                          <w:t>19</w:t>
                        </w:r>
                      </w:p>
                    </w:tc>
                    <w:tc>
                      <w:tcPr>
                        <w:tcW w:w="664" w:type="dxa"/>
                        <w:shd w:val="clear" w:color="auto" w:fill="F9FCF9"/>
                      </w:tcPr>
                      <w:p>
                        <w:pPr>
                          <w:pStyle w:val="TableParagraph"/>
                          <w:jc w:val="left"/>
                          <w:rPr>
                            <w:sz w:val="14"/>
                          </w:rPr>
                        </w:pP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Cost of CO</w:t>
                        </w:r>
                        <w:r>
                          <w:rPr>
                            <w:position w:val="-4"/>
                            <w:sz w:val="8"/>
                          </w:rPr>
                          <w:t>2 </w:t>
                        </w:r>
                        <w:r>
                          <w:rPr>
                            <w:sz w:val="14"/>
                          </w:rPr>
                          <w:t>captured (US$/tCO</w:t>
                        </w:r>
                        <w:r>
                          <w:rPr>
                            <w:position w:val="-4"/>
                            <w:sz w:val="8"/>
                          </w:rPr>
                          <w:t>2</w:t>
                        </w:r>
                        <w:r>
                          <w:rPr>
                            <w:sz w:val="14"/>
                          </w:rPr>
                          <w:t>)</w:t>
                        </w:r>
                      </w:p>
                    </w:tc>
                    <w:tc>
                      <w:tcPr>
                        <w:tcW w:w="614" w:type="dxa"/>
                        <w:shd w:val="clear" w:color="auto" w:fill="F9FCF9"/>
                      </w:tcPr>
                      <w:p>
                        <w:pPr>
                          <w:pStyle w:val="TableParagraph"/>
                          <w:jc w:val="left"/>
                          <w:rPr>
                            <w:sz w:val="8"/>
                          </w:rPr>
                        </w:pPr>
                      </w:p>
                    </w:tc>
                    <w:tc>
                      <w:tcPr>
                        <w:tcW w:w="522" w:type="dxa"/>
                        <w:shd w:val="clear" w:color="auto" w:fill="F9FCF9"/>
                      </w:tcPr>
                      <w:p>
                        <w:pPr>
                          <w:pStyle w:val="TableParagraph"/>
                          <w:spacing w:line="132" w:lineRule="exact"/>
                          <w:ind w:left="169" w:right="163"/>
                          <w:rPr>
                            <w:sz w:val="14"/>
                          </w:rPr>
                        </w:pPr>
                        <w:r>
                          <w:rPr>
                            <w:sz w:val="14"/>
                          </w:rPr>
                          <w:t>48</w:t>
                        </w:r>
                      </w:p>
                    </w:tc>
                    <w:tc>
                      <w:tcPr>
                        <w:tcW w:w="578" w:type="dxa"/>
                        <w:shd w:val="clear" w:color="auto" w:fill="F9FCF9"/>
                      </w:tcPr>
                      <w:p>
                        <w:pPr>
                          <w:pStyle w:val="TableParagraph"/>
                          <w:jc w:val="left"/>
                          <w:rPr>
                            <w:sz w:val="8"/>
                          </w:rPr>
                        </w:pPr>
                      </w:p>
                    </w:tc>
                    <w:tc>
                      <w:tcPr>
                        <w:tcW w:w="795" w:type="dxa"/>
                        <w:shd w:val="clear" w:color="auto" w:fill="F9FCF9"/>
                      </w:tcPr>
                      <w:p>
                        <w:pPr>
                          <w:pStyle w:val="TableParagraph"/>
                          <w:spacing w:line="132" w:lineRule="exact"/>
                          <w:ind w:left="15" w:right="9"/>
                          <w:rPr>
                            <w:sz w:val="14"/>
                          </w:rPr>
                        </w:pPr>
                        <w:r>
                          <w:rPr>
                            <w:sz w:val="14"/>
                          </w:rPr>
                          <w:t>30.2</w:t>
                        </w:r>
                      </w:p>
                    </w:tc>
                    <w:tc>
                      <w:tcPr>
                        <w:tcW w:w="795" w:type="dxa"/>
                        <w:shd w:val="clear" w:color="auto" w:fill="F9FCF9"/>
                      </w:tcPr>
                      <w:p>
                        <w:pPr>
                          <w:pStyle w:val="TableParagraph"/>
                          <w:spacing w:line="132" w:lineRule="exact"/>
                          <w:ind w:left="14" w:right="9"/>
                          <w:rPr>
                            <w:sz w:val="14"/>
                          </w:rPr>
                        </w:pPr>
                        <w:r>
                          <w:rPr>
                            <w:sz w:val="14"/>
                          </w:rPr>
                          <w:t>39.5</w:t>
                        </w:r>
                      </w:p>
                    </w:tc>
                    <w:tc>
                      <w:tcPr>
                        <w:tcW w:w="795" w:type="dxa"/>
                        <w:shd w:val="clear" w:color="auto" w:fill="F9FCF9"/>
                      </w:tcPr>
                      <w:p>
                        <w:pPr>
                          <w:pStyle w:val="TableParagraph"/>
                          <w:spacing w:line="132" w:lineRule="exact"/>
                          <w:ind w:left="13" w:right="9"/>
                          <w:rPr>
                            <w:sz w:val="14"/>
                          </w:rPr>
                        </w:pPr>
                        <w:r>
                          <w:rPr>
                            <w:sz w:val="14"/>
                          </w:rPr>
                          <w:t>22.5</w:t>
                        </w:r>
                      </w:p>
                    </w:tc>
                    <w:tc>
                      <w:tcPr>
                        <w:tcW w:w="1051" w:type="dxa"/>
                        <w:shd w:val="clear" w:color="auto" w:fill="F9FCF9"/>
                      </w:tcPr>
                      <w:p>
                        <w:pPr>
                          <w:pStyle w:val="TableParagraph"/>
                          <w:spacing w:line="132" w:lineRule="exact"/>
                          <w:ind w:right="393"/>
                          <w:jc w:val="right"/>
                          <w:rPr>
                            <w:sz w:val="14"/>
                          </w:rPr>
                        </w:pPr>
                        <w:r>
                          <w:rPr>
                            <w:sz w:val="14"/>
                          </w:rPr>
                          <w:t>28.2</w:t>
                        </w:r>
                      </w:p>
                    </w:tc>
                    <w:tc>
                      <w:tcPr>
                        <w:tcW w:w="487" w:type="dxa"/>
                        <w:tcBorders>
                          <w:right w:val="double" w:sz="1" w:space="0" w:color="000000"/>
                        </w:tcBorders>
                        <w:shd w:val="clear" w:color="auto" w:fill="F9FCF9"/>
                      </w:tcPr>
                      <w:p>
                        <w:pPr>
                          <w:pStyle w:val="TableParagraph"/>
                          <w:jc w:val="left"/>
                          <w:rPr>
                            <w:sz w:val="8"/>
                          </w:rPr>
                        </w:pP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16</w:t>
                        </w:r>
                      </w:p>
                    </w:tc>
                    <w:tc>
                      <w:tcPr>
                        <w:tcW w:w="798" w:type="dxa"/>
                        <w:shd w:val="clear" w:color="auto" w:fill="F9FCF9"/>
                      </w:tcPr>
                      <w:p>
                        <w:pPr>
                          <w:pStyle w:val="TableParagraph"/>
                          <w:spacing w:line="132" w:lineRule="exact"/>
                          <w:ind w:left="21" w:right="19"/>
                          <w:rPr>
                            <w:sz w:val="14"/>
                          </w:rPr>
                        </w:pPr>
                        <w:r>
                          <w:rPr>
                            <w:sz w:val="14"/>
                          </w:rPr>
                          <w:t>22</w:t>
                        </w:r>
                      </w:p>
                    </w:tc>
                    <w:tc>
                      <w:tcPr>
                        <w:tcW w:w="1050" w:type="dxa"/>
                        <w:shd w:val="clear" w:color="auto" w:fill="F9FCF9"/>
                      </w:tcPr>
                      <w:p>
                        <w:pPr>
                          <w:pStyle w:val="TableParagraph"/>
                          <w:spacing w:line="132" w:lineRule="exact"/>
                          <w:ind w:left="215" w:right="213"/>
                          <w:rPr>
                            <w:sz w:val="14"/>
                          </w:rPr>
                        </w:pPr>
                        <w:r>
                          <w:rPr>
                            <w:sz w:val="14"/>
                          </w:rPr>
                          <w:t>20</w:t>
                        </w:r>
                      </w:p>
                    </w:tc>
                    <w:tc>
                      <w:tcPr>
                        <w:tcW w:w="790" w:type="dxa"/>
                        <w:shd w:val="clear" w:color="auto" w:fill="F9FCF9"/>
                      </w:tcPr>
                      <w:p>
                        <w:pPr>
                          <w:pStyle w:val="TableParagraph"/>
                          <w:spacing w:line="132" w:lineRule="exact"/>
                          <w:ind w:left="223" w:right="221"/>
                          <w:rPr>
                            <w:sz w:val="14"/>
                          </w:rPr>
                        </w:pPr>
                        <w:r>
                          <w:rPr>
                            <w:sz w:val="14"/>
                          </w:rPr>
                          <w:t>11</w:t>
                        </w:r>
                      </w:p>
                    </w:tc>
                    <w:tc>
                      <w:tcPr>
                        <w:tcW w:w="816" w:type="dxa"/>
                        <w:tcBorders>
                          <w:right w:val="double" w:sz="1" w:space="0" w:color="000000"/>
                        </w:tcBorders>
                        <w:shd w:val="clear" w:color="auto" w:fill="F9FCF9"/>
                      </w:tcPr>
                      <w:p>
                        <w:pPr>
                          <w:pStyle w:val="TableParagraph"/>
                          <w:spacing w:line="132" w:lineRule="exact"/>
                          <w:ind w:left="174" w:right="189"/>
                          <w:rPr>
                            <w:sz w:val="14"/>
                          </w:rPr>
                        </w:pPr>
                        <w:r>
                          <w:rPr>
                            <w:sz w:val="14"/>
                          </w:rPr>
                          <w:t>10</w:t>
                        </w: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13</w:t>
                        </w:r>
                      </w:p>
                    </w:tc>
                    <w:tc>
                      <w:tcPr>
                        <w:tcW w:w="664" w:type="dxa"/>
                        <w:shd w:val="clear" w:color="auto" w:fill="F9FCF9"/>
                      </w:tcPr>
                      <w:p>
                        <w:pPr>
                          <w:pStyle w:val="TableParagraph"/>
                          <w:jc w:val="left"/>
                          <w:rPr>
                            <w:sz w:val="8"/>
                          </w:rPr>
                        </w:pPr>
                      </w:p>
                    </w:tc>
                  </w:tr>
                  <w:tr>
                    <w:trPr>
                      <w:trHeight w:val="151" w:hRule="atLeast"/>
                    </w:trPr>
                    <w:tc>
                      <w:tcPr>
                        <w:tcW w:w="2180" w:type="dxa"/>
                        <w:shd w:val="clear" w:color="auto" w:fill="F9FCF9"/>
                      </w:tcPr>
                      <w:p>
                        <w:pPr>
                          <w:pStyle w:val="TableParagraph"/>
                          <w:spacing w:line="132" w:lineRule="exact"/>
                          <w:ind w:left="20"/>
                          <w:jc w:val="left"/>
                          <w:rPr>
                            <w:sz w:val="14"/>
                          </w:rPr>
                        </w:pPr>
                        <w:r>
                          <w:rPr>
                            <w:sz w:val="14"/>
                          </w:rPr>
                          <w:t>Cost of CO</w:t>
                        </w:r>
                        <w:r>
                          <w:rPr>
                            <w:position w:val="-4"/>
                            <w:sz w:val="8"/>
                          </w:rPr>
                          <w:t>2 </w:t>
                        </w:r>
                        <w:r>
                          <w:rPr>
                            <w:sz w:val="14"/>
                          </w:rPr>
                          <w:t>avoided (US$/tCO</w:t>
                        </w:r>
                        <w:r>
                          <w:rPr>
                            <w:position w:val="-4"/>
                            <w:sz w:val="8"/>
                          </w:rPr>
                          <w:t>2</w:t>
                        </w:r>
                        <w:r>
                          <w:rPr>
                            <w:sz w:val="14"/>
                          </w:rPr>
                          <w:t>)</w:t>
                        </w:r>
                      </w:p>
                    </w:tc>
                    <w:tc>
                      <w:tcPr>
                        <w:tcW w:w="614" w:type="dxa"/>
                        <w:shd w:val="clear" w:color="auto" w:fill="F9FCF9"/>
                      </w:tcPr>
                      <w:p>
                        <w:pPr>
                          <w:pStyle w:val="TableParagraph"/>
                          <w:spacing w:line="132" w:lineRule="exact"/>
                          <w:ind w:left="28" w:right="22"/>
                          <w:rPr>
                            <w:sz w:val="14"/>
                          </w:rPr>
                        </w:pPr>
                        <w:r>
                          <w:rPr>
                            <w:sz w:val="14"/>
                          </w:rPr>
                          <w:t>82</w:t>
                        </w:r>
                      </w:p>
                    </w:tc>
                    <w:tc>
                      <w:tcPr>
                        <w:tcW w:w="522" w:type="dxa"/>
                        <w:shd w:val="clear" w:color="auto" w:fill="F9FCF9"/>
                      </w:tcPr>
                      <w:p>
                        <w:pPr>
                          <w:pStyle w:val="TableParagraph"/>
                          <w:spacing w:line="132" w:lineRule="exact"/>
                          <w:ind w:left="169" w:right="163"/>
                          <w:rPr>
                            <w:sz w:val="14"/>
                          </w:rPr>
                        </w:pPr>
                        <w:r>
                          <w:rPr>
                            <w:sz w:val="14"/>
                          </w:rPr>
                          <w:t>70</w:t>
                        </w:r>
                      </w:p>
                    </w:tc>
                    <w:tc>
                      <w:tcPr>
                        <w:tcW w:w="578" w:type="dxa"/>
                        <w:shd w:val="clear" w:color="auto" w:fill="F9FCF9"/>
                      </w:tcPr>
                      <w:p>
                        <w:pPr>
                          <w:pStyle w:val="TableParagraph"/>
                          <w:spacing w:line="132" w:lineRule="exact"/>
                          <w:ind w:left="29" w:right="23"/>
                          <w:rPr>
                            <w:sz w:val="14"/>
                          </w:rPr>
                        </w:pPr>
                        <w:r>
                          <w:rPr>
                            <w:sz w:val="14"/>
                          </w:rPr>
                          <w:t>61</w:t>
                        </w:r>
                      </w:p>
                    </w:tc>
                    <w:tc>
                      <w:tcPr>
                        <w:tcW w:w="795" w:type="dxa"/>
                        <w:shd w:val="clear" w:color="auto" w:fill="F9FCF9"/>
                      </w:tcPr>
                      <w:p>
                        <w:pPr>
                          <w:pStyle w:val="TableParagraph"/>
                          <w:spacing w:line="132" w:lineRule="exact"/>
                          <w:ind w:left="15" w:right="9"/>
                          <w:rPr>
                            <w:sz w:val="14"/>
                          </w:rPr>
                        </w:pPr>
                        <w:r>
                          <w:rPr>
                            <w:sz w:val="14"/>
                          </w:rPr>
                          <w:t>35.1</w:t>
                        </w:r>
                      </w:p>
                    </w:tc>
                    <w:tc>
                      <w:tcPr>
                        <w:tcW w:w="795" w:type="dxa"/>
                        <w:shd w:val="clear" w:color="auto" w:fill="F9FCF9"/>
                      </w:tcPr>
                      <w:p>
                        <w:pPr>
                          <w:pStyle w:val="TableParagraph"/>
                          <w:spacing w:line="132" w:lineRule="exact"/>
                          <w:ind w:left="14" w:right="9"/>
                          <w:rPr>
                            <w:sz w:val="14"/>
                          </w:rPr>
                        </w:pPr>
                        <w:r>
                          <w:rPr>
                            <w:sz w:val="14"/>
                          </w:rPr>
                          <w:t>47.5</w:t>
                        </w:r>
                      </w:p>
                    </w:tc>
                    <w:tc>
                      <w:tcPr>
                        <w:tcW w:w="795" w:type="dxa"/>
                        <w:shd w:val="clear" w:color="auto" w:fill="F9FCF9"/>
                      </w:tcPr>
                      <w:p>
                        <w:pPr>
                          <w:pStyle w:val="TableParagraph"/>
                          <w:spacing w:line="132" w:lineRule="exact"/>
                          <w:ind w:left="13" w:right="9"/>
                          <w:rPr>
                            <w:sz w:val="14"/>
                          </w:rPr>
                        </w:pPr>
                        <w:r>
                          <w:rPr>
                            <w:sz w:val="14"/>
                          </w:rPr>
                          <w:t>24.4</w:t>
                        </w:r>
                      </w:p>
                    </w:tc>
                    <w:tc>
                      <w:tcPr>
                        <w:tcW w:w="1051" w:type="dxa"/>
                        <w:shd w:val="clear" w:color="auto" w:fill="F9FCF9"/>
                      </w:tcPr>
                      <w:p>
                        <w:pPr>
                          <w:pStyle w:val="TableParagraph"/>
                          <w:spacing w:line="132" w:lineRule="exact"/>
                          <w:ind w:right="393"/>
                          <w:jc w:val="right"/>
                          <w:rPr>
                            <w:sz w:val="14"/>
                          </w:rPr>
                        </w:pPr>
                        <w:r>
                          <w:rPr>
                            <w:sz w:val="14"/>
                          </w:rPr>
                          <w:t>34.4</w:t>
                        </w:r>
                      </w:p>
                    </w:tc>
                    <w:tc>
                      <w:tcPr>
                        <w:tcW w:w="487" w:type="dxa"/>
                        <w:tcBorders>
                          <w:right w:val="double" w:sz="1" w:space="0" w:color="000000"/>
                        </w:tcBorders>
                        <w:shd w:val="clear" w:color="auto" w:fill="F9FCF9"/>
                      </w:tcPr>
                      <w:p>
                        <w:pPr>
                          <w:pStyle w:val="TableParagraph"/>
                          <w:spacing w:line="132" w:lineRule="exact"/>
                          <w:ind w:left="12" w:right="26"/>
                          <w:rPr>
                            <w:sz w:val="14"/>
                          </w:rPr>
                        </w:pPr>
                        <w:r>
                          <w:rPr>
                            <w:sz w:val="14"/>
                          </w:rPr>
                          <w:t>47</w:t>
                        </w:r>
                      </w:p>
                    </w:tc>
                    <w:tc>
                      <w:tcPr>
                        <w:tcW w:w="741" w:type="dxa"/>
                        <w:tcBorders>
                          <w:left w:val="double" w:sz="1" w:space="0" w:color="000000"/>
                        </w:tcBorders>
                        <w:shd w:val="clear" w:color="auto" w:fill="F9FCF9"/>
                      </w:tcPr>
                      <w:p>
                        <w:pPr>
                          <w:pStyle w:val="TableParagraph"/>
                          <w:spacing w:line="132" w:lineRule="exact"/>
                          <w:ind w:left="65" w:right="43"/>
                          <w:rPr>
                            <w:sz w:val="14"/>
                          </w:rPr>
                        </w:pPr>
                        <w:r>
                          <w:rPr>
                            <w:sz w:val="14"/>
                          </w:rPr>
                          <w:t>19</w:t>
                        </w:r>
                      </w:p>
                    </w:tc>
                    <w:tc>
                      <w:tcPr>
                        <w:tcW w:w="798" w:type="dxa"/>
                        <w:shd w:val="clear" w:color="auto" w:fill="F9FCF9"/>
                      </w:tcPr>
                      <w:p>
                        <w:pPr>
                          <w:pStyle w:val="TableParagraph"/>
                          <w:spacing w:line="132" w:lineRule="exact"/>
                          <w:ind w:left="21" w:right="19"/>
                          <w:rPr>
                            <w:sz w:val="14"/>
                          </w:rPr>
                        </w:pPr>
                        <w:r>
                          <w:rPr>
                            <w:sz w:val="14"/>
                          </w:rPr>
                          <w:t>29</w:t>
                        </w:r>
                      </w:p>
                    </w:tc>
                    <w:tc>
                      <w:tcPr>
                        <w:tcW w:w="1050" w:type="dxa"/>
                        <w:shd w:val="clear" w:color="auto" w:fill="F9FCF9"/>
                      </w:tcPr>
                      <w:p>
                        <w:pPr>
                          <w:pStyle w:val="TableParagraph"/>
                          <w:spacing w:line="132" w:lineRule="exact"/>
                          <w:ind w:left="215" w:right="213"/>
                          <w:rPr>
                            <w:sz w:val="14"/>
                          </w:rPr>
                        </w:pPr>
                        <w:r>
                          <w:rPr>
                            <w:sz w:val="14"/>
                          </w:rPr>
                          <w:t>26</w:t>
                        </w:r>
                      </w:p>
                    </w:tc>
                    <w:tc>
                      <w:tcPr>
                        <w:tcW w:w="790" w:type="dxa"/>
                        <w:shd w:val="clear" w:color="auto" w:fill="F9FCF9"/>
                      </w:tcPr>
                      <w:p>
                        <w:pPr>
                          <w:pStyle w:val="TableParagraph"/>
                          <w:spacing w:line="132" w:lineRule="exact"/>
                          <w:ind w:left="223" w:right="221"/>
                          <w:rPr>
                            <w:sz w:val="14"/>
                          </w:rPr>
                        </w:pPr>
                        <w:r>
                          <w:rPr>
                            <w:sz w:val="14"/>
                          </w:rPr>
                          <w:t>14</w:t>
                        </w:r>
                      </w:p>
                    </w:tc>
                    <w:tc>
                      <w:tcPr>
                        <w:tcW w:w="816" w:type="dxa"/>
                        <w:tcBorders>
                          <w:right w:val="double" w:sz="1" w:space="0" w:color="000000"/>
                        </w:tcBorders>
                        <w:shd w:val="clear" w:color="auto" w:fill="F9FCF9"/>
                      </w:tcPr>
                      <w:p>
                        <w:pPr>
                          <w:pStyle w:val="TableParagraph"/>
                          <w:spacing w:line="132" w:lineRule="exact"/>
                          <w:ind w:left="174" w:right="189"/>
                          <w:rPr>
                            <w:sz w:val="14"/>
                          </w:rPr>
                        </w:pPr>
                        <w:r>
                          <w:rPr>
                            <w:sz w:val="14"/>
                          </w:rPr>
                          <w:t>12</w:t>
                        </w:r>
                      </w:p>
                    </w:tc>
                    <w:tc>
                      <w:tcPr>
                        <w:tcW w:w="870" w:type="dxa"/>
                        <w:tcBorders>
                          <w:left w:val="double" w:sz="1" w:space="0" w:color="000000"/>
                        </w:tcBorders>
                        <w:shd w:val="clear" w:color="auto" w:fill="F9FCF9"/>
                      </w:tcPr>
                      <w:p>
                        <w:pPr>
                          <w:pStyle w:val="TableParagraph"/>
                          <w:spacing w:line="132" w:lineRule="exact"/>
                          <w:ind w:left="130" w:right="108"/>
                          <w:rPr>
                            <w:sz w:val="14"/>
                          </w:rPr>
                        </w:pPr>
                        <w:r>
                          <w:rPr>
                            <w:sz w:val="14"/>
                          </w:rPr>
                          <w:t>15</w:t>
                        </w:r>
                      </w:p>
                    </w:tc>
                    <w:tc>
                      <w:tcPr>
                        <w:tcW w:w="664" w:type="dxa"/>
                        <w:shd w:val="clear" w:color="auto" w:fill="F9FCF9"/>
                      </w:tcPr>
                      <w:p>
                        <w:pPr>
                          <w:pStyle w:val="TableParagraph"/>
                          <w:jc w:val="left"/>
                          <w:rPr>
                            <w:sz w:val="8"/>
                          </w:rPr>
                        </w:pPr>
                      </w:p>
                    </w:tc>
                  </w:tr>
                  <w:tr>
                    <w:trPr>
                      <w:trHeight w:val="319" w:hRule="atLeast"/>
                    </w:trPr>
                    <w:tc>
                      <w:tcPr>
                        <w:tcW w:w="2180" w:type="dxa"/>
                        <w:shd w:val="clear" w:color="auto" w:fill="F9FCF9"/>
                      </w:tcPr>
                      <w:p>
                        <w:pPr>
                          <w:pStyle w:val="TableParagraph"/>
                          <w:spacing w:line="159" w:lineRule="exact"/>
                          <w:ind w:left="20"/>
                          <w:jc w:val="left"/>
                          <w:rPr>
                            <w:sz w:val="14"/>
                          </w:rPr>
                        </w:pPr>
                        <w:r>
                          <w:rPr>
                            <w:sz w:val="14"/>
                          </w:rPr>
                          <w:t>Capture cost confidence level (see</w:t>
                        </w:r>
                      </w:p>
                      <w:p>
                        <w:pPr>
                          <w:pStyle w:val="TableParagraph"/>
                          <w:spacing w:line="134" w:lineRule="exact" w:before="7"/>
                          <w:ind w:left="20"/>
                          <w:jc w:val="left"/>
                          <w:rPr>
                            <w:sz w:val="14"/>
                          </w:rPr>
                        </w:pPr>
                        <w:hyperlink w:history="true" w:anchor="_bookmark28">
                          <w:r>
                            <w:rPr>
                              <w:sz w:val="14"/>
                            </w:rPr>
                            <w:t>Table 3.6)</w:t>
                          </w:r>
                        </w:hyperlink>
                      </w:p>
                    </w:tc>
                    <w:tc>
                      <w:tcPr>
                        <w:tcW w:w="2509" w:type="dxa"/>
                        <w:gridSpan w:val="4"/>
                        <w:shd w:val="clear" w:color="auto" w:fill="F9FCF9"/>
                      </w:tcPr>
                      <w:p>
                        <w:pPr>
                          <w:pStyle w:val="TableParagraph"/>
                          <w:spacing w:line="159" w:lineRule="exact"/>
                          <w:ind w:left="797"/>
                          <w:jc w:val="left"/>
                          <w:rPr>
                            <w:sz w:val="14"/>
                          </w:rPr>
                        </w:pPr>
                        <w:r>
                          <w:rPr>
                            <w:sz w:val="14"/>
                          </w:rPr>
                          <w:t>low to moderate</w:t>
                        </w:r>
                      </w:p>
                    </w:tc>
                    <w:tc>
                      <w:tcPr>
                        <w:tcW w:w="3128" w:type="dxa"/>
                        <w:gridSpan w:val="4"/>
                        <w:tcBorders>
                          <w:right w:val="double" w:sz="1" w:space="0" w:color="000000"/>
                        </w:tcBorders>
                        <w:shd w:val="clear" w:color="auto" w:fill="F9FCF9"/>
                      </w:tcPr>
                      <w:p>
                        <w:pPr>
                          <w:pStyle w:val="TableParagraph"/>
                          <w:spacing w:line="159" w:lineRule="exact"/>
                          <w:ind w:left="1086" w:right="1099"/>
                          <w:rPr>
                            <w:sz w:val="14"/>
                          </w:rPr>
                        </w:pPr>
                        <w:r>
                          <w:rPr>
                            <w:sz w:val="14"/>
                          </w:rPr>
                          <w:t>low to very low</w:t>
                        </w:r>
                      </w:p>
                    </w:tc>
                    <w:tc>
                      <w:tcPr>
                        <w:tcW w:w="4195" w:type="dxa"/>
                        <w:gridSpan w:val="5"/>
                        <w:tcBorders>
                          <w:left w:val="double" w:sz="1" w:space="0" w:color="000000"/>
                          <w:right w:val="double" w:sz="1" w:space="0" w:color="000000"/>
                        </w:tcBorders>
                        <w:shd w:val="clear" w:color="auto" w:fill="F9FCF9"/>
                      </w:tcPr>
                      <w:p>
                        <w:pPr>
                          <w:pStyle w:val="TableParagraph"/>
                          <w:spacing w:line="159" w:lineRule="exact"/>
                          <w:ind w:left="1958" w:right="1956"/>
                          <w:rPr>
                            <w:sz w:val="14"/>
                          </w:rPr>
                        </w:pPr>
                        <w:r>
                          <w:rPr>
                            <w:sz w:val="14"/>
                          </w:rPr>
                          <w:t>low</w:t>
                        </w:r>
                      </w:p>
                    </w:tc>
                    <w:tc>
                      <w:tcPr>
                        <w:tcW w:w="1534" w:type="dxa"/>
                        <w:gridSpan w:val="2"/>
                        <w:tcBorders>
                          <w:left w:val="double" w:sz="1" w:space="0" w:color="000000"/>
                        </w:tcBorders>
                        <w:shd w:val="clear" w:color="auto" w:fill="F9FCF9"/>
                      </w:tcPr>
                      <w:p>
                        <w:pPr>
                          <w:pStyle w:val="TableParagraph"/>
                          <w:spacing w:line="159" w:lineRule="exact"/>
                          <w:ind w:left="521"/>
                          <w:jc w:val="left"/>
                          <w:rPr>
                            <w:sz w:val="14"/>
                          </w:rPr>
                        </w:pPr>
                        <w:r>
                          <w:rPr>
                            <w:sz w:val="14"/>
                          </w:rPr>
                          <w:t>very low</w:t>
                        </w:r>
                      </w:p>
                    </w:tc>
                  </w:tr>
                </w:tbl>
                <w:p>
                  <w:pPr>
                    <w:pStyle w:val="BodyText"/>
                  </w:pPr>
                </w:p>
              </w:txbxContent>
            </v:textbox>
            <w10:wrap type="none"/>
          </v:shape>
        </w:pict>
      </w:r>
      <w:r>
        <w:rPr>
          <w:w w:val="101"/>
          <w:sz w:val="8"/>
        </w:rPr>
        <w:t>2</w:t>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11"/>
        <w:rPr>
          <w:sz w:val="10"/>
        </w:rPr>
      </w:pPr>
    </w:p>
    <w:p>
      <w:pPr>
        <w:spacing w:line="186" w:lineRule="exact" w:before="0"/>
        <w:ind w:left="553" w:right="0" w:firstLine="0"/>
        <w:jc w:val="left"/>
        <w:rPr>
          <w:sz w:val="14"/>
        </w:rPr>
      </w:pPr>
      <w:r>
        <w:rPr>
          <w:sz w:val="14"/>
        </w:rPr>
        <w:t>Notes: All costs in this table are for capture only and do not include the costs of CO</w:t>
      </w:r>
      <w:r>
        <w:rPr>
          <w:position w:val="-4"/>
          <w:sz w:val="8"/>
        </w:rPr>
        <w:t>2 </w:t>
      </w:r>
      <w:r>
        <w:rPr>
          <w:sz w:val="14"/>
        </w:rPr>
        <w:t>transport and storage; see Chapter 8 for total CCS costs. * Reported HHV values converted to LHV assuming LHV/HHV = 0.96 for coal and LHV/HHV =</w:t>
      </w:r>
    </w:p>
    <w:p>
      <w:pPr>
        <w:spacing w:line="172" w:lineRule="exact" w:before="0"/>
        <w:ind w:left="553" w:right="0" w:firstLine="0"/>
        <w:jc w:val="left"/>
        <w:rPr>
          <w:sz w:val="16"/>
        </w:rPr>
      </w:pPr>
      <w:r>
        <w:rPr>
          <w:sz w:val="14"/>
        </w:rPr>
        <w:t>0.90 for natural gas. </w:t>
      </w:r>
      <w:r>
        <w:rPr>
          <w:sz w:val="16"/>
        </w:rPr>
        <w:t>**Reported value increased by 15% to estimate interest during construction and other owners’ costs.</w:t>
      </w:r>
    </w:p>
    <w:p>
      <w:pPr>
        <w:spacing w:after="0" w:line="172" w:lineRule="exact"/>
        <w:jc w:val="left"/>
        <w:rPr>
          <w:sz w:val="16"/>
        </w:rPr>
        <w:sectPr>
          <w:pgSz w:w="15840" w:h="12240" w:orient="landscape"/>
          <w:pgMar w:header="934" w:footer="0" w:top="1120" w:bottom="280" w:left="600" w:right="1020"/>
        </w:sectPr>
      </w:pPr>
    </w:p>
    <w:p>
      <w:pPr>
        <w:pStyle w:val="BodyText"/>
        <w:spacing w:line="249" w:lineRule="auto" w:before="53"/>
        <w:ind w:left="117" w:right="38"/>
        <w:jc w:val="both"/>
      </w:pPr>
      <w:bookmarkStart w:name="3.7.11 CO2 capture costs for hydrogen pr" w:id="110"/>
      <w:bookmarkEnd w:id="110"/>
      <w:r>
        <w:rPr/>
      </w:r>
      <w:r>
        <w:rPr/>
        <w:t>concepts based on oxy-fuel combustion gas  turbine  </w:t>
      </w:r>
      <w:r>
        <w:rPr>
          <w:spacing w:val="-3"/>
        </w:rPr>
        <w:t>cycles  </w:t>
      </w:r>
      <w:r>
        <w:rPr/>
        <w:t>are more uncertain at this time than cost estimates for new or retrofitted boilers employing oxy-fuel</w:t>
      </w:r>
      <w:r>
        <w:rPr>
          <w:spacing w:val="-2"/>
        </w:rPr>
        <w:t> </w:t>
      </w:r>
      <w:r>
        <w:rPr/>
        <w:t>combustion.</w:t>
      </w:r>
    </w:p>
    <w:p>
      <w:pPr>
        <w:pStyle w:val="BodyText"/>
        <w:spacing w:line="249" w:lineRule="auto" w:before="2"/>
        <w:ind w:left="117" w:right="38" w:firstLine="284"/>
        <w:jc w:val="both"/>
      </w:pPr>
      <w:r>
        <w:rPr/>
        <w:t>For new plant applications, the data in </w:t>
      </w:r>
      <w:hyperlink w:history="true" w:anchor="_bookmark56">
        <w:r>
          <w:rPr>
            <w:spacing w:val="-3"/>
          </w:rPr>
          <w:t>Table </w:t>
        </w:r>
        <w:r>
          <w:rPr/>
          <w:t>3.13 </w:t>
        </w:r>
      </w:hyperlink>
      <w:r>
        <w:rPr/>
        <w:t>indicate that oxy-fuel combustion adds about 30-90% to the capital </w:t>
      </w:r>
      <w:r>
        <w:rPr>
          <w:spacing w:val="-4"/>
        </w:rPr>
        <w:t>cost </w:t>
      </w:r>
      <w:r>
        <w:rPr/>
        <w:t>and</w:t>
      </w:r>
      <w:r>
        <w:rPr>
          <w:spacing w:val="-18"/>
        </w:rPr>
        <w:t> </w:t>
      </w:r>
      <w:r>
        <w:rPr/>
        <w:t>30-150%</w:t>
      </w:r>
      <w:r>
        <w:rPr>
          <w:spacing w:val="-17"/>
        </w:rPr>
        <w:t> </w:t>
      </w:r>
      <w:r>
        <w:rPr/>
        <w:t>to</w:t>
      </w:r>
      <w:r>
        <w:rPr>
          <w:spacing w:val="-18"/>
        </w:rPr>
        <w:t> </w:t>
      </w:r>
      <w:r>
        <w:rPr/>
        <w:t>the</w:t>
      </w:r>
      <w:r>
        <w:rPr>
          <w:spacing w:val="-17"/>
        </w:rPr>
        <w:t> </w:t>
      </w:r>
      <w:r>
        <w:rPr/>
        <w:t>COE</w:t>
      </w:r>
      <w:r>
        <w:rPr>
          <w:spacing w:val="-17"/>
        </w:rPr>
        <w:t> </w:t>
      </w:r>
      <w:r>
        <w:rPr/>
        <w:t>of</w:t>
      </w:r>
      <w:r>
        <w:rPr>
          <w:spacing w:val="-18"/>
        </w:rPr>
        <w:t> </w:t>
      </w:r>
      <w:r>
        <w:rPr/>
        <w:t>a</w:t>
      </w:r>
      <w:r>
        <w:rPr>
          <w:spacing w:val="-17"/>
        </w:rPr>
        <w:t> </w:t>
      </w:r>
      <w:r>
        <w:rPr/>
        <w:t>conventional</w:t>
      </w:r>
      <w:r>
        <w:rPr>
          <w:spacing w:val="-18"/>
        </w:rPr>
        <w:t> </w:t>
      </w:r>
      <w:r>
        <w:rPr/>
        <w:t>plant,</w:t>
      </w:r>
      <w:r>
        <w:rPr>
          <w:spacing w:val="-17"/>
        </w:rPr>
        <w:t> </w:t>
      </w:r>
      <w:r>
        <w:rPr/>
        <w:t>while</w:t>
      </w:r>
      <w:r>
        <w:rPr>
          <w:spacing w:val="-17"/>
        </w:rPr>
        <w:t> </w:t>
      </w:r>
      <w:r>
        <w:rPr/>
        <w:t>reducing CO</w:t>
      </w:r>
      <w:r>
        <w:rPr>
          <w:position w:val="-6"/>
          <w:sz w:val="11"/>
        </w:rPr>
        <w:t>2    </w:t>
      </w:r>
      <w:r>
        <w:rPr/>
        <w:t>emissions  per  kWh  by  75-100%.  Retrofit</w:t>
      </w:r>
      <w:r>
        <w:rPr>
          <w:spacing w:val="39"/>
        </w:rPr>
        <w:t> </w:t>
      </w:r>
      <w:r>
        <w:rPr/>
        <w:t>applications</w:t>
      </w:r>
    </w:p>
    <w:p>
      <w:pPr>
        <w:pStyle w:val="BodyText"/>
        <w:spacing w:line="183" w:lineRule="exact"/>
        <w:ind w:left="117"/>
        <w:jc w:val="both"/>
      </w:pPr>
      <w:r>
        <w:rPr/>
        <w:t>exhibit higher relative costs in cases where the existing plant</w:t>
      </w:r>
      <w:r>
        <w:rPr>
          <w:spacing w:val="-9"/>
        </w:rPr>
        <w:t> </w:t>
      </w:r>
      <w:r>
        <w:rPr/>
        <w:t>is</w:t>
      </w:r>
    </w:p>
    <w:p>
      <w:pPr>
        <w:pStyle w:val="BodyText"/>
        <w:spacing w:line="240" w:lineRule="exact" w:before="5"/>
        <w:ind w:left="117" w:right="38"/>
        <w:jc w:val="both"/>
      </w:pPr>
      <w:r>
        <w:rPr/>
        <w:t>wholly or partially amortized. The lowest-cost oxy-fuel system in </w:t>
      </w:r>
      <w:hyperlink w:history="true" w:anchor="_bookmark56">
        <w:r>
          <w:rPr>
            <w:spacing w:val="-3"/>
          </w:rPr>
          <w:t>Table </w:t>
        </w:r>
        <w:r>
          <w:rPr/>
          <w:t>3.13 </w:t>
        </w:r>
      </w:hyperlink>
      <w:r>
        <w:rPr/>
        <w:t>is one that employs chemical looping to achieve nearly a 100% reduction in CO</w:t>
      </w:r>
      <w:r>
        <w:rPr>
          <w:position w:val="-6"/>
          <w:sz w:val="11"/>
        </w:rPr>
        <w:t>2 </w:t>
      </w:r>
      <w:r>
        <w:rPr/>
        <w:t>emissions. While this concept thus</w:t>
      </w:r>
      <w:r>
        <w:rPr>
          <w:spacing w:val="-14"/>
        </w:rPr>
        <w:t> </w:t>
      </w:r>
      <w:r>
        <w:rPr/>
        <w:t>appears</w:t>
      </w:r>
      <w:r>
        <w:rPr>
          <w:spacing w:val="-14"/>
        </w:rPr>
        <w:t> </w:t>
      </w:r>
      <w:r>
        <w:rPr/>
        <w:t>promising</w:t>
      </w:r>
      <w:r>
        <w:rPr>
          <w:spacing w:val="-13"/>
        </w:rPr>
        <w:t> </w:t>
      </w:r>
      <w:r>
        <w:rPr/>
        <w:t>(see</w:t>
      </w:r>
      <w:r>
        <w:rPr>
          <w:spacing w:val="-14"/>
        </w:rPr>
        <w:t> </w:t>
      </w:r>
      <w:r>
        <w:rPr/>
        <w:t>Section</w:t>
      </w:r>
      <w:r>
        <w:rPr>
          <w:spacing w:val="-13"/>
        </w:rPr>
        <w:t> </w:t>
      </w:r>
      <w:r>
        <w:rPr/>
        <w:t>3.4.6),</w:t>
      </w:r>
      <w:r>
        <w:rPr>
          <w:spacing w:val="-14"/>
        </w:rPr>
        <w:t> </w:t>
      </w:r>
      <w:r>
        <w:rPr/>
        <w:t>it</w:t>
      </w:r>
      <w:r>
        <w:rPr>
          <w:spacing w:val="-13"/>
        </w:rPr>
        <w:t> </w:t>
      </w:r>
      <w:r>
        <w:rPr/>
        <w:t>has</w:t>
      </w:r>
      <w:r>
        <w:rPr>
          <w:spacing w:val="-14"/>
        </w:rPr>
        <w:t> </w:t>
      </w:r>
      <w:r>
        <w:rPr/>
        <w:t>yet</w:t>
      </w:r>
      <w:r>
        <w:rPr>
          <w:spacing w:val="-13"/>
        </w:rPr>
        <w:t> </w:t>
      </w:r>
      <w:r>
        <w:rPr/>
        <w:t>to</w:t>
      </w:r>
      <w:r>
        <w:rPr>
          <w:spacing w:val="-14"/>
        </w:rPr>
        <w:t> </w:t>
      </w:r>
      <w:r>
        <w:rPr/>
        <w:t>be</w:t>
      </w:r>
      <w:r>
        <w:rPr>
          <w:spacing w:val="-13"/>
        </w:rPr>
        <w:t> </w:t>
      </w:r>
      <w:r>
        <w:rPr/>
        <w:t>tested and</w:t>
      </w:r>
      <w:r>
        <w:rPr>
          <w:spacing w:val="-10"/>
        </w:rPr>
        <w:t> </w:t>
      </w:r>
      <w:r>
        <w:rPr/>
        <w:t>verified</w:t>
      </w:r>
      <w:r>
        <w:rPr>
          <w:spacing w:val="-9"/>
        </w:rPr>
        <w:t> </w:t>
      </w:r>
      <w:r>
        <w:rPr/>
        <w:t>at</w:t>
      </w:r>
      <w:r>
        <w:rPr>
          <w:spacing w:val="-8"/>
        </w:rPr>
        <w:t> </w:t>
      </w:r>
      <w:r>
        <w:rPr/>
        <w:t>a</w:t>
      </w:r>
      <w:r>
        <w:rPr>
          <w:spacing w:val="-9"/>
        </w:rPr>
        <w:t> </w:t>
      </w:r>
      <w:r>
        <w:rPr/>
        <w:t>meaningful</w:t>
      </w:r>
      <w:r>
        <w:rPr>
          <w:spacing w:val="-9"/>
        </w:rPr>
        <w:t> </w:t>
      </w:r>
      <w:r>
        <w:rPr/>
        <w:t>scale.</w:t>
      </w:r>
      <w:r>
        <w:rPr>
          <w:spacing w:val="-13"/>
        </w:rPr>
        <w:t> </w:t>
      </w:r>
      <w:r>
        <w:rPr/>
        <w:t>Thus</w:t>
      </w:r>
      <w:r>
        <w:rPr>
          <w:spacing w:val="-8"/>
        </w:rPr>
        <w:t> </w:t>
      </w:r>
      <w:r>
        <w:rPr/>
        <w:t>cost</w:t>
      </w:r>
      <w:r>
        <w:rPr>
          <w:spacing w:val="-10"/>
        </w:rPr>
        <w:t> </w:t>
      </w:r>
      <w:r>
        <w:rPr/>
        <w:t>estimates</w:t>
      </w:r>
      <w:r>
        <w:rPr>
          <w:spacing w:val="-9"/>
        </w:rPr>
        <w:t> </w:t>
      </w:r>
      <w:r>
        <w:rPr/>
        <w:t>based</w:t>
      </w:r>
      <w:r>
        <w:rPr>
          <w:spacing w:val="-9"/>
        </w:rPr>
        <w:t> </w:t>
      </w:r>
      <w:r>
        <w:rPr/>
        <w:t>on conceptual designs remain highly uncertain at this time.</w:t>
      </w:r>
    </w:p>
    <w:p>
      <w:pPr>
        <w:pStyle w:val="BodyText"/>
        <w:spacing w:line="240" w:lineRule="exact"/>
        <w:ind w:left="117" w:right="38" w:firstLine="284"/>
        <w:jc w:val="both"/>
      </w:pPr>
      <w:r>
        <w:rPr>
          <w:spacing w:val="-7"/>
        </w:rPr>
        <w:t>To </w:t>
      </w:r>
      <w:r>
        <w:rPr/>
        <w:t>judge the potential cost savings of oxy-fuels relative to current CO</w:t>
      </w:r>
      <w:r>
        <w:rPr>
          <w:position w:val="-6"/>
          <w:sz w:val="11"/>
        </w:rPr>
        <w:t>2 </w:t>
      </w:r>
      <w:r>
        <w:rPr/>
        <w:t>capture systems, it is useful to compare the costs of alternative technologies evaluated within a particular study based on a particular set of premises. In this regard, the COE for</w:t>
      </w:r>
      <w:r>
        <w:rPr>
          <w:spacing w:val="-7"/>
        </w:rPr>
        <w:t> </w:t>
      </w:r>
      <w:r>
        <w:rPr/>
        <w:t>the</w:t>
      </w:r>
      <w:r>
        <w:rPr>
          <w:spacing w:val="-6"/>
        </w:rPr>
        <w:t> </w:t>
      </w:r>
      <w:r>
        <w:rPr/>
        <w:t>oxy-fuel</w:t>
      </w:r>
      <w:r>
        <w:rPr>
          <w:spacing w:val="-6"/>
        </w:rPr>
        <w:t> </w:t>
      </w:r>
      <w:r>
        <w:rPr/>
        <w:t>retrofit</w:t>
      </w:r>
      <w:r>
        <w:rPr>
          <w:spacing w:val="-6"/>
        </w:rPr>
        <w:t> </w:t>
      </w:r>
      <w:r>
        <w:rPr/>
        <w:t>system</w:t>
      </w:r>
      <w:r>
        <w:rPr>
          <w:spacing w:val="-6"/>
        </w:rPr>
        <w:t> </w:t>
      </w:r>
      <w:r>
        <w:rPr/>
        <w:t>reported</w:t>
      </w:r>
      <w:r>
        <w:rPr>
          <w:spacing w:val="-6"/>
        </w:rPr>
        <w:t> </w:t>
      </w:r>
      <w:r>
        <w:rPr/>
        <w:t>by</w:t>
      </w:r>
      <w:r>
        <w:rPr>
          <w:spacing w:val="-17"/>
        </w:rPr>
        <w:t> </w:t>
      </w:r>
      <w:r>
        <w:rPr/>
        <w:t>Alstom</w:t>
      </w:r>
      <w:r>
        <w:rPr>
          <w:spacing w:val="-6"/>
        </w:rPr>
        <w:t> </w:t>
      </w:r>
      <w:r>
        <w:rPr>
          <w:i/>
        </w:rPr>
        <w:t>et</w:t>
      </w:r>
      <w:r>
        <w:rPr>
          <w:i/>
          <w:spacing w:val="-6"/>
        </w:rPr>
        <w:t> </w:t>
      </w:r>
      <w:r>
        <w:rPr>
          <w:i/>
        </w:rPr>
        <w:t>al.</w:t>
      </w:r>
      <w:r>
        <w:rPr>
          <w:i/>
          <w:spacing w:val="-7"/>
        </w:rPr>
        <w:t> </w:t>
      </w:r>
      <w:r>
        <w:rPr/>
        <w:t>(2001) in </w:t>
      </w:r>
      <w:hyperlink w:history="true" w:anchor="_bookmark56">
        <w:r>
          <w:rPr>
            <w:spacing w:val="-3"/>
          </w:rPr>
          <w:t>Table </w:t>
        </w:r>
        <w:r>
          <w:rPr/>
          <w:t>3.13 </w:t>
        </w:r>
      </w:hyperlink>
      <w:r>
        <w:rPr/>
        <w:t>is 20% lower than the cost of an amine system retrofit </w:t>
      </w:r>
      <w:r>
        <w:rPr>
          <w:spacing w:val="-3"/>
        </w:rPr>
        <w:t>(T</w:t>
      </w:r>
      <w:hyperlink w:history="true" w:anchor="_bookmark56">
        <w:r>
          <w:rPr>
            <w:spacing w:val="-3"/>
          </w:rPr>
          <w:t>able </w:t>
        </w:r>
        <w:r>
          <w:rPr/>
          <w:t>3.13) </w:t>
        </w:r>
      </w:hyperlink>
      <w:r>
        <w:rPr/>
        <w:t>for the same 255 MW plant, while the cost of CO</w:t>
      </w:r>
      <w:r>
        <w:rPr>
          <w:position w:val="-6"/>
          <w:sz w:val="11"/>
        </w:rPr>
        <w:t>2 </w:t>
      </w:r>
      <w:r>
        <w:rPr/>
        <w:t>avoided is 26% lower. In contrast, a recent study by  the Canadian Clean Power Coalition (Stobbs and Clark, 2005) reports that the COE for an oxy-fuel system at a large lignite- fired plant </w:t>
      </w:r>
      <w:r>
        <w:rPr>
          <w:spacing w:val="-3"/>
        </w:rPr>
        <w:t>(T</w:t>
      </w:r>
      <w:hyperlink w:history="true" w:anchor="_bookmark56">
        <w:r>
          <w:rPr>
            <w:spacing w:val="-3"/>
          </w:rPr>
          <w:t>able </w:t>
        </w:r>
        <w:r>
          <w:rPr/>
          <w:t>3.13) </w:t>
        </w:r>
      </w:hyperlink>
      <w:r>
        <w:rPr/>
        <w:t>is 36% higher than for an amine CO</w:t>
      </w:r>
      <w:r>
        <w:rPr>
          <w:position w:val="-6"/>
          <w:sz w:val="11"/>
        </w:rPr>
        <w:t>2 </w:t>
      </w:r>
      <w:r>
        <w:rPr/>
        <w:t>capture system, while the cost of CO</w:t>
      </w:r>
      <w:r>
        <w:rPr>
          <w:position w:val="-6"/>
          <w:sz w:val="11"/>
        </w:rPr>
        <w:t>2 </w:t>
      </w:r>
      <w:r>
        <w:rPr/>
        <w:t>avoided is more than twice as great. The major source of that cost difference was a specification in the CCPC study that the oxy-fuelled unit also be capable of full air firing. This resulted in a much higher capital cost than for a new unit designed solely for oxy-fuel operation.</w:t>
      </w:r>
      <w:r>
        <w:rPr>
          <w:spacing w:val="-15"/>
        </w:rPr>
        <w:t> </w:t>
      </w:r>
      <w:r>
        <w:rPr/>
        <w:t>A</w:t>
      </w:r>
      <w:r>
        <w:rPr>
          <w:spacing w:val="-14"/>
        </w:rPr>
        <w:t> </w:t>
      </w:r>
      <w:r>
        <w:rPr/>
        <w:t>more</w:t>
      </w:r>
      <w:r>
        <w:rPr>
          <w:spacing w:val="-4"/>
        </w:rPr>
        <w:t> </w:t>
      </w:r>
      <w:r>
        <w:rPr/>
        <w:t>recent</w:t>
      </w:r>
      <w:r>
        <w:rPr>
          <w:spacing w:val="-3"/>
        </w:rPr>
        <w:t> </w:t>
      </w:r>
      <w:r>
        <w:rPr/>
        <w:t>study</w:t>
      </w:r>
      <w:r>
        <w:rPr>
          <w:spacing w:val="-4"/>
        </w:rPr>
        <w:t> </w:t>
      </w:r>
      <w:r>
        <w:rPr/>
        <w:t>sponsored</w:t>
      </w:r>
      <w:r>
        <w:rPr>
          <w:spacing w:val="-3"/>
        </w:rPr>
        <w:t> </w:t>
      </w:r>
      <w:r>
        <w:rPr/>
        <w:t>by</w:t>
      </w:r>
      <w:r>
        <w:rPr>
          <w:spacing w:val="-4"/>
        </w:rPr>
        <w:t> </w:t>
      </w:r>
      <w:r>
        <w:rPr/>
        <w:t>IEA</w:t>
      </w:r>
      <w:r>
        <w:rPr>
          <w:spacing w:val="-14"/>
        </w:rPr>
        <w:t> </w:t>
      </w:r>
      <w:r>
        <w:rPr/>
        <w:t>GHG</w:t>
      </w:r>
      <w:r>
        <w:rPr>
          <w:spacing w:val="-4"/>
        </w:rPr>
        <w:t> </w:t>
      </w:r>
      <w:r>
        <w:rPr/>
        <w:t>(Dillon </w:t>
      </w:r>
      <w:r>
        <w:rPr>
          <w:i/>
        </w:rPr>
        <w:t>et al.</w:t>
      </w:r>
      <w:r>
        <w:rPr/>
        <w:t>, 2005) found that a large new supercritical coal-fired boiler with oxy-fuel combustion had a COE slightly (2-3%) lower than a state-of-the-art coal plant with post-combustion analyzed in a separate study employing similar assumptions (IEA GHG, 2004). Further cost reductions could be achieved with the successful development of new lower-cost oxygen production technology (see Section 3.4.5). At the current time, the optimum designs of oxy-fuel combustion systems are not yet well established and costs of proposed commercial designs remain uncertain. This is especially true for advanced </w:t>
      </w:r>
      <w:r>
        <w:rPr>
          <w:spacing w:val="-3"/>
        </w:rPr>
        <w:t>design </w:t>
      </w:r>
      <w:r>
        <w:rPr/>
        <w:t>concepts that employ components which are not yet available or still in the development stage, such as CO</w:t>
      </w:r>
      <w:r>
        <w:rPr>
          <w:position w:val="-6"/>
          <w:sz w:val="11"/>
        </w:rPr>
        <w:t>2 </w:t>
      </w:r>
      <w:r>
        <w:rPr/>
        <w:t>gas turbines or high temperature ceramic membranes for oxygen production.</w:t>
      </w:r>
    </w:p>
    <w:p>
      <w:pPr>
        <w:pStyle w:val="BodyText"/>
        <w:spacing w:before="10"/>
      </w:pPr>
    </w:p>
    <w:p>
      <w:pPr>
        <w:pStyle w:val="ListParagraph"/>
        <w:numPr>
          <w:ilvl w:val="3"/>
          <w:numId w:val="30"/>
        </w:numPr>
        <w:tabs>
          <w:tab w:pos="937" w:val="left" w:leader="none"/>
        </w:tabs>
        <w:spacing w:line="240" w:lineRule="exact" w:before="0" w:after="0"/>
        <w:ind w:left="117" w:right="38" w:firstLine="0"/>
        <w:jc w:val="left"/>
        <w:rPr>
          <w:sz w:val="20"/>
        </w:rPr>
      </w:pPr>
      <w:r>
        <w:rPr>
          <w:i/>
          <w:sz w:val="20"/>
        </w:rPr>
        <w:t>Advanced systems with post-combustion capture </w:t>
      </w:r>
      <w:r>
        <w:rPr>
          <w:sz w:val="20"/>
        </w:rPr>
        <w:t>Improvements to current amine-based systems for post- combustion CO</w:t>
      </w:r>
      <w:r>
        <w:rPr>
          <w:position w:val="-6"/>
          <w:sz w:val="11"/>
        </w:rPr>
        <w:t>2 </w:t>
      </w:r>
      <w:r>
        <w:rPr>
          <w:sz w:val="20"/>
        </w:rPr>
        <w:t>capture are being pursued by a number </w:t>
      </w:r>
      <w:r>
        <w:rPr>
          <w:spacing w:val="-6"/>
          <w:sz w:val="20"/>
        </w:rPr>
        <w:t>of </w:t>
      </w:r>
      <w:r>
        <w:rPr>
          <w:sz w:val="20"/>
        </w:rPr>
        <w:t>process developers (Mimura </w:t>
      </w:r>
      <w:r>
        <w:rPr>
          <w:i/>
          <w:sz w:val="20"/>
        </w:rPr>
        <w:t>et al.</w:t>
      </w:r>
      <w:r>
        <w:rPr>
          <w:sz w:val="20"/>
        </w:rPr>
        <w:t>, 2003; Muramatsu and Iijima, 2003; Reddy </w:t>
      </w:r>
      <w:r>
        <w:rPr>
          <w:i/>
          <w:sz w:val="20"/>
        </w:rPr>
        <w:t>et al.</w:t>
      </w:r>
      <w:r>
        <w:rPr>
          <w:sz w:val="20"/>
        </w:rPr>
        <w:t>, 2003) and may offer the nearest- term potential for cost reductions over the systems currently  in use. The newest systems summarized earlier in </w:t>
      </w:r>
      <w:hyperlink w:history="true" w:anchor="_bookmark29">
        <w:r>
          <w:rPr>
            <w:spacing w:val="-3"/>
            <w:sz w:val="20"/>
          </w:rPr>
          <w:t>Table </w:t>
        </w:r>
        <w:r>
          <w:rPr>
            <w:sz w:val="20"/>
          </w:rPr>
          <w:t>3.7</w:t>
        </w:r>
      </w:hyperlink>
      <w:r>
        <w:rPr>
          <w:sz w:val="20"/>
        </w:rPr>
        <w:t> reportedly reduce the cost of CO</w:t>
      </w:r>
      <w:hyperlink w:history="true" w:anchor="_bookmark56">
        <w:r>
          <w:rPr>
            <w:position w:val="-6"/>
            <w:sz w:val="11"/>
          </w:rPr>
          <w:t>2</w:t>
        </w:r>
      </w:hyperlink>
      <w:r>
        <w:rPr>
          <w:position w:val="-6"/>
          <w:sz w:val="11"/>
        </w:rPr>
        <w:t> </w:t>
      </w:r>
      <w:r>
        <w:rPr>
          <w:sz w:val="20"/>
        </w:rPr>
        <w:t>avoided by approximately 20-30% (IEA GHG, 2004). </w:t>
      </w:r>
      <w:hyperlink w:history="true" w:anchor="_bookmark56">
        <w:r>
          <w:rPr>
            <w:spacing w:val="-3"/>
            <w:sz w:val="20"/>
          </w:rPr>
          <w:t>Table </w:t>
        </w:r>
        <w:r>
          <w:rPr>
            <w:sz w:val="20"/>
          </w:rPr>
          <w:t>3.13 </w:t>
        </w:r>
      </w:hyperlink>
      <w:r>
        <w:rPr>
          <w:sz w:val="20"/>
        </w:rPr>
        <w:t>indicates that additional advances</w:t>
      </w:r>
      <w:r>
        <w:rPr>
          <w:spacing w:val="-7"/>
          <w:sz w:val="20"/>
        </w:rPr>
        <w:t> </w:t>
      </w:r>
      <w:r>
        <w:rPr>
          <w:sz w:val="20"/>
        </w:rPr>
        <w:t>in</w:t>
      </w:r>
      <w:r>
        <w:rPr>
          <w:spacing w:val="-7"/>
          <w:sz w:val="20"/>
        </w:rPr>
        <w:t> </w:t>
      </w:r>
      <w:r>
        <w:rPr>
          <w:sz w:val="20"/>
        </w:rPr>
        <w:t>plant</w:t>
      </w:r>
      <w:r>
        <w:rPr>
          <w:spacing w:val="-7"/>
          <w:sz w:val="20"/>
        </w:rPr>
        <w:t> </w:t>
      </w:r>
      <w:r>
        <w:rPr>
          <w:sz w:val="20"/>
        </w:rPr>
        <w:t>heat</w:t>
      </w:r>
      <w:r>
        <w:rPr>
          <w:spacing w:val="-7"/>
          <w:sz w:val="20"/>
        </w:rPr>
        <w:t> </w:t>
      </w:r>
      <w:r>
        <w:rPr>
          <w:sz w:val="20"/>
        </w:rPr>
        <w:t>integration</w:t>
      </w:r>
      <w:r>
        <w:rPr>
          <w:spacing w:val="-7"/>
          <w:sz w:val="20"/>
        </w:rPr>
        <w:t> </w:t>
      </w:r>
      <w:r>
        <w:rPr>
          <w:sz w:val="20"/>
        </w:rPr>
        <w:t>could</w:t>
      </w:r>
      <w:r>
        <w:rPr>
          <w:spacing w:val="-7"/>
          <w:sz w:val="20"/>
        </w:rPr>
        <w:t> </w:t>
      </w:r>
      <w:r>
        <w:rPr>
          <w:sz w:val="20"/>
        </w:rPr>
        <w:t>further</w:t>
      </w:r>
      <w:r>
        <w:rPr>
          <w:spacing w:val="-7"/>
          <w:sz w:val="20"/>
        </w:rPr>
        <w:t> </w:t>
      </w:r>
      <w:r>
        <w:rPr>
          <w:sz w:val="20"/>
        </w:rPr>
        <w:t>reduce</w:t>
      </w:r>
      <w:r>
        <w:rPr>
          <w:spacing w:val="-7"/>
          <w:sz w:val="20"/>
        </w:rPr>
        <w:t> </w:t>
      </w:r>
      <w:r>
        <w:rPr>
          <w:sz w:val="20"/>
        </w:rPr>
        <w:t>the</w:t>
      </w:r>
      <w:r>
        <w:rPr>
          <w:spacing w:val="-6"/>
          <w:sz w:val="20"/>
        </w:rPr>
        <w:t> </w:t>
      </w:r>
      <w:r>
        <w:rPr>
          <w:spacing w:val="-5"/>
          <w:sz w:val="20"/>
        </w:rPr>
        <w:t>COE </w:t>
      </w:r>
      <w:r>
        <w:rPr>
          <w:sz w:val="20"/>
        </w:rPr>
        <w:t>of</w:t>
      </w:r>
      <w:r>
        <w:rPr>
          <w:spacing w:val="-6"/>
          <w:sz w:val="20"/>
        </w:rPr>
        <w:t> </w:t>
      </w:r>
      <w:r>
        <w:rPr>
          <w:sz w:val="20"/>
        </w:rPr>
        <w:t>capture</w:t>
      </w:r>
      <w:r>
        <w:rPr>
          <w:spacing w:val="-5"/>
          <w:sz w:val="20"/>
        </w:rPr>
        <w:t> </w:t>
      </w:r>
      <w:r>
        <w:rPr>
          <w:sz w:val="20"/>
        </w:rPr>
        <w:t>plants</w:t>
      </w:r>
      <w:r>
        <w:rPr>
          <w:spacing w:val="-6"/>
          <w:sz w:val="20"/>
        </w:rPr>
        <w:t> </w:t>
      </w:r>
      <w:r>
        <w:rPr>
          <w:sz w:val="20"/>
        </w:rPr>
        <w:t>by</w:t>
      </w:r>
      <w:r>
        <w:rPr>
          <w:spacing w:val="-5"/>
          <w:sz w:val="20"/>
        </w:rPr>
        <w:t> </w:t>
      </w:r>
      <w:r>
        <w:rPr>
          <w:sz w:val="20"/>
        </w:rPr>
        <w:t>about</w:t>
      </w:r>
      <w:r>
        <w:rPr>
          <w:spacing w:val="-5"/>
          <w:sz w:val="20"/>
        </w:rPr>
        <w:t> </w:t>
      </w:r>
      <w:r>
        <w:rPr>
          <w:sz w:val="20"/>
        </w:rPr>
        <w:t>5%.</w:t>
      </w:r>
      <w:r>
        <w:rPr>
          <w:spacing w:val="-10"/>
          <w:sz w:val="20"/>
        </w:rPr>
        <w:t> </w:t>
      </w:r>
      <w:r>
        <w:rPr>
          <w:sz w:val="20"/>
        </w:rPr>
        <w:t>These</w:t>
      </w:r>
      <w:r>
        <w:rPr>
          <w:spacing w:val="-5"/>
          <w:sz w:val="20"/>
        </w:rPr>
        <w:t> </w:t>
      </w:r>
      <w:r>
        <w:rPr>
          <w:sz w:val="20"/>
        </w:rPr>
        <w:t>results</w:t>
      </w:r>
      <w:r>
        <w:rPr>
          <w:spacing w:val="-6"/>
          <w:sz w:val="20"/>
        </w:rPr>
        <w:t> </w:t>
      </w:r>
      <w:r>
        <w:rPr>
          <w:sz w:val="20"/>
        </w:rPr>
        <w:t>are</w:t>
      </w:r>
      <w:r>
        <w:rPr>
          <w:spacing w:val="-5"/>
          <w:sz w:val="20"/>
        </w:rPr>
        <w:t> </w:t>
      </w:r>
      <w:r>
        <w:rPr>
          <w:sz w:val="20"/>
        </w:rPr>
        <w:t>consistent</w:t>
      </w:r>
      <w:r>
        <w:rPr>
          <w:spacing w:val="-5"/>
          <w:sz w:val="20"/>
        </w:rPr>
        <w:t> </w:t>
      </w:r>
      <w:r>
        <w:rPr>
          <w:sz w:val="20"/>
        </w:rPr>
        <w:t>with</w:t>
      </w:r>
    </w:p>
    <w:p>
      <w:pPr>
        <w:pStyle w:val="BodyText"/>
        <w:spacing w:line="240" w:lineRule="exact" w:before="48"/>
        <w:ind w:left="43" w:right="110"/>
        <w:jc w:val="right"/>
      </w:pPr>
      <w:r>
        <w:rPr/>
        <w:br w:type="column"/>
      </w:r>
      <w:r>
        <w:rPr/>
        <w:t>a recent study by Rao </w:t>
      </w:r>
      <w:r>
        <w:rPr>
          <w:i/>
        </w:rPr>
        <w:t>et al. </w:t>
      </w:r>
      <w:r>
        <w:rPr/>
        <w:t>(2003), who used expert elicitations and a plant simulation model to quantify the improvements likely achievable by 2015 for four key process parameters: sorbent concentration, regeneration energy requirements, sorbent loss and sorbent cost. The ‘most likely’ improvement was an 18% reduction in COE, while the ‘optimistic’ estimates yielded a 36% cost reduction from improvements in just </w:t>
      </w:r>
      <w:r>
        <w:rPr>
          <w:spacing w:val="-3"/>
        </w:rPr>
        <w:t>these</w:t>
      </w:r>
      <w:r>
        <w:rPr/>
        <w:t> four parameters. The cost of CO</w:t>
      </w:r>
      <w:r>
        <w:rPr>
          <w:position w:val="-6"/>
          <w:sz w:val="11"/>
        </w:rPr>
        <w:t>2 </w:t>
      </w:r>
      <w:r>
        <w:rPr/>
        <w:t>avoided was reduced </w:t>
      </w:r>
      <w:r>
        <w:rPr>
          <w:spacing w:val="-6"/>
        </w:rPr>
        <w:t>by</w:t>
      </w:r>
      <w:r>
        <w:rPr/>
        <w:t> similar amounts. Advances in more efficient heat integration (for sorbent regeneration) and higher power plant efficiency</w:t>
      </w:r>
      <w:r>
        <w:rPr>
          <w:w w:val="98"/>
        </w:rPr>
        <w:t> </w:t>
      </w:r>
      <w:r>
        <w:rPr/>
        <w:t>could lead to even greater reductions in CO</w:t>
      </w:r>
      <w:r>
        <w:rPr>
          <w:position w:val="-6"/>
          <w:sz w:val="11"/>
        </w:rPr>
        <w:t>2 </w:t>
      </w:r>
      <w:r>
        <w:rPr/>
        <w:t>capture </w:t>
      </w:r>
      <w:r>
        <w:rPr>
          <w:spacing w:val="-3"/>
        </w:rPr>
        <w:t>cost.</w:t>
      </w:r>
    </w:p>
    <w:p>
      <w:pPr>
        <w:pStyle w:val="BodyText"/>
        <w:spacing w:line="240" w:lineRule="exact"/>
        <w:ind w:left="117" w:right="111" w:firstLine="283"/>
        <w:jc w:val="both"/>
      </w:pPr>
      <w:r>
        <w:rPr/>
        <w:t>Advances</w:t>
      </w:r>
      <w:r>
        <w:rPr>
          <w:spacing w:val="-15"/>
        </w:rPr>
        <w:t> </w:t>
      </w:r>
      <w:r>
        <w:rPr/>
        <w:t>in</w:t>
      </w:r>
      <w:r>
        <w:rPr>
          <w:spacing w:val="-15"/>
        </w:rPr>
        <w:t> </w:t>
      </w:r>
      <w:r>
        <w:rPr/>
        <w:t>gas</w:t>
      </w:r>
      <w:r>
        <w:rPr>
          <w:spacing w:val="-15"/>
        </w:rPr>
        <w:t> </w:t>
      </w:r>
      <w:r>
        <w:rPr/>
        <w:t>turbine</w:t>
      </w:r>
      <w:r>
        <w:rPr>
          <w:spacing w:val="-15"/>
        </w:rPr>
        <w:t> </w:t>
      </w:r>
      <w:r>
        <w:rPr/>
        <w:t>technology</w:t>
      </w:r>
      <w:r>
        <w:rPr>
          <w:spacing w:val="-15"/>
        </w:rPr>
        <w:t> </w:t>
      </w:r>
      <w:r>
        <w:rPr/>
        <w:t>produce</w:t>
      </w:r>
      <w:r>
        <w:rPr>
          <w:spacing w:val="-16"/>
        </w:rPr>
        <w:t> </w:t>
      </w:r>
      <w:r>
        <w:rPr/>
        <w:t>similar</w:t>
      </w:r>
      <w:r>
        <w:rPr>
          <w:spacing w:val="-15"/>
        </w:rPr>
        <w:t> </w:t>
      </w:r>
      <w:r>
        <w:rPr/>
        <w:t>benefits for NGCC systems. </w:t>
      </w:r>
      <w:hyperlink w:history="true" w:anchor="_bookmark56">
        <w:r>
          <w:rPr>
            <w:spacing w:val="-3"/>
          </w:rPr>
          <w:t>Table </w:t>
        </w:r>
        <w:r>
          <w:rPr/>
          <w:t>3.13 </w:t>
        </w:r>
      </w:hyperlink>
      <w:r>
        <w:rPr/>
        <w:t>shows several cases based on the H-turbine design. Relative to the cases in </w:t>
      </w:r>
      <w:hyperlink w:history="true" w:anchor="_bookmark39">
        <w:r>
          <w:rPr>
            <w:spacing w:val="-3"/>
          </w:rPr>
          <w:t>Table </w:t>
        </w:r>
        <w:r>
          <w:rPr/>
          <w:t>3.9, </w:t>
        </w:r>
      </w:hyperlink>
      <w:r>
        <w:rPr/>
        <w:t>these systems offer higher efficiency and greater  CO</w:t>
      </w:r>
      <w:r>
        <w:rPr>
          <w:position w:val="-6"/>
          <w:sz w:val="11"/>
        </w:rPr>
        <w:t>2  </w:t>
      </w:r>
      <w:r>
        <w:rPr/>
        <w:t>reductions per kWh. The higher COEs for the advanced NGCC systems reflects the higher natural gas prices assumed in more </w:t>
      </w:r>
      <w:r>
        <w:rPr>
          <w:spacing w:val="-3"/>
        </w:rPr>
        <w:t>recent </w:t>
      </w:r>
      <w:r>
        <w:rPr/>
        <w:t>studies.</w:t>
      </w:r>
    </w:p>
    <w:p>
      <w:pPr>
        <w:pStyle w:val="BodyText"/>
        <w:spacing w:line="240" w:lineRule="exact"/>
        <w:ind w:left="117" w:right="110" w:firstLine="284"/>
        <w:jc w:val="both"/>
      </w:pPr>
      <w:hyperlink w:history="true" w:anchor="_bookmark56">
        <w:r>
          <w:rPr/>
          <w:t>Table 3.13</w:t>
        </w:r>
      </w:hyperlink>
      <w:r>
        <w:rPr/>
        <w:t> indicates that other advanced technologies for post-combustion applications, such as membrane separation systems, may also lower the future cost of CO</w:t>
      </w:r>
      <w:r>
        <w:rPr>
          <w:position w:val="-6"/>
          <w:sz w:val="11"/>
        </w:rPr>
        <w:t>2 </w:t>
      </w:r>
      <w:r>
        <w:rPr/>
        <w:t>capture (see Section 3.3.3). Reliable cost estimates for such technologies should await their further development and demonstration.</w:t>
      </w:r>
    </w:p>
    <w:p>
      <w:pPr>
        <w:pStyle w:val="BodyText"/>
        <w:spacing w:before="3"/>
        <w:rPr>
          <w:sz w:val="21"/>
        </w:rPr>
      </w:pPr>
    </w:p>
    <w:p>
      <w:pPr>
        <w:pStyle w:val="ListParagraph"/>
        <w:numPr>
          <w:ilvl w:val="3"/>
          <w:numId w:val="30"/>
        </w:numPr>
        <w:tabs>
          <w:tab w:pos="938" w:val="left" w:leader="none"/>
        </w:tabs>
        <w:spacing w:line="240" w:lineRule="auto" w:before="1" w:after="0"/>
        <w:ind w:left="937" w:right="0" w:hanging="821"/>
        <w:jc w:val="both"/>
        <w:rPr>
          <w:i/>
          <w:sz w:val="20"/>
        </w:rPr>
      </w:pPr>
      <w:r>
        <w:rPr>
          <w:i/>
          <w:sz w:val="20"/>
        </w:rPr>
        <w:t>Advanced systems with pre-combustion</w:t>
      </w:r>
      <w:r>
        <w:rPr>
          <w:i/>
          <w:spacing w:val="-7"/>
          <w:sz w:val="20"/>
        </w:rPr>
        <w:t> </w:t>
      </w:r>
      <w:r>
        <w:rPr>
          <w:i/>
          <w:sz w:val="20"/>
        </w:rPr>
        <w:t>capture</w:t>
      </w:r>
    </w:p>
    <w:p>
      <w:pPr>
        <w:pStyle w:val="BodyText"/>
        <w:spacing w:line="240" w:lineRule="exact" w:before="4"/>
        <w:ind w:left="117" w:right="102"/>
        <w:jc w:val="both"/>
      </w:pPr>
      <w:r>
        <w:rPr/>
        <w:t>The cost of gasification-based systems with CO</w:t>
      </w:r>
      <w:r>
        <w:rPr>
          <w:position w:val="-6"/>
          <w:sz w:val="11"/>
        </w:rPr>
        <w:t>2 </w:t>
      </w:r>
      <w:r>
        <w:rPr/>
        <w:t>capture also can be expected to fall as a result of continued improvements in gas turbine technology, gasifier designs, oxygen production systems, carbon capture technology, energy management and optimization of the overall facility. One recent study (IEA GHG,</w:t>
      </w:r>
      <w:r>
        <w:rPr>
          <w:spacing w:val="-7"/>
        </w:rPr>
        <w:t> </w:t>
      </w:r>
      <w:r>
        <w:rPr/>
        <w:t>2003)</w:t>
      </w:r>
      <w:r>
        <w:rPr>
          <w:spacing w:val="-5"/>
        </w:rPr>
        <w:t> </w:t>
      </w:r>
      <w:r>
        <w:rPr/>
        <w:t>estimates</w:t>
      </w:r>
      <w:r>
        <w:rPr>
          <w:spacing w:val="-6"/>
        </w:rPr>
        <w:t> </w:t>
      </w:r>
      <w:r>
        <w:rPr/>
        <w:t>a</w:t>
      </w:r>
      <w:r>
        <w:rPr>
          <w:spacing w:val="-6"/>
        </w:rPr>
        <w:t> </w:t>
      </w:r>
      <w:r>
        <w:rPr/>
        <w:t>20%</w:t>
      </w:r>
      <w:r>
        <w:rPr>
          <w:spacing w:val="-5"/>
        </w:rPr>
        <w:t> </w:t>
      </w:r>
      <w:r>
        <w:rPr/>
        <w:t>reduction</w:t>
      </w:r>
      <w:r>
        <w:rPr>
          <w:spacing w:val="-6"/>
        </w:rPr>
        <w:t> </w:t>
      </w:r>
      <w:r>
        <w:rPr/>
        <w:t>in</w:t>
      </w:r>
      <w:r>
        <w:rPr>
          <w:spacing w:val="-6"/>
        </w:rPr>
        <w:t> </w:t>
      </w:r>
      <w:r>
        <w:rPr/>
        <w:t>the</w:t>
      </w:r>
      <w:r>
        <w:rPr>
          <w:spacing w:val="-5"/>
        </w:rPr>
        <w:t> </w:t>
      </w:r>
      <w:r>
        <w:rPr/>
        <w:t>cost</w:t>
      </w:r>
      <w:r>
        <w:rPr>
          <w:spacing w:val="-5"/>
        </w:rPr>
        <w:t> </w:t>
      </w:r>
      <w:r>
        <w:rPr/>
        <w:t>of</w:t>
      </w:r>
      <w:r>
        <w:rPr>
          <w:spacing w:val="-5"/>
        </w:rPr>
        <w:t> </w:t>
      </w:r>
      <w:r>
        <w:rPr/>
        <w:t>electricity generation from a coal-based IGCC plant with CO</w:t>
      </w:r>
      <w:r>
        <w:rPr>
          <w:position w:val="-6"/>
          <w:sz w:val="11"/>
        </w:rPr>
        <w:t>2 </w:t>
      </w:r>
      <w:r>
        <w:rPr/>
        <w:t>capture by 2020. This takes into account improvements in gasification, oxygen production, physical solvent scrubbing and combined cycle processes, but does not take into account any possible radical</w:t>
      </w:r>
      <w:r>
        <w:rPr>
          <w:spacing w:val="-22"/>
        </w:rPr>
        <w:t> </w:t>
      </w:r>
      <w:r>
        <w:rPr/>
        <w:t>innovations</w:t>
      </w:r>
      <w:r>
        <w:rPr>
          <w:spacing w:val="-22"/>
        </w:rPr>
        <w:t> </w:t>
      </w:r>
      <w:r>
        <w:rPr/>
        <w:t>in</w:t>
      </w:r>
      <w:r>
        <w:rPr>
          <w:spacing w:val="-22"/>
        </w:rPr>
        <w:t> </w:t>
      </w:r>
      <w:r>
        <w:rPr/>
        <w:t>CO</w:t>
      </w:r>
      <w:hyperlink w:history="true" w:anchor="_bookmark56">
        <w:r>
          <w:rPr>
            <w:position w:val="-6"/>
            <w:sz w:val="11"/>
          </w:rPr>
          <w:t>2</w:t>
        </w:r>
        <w:r>
          <w:rPr>
            <w:spacing w:val="1"/>
            <w:position w:val="-6"/>
            <w:sz w:val="11"/>
          </w:rPr>
          <w:t> </w:t>
        </w:r>
      </w:hyperlink>
      <w:r>
        <w:rPr/>
        <w:t>separation</w:t>
      </w:r>
      <w:r>
        <w:rPr>
          <w:spacing w:val="-22"/>
        </w:rPr>
        <w:t> </w:t>
      </w:r>
      <w:r>
        <w:rPr/>
        <w:t>technology.</w:t>
      </w:r>
      <w:r>
        <w:rPr>
          <w:spacing w:val="-25"/>
        </w:rPr>
        <w:t> </w:t>
      </w:r>
      <w:r>
        <w:rPr/>
        <w:t>The</w:t>
      </w:r>
      <w:r>
        <w:rPr>
          <w:spacing w:val="-22"/>
        </w:rPr>
        <w:t> </w:t>
      </w:r>
      <w:r>
        <w:rPr/>
        <w:t>additional IGCC</w:t>
      </w:r>
      <w:r>
        <w:rPr>
          <w:spacing w:val="-6"/>
        </w:rPr>
        <w:t> </w:t>
      </w:r>
      <w:r>
        <w:rPr/>
        <w:t>cases</w:t>
      </w:r>
      <w:r>
        <w:rPr>
          <w:spacing w:val="-5"/>
        </w:rPr>
        <w:t> </w:t>
      </w:r>
      <w:r>
        <w:rPr/>
        <w:t>shown</w:t>
      </w:r>
      <w:r>
        <w:rPr>
          <w:spacing w:val="-6"/>
        </w:rPr>
        <w:t> </w:t>
      </w:r>
      <w:r>
        <w:rPr/>
        <w:t>in</w:t>
      </w:r>
      <w:r>
        <w:rPr>
          <w:spacing w:val="-10"/>
        </w:rPr>
        <w:t> </w:t>
      </w:r>
      <w:hyperlink w:history="true" w:anchor="_bookmark56">
        <w:r>
          <w:rPr>
            <w:spacing w:val="-3"/>
          </w:rPr>
          <w:t>Table</w:t>
        </w:r>
        <w:r>
          <w:rPr>
            <w:spacing w:val="-5"/>
          </w:rPr>
          <w:t> </w:t>
        </w:r>
        <w:r>
          <w:rPr/>
          <w:t>3.13,</w:t>
        </w:r>
        <w:r>
          <w:rPr>
            <w:spacing w:val="-5"/>
          </w:rPr>
          <w:t> </w:t>
        </w:r>
      </w:hyperlink>
      <w:r>
        <w:rPr/>
        <w:t>including</w:t>
      </w:r>
      <w:r>
        <w:rPr>
          <w:spacing w:val="-6"/>
        </w:rPr>
        <w:t> </w:t>
      </w:r>
      <w:r>
        <w:rPr/>
        <w:t>recent</w:t>
      </w:r>
      <w:r>
        <w:rPr>
          <w:spacing w:val="-6"/>
        </w:rPr>
        <w:t> </w:t>
      </w:r>
      <w:r>
        <w:rPr/>
        <w:t>results</w:t>
      </w:r>
      <w:r>
        <w:rPr>
          <w:spacing w:val="-5"/>
        </w:rPr>
        <w:t> </w:t>
      </w:r>
      <w:r>
        <w:rPr/>
        <w:t>of</w:t>
      </w:r>
      <w:r>
        <w:rPr>
          <w:spacing w:val="-5"/>
        </w:rPr>
        <w:t> </w:t>
      </w:r>
      <w:r>
        <w:rPr/>
        <w:t>the CO</w:t>
      </w:r>
      <w:r>
        <w:rPr>
          <w:position w:val="-6"/>
          <w:sz w:val="11"/>
        </w:rPr>
        <w:t>2 </w:t>
      </w:r>
      <w:r>
        <w:rPr/>
        <w:t>Capture Project </w:t>
      </w:r>
      <w:r>
        <w:rPr>
          <w:spacing w:val="-5"/>
        </w:rPr>
        <w:t>(CCP, </w:t>
      </w:r>
      <w:r>
        <w:rPr/>
        <w:t>2005), foresee similar reductions in the COE of advanced IGCC systems compared to the systems in </w:t>
      </w:r>
      <w:hyperlink w:history="true" w:anchor="_bookmark46">
        <w:r>
          <w:rPr>
            <w:spacing w:val="-3"/>
          </w:rPr>
          <w:t>Table</w:t>
        </w:r>
        <w:r>
          <w:rPr>
            <w:spacing w:val="-4"/>
          </w:rPr>
          <w:t> </w:t>
        </w:r>
        <w:r>
          <w:rPr/>
          <w:t>3.10.</w:t>
        </w:r>
      </w:hyperlink>
    </w:p>
    <w:p>
      <w:pPr>
        <w:pStyle w:val="BodyText"/>
        <w:rPr>
          <w:sz w:val="23"/>
        </w:rPr>
      </w:pPr>
    </w:p>
    <w:p>
      <w:pPr>
        <w:pStyle w:val="Heading2"/>
        <w:numPr>
          <w:ilvl w:val="2"/>
          <w:numId w:val="30"/>
        </w:numPr>
        <w:tabs>
          <w:tab w:pos="937" w:val="left" w:leader="none"/>
          <w:tab w:pos="938" w:val="left" w:leader="none"/>
        </w:tabs>
        <w:spacing w:line="206" w:lineRule="auto" w:before="0" w:after="0"/>
        <w:ind w:left="937" w:right="442" w:hanging="821"/>
        <w:jc w:val="left"/>
      </w:pPr>
      <w:r>
        <w:rPr>
          <w:i/>
        </w:rPr>
        <w:t>CO</w:t>
      </w:r>
      <w:r>
        <w:rPr>
          <w:i/>
          <w:position w:val="-6"/>
          <w:sz w:val="11"/>
        </w:rPr>
        <w:t>2 </w:t>
      </w:r>
      <w:r>
        <w:rPr>
          <w:i/>
        </w:rPr>
        <w:t>capture costs for hydrogen production and </w:t>
      </w:r>
      <w:r>
        <w:rPr/>
        <w:t>multi-product plants (advanced technology)</w:t>
      </w:r>
    </w:p>
    <w:p>
      <w:pPr>
        <w:pStyle w:val="BodyText"/>
        <w:spacing w:before="2"/>
        <w:rPr>
          <w:b/>
          <w:i/>
          <w:sz w:val="22"/>
        </w:rPr>
      </w:pPr>
    </w:p>
    <w:p>
      <w:pPr>
        <w:pStyle w:val="BodyText"/>
        <w:spacing w:line="249" w:lineRule="auto"/>
        <w:ind w:left="117" w:right="111"/>
        <w:jc w:val="both"/>
      </w:pPr>
      <w:hyperlink w:history="true" w:anchor="_bookmark58">
        <w:r>
          <w:rPr/>
          <w:t>Table 3.14</w:t>
        </w:r>
      </w:hyperlink>
      <w:r>
        <w:rPr/>
        <w:t> shows results of several recent studies that have projected the performance and cost of new or improved ways of producing hydrogen and electricity from fossil fuels.</w:t>
      </w:r>
    </w:p>
    <w:p>
      <w:pPr>
        <w:pStyle w:val="BodyText"/>
        <w:spacing w:line="225" w:lineRule="auto" w:before="14"/>
        <w:ind w:left="117" w:right="110" w:firstLine="283"/>
        <w:jc w:val="both"/>
      </w:pPr>
      <w:r>
        <w:rPr/>
        <w:t>Compared to the current commercial plants in </w:t>
      </w:r>
      <w:hyperlink w:history="true" w:anchor="_bookmark48">
        <w:r>
          <w:rPr>
            <w:spacing w:val="-3"/>
          </w:rPr>
          <w:t>Table </w:t>
        </w:r>
        <w:r>
          <w:rPr>
            <w:spacing w:val="-5"/>
          </w:rPr>
          <w:t>3.11,</w:t>
        </w:r>
      </w:hyperlink>
      <w:r>
        <w:rPr>
          <w:spacing w:val="-5"/>
        </w:rPr>
        <w:t> </w:t>
      </w:r>
      <w:r>
        <w:rPr/>
        <w:t>the advanced single-product systems with CO</w:t>
      </w:r>
      <w:r>
        <w:rPr>
          <w:position w:val="-6"/>
          <w:sz w:val="11"/>
        </w:rPr>
        <w:t>2 </w:t>
      </w:r>
      <w:r>
        <w:rPr/>
        <w:t>capture have hydrogen cost reductions of 16% (for natural gas feedstock)</w:t>
      </w:r>
      <w:r>
        <w:rPr>
          <w:spacing w:val="36"/>
        </w:rPr>
        <w:t> </w:t>
      </w:r>
      <w:r>
        <w:rPr>
          <w:spacing w:val="-7"/>
        </w:rPr>
        <w:t>to</w:t>
      </w:r>
    </w:p>
    <w:p>
      <w:pPr>
        <w:pStyle w:val="BodyText"/>
        <w:spacing w:line="240" w:lineRule="exact" w:before="4"/>
        <w:ind w:left="117" w:right="110"/>
        <w:jc w:val="both"/>
      </w:pPr>
      <w:r>
        <w:rPr/>
        <w:t>26% (for coal feedstock). Additional cases in </w:t>
      </w:r>
      <w:hyperlink w:history="true" w:anchor="_bookmark58">
        <w:r>
          <w:rPr>
            <w:spacing w:val="-3"/>
          </w:rPr>
          <w:t>Table </w:t>
        </w:r>
        <w:r>
          <w:rPr/>
          <w:t>3.14 </w:t>
        </w:r>
      </w:hyperlink>
      <w:r>
        <w:rPr/>
        <w:t>show multi-product systems producing hydrogen and electricity. These cases indicate the potential for substantial reductions in the future cost of hydrogen production with CO</w:t>
      </w:r>
      <w:r>
        <w:rPr>
          <w:position w:val="-6"/>
          <w:sz w:val="11"/>
        </w:rPr>
        <w:t>2 </w:t>
      </w:r>
      <w:r>
        <w:rPr/>
        <w:t>capture. As before, the results are sensitive to the assumed selling price of co-product</w:t>
      </w:r>
      <w:r>
        <w:rPr>
          <w:spacing w:val="29"/>
        </w:rPr>
        <w:t> </w:t>
      </w:r>
      <w:r>
        <w:rPr/>
        <w:t>electricity.</w:t>
      </w:r>
      <w:r>
        <w:rPr>
          <w:spacing w:val="30"/>
        </w:rPr>
        <w:t> </w:t>
      </w:r>
      <w:r>
        <w:rPr/>
        <w:t>More</w:t>
      </w:r>
      <w:r>
        <w:rPr>
          <w:spacing w:val="30"/>
        </w:rPr>
        <w:t> </w:t>
      </w:r>
      <w:r>
        <w:rPr/>
        <w:t>importantly,</w:t>
      </w:r>
      <w:r>
        <w:rPr>
          <w:spacing w:val="30"/>
        </w:rPr>
        <w:t> </w:t>
      </w:r>
      <w:r>
        <w:rPr/>
        <w:t>these</w:t>
      </w:r>
      <w:r>
        <w:rPr>
          <w:spacing w:val="30"/>
        </w:rPr>
        <w:t> </w:t>
      </w:r>
      <w:r>
        <w:rPr/>
        <w:t>cases</w:t>
      </w:r>
      <w:r>
        <w:rPr>
          <w:spacing w:val="30"/>
        </w:rPr>
        <w:t> </w:t>
      </w:r>
      <w:r>
        <w:rPr/>
        <w:t>assume</w:t>
      </w:r>
    </w:p>
    <w:p>
      <w:pPr>
        <w:spacing w:after="0" w:line="240" w:lineRule="exact"/>
        <w:jc w:val="both"/>
        <w:sectPr>
          <w:headerReference w:type="even" r:id="rId194"/>
          <w:headerReference w:type="default" r:id="rId195"/>
          <w:pgSz w:w="12240" w:h="15840"/>
          <w:pgMar w:header="567" w:footer="0" w:top="1200" w:bottom="280" w:left="620" w:right="1020"/>
          <w:pgNumType w:start="166"/>
          <w:cols w:num="2" w:equalWidth="0">
            <w:col w:w="5202" w:space="124"/>
            <w:col w:w="5274"/>
          </w:cols>
        </w:sectPr>
      </w:pPr>
    </w:p>
    <w:p>
      <w:pPr>
        <w:pStyle w:val="BodyText"/>
        <w:spacing w:before="7"/>
        <w:rPr>
          <w:sz w:val="22"/>
        </w:rPr>
      </w:pPr>
      <w:r>
        <w:rPr/>
        <w:pict>
          <v:shape style="position:absolute;margin-left:750.403625pt;margin-top:55.692902pt;width:14.25pt;height:110.1pt;mso-position-horizontal-relative:page;mso-position-vertical-relative:page;z-index:251785216" type="#_x0000_t202" filled="false" stroked="false">
            <v:textbox inset="0,0,0,0" style="layout-flow:vertical">
              <w:txbxContent>
                <w:p>
                  <w:pPr>
                    <w:spacing w:line="218" w:lineRule="auto" w:before="0"/>
                    <w:ind w:left="20" w:right="0" w:firstLine="0"/>
                    <w:jc w:val="left"/>
                    <w:rPr>
                      <w:i/>
                      <w:sz w:val="11"/>
                    </w:rPr>
                  </w:pPr>
                  <w:r>
                    <w:rPr>
                      <w:i/>
                      <w:sz w:val="20"/>
                    </w:rPr>
                    <w:t>Chapter 3: Capture of CO</w:t>
                  </w:r>
                  <w:r>
                    <w:rPr>
                      <w:i/>
                      <w:position w:val="-6"/>
                      <w:sz w:val="11"/>
                    </w:rPr>
                    <w:t>2</w:t>
                  </w:r>
                </w:p>
              </w:txbxContent>
            </v:textbox>
            <w10:wrap type="none"/>
          </v:shape>
        </w:pict>
      </w:r>
      <w:r>
        <w:rPr/>
        <w:pict>
          <v:shape style="position:absolute;margin-left:752.653625pt;margin-top:559.149597pt;width:12pt;height:17pt;mso-position-horizontal-relative:page;mso-position-vertical-relative:page;z-index:251786240" type="#_x0000_t202" filled="false" stroked="false">
            <v:textbox inset="0,0,0,0" style="layout-flow:vertical">
              <w:txbxContent>
                <w:p>
                  <w:pPr>
                    <w:spacing w:line="213" w:lineRule="exact" w:before="0"/>
                    <w:ind w:left="20" w:right="0" w:firstLine="0"/>
                    <w:jc w:val="left"/>
                    <w:rPr>
                      <w:b/>
                      <w:sz w:val="20"/>
                    </w:rPr>
                  </w:pPr>
                  <w:r>
                    <w:rPr>
                      <w:b/>
                      <w:sz w:val="20"/>
                    </w:rPr>
                    <w:t>167</w:t>
                  </w:r>
                </w:p>
              </w:txbxContent>
            </v:textbox>
            <w10:wrap type="none"/>
          </v:shape>
        </w:pict>
      </w: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92"/>
        <w:gridCol w:w="1143"/>
        <w:gridCol w:w="1047"/>
        <w:gridCol w:w="1297"/>
        <w:gridCol w:w="1207"/>
        <w:gridCol w:w="1170"/>
        <w:gridCol w:w="1223"/>
        <w:gridCol w:w="1235"/>
        <w:gridCol w:w="597"/>
        <w:gridCol w:w="1167"/>
      </w:tblGrid>
      <w:tr>
        <w:trPr>
          <w:trHeight w:val="270" w:hRule="atLeast"/>
        </w:trPr>
        <w:tc>
          <w:tcPr>
            <w:tcW w:w="3492" w:type="dxa"/>
            <w:vMerge w:val="restart"/>
            <w:shd w:val="clear" w:color="auto" w:fill="E0EEE0"/>
          </w:tcPr>
          <w:p>
            <w:pPr>
              <w:pStyle w:val="TableParagraph"/>
              <w:spacing w:before="1"/>
              <w:jc w:val="left"/>
              <w:rPr>
                <w:sz w:val="16"/>
              </w:rPr>
            </w:pPr>
          </w:p>
          <w:p>
            <w:pPr>
              <w:pStyle w:val="TableParagraph"/>
              <w:ind w:left="54"/>
              <w:jc w:val="left"/>
              <w:rPr>
                <w:b/>
                <w:sz w:val="16"/>
              </w:rPr>
            </w:pPr>
            <w:r>
              <w:rPr>
                <w:b/>
                <w:sz w:val="16"/>
              </w:rPr>
              <w:t>Study Assumptions and Results</w:t>
            </w:r>
          </w:p>
        </w:tc>
        <w:tc>
          <w:tcPr>
            <w:tcW w:w="1143" w:type="dxa"/>
            <w:shd w:val="clear" w:color="auto" w:fill="E0EEE0"/>
          </w:tcPr>
          <w:p>
            <w:pPr>
              <w:pStyle w:val="TableParagraph"/>
              <w:spacing w:before="45"/>
              <w:ind w:left="83" w:right="44"/>
              <w:rPr>
                <w:b/>
                <w:sz w:val="16"/>
              </w:rPr>
            </w:pPr>
            <w:r>
              <w:rPr>
                <w:b/>
                <w:sz w:val="16"/>
              </w:rPr>
              <w:t>Simbeck</w:t>
            </w:r>
          </w:p>
        </w:tc>
        <w:tc>
          <w:tcPr>
            <w:tcW w:w="1047" w:type="dxa"/>
            <w:shd w:val="clear" w:color="auto" w:fill="E0EEE0"/>
          </w:tcPr>
          <w:p>
            <w:pPr>
              <w:pStyle w:val="TableParagraph"/>
              <w:spacing w:before="45"/>
              <w:ind w:left="364"/>
              <w:jc w:val="left"/>
              <w:rPr>
                <w:b/>
                <w:sz w:val="16"/>
              </w:rPr>
            </w:pPr>
            <w:r>
              <w:rPr>
                <w:b/>
                <w:sz w:val="16"/>
              </w:rPr>
              <w:t>NRC</w:t>
            </w:r>
          </w:p>
        </w:tc>
        <w:tc>
          <w:tcPr>
            <w:tcW w:w="1297" w:type="dxa"/>
            <w:shd w:val="clear" w:color="auto" w:fill="E0EEE0"/>
          </w:tcPr>
          <w:p>
            <w:pPr>
              <w:pStyle w:val="TableParagraph"/>
              <w:spacing w:before="45"/>
              <w:ind w:left="463" w:right="424"/>
              <w:rPr>
                <w:b/>
                <w:sz w:val="16"/>
              </w:rPr>
            </w:pPr>
            <w:r>
              <w:rPr>
                <w:b/>
                <w:sz w:val="16"/>
              </w:rPr>
              <w:t>NRC</w:t>
            </w:r>
          </w:p>
        </w:tc>
        <w:tc>
          <w:tcPr>
            <w:tcW w:w="1207" w:type="dxa"/>
            <w:shd w:val="clear" w:color="auto" w:fill="E0EEE0"/>
          </w:tcPr>
          <w:p>
            <w:pPr>
              <w:pStyle w:val="TableParagraph"/>
              <w:spacing w:before="45"/>
              <w:ind w:left="122" w:right="82"/>
              <w:rPr>
                <w:b/>
                <w:sz w:val="16"/>
              </w:rPr>
            </w:pPr>
            <w:r>
              <w:rPr>
                <w:b/>
                <w:sz w:val="16"/>
              </w:rPr>
              <w:t>Parsons</w:t>
            </w:r>
          </w:p>
        </w:tc>
        <w:tc>
          <w:tcPr>
            <w:tcW w:w="1170" w:type="dxa"/>
            <w:shd w:val="clear" w:color="auto" w:fill="E0EEE0"/>
          </w:tcPr>
          <w:p>
            <w:pPr>
              <w:pStyle w:val="TableParagraph"/>
              <w:spacing w:before="45"/>
              <w:ind w:left="111" w:right="71"/>
              <w:rPr>
                <w:b/>
                <w:sz w:val="16"/>
              </w:rPr>
            </w:pPr>
            <w:bookmarkStart w:name="_bookmark57" w:id="111"/>
            <w:bookmarkEnd w:id="111"/>
            <w:r>
              <w:rPr/>
            </w:r>
            <w:bookmarkStart w:name="_bookmark58" w:id="112"/>
            <w:bookmarkEnd w:id="112"/>
            <w:r>
              <w:rPr/>
            </w:r>
            <w:r>
              <w:rPr>
                <w:b/>
                <w:sz w:val="16"/>
              </w:rPr>
              <w:t>mitretek</w:t>
            </w:r>
          </w:p>
        </w:tc>
        <w:tc>
          <w:tcPr>
            <w:tcW w:w="1223" w:type="dxa"/>
            <w:shd w:val="clear" w:color="auto" w:fill="E0EEE0"/>
          </w:tcPr>
          <w:p>
            <w:pPr>
              <w:pStyle w:val="TableParagraph"/>
              <w:spacing w:before="45"/>
              <w:ind w:left="60" w:right="19"/>
              <w:rPr>
                <w:b/>
                <w:sz w:val="16"/>
              </w:rPr>
            </w:pPr>
            <w:r>
              <w:rPr>
                <w:b/>
                <w:sz w:val="16"/>
              </w:rPr>
              <w:t>mitretek</w:t>
            </w:r>
          </w:p>
        </w:tc>
        <w:tc>
          <w:tcPr>
            <w:tcW w:w="1235" w:type="dxa"/>
            <w:shd w:val="clear" w:color="auto" w:fill="E0EEE0"/>
          </w:tcPr>
          <w:p>
            <w:pPr>
              <w:pStyle w:val="TableParagraph"/>
              <w:spacing w:before="45"/>
              <w:ind w:left="44" w:right="3"/>
              <w:rPr>
                <w:b/>
                <w:sz w:val="16"/>
              </w:rPr>
            </w:pPr>
            <w:r>
              <w:rPr>
                <w:b/>
                <w:sz w:val="16"/>
              </w:rPr>
              <w:t>mitretek</w:t>
            </w:r>
          </w:p>
        </w:tc>
        <w:tc>
          <w:tcPr>
            <w:tcW w:w="1764" w:type="dxa"/>
            <w:gridSpan w:val="2"/>
            <w:shd w:val="clear" w:color="auto" w:fill="E0EEE0"/>
          </w:tcPr>
          <w:p>
            <w:pPr>
              <w:pStyle w:val="TableParagraph"/>
              <w:spacing w:before="45"/>
              <w:ind w:left="660" w:right="618"/>
              <w:rPr>
                <w:b/>
                <w:sz w:val="16"/>
              </w:rPr>
            </w:pPr>
            <w:r>
              <w:rPr>
                <w:b/>
                <w:sz w:val="16"/>
              </w:rPr>
              <w:t>Range</w:t>
            </w:r>
          </w:p>
        </w:tc>
      </w:tr>
      <w:tr>
        <w:trPr>
          <w:trHeight w:val="270" w:hRule="atLeast"/>
        </w:trPr>
        <w:tc>
          <w:tcPr>
            <w:tcW w:w="3492" w:type="dxa"/>
            <w:vMerge/>
            <w:tcBorders>
              <w:top w:val="nil"/>
            </w:tcBorders>
            <w:shd w:val="clear" w:color="auto" w:fill="E0EEE0"/>
          </w:tcPr>
          <w:p>
            <w:pPr>
              <w:rPr>
                <w:sz w:val="2"/>
                <w:szCs w:val="2"/>
              </w:rPr>
            </w:pPr>
          </w:p>
        </w:tc>
        <w:tc>
          <w:tcPr>
            <w:tcW w:w="1143" w:type="dxa"/>
            <w:shd w:val="clear" w:color="auto" w:fill="E0EEE0"/>
          </w:tcPr>
          <w:p>
            <w:pPr>
              <w:pStyle w:val="TableParagraph"/>
              <w:spacing w:before="45"/>
              <w:ind w:left="83" w:right="44"/>
              <w:rPr>
                <w:b/>
                <w:sz w:val="16"/>
              </w:rPr>
            </w:pPr>
            <w:r>
              <w:rPr>
                <w:b/>
                <w:sz w:val="16"/>
              </w:rPr>
              <w:t>2005</w:t>
            </w:r>
          </w:p>
        </w:tc>
        <w:tc>
          <w:tcPr>
            <w:tcW w:w="1047" w:type="dxa"/>
            <w:shd w:val="clear" w:color="auto" w:fill="E0EEE0"/>
          </w:tcPr>
          <w:p>
            <w:pPr>
              <w:pStyle w:val="TableParagraph"/>
              <w:spacing w:before="45"/>
              <w:ind w:left="378"/>
              <w:jc w:val="left"/>
              <w:rPr>
                <w:b/>
                <w:sz w:val="16"/>
              </w:rPr>
            </w:pPr>
            <w:r>
              <w:rPr>
                <w:b/>
                <w:sz w:val="16"/>
              </w:rPr>
              <w:t>2004</w:t>
            </w:r>
          </w:p>
        </w:tc>
        <w:tc>
          <w:tcPr>
            <w:tcW w:w="1297" w:type="dxa"/>
            <w:shd w:val="clear" w:color="auto" w:fill="E0EEE0"/>
          </w:tcPr>
          <w:p>
            <w:pPr>
              <w:pStyle w:val="TableParagraph"/>
              <w:spacing w:before="45"/>
              <w:ind w:left="463" w:right="424"/>
              <w:rPr>
                <w:b/>
                <w:sz w:val="16"/>
              </w:rPr>
            </w:pPr>
            <w:r>
              <w:rPr>
                <w:b/>
                <w:sz w:val="16"/>
              </w:rPr>
              <w:t>2004</w:t>
            </w:r>
          </w:p>
        </w:tc>
        <w:tc>
          <w:tcPr>
            <w:tcW w:w="1207" w:type="dxa"/>
            <w:shd w:val="clear" w:color="auto" w:fill="E0EEE0"/>
          </w:tcPr>
          <w:p>
            <w:pPr>
              <w:pStyle w:val="TableParagraph"/>
              <w:spacing w:before="45"/>
              <w:ind w:left="122" w:right="82"/>
              <w:rPr>
                <w:b/>
                <w:sz w:val="16"/>
              </w:rPr>
            </w:pPr>
            <w:r>
              <w:rPr>
                <w:b/>
                <w:sz w:val="16"/>
              </w:rPr>
              <w:t>2002a</w:t>
            </w:r>
          </w:p>
        </w:tc>
        <w:tc>
          <w:tcPr>
            <w:tcW w:w="1170" w:type="dxa"/>
            <w:shd w:val="clear" w:color="auto" w:fill="E0EEE0"/>
          </w:tcPr>
          <w:p>
            <w:pPr>
              <w:pStyle w:val="TableParagraph"/>
              <w:spacing w:before="45"/>
              <w:ind w:left="111" w:right="71"/>
              <w:rPr>
                <w:b/>
                <w:sz w:val="16"/>
              </w:rPr>
            </w:pPr>
            <w:r>
              <w:rPr>
                <w:b/>
                <w:sz w:val="16"/>
              </w:rPr>
              <w:t>2003</w:t>
            </w:r>
          </w:p>
        </w:tc>
        <w:tc>
          <w:tcPr>
            <w:tcW w:w="1223" w:type="dxa"/>
            <w:shd w:val="clear" w:color="auto" w:fill="E0EEE0"/>
          </w:tcPr>
          <w:p>
            <w:pPr>
              <w:pStyle w:val="TableParagraph"/>
              <w:spacing w:before="45"/>
              <w:ind w:left="60" w:right="19"/>
              <w:rPr>
                <w:b/>
                <w:sz w:val="16"/>
              </w:rPr>
            </w:pPr>
            <w:r>
              <w:rPr>
                <w:b/>
                <w:sz w:val="16"/>
              </w:rPr>
              <w:t>2003</w:t>
            </w:r>
          </w:p>
        </w:tc>
        <w:tc>
          <w:tcPr>
            <w:tcW w:w="1235" w:type="dxa"/>
            <w:shd w:val="clear" w:color="auto" w:fill="E0EEE0"/>
          </w:tcPr>
          <w:p>
            <w:pPr>
              <w:pStyle w:val="TableParagraph"/>
              <w:spacing w:before="45"/>
              <w:ind w:left="44" w:right="3"/>
              <w:rPr>
                <w:b/>
                <w:sz w:val="16"/>
              </w:rPr>
            </w:pPr>
            <w:r>
              <w:rPr>
                <w:b/>
                <w:sz w:val="16"/>
              </w:rPr>
              <w:t>2003</w:t>
            </w:r>
          </w:p>
        </w:tc>
        <w:tc>
          <w:tcPr>
            <w:tcW w:w="597" w:type="dxa"/>
            <w:shd w:val="clear" w:color="auto" w:fill="E0EEE0"/>
          </w:tcPr>
          <w:p>
            <w:pPr>
              <w:pStyle w:val="TableParagraph"/>
              <w:spacing w:before="45"/>
              <w:ind w:left="180"/>
              <w:jc w:val="left"/>
              <w:rPr>
                <w:b/>
                <w:sz w:val="16"/>
              </w:rPr>
            </w:pPr>
            <w:r>
              <w:rPr>
                <w:b/>
                <w:sz w:val="16"/>
              </w:rPr>
              <w:t>min</w:t>
            </w:r>
          </w:p>
        </w:tc>
        <w:tc>
          <w:tcPr>
            <w:tcW w:w="1167" w:type="dxa"/>
            <w:shd w:val="clear" w:color="auto" w:fill="E0EEE0"/>
          </w:tcPr>
          <w:p>
            <w:pPr>
              <w:pStyle w:val="TableParagraph"/>
              <w:spacing w:before="45"/>
              <w:ind w:left="453"/>
              <w:jc w:val="left"/>
              <w:rPr>
                <w:b/>
                <w:sz w:val="16"/>
              </w:rPr>
            </w:pPr>
            <w:r>
              <w:rPr>
                <w:b/>
                <w:sz w:val="16"/>
              </w:rPr>
              <w:t>max</w:t>
            </w:r>
          </w:p>
        </w:tc>
      </w:tr>
      <w:tr>
        <w:trPr>
          <w:trHeight w:val="270" w:hRule="atLeast"/>
        </w:trPr>
        <w:tc>
          <w:tcPr>
            <w:tcW w:w="3492" w:type="dxa"/>
            <w:shd w:val="clear" w:color="auto" w:fill="F9FCF9"/>
          </w:tcPr>
          <w:p>
            <w:pPr>
              <w:pStyle w:val="TableParagraph"/>
              <w:spacing w:before="45"/>
              <w:ind w:left="54"/>
              <w:jc w:val="left"/>
              <w:rPr>
                <w:b/>
                <w:i/>
                <w:sz w:val="16"/>
              </w:rPr>
            </w:pPr>
            <w:r>
              <w:rPr>
                <w:b/>
                <w:i/>
                <w:sz w:val="16"/>
              </w:rPr>
              <w:t>Capture Plant Design</w:t>
            </w:r>
          </w:p>
        </w:tc>
        <w:tc>
          <w:tcPr>
            <w:tcW w:w="1143" w:type="dxa"/>
            <w:shd w:val="clear" w:color="auto" w:fill="F9FCF9"/>
          </w:tcPr>
          <w:p>
            <w:pPr>
              <w:pStyle w:val="TableParagraph"/>
              <w:spacing w:before="45"/>
              <w:ind w:left="39"/>
              <w:rPr>
                <w:sz w:val="16"/>
              </w:rPr>
            </w:pPr>
            <w:r>
              <w:rPr>
                <w:sz w:val="16"/>
              </w:rPr>
              <w:t>*</w:t>
            </w:r>
          </w:p>
        </w:tc>
        <w:tc>
          <w:tcPr>
            <w:tcW w:w="1047" w:type="dxa"/>
            <w:shd w:val="clear" w:color="auto" w:fill="F9FCF9"/>
          </w:tcPr>
          <w:p>
            <w:pPr>
              <w:pStyle w:val="TableParagraph"/>
              <w:jc w:val="left"/>
              <w:rPr>
                <w:sz w:val="14"/>
              </w:rPr>
            </w:pPr>
          </w:p>
        </w:tc>
        <w:tc>
          <w:tcPr>
            <w:tcW w:w="1297" w:type="dxa"/>
            <w:shd w:val="clear" w:color="auto" w:fill="F9FCF9"/>
          </w:tcPr>
          <w:p>
            <w:pPr>
              <w:pStyle w:val="TableParagraph"/>
              <w:jc w:val="left"/>
              <w:rPr>
                <w:sz w:val="14"/>
              </w:rPr>
            </w:pPr>
          </w:p>
        </w:tc>
        <w:tc>
          <w:tcPr>
            <w:tcW w:w="1207" w:type="dxa"/>
            <w:shd w:val="clear" w:color="auto" w:fill="F9FCF9"/>
          </w:tcPr>
          <w:p>
            <w:pPr>
              <w:pStyle w:val="TableParagraph"/>
              <w:spacing w:before="45"/>
              <w:ind w:left="40"/>
              <w:rPr>
                <w:sz w:val="16"/>
              </w:rPr>
            </w:pPr>
            <w:r>
              <w:rPr>
                <w:sz w:val="16"/>
              </w:rPr>
              <w:t>*</w:t>
            </w:r>
          </w:p>
        </w:tc>
        <w:tc>
          <w:tcPr>
            <w:tcW w:w="1170" w:type="dxa"/>
            <w:shd w:val="clear" w:color="auto" w:fill="F9FCF9"/>
          </w:tcPr>
          <w:p>
            <w:pPr>
              <w:pStyle w:val="TableParagraph"/>
              <w:spacing w:before="45"/>
              <w:ind w:left="40"/>
              <w:rPr>
                <w:sz w:val="16"/>
              </w:rPr>
            </w:pPr>
            <w:r>
              <w:rPr>
                <w:sz w:val="16"/>
              </w:rPr>
              <w:t>*</w:t>
            </w:r>
          </w:p>
        </w:tc>
        <w:tc>
          <w:tcPr>
            <w:tcW w:w="1223" w:type="dxa"/>
            <w:shd w:val="clear" w:color="auto" w:fill="F9FCF9"/>
          </w:tcPr>
          <w:p>
            <w:pPr>
              <w:pStyle w:val="TableParagraph"/>
              <w:spacing w:before="45"/>
              <w:ind w:left="41"/>
              <w:rPr>
                <w:sz w:val="16"/>
              </w:rPr>
            </w:pPr>
            <w:r>
              <w:rPr>
                <w:sz w:val="16"/>
              </w:rPr>
              <w:t>*</w:t>
            </w:r>
          </w:p>
        </w:tc>
        <w:tc>
          <w:tcPr>
            <w:tcW w:w="1235" w:type="dxa"/>
            <w:shd w:val="clear" w:color="auto" w:fill="F9FCF9"/>
          </w:tcPr>
          <w:p>
            <w:pPr>
              <w:pStyle w:val="TableParagraph"/>
              <w:spacing w:before="45"/>
              <w:ind w:left="41"/>
              <w:rPr>
                <w:sz w:val="16"/>
              </w:rPr>
            </w:pPr>
            <w:r>
              <w:rPr>
                <w:sz w:val="16"/>
              </w:rPr>
              <w:t>*</w:t>
            </w:r>
          </w:p>
        </w:tc>
        <w:tc>
          <w:tcPr>
            <w:tcW w:w="597" w:type="dxa"/>
            <w:shd w:val="clear" w:color="auto" w:fill="F9FCF9"/>
          </w:tcPr>
          <w:p>
            <w:pPr>
              <w:pStyle w:val="TableParagraph"/>
              <w:jc w:val="left"/>
              <w:rPr>
                <w:sz w:val="14"/>
              </w:rPr>
            </w:pPr>
          </w:p>
        </w:tc>
        <w:tc>
          <w:tcPr>
            <w:tcW w:w="1167" w:type="dxa"/>
            <w:shd w:val="clear" w:color="auto" w:fill="F9FCF9"/>
          </w:tcPr>
          <w:p>
            <w:pPr>
              <w:pStyle w:val="TableParagraph"/>
              <w:jc w:val="left"/>
              <w:rPr>
                <w:sz w:val="14"/>
              </w:rPr>
            </w:pPr>
          </w:p>
        </w:tc>
      </w:tr>
      <w:tr>
        <w:trPr>
          <w:trHeight w:val="270" w:hRule="atLeast"/>
        </w:trPr>
        <w:tc>
          <w:tcPr>
            <w:tcW w:w="3492" w:type="dxa"/>
            <w:shd w:val="clear" w:color="auto" w:fill="F9FCF9"/>
          </w:tcPr>
          <w:p>
            <w:pPr>
              <w:pStyle w:val="TableParagraph"/>
              <w:spacing w:before="45"/>
              <w:ind w:left="54"/>
              <w:jc w:val="left"/>
              <w:rPr>
                <w:sz w:val="16"/>
              </w:rPr>
            </w:pPr>
            <w:r>
              <w:rPr>
                <w:sz w:val="16"/>
              </w:rPr>
              <w:t>Plant products (primary/secondary)</w:t>
            </w:r>
          </w:p>
        </w:tc>
        <w:tc>
          <w:tcPr>
            <w:tcW w:w="1143" w:type="dxa"/>
            <w:shd w:val="clear" w:color="auto" w:fill="F9FCF9"/>
          </w:tcPr>
          <w:p>
            <w:pPr>
              <w:pStyle w:val="TableParagraph"/>
              <w:spacing w:line="204" w:lineRule="exact" w:before="45"/>
              <w:ind w:left="83" w:right="44"/>
              <w:rPr>
                <w:sz w:val="9"/>
              </w:rPr>
            </w:pPr>
            <w:r>
              <w:rPr>
                <w:sz w:val="16"/>
              </w:rPr>
              <w:t>H</w:t>
            </w:r>
            <w:r>
              <w:rPr>
                <w:position w:val="-4"/>
                <w:sz w:val="9"/>
              </w:rPr>
              <w:t>2</w:t>
            </w:r>
          </w:p>
        </w:tc>
        <w:tc>
          <w:tcPr>
            <w:tcW w:w="1047" w:type="dxa"/>
            <w:shd w:val="clear" w:color="auto" w:fill="F9FCF9"/>
          </w:tcPr>
          <w:p>
            <w:pPr>
              <w:pStyle w:val="TableParagraph"/>
              <w:spacing w:line="204" w:lineRule="exact" w:before="45"/>
              <w:ind w:left="378" w:right="339"/>
              <w:rPr>
                <w:sz w:val="9"/>
              </w:rPr>
            </w:pPr>
            <w:r>
              <w:rPr>
                <w:sz w:val="16"/>
              </w:rPr>
              <w:t>H</w:t>
            </w:r>
            <w:r>
              <w:rPr>
                <w:position w:val="-4"/>
                <w:sz w:val="9"/>
              </w:rPr>
              <w:t>2</w:t>
            </w:r>
          </w:p>
        </w:tc>
        <w:tc>
          <w:tcPr>
            <w:tcW w:w="1297" w:type="dxa"/>
            <w:shd w:val="clear" w:color="auto" w:fill="F9FCF9"/>
          </w:tcPr>
          <w:p>
            <w:pPr>
              <w:pStyle w:val="TableParagraph"/>
              <w:spacing w:line="204" w:lineRule="exact" w:before="45"/>
              <w:ind w:left="463" w:right="424"/>
              <w:rPr>
                <w:sz w:val="9"/>
              </w:rPr>
            </w:pPr>
            <w:r>
              <w:rPr>
                <w:sz w:val="16"/>
              </w:rPr>
              <w:t>H</w:t>
            </w:r>
            <w:r>
              <w:rPr>
                <w:position w:val="-4"/>
                <w:sz w:val="9"/>
              </w:rPr>
              <w:t>2</w:t>
            </w:r>
          </w:p>
        </w:tc>
        <w:tc>
          <w:tcPr>
            <w:tcW w:w="1207" w:type="dxa"/>
            <w:shd w:val="clear" w:color="auto" w:fill="F9FCF9"/>
          </w:tcPr>
          <w:p>
            <w:pPr>
              <w:pStyle w:val="TableParagraph"/>
              <w:spacing w:line="204" w:lineRule="exact" w:before="45"/>
              <w:ind w:left="122" w:right="82"/>
              <w:rPr>
                <w:sz w:val="16"/>
              </w:rPr>
            </w:pPr>
            <w:r>
              <w:rPr>
                <w:sz w:val="16"/>
              </w:rPr>
              <w:t>H</w:t>
            </w:r>
            <w:r>
              <w:rPr>
                <w:position w:val="-4"/>
                <w:sz w:val="9"/>
              </w:rPr>
              <w:t>2</w:t>
            </w:r>
            <w:r>
              <w:rPr>
                <w:sz w:val="16"/>
              </w:rPr>
              <w:t>+electricity</w:t>
            </w:r>
          </w:p>
        </w:tc>
        <w:tc>
          <w:tcPr>
            <w:tcW w:w="1170" w:type="dxa"/>
            <w:shd w:val="clear" w:color="auto" w:fill="F9FCF9"/>
          </w:tcPr>
          <w:p>
            <w:pPr>
              <w:pStyle w:val="TableParagraph"/>
              <w:spacing w:line="204" w:lineRule="exact" w:before="45"/>
              <w:ind w:left="111" w:right="71"/>
              <w:rPr>
                <w:sz w:val="16"/>
              </w:rPr>
            </w:pPr>
            <w:r>
              <w:rPr>
                <w:sz w:val="16"/>
              </w:rPr>
              <w:t>H</w:t>
            </w:r>
            <w:r>
              <w:rPr>
                <w:position w:val="-4"/>
                <w:sz w:val="9"/>
              </w:rPr>
              <w:t>2</w:t>
            </w:r>
            <w:r>
              <w:rPr>
                <w:sz w:val="16"/>
              </w:rPr>
              <w:t>+electricity</w:t>
            </w:r>
          </w:p>
        </w:tc>
        <w:tc>
          <w:tcPr>
            <w:tcW w:w="1223" w:type="dxa"/>
            <w:shd w:val="clear" w:color="auto" w:fill="F9FCF9"/>
          </w:tcPr>
          <w:p>
            <w:pPr>
              <w:pStyle w:val="TableParagraph"/>
              <w:spacing w:line="204" w:lineRule="exact" w:before="45"/>
              <w:ind w:left="60" w:right="19"/>
              <w:rPr>
                <w:sz w:val="16"/>
              </w:rPr>
            </w:pPr>
            <w:r>
              <w:rPr>
                <w:sz w:val="16"/>
              </w:rPr>
              <w:t>H</w:t>
            </w:r>
            <w:r>
              <w:rPr>
                <w:position w:val="-4"/>
                <w:sz w:val="9"/>
              </w:rPr>
              <w:t>2</w:t>
            </w:r>
            <w:r>
              <w:rPr>
                <w:sz w:val="16"/>
              </w:rPr>
              <w:t>+electricity</w:t>
            </w:r>
          </w:p>
        </w:tc>
        <w:tc>
          <w:tcPr>
            <w:tcW w:w="1235" w:type="dxa"/>
            <w:shd w:val="clear" w:color="auto" w:fill="F9FCF9"/>
          </w:tcPr>
          <w:p>
            <w:pPr>
              <w:pStyle w:val="TableParagraph"/>
              <w:spacing w:line="204" w:lineRule="exact" w:before="45"/>
              <w:ind w:left="44" w:right="3"/>
              <w:rPr>
                <w:sz w:val="16"/>
              </w:rPr>
            </w:pPr>
            <w:r>
              <w:rPr>
                <w:sz w:val="16"/>
              </w:rPr>
              <w:t>H</w:t>
            </w:r>
            <w:r>
              <w:rPr>
                <w:position w:val="-4"/>
                <w:sz w:val="9"/>
              </w:rPr>
              <w:t>2</w:t>
            </w:r>
            <w:r>
              <w:rPr>
                <w:sz w:val="16"/>
              </w:rPr>
              <w:t>+electricity</w:t>
            </w:r>
          </w:p>
        </w:tc>
        <w:tc>
          <w:tcPr>
            <w:tcW w:w="597" w:type="dxa"/>
            <w:shd w:val="clear" w:color="auto" w:fill="F9FCF9"/>
          </w:tcPr>
          <w:p>
            <w:pPr>
              <w:pStyle w:val="TableParagraph"/>
              <w:jc w:val="left"/>
              <w:rPr>
                <w:sz w:val="14"/>
              </w:rPr>
            </w:pPr>
          </w:p>
        </w:tc>
        <w:tc>
          <w:tcPr>
            <w:tcW w:w="1167" w:type="dxa"/>
            <w:shd w:val="clear" w:color="auto" w:fill="F9FCF9"/>
          </w:tcPr>
          <w:p>
            <w:pPr>
              <w:pStyle w:val="TableParagraph"/>
              <w:jc w:val="left"/>
              <w:rPr>
                <w:sz w:val="14"/>
              </w:rPr>
            </w:pPr>
          </w:p>
        </w:tc>
      </w:tr>
      <w:tr>
        <w:trPr>
          <w:trHeight w:val="245" w:hRule="atLeast"/>
        </w:trPr>
        <w:tc>
          <w:tcPr>
            <w:tcW w:w="3492" w:type="dxa"/>
            <w:tcBorders>
              <w:bottom w:val="nil"/>
            </w:tcBorders>
            <w:shd w:val="clear" w:color="auto" w:fill="F9FCF9"/>
          </w:tcPr>
          <w:p>
            <w:pPr>
              <w:pStyle w:val="TableParagraph"/>
              <w:spacing w:line="180" w:lineRule="exact" w:before="45"/>
              <w:ind w:left="54"/>
              <w:jc w:val="left"/>
              <w:rPr>
                <w:sz w:val="16"/>
              </w:rPr>
            </w:pPr>
            <w:r>
              <w:rPr>
                <w:sz w:val="16"/>
              </w:rPr>
              <w:t>Production process or type</w:t>
            </w:r>
          </w:p>
        </w:tc>
        <w:tc>
          <w:tcPr>
            <w:tcW w:w="1143" w:type="dxa"/>
            <w:tcBorders>
              <w:bottom w:val="nil"/>
            </w:tcBorders>
            <w:shd w:val="clear" w:color="auto" w:fill="F9FCF9"/>
          </w:tcPr>
          <w:p>
            <w:pPr>
              <w:pStyle w:val="TableParagraph"/>
              <w:spacing w:line="180" w:lineRule="exact" w:before="45"/>
              <w:ind w:left="82" w:right="44"/>
              <w:rPr>
                <w:sz w:val="16"/>
              </w:rPr>
            </w:pPr>
            <w:r>
              <w:rPr>
                <w:sz w:val="16"/>
              </w:rPr>
              <w:t>Autothermal</w:t>
            </w:r>
          </w:p>
        </w:tc>
        <w:tc>
          <w:tcPr>
            <w:tcW w:w="1047" w:type="dxa"/>
            <w:tcBorders>
              <w:bottom w:val="nil"/>
            </w:tcBorders>
            <w:shd w:val="clear" w:color="auto" w:fill="F9FCF9"/>
          </w:tcPr>
          <w:p>
            <w:pPr>
              <w:pStyle w:val="TableParagraph"/>
              <w:spacing w:line="180" w:lineRule="exact" w:before="45"/>
              <w:ind w:left="109"/>
              <w:jc w:val="left"/>
              <w:rPr>
                <w:sz w:val="16"/>
              </w:rPr>
            </w:pPr>
            <w:r>
              <w:rPr>
                <w:sz w:val="16"/>
              </w:rPr>
              <w:t>78% efficient</w:t>
            </w:r>
          </w:p>
        </w:tc>
        <w:tc>
          <w:tcPr>
            <w:tcW w:w="1297" w:type="dxa"/>
            <w:tcBorders>
              <w:bottom w:val="nil"/>
            </w:tcBorders>
            <w:shd w:val="clear" w:color="auto" w:fill="F9FCF9"/>
          </w:tcPr>
          <w:p>
            <w:pPr>
              <w:pStyle w:val="TableParagraph"/>
              <w:spacing w:line="180" w:lineRule="exact" w:before="45"/>
              <w:ind w:right="138"/>
              <w:jc w:val="right"/>
              <w:rPr>
                <w:sz w:val="16"/>
              </w:rPr>
            </w:pPr>
            <w:r>
              <w:rPr>
                <w:sz w:val="16"/>
              </w:rPr>
              <w:t>Gasifier LHV=</w:t>
            </w:r>
          </w:p>
        </w:tc>
        <w:tc>
          <w:tcPr>
            <w:tcW w:w="1207" w:type="dxa"/>
            <w:tcBorders>
              <w:bottom w:val="nil"/>
            </w:tcBorders>
            <w:shd w:val="clear" w:color="auto" w:fill="F9FCF9"/>
          </w:tcPr>
          <w:p>
            <w:pPr>
              <w:pStyle w:val="TableParagraph"/>
              <w:spacing w:line="180" w:lineRule="exact" w:before="45"/>
              <w:ind w:left="121" w:right="82"/>
              <w:rPr>
                <w:sz w:val="16"/>
              </w:rPr>
            </w:pPr>
            <w:r>
              <w:rPr>
                <w:sz w:val="16"/>
              </w:rPr>
              <w:t>High-pressure</w:t>
            </w:r>
          </w:p>
        </w:tc>
        <w:tc>
          <w:tcPr>
            <w:tcW w:w="1170" w:type="dxa"/>
            <w:tcBorders>
              <w:bottom w:val="nil"/>
            </w:tcBorders>
            <w:shd w:val="clear" w:color="auto" w:fill="F9FCF9"/>
          </w:tcPr>
          <w:p>
            <w:pPr>
              <w:pStyle w:val="TableParagraph"/>
              <w:spacing w:line="180" w:lineRule="exact" w:before="45"/>
              <w:ind w:left="111" w:right="71"/>
              <w:rPr>
                <w:sz w:val="16"/>
              </w:rPr>
            </w:pPr>
            <w:r>
              <w:rPr>
                <w:sz w:val="16"/>
              </w:rPr>
              <w:t>Advanced</w:t>
            </w:r>
          </w:p>
        </w:tc>
        <w:tc>
          <w:tcPr>
            <w:tcW w:w="1223" w:type="dxa"/>
            <w:tcBorders>
              <w:bottom w:val="nil"/>
            </w:tcBorders>
            <w:shd w:val="clear" w:color="auto" w:fill="F9FCF9"/>
          </w:tcPr>
          <w:p>
            <w:pPr>
              <w:pStyle w:val="TableParagraph"/>
              <w:spacing w:line="180" w:lineRule="exact" w:before="45"/>
              <w:ind w:left="60" w:right="19"/>
              <w:rPr>
                <w:sz w:val="16"/>
              </w:rPr>
            </w:pPr>
            <w:r>
              <w:rPr>
                <w:sz w:val="16"/>
              </w:rPr>
              <w:t>Advanced E-gas,</w:t>
            </w:r>
          </w:p>
        </w:tc>
        <w:tc>
          <w:tcPr>
            <w:tcW w:w="1235" w:type="dxa"/>
            <w:tcBorders>
              <w:bottom w:val="nil"/>
            </w:tcBorders>
            <w:shd w:val="clear" w:color="auto" w:fill="F9FCF9"/>
          </w:tcPr>
          <w:p>
            <w:pPr>
              <w:pStyle w:val="TableParagraph"/>
              <w:spacing w:line="180" w:lineRule="exact" w:before="45"/>
              <w:ind w:left="44" w:right="3"/>
              <w:rPr>
                <w:sz w:val="16"/>
              </w:rPr>
            </w:pPr>
            <w:r>
              <w:rPr>
                <w:sz w:val="16"/>
              </w:rPr>
              <w:t>Advanced E-gas,</w:t>
            </w:r>
          </w:p>
        </w:tc>
        <w:tc>
          <w:tcPr>
            <w:tcW w:w="597" w:type="dxa"/>
            <w:vMerge w:val="restart"/>
            <w:shd w:val="clear" w:color="auto" w:fill="F9FCF9"/>
          </w:tcPr>
          <w:p>
            <w:pPr>
              <w:pStyle w:val="TableParagraph"/>
              <w:jc w:val="left"/>
              <w:rPr>
                <w:sz w:val="14"/>
              </w:rPr>
            </w:pPr>
          </w:p>
        </w:tc>
        <w:tc>
          <w:tcPr>
            <w:tcW w:w="1167" w:type="dxa"/>
            <w:vMerge w:val="restart"/>
            <w:shd w:val="clear" w:color="auto" w:fill="F9FCF9"/>
          </w:tcPr>
          <w:p>
            <w:pPr>
              <w:pStyle w:val="TableParagraph"/>
              <w:jc w:val="left"/>
              <w:rPr>
                <w:sz w:val="14"/>
              </w:rPr>
            </w:pPr>
          </w:p>
        </w:tc>
      </w:tr>
      <w:tr>
        <w:trPr>
          <w:trHeight w:val="181" w:hRule="atLeast"/>
        </w:trPr>
        <w:tc>
          <w:tcPr>
            <w:tcW w:w="3492" w:type="dxa"/>
            <w:tcBorders>
              <w:top w:val="nil"/>
              <w:bottom w:val="nil"/>
            </w:tcBorders>
            <w:shd w:val="clear" w:color="auto" w:fill="F9FCF9"/>
          </w:tcPr>
          <w:p>
            <w:pPr>
              <w:pStyle w:val="TableParagraph"/>
              <w:jc w:val="left"/>
              <w:rPr>
                <w:sz w:val="12"/>
              </w:rPr>
            </w:pPr>
          </w:p>
        </w:tc>
        <w:tc>
          <w:tcPr>
            <w:tcW w:w="1143" w:type="dxa"/>
            <w:tcBorders>
              <w:top w:val="nil"/>
              <w:bottom w:val="nil"/>
            </w:tcBorders>
            <w:shd w:val="clear" w:color="auto" w:fill="F9FCF9"/>
          </w:tcPr>
          <w:p>
            <w:pPr>
              <w:pStyle w:val="TableParagraph"/>
              <w:spacing w:line="162" w:lineRule="exact"/>
              <w:ind w:left="83" w:right="44"/>
              <w:rPr>
                <w:sz w:val="16"/>
              </w:rPr>
            </w:pPr>
            <w:r>
              <w:rPr>
                <w:sz w:val="16"/>
              </w:rPr>
              <w:t>reforming with</w:t>
            </w:r>
          </w:p>
        </w:tc>
        <w:tc>
          <w:tcPr>
            <w:tcW w:w="1047" w:type="dxa"/>
            <w:tcBorders>
              <w:top w:val="nil"/>
              <w:bottom w:val="nil"/>
            </w:tcBorders>
            <w:shd w:val="clear" w:color="auto" w:fill="F9FCF9"/>
          </w:tcPr>
          <w:p>
            <w:pPr>
              <w:pStyle w:val="TableParagraph"/>
              <w:spacing w:line="162" w:lineRule="exact"/>
              <w:ind w:left="175"/>
              <w:jc w:val="left"/>
              <w:rPr>
                <w:sz w:val="16"/>
              </w:rPr>
            </w:pPr>
            <w:r>
              <w:rPr>
                <w:sz w:val="16"/>
              </w:rPr>
              <w:t>ATR/SMR,</w:t>
            </w:r>
          </w:p>
        </w:tc>
        <w:tc>
          <w:tcPr>
            <w:tcW w:w="1297" w:type="dxa"/>
            <w:tcBorders>
              <w:top w:val="nil"/>
              <w:bottom w:val="nil"/>
            </w:tcBorders>
            <w:shd w:val="clear" w:color="auto" w:fill="F9FCF9"/>
          </w:tcPr>
          <w:p>
            <w:pPr>
              <w:pStyle w:val="TableParagraph"/>
              <w:spacing w:line="162" w:lineRule="exact"/>
              <w:ind w:right="123"/>
              <w:jc w:val="right"/>
              <w:rPr>
                <w:sz w:val="16"/>
              </w:rPr>
            </w:pPr>
            <w:r>
              <w:rPr>
                <w:sz w:val="16"/>
              </w:rPr>
              <w:t>75--&gt;80%, Adv</w:t>
            </w:r>
          </w:p>
        </w:tc>
        <w:tc>
          <w:tcPr>
            <w:tcW w:w="1207" w:type="dxa"/>
            <w:tcBorders>
              <w:top w:val="nil"/>
              <w:bottom w:val="nil"/>
            </w:tcBorders>
            <w:shd w:val="clear" w:color="auto" w:fill="F9FCF9"/>
          </w:tcPr>
          <w:p>
            <w:pPr>
              <w:pStyle w:val="TableParagraph"/>
              <w:spacing w:line="162" w:lineRule="exact"/>
              <w:ind w:left="122" w:right="82"/>
              <w:rPr>
                <w:sz w:val="16"/>
              </w:rPr>
            </w:pPr>
            <w:r>
              <w:rPr>
                <w:sz w:val="16"/>
              </w:rPr>
              <w:t>E-gas, HGCU,</w:t>
            </w:r>
          </w:p>
        </w:tc>
        <w:tc>
          <w:tcPr>
            <w:tcW w:w="1170" w:type="dxa"/>
            <w:tcBorders>
              <w:top w:val="nil"/>
              <w:bottom w:val="nil"/>
            </w:tcBorders>
            <w:shd w:val="clear" w:color="auto" w:fill="F9FCF9"/>
          </w:tcPr>
          <w:p>
            <w:pPr>
              <w:pStyle w:val="TableParagraph"/>
              <w:spacing w:line="162" w:lineRule="exact"/>
              <w:ind w:left="111" w:right="71"/>
              <w:rPr>
                <w:sz w:val="16"/>
              </w:rPr>
            </w:pPr>
            <w:r>
              <w:rPr>
                <w:sz w:val="16"/>
              </w:rPr>
              <w:t>E-gas, HGCU,</w:t>
            </w:r>
          </w:p>
        </w:tc>
        <w:tc>
          <w:tcPr>
            <w:tcW w:w="1223" w:type="dxa"/>
            <w:tcBorders>
              <w:top w:val="nil"/>
              <w:bottom w:val="nil"/>
            </w:tcBorders>
            <w:shd w:val="clear" w:color="auto" w:fill="F9FCF9"/>
          </w:tcPr>
          <w:p>
            <w:pPr>
              <w:pStyle w:val="TableParagraph"/>
              <w:spacing w:line="162" w:lineRule="exact"/>
              <w:ind w:left="59" w:right="19"/>
              <w:rPr>
                <w:sz w:val="16"/>
              </w:rPr>
            </w:pPr>
            <w:r>
              <w:rPr>
                <w:sz w:val="16"/>
              </w:rPr>
              <w:t>HGCU, HTMR,</w:t>
            </w:r>
          </w:p>
        </w:tc>
        <w:tc>
          <w:tcPr>
            <w:tcW w:w="1235" w:type="dxa"/>
            <w:tcBorders>
              <w:top w:val="nil"/>
              <w:bottom w:val="nil"/>
            </w:tcBorders>
            <w:shd w:val="clear" w:color="auto" w:fill="F9FCF9"/>
          </w:tcPr>
          <w:p>
            <w:pPr>
              <w:pStyle w:val="TableParagraph"/>
              <w:spacing w:line="162" w:lineRule="exact"/>
              <w:ind w:left="43" w:right="3"/>
              <w:rPr>
                <w:sz w:val="16"/>
              </w:rPr>
            </w:pPr>
            <w:r>
              <w:rPr>
                <w:sz w:val="16"/>
              </w:rPr>
              <w:t>HGCU, HTMR,</w:t>
            </w:r>
          </w:p>
        </w:tc>
        <w:tc>
          <w:tcPr>
            <w:tcW w:w="597" w:type="dxa"/>
            <w:vMerge/>
            <w:tcBorders>
              <w:top w:val="nil"/>
            </w:tcBorders>
            <w:shd w:val="clear" w:color="auto" w:fill="F9FCF9"/>
          </w:tcPr>
          <w:p>
            <w:pPr>
              <w:rPr>
                <w:sz w:val="2"/>
                <w:szCs w:val="2"/>
              </w:rPr>
            </w:pPr>
          </w:p>
        </w:tc>
        <w:tc>
          <w:tcPr>
            <w:tcW w:w="1167" w:type="dxa"/>
            <w:vMerge/>
            <w:tcBorders>
              <w:top w:val="nil"/>
            </w:tcBorders>
            <w:shd w:val="clear" w:color="auto" w:fill="F9FCF9"/>
          </w:tcPr>
          <w:p>
            <w:pPr>
              <w:rPr>
                <w:sz w:val="2"/>
                <w:szCs w:val="2"/>
              </w:rPr>
            </w:pPr>
          </w:p>
        </w:tc>
      </w:tr>
      <w:tr>
        <w:trPr>
          <w:trHeight w:val="182" w:hRule="atLeast"/>
        </w:trPr>
        <w:tc>
          <w:tcPr>
            <w:tcW w:w="3492" w:type="dxa"/>
            <w:tcBorders>
              <w:top w:val="nil"/>
              <w:bottom w:val="nil"/>
            </w:tcBorders>
            <w:shd w:val="clear" w:color="auto" w:fill="F9FCF9"/>
          </w:tcPr>
          <w:p>
            <w:pPr>
              <w:pStyle w:val="TableParagraph"/>
              <w:jc w:val="left"/>
              <w:rPr>
                <w:sz w:val="12"/>
              </w:rPr>
            </w:pPr>
          </w:p>
        </w:tc>
        <w:tc>
          <w:tcPr>
            <w:tcW w:w="1143" w:type="dxa"/>
            <w:tcBorders>
              <w:top w:val="nil"/>
              <w:bottom w:val="nil"/>
            </w:tcBorders>
            <w:shd w:val="clear" w:color="auto" w:fill="F9FCF9"/>
          </w:tcPr>
          <w:p>
            <w:pPr>
              <w:pStyle w:val="TableParagraph"/>
              <w:spacing w:line="162" w:lineRule="exact"/>
              <w:ind w:left="83" w:right="44"/>
              <w:rPr>
                <w:sz w:val="16"/>
              </w:rPr>
            </w:pPr>
            <w:r>
              <w:rPr>
                <w:sz w:val="16"/>
              </w:rPr>
              <w:t>O</w:t>
            </w:r>
            <w:r>
              <w:rPr>
                <w:position w:val="-4"/>
                <w:sz w:val="9"/>
              </w:rPr>
              <w:t>2 </w:t>
            </w:r>
            <w:r>
              <w:rPr>
                <w:sz w:val="16"/>
              </w:rPr>
              <w:t>provided by</w:t>
            </w:r>
          </w:p>
        </w:tc>
        <w:tc>
          <w:tcPr>
            <w:tcW w:w="1047" w:type="dxa"/>
            <w:tcBorders>
              <w:top w:val="nil"/>
              <w:bottom w:val="nil"/>
            </w:tcBorders>
            <w:shd w:val="clear" w:color="auto" w:fill="F9FCF9"/>
          </w:tcPr>
          <w:p>
            <w:pPr>
              <w:pStyle w:val="TableParagraph"/>
              <w:spacing w:line="162" w:lineRule="exact"/>
              <w:ind w:left="268"/>
              <w:jc w:val="left"/>
              <w:rPr>
                <w:sz w:val="9"/>
              </w:rPr>
            </w:pPr>
            <w:r>
              <w:rPr>
                <w:sz w:val="16"/>
              </w:rPr>
              <w:t>adv CO</w:t>
            </w:r>
            <w:r>
              <w:rPr>
                <w:position w:val="-4"/>
                <w:sz w:val="9"/>
              </w:rPr>
              <w:t>2</w:t>
            </w:r>
          </w:p>
        </w:tc>
        <w:tc>
          <w:tcPr>
            <w:tcW w:w="1297" w:type="dxa"/>
            <w:tcBorders>
              <w:top w:val="nil"/>
              <w:bottom w:val="nil"/>
            </w:tcBorders>
            <w:shd w:val="clear" w:color="auto" w:fill="F9FCF9"/>
          </w:tcPr>
          <w:p>
            <w:pPr>
              <w:pStyle w:val="TableParagraph"/>
              <w:spacing w:line="162" w:lineRule="exact"/>
              <w:ind w:right="83"/>
              <w:jc w:val="right"/>
              <w:rPr>
                <w:sz w:val="16"/>
              </w:rPr>
            </w:pPr>
            <w:r>
              <w:rPr>
                <w:sz w:val="16"/>
              </w:rPr>
              <w:t>ASU, membrane</w:t>
            </w:r>
          </w:p>
        </w:tc>
        <w:tc>
          <w:tcPr>
            <w:tcW w:w="1207" w:type="dxa"/>
            <w:tcBorders>
              <w:top w:val="nil"/>
              <w:bottom w:val="nil"/>
            </w:tcBorders>
            <w:shd w:val="clear" w:color="auto" w:fill="F9FCF9"/>
          </w:tcPr>
          <w:p>
            <w:pPr>
              <w:pStyle w:val="TableParagraph"/>
              <w:spacing w:line="162" w:lineRule="exact"/>
              <w:ind w:left="122" w:right="82"/>
              <w:rPr>
                <w:sz w:val="9"/>
              </w:rPr>
            </w:pPr>
            <w:r>
              <w:rPr>
                <w:sz w:val="16"/>
              </w:rPr>
              <w:t>HTMR, H</w:t>
            </w:r>
            <w:r>
              <w:rPr>
                <w:position w:val="-4"/>
                <w:sz w:val="9"/>
              </w:rPr>
              <w:t>2</w:t>
            </w:r>
            <w:r>
              <w:rPr>
                <w:sz w:val="16"/>
              </w:rPr>
              <w:t>SO</w:t>
            </w:r>
            <w:r>
              <w:rPr>
                <w:position w:val="-4"/>
                <w:sz w:val="9"/>
              </w:rPr>
              <w:t>4</w:t>
            </w:r>
          </w:p>
        </w:tc>
        <w:tc>
          <w:tcPr>
            <w:tcW w:w="1170" w:type="dxa"/>
            <w:tcBorders>
              <w:top w:val="nil"/>
              <w:bottom w:val="nil"/>
            </w:tcBorders>
            <w:shd w:val="clear" w:color="auto" w:fill="F9FCF9"/>
          </w:tcPr>
          <w:p>
            <w:pPr>
              <w:pStyle w:val="TableParagraph"/>
              <w:spacing w:line="162" w:lineRule="exact"/>
              <w:ind w:left="111" w:right="71"/>
              <w:rPr>
                <w:sz w:val="16"/>
              </w:rPr>
            </w:pPr>
            <w:r>
              <w:rPr>
                <w:sz w:val="16"/>
              </w:rPr>
              <w:t>HTMR</w:t>
            </w:r>
          </w:p>
        </w:tc>
        <w:tc>
          <w:tcPr>
            <w:tcW w:w="1223" w:type="dxa"/>
            <w:tcBorders>
              <w:top w:val="nil"/>
              <w:bottom w:val="nil"/>
            </w:tcBorders>
            <w:shd w:val="clear" w:color="auto" w:fill="F9FCF9"/>
          </w:tcPr>
          <w:p>
            <w:pPr>
              <w:pStyle w:val="TableParagraph"/>
              <w:spacing w:line="162" w:lineRule="exact"/>
              <w:ind w:left="60" w:right="19"/>
              <w:rPr>
                <w:sz w:val="16"/>
              </w:rPr>
            </w:pPr>
            <w:r>
              <w:rPr>
                <w:sz w:val="16"/>
              </w:rPr>
              <w:t>large elec. co-</w:t>
            </w:r>
          </w:p>
        </w:tc>
        <w:tc>
          <w:tcPr>
            <w:tcW w:w="1235" w:type="dxa"/>
            <w:tcBorders>
              <w:top w:val="nil"/>
              <w:bottom w:val="nil"/>
            </w:tcBorders>
            <w:shd w:val="clear" w:color="auto" w:fill="F9FCF9"/>
          </w:tcPr>
          <w:p>
            <w:pPr>
              <w:pStyle w:val="TableParagraph"/>
              <w:spacing w:line="162" w:lineRule="exact"/>
              <w:ind w:left="44" w:right="3"/>
              <w:rPr>
                <w:sz w:val="16"/>
              </w:rPr>
            </w:pPr>
            <w:r>
              <w:rPr>
                <w:sz w:val="16"/>
              </w:rPr>
              <w:t>SOFC, large elec.</w:t>
            </w:r>
          </w:p>
        </w:tc>
        <w:tc>
          <w:tcPr>
            <w:tcW w:w="597" w:type="dxa"/>
            <w:vMerge/>
            <w:tcBorders>
              <w:top w:val="nil"/>
            </w:tcBorders>
            <w:shd w:val="clear" w:color="auto" w:fill="F9FCF9"/>
          </w:tcPr>
          <w:p>
            <w:pPr>
              <w:rPr>
                <w:sz w:val="2"/>
                <w:szCs w:val="2"/>
              </w:rPr>
            </w:pPr>
          </w:p>
        </w:tc>
        <w:tc>
          <w:tcPr>
            <w:tcW w:w="1167" w:type="dxa"/>
            <w:vMerge/>
            <w:tcBorders>
              <w:top w:val="nil"/>
            </w:tcBorders>
            <w:shd w:val="clear" w:color="auto" w:fill="F9FCF9"/>
          </w:tcPr>
          <w:p>
            <w:pPr>
              <w:rPr>
                <w:sz w:val="2"/>
                <w:szCs w:val="2"/>
              </w:rPr>
            </w:pPr>
          </w:p>
        </w:tc>
      </w:tr>
      <w:tr>
        <w:trPr>
          <w:trHeight w:val="181" w:hRule="atLeast"/>
        </w:trPr>
        <w:tc>
          <w:tcPr>
            <w:tcW w:w="3492" w:type="dxa"/>
            <w:tcBorders>
              <w:top w:val="nil"/>
              <w:bottom w:val="nil"/>
            </w:tcBorders>
            <w:shd w:val="clear" w:color="auto" w:fill="F9FCF9"/>
          </w:tcPr>
          <w:p>
            <w:pPr>
              <w:pStyle w:val="TableParagraph"/>
              <w:jc w:val="left"/>
              <w:rPr>
                <w:sz w:val="12"/>
              </w:rPr>
            </w:pPr>
          </w:p>
        </w:tc>
        <w:tc>
          <w:tcPr>
            <w:tcW w:w="1143" w:type="dxa"/>
            <w:tcBorders>
              <w:top w:val="nil"/>
              <w:bottom w:val="nil"/>
            </w:tcBorders>
            <w:shd w:val="clear" w:color="auto" w:fill="F9FCF9"/>
          </w:tcPr>
          <w:p>
            <w:pPr>
              <w:pStyle w:val="TableParagraph"/>
              <w:spacing w:line="162" w:lineRule="exact"/>
              <w:ind w:left="83" w:right="44"/>
              <w:rPr>
                <w:sz w:val="16"/>
              </w:rPr>
            </w:pPr>
            <w:r>
              <w:rPr>
                <w:sz w:val="16"/>
              </w:rPr>
              <w:t>ITM</w:t>
            </w:r>
          </w:p>
        </w:tc>
        <w:tc>
          <w:tcPr>
            <w:tcW w:w="1047" w:type="dxa"/>
            <w:tcBorders>
              <w:top w:val="nil"/>
              <w:bottom w:val="nil"/>
            </w:tcBorders>
            <w:shd w:val="clear" w:color="auto" w:fill="F9FCF9"/>
          </w:tcPr>
          <w:p>
            <w:pPr>
              <w:pStyle w:val="TableParagraph"/>
              <w:spacing w:line="162" w:lineRule="exact"/>
              <w:ind w:left="169"/>
              <w:jc w:val="left"/>
              <w:rPr>
                <w:sz w:val="16"/>
              </w:rPr>
            </w:pPr>
            <w:r>
              <w:rPr>
                <w:sz w:val="16"/>
              </w:rPr>
              <w:t>compressor</w:t>
            </w:r>
          </w:p>
        </w:tc>
        <w:tc>
          <w:tcPr>
            <w:tcW w:w="1297" w:type="dxa"/>
            <w:tcBorders>
              <w:top w:val="nil"/>
              <w:bottom w:val="nil"/>
            </w:tcBorders>
            <w:shd w:val="clear" w:color="auto" w:fill="F9FCF9"/>
          </w:tcPr>
          <w:p>
            <w:pPr>
              <w:pStyle w:val="TableParagraph"/>
              <w:spacing w:line="162" w:lineRule="exact"/>
              <w:ind w:left="246"/>
              <w:jc w:val="left"/>
              <w:rPr>
                <w:sz w:val="9"/>
              </w:rPr>
            </w:pPr>
            <w:r>
              <w:rPr>
                <w:sz w:val="16"/>
              </w:rPr>
              <w:t>sep, adv CO</w:t>
            </w:r>
            <w:r>
              <w:rPr>
                <w:position w:val="-4"/>
                <w:sz w:val="9"/>
              </w:rPr>
              <w:t>2</w:t>
            </w:r>
          </w:p>
        </w:tc>
        <w:tc>
          <w:tcPr>
            <w:tcW w:w="1207" w:type="dxa"/>
            <w:tcBorders>
              <w:top w:val="nil"/>
              <w:bottom w:val="nil"/>
            </w:tcBorders>
            <w:shd w:val="clear" w:color="auto" w:fill="F9FCF9"/>
          </w:tcPr>
          <w:p>
            <w:pPr>
              <w:pStyle w:val="TableParagraph"/>
              <w:spacing w:line="162" w:lineRule="exact"/>
              <w:ind w:left="122" w:right="82"/>
              <w:rPr>
                <w:sz w:val="16"/>
              </w:rPr>
            </w:pPr>
            <w:r>
              <w:rPr>
                <w:sz w:val="16"/>
              </w:rPr>
              <w:t>co-product</w:t>
            </w:r>
          </w:p>
        </w:tc>
        <w:tc>
          <w:tcPr>
            <w:tcW w:w="1170" w:type="dxa"/>
            <w:tcBorders>
              <w:top w:val="nil"/>
              <w:bottom w:val="nil"/>
            </w:tcBorders>
            <w:shd w:val="clear" w:color="auto" w:fill="F9FCF9"/>
          </w:tcPr>
          <w:p>
            <w:pPr>
              <w:pStyle w:val="TableParagraph"/>
              <w:jc w:val="left"/>
              <w:rPr>
                <w:sz w:val="12"/>
              </w:rPr>
            </w:pPr>
          </w:p>
        </w:tc>
        <w:tc>
          <w:tcPr>
            <w:tcW w:w="1223" w:type="dxa"/>
            <w:tcBorders>
              <w:top w:val="nil"/>
              <w:bottom w:val="nil"/>
            </w:tcBorders>
            <w:shd w:val="clear" w:color="auto" w:fill="F9FCF9"/>
          </w:tcPr>
          <w:p>
            <w:pPr>
              <w:pStyle w:val="TableParagraph"/>
              <w:spacing w:line="162" w:lineRule="exact"/>
              <w:ind w:left="60" w:right="19"/>
              <w:rPr>
                <w:sz w:val="16"/>
              </w:rPr>
            </w:pPr>
            <w:r>
              <w:rPr>
                <w:sz w:val="16"/>
              </w:rPr>
              <w:t>product</w:t>
            </w:r>
          </w:p>
        </w:tc>
        <w:tc>
          <w:tcPr>
            <w:tcW w:w="1235" w:type="dxa"/>
            <w:tcBorders>
              <w:top w:val="nil"/>
              <w:bottom w:val="nil"/>
            </w:tcBorders>
            <w:shd w:val="clear" w:color="auto" w:fill="F9FCF9"/>
          </w:tcPr>
          <w:p>
            <w:pPr>
              <w:pStyle w:val="TableParagraph"/>
              <w:spacing w:line="162" w:lineRule="exact"/>
              <w:ind w:left="44" w:right="3"/>
              <w:rPr>
                <w:sz w:val="16"/>
              </w:rPr>
            </w:pPr>
            <w:r>
              <w:rPr>
                <w:sz w:val="16"/>
              </w:rPr>
              <w:t>co-product</w:t>
            </w:r>
          </w:p>
        </w:tc>
        <w:tc>
          <w:tcPr>
            <w:tcW w:w="597" w:type="dxa"/>
            <w:vMerge/>
            <w:tcBorders>
              <w:top w:val="nil"/>
            </w:tcBorders>
            <w:shd w:val="clear" w:color="auto" w:fill="F9FCF9"/>
          </w:tcPr>
          <w:p>
            <w:pPr>
              <w:rPr>
                <w:sz w:val="2"/>
                <w:szCs w:val="2"/>
              </w:rPr>
            </w:pPr>
          </w:p>
        </w:tc>
        <w:tc>
          <w:tcPr>
            <w:tcW w:w="1167" w:type="dxa"/>
            <w:vMerge/>
            <w:tcBorders>
              <w:top w:val="nil"/>
            </w:tcBorders>
            <w:shd w:val="clear" w:color="auto" w:fill="F9FCF9"/>
          </w:tcPr>
          <w:p>
            <w:pPr>
              <w:rPr>
                <w:sz w:val="2"/>
                <w:szCs w:val="2"/>
              </w:rPr>
            </w:pPr>
          </w:p>
        </w:tc>
      </w:tr>
      <w:tr>
        <w:trPr>
          <w:trHeight w:val="206" w:hRule="atLeast"/>
        </w:trPr>
        <w:tc>
          <w:tcPr>
            <w:tcW w:w="3492" w:type="dxa"/>
            <w:tcBorders>
              <w:top w:val="nil"/>
            </w:tcBorders>
            <w:shd w:val="clear" w:color="auto" w:fill="F9FCF9"/>
          </w:tcPr>
          <w:p>
            <w:pPr>
              <w:pStyle w:val="TableParagraph"/>
              <w:jc w:val="left"/>
              <w:rPr>
                <w:sz w:val="14"/>
              </w:rPr>
            </w:pPr>
          </w:p>
        </w:tc>
        <w:tc>
          <w:tcPr>
            <w:tcW w:w="1143" w:type="dxa"/>
            <w:tcBorders>
              <w:top w:val="nil"/>
            </w:tcBorders>
            <w:shd w:val="clear" w:color="auto" w:fill="F9FCF9"/>
          </w:tcPr>
          <w:p>
            <w:pPr>
              <w:pStyle w:val="TableParagraph"/>
              <w:jc w:val="left"/>
              <w:rPr>
                <w:sz w:val="14"/>
              </w:rPr>
            </w:pPr>
          </w:p>
        </w:tc>
        <w:tc>
          <w:tcPr>
            <w:tcW w:w="1047" w:type="dxa"/>
            <w:tcBorders>
              <w:top w:val="nil"/>
            </w:tcBorders>
            <w:shd w:val="clear" w:color="auto" w:fill="F9FCF9"/>
          </w:tcPr>
          <w:p>
            <w:pPr>
              <w:pStyle w:val="TableParagraph"/>
              <w:jc w:val="left"/>
              <w:rPr>
                <w:sz w:val="14"/>
              </w:rPr>
            </w:pPr>
          </w:p>
        </w:tc>
        <w:tc>
          <w:tcPr>
            <w:tcW w:w="1297" w:type="dxa"/>
            <w:tcBorders>
              <w:top w:val="nil"/>
            </w:tcBorders>
            <w:shd w:val="clear" w:color="auto" w:fill="F9FCF9"/>
          </w:tcPr>
          <w:p>
            <w:pPr>
              <w:pStyle w:val="TableParagraph"/>
              <w:spacing w:line="166" w:lineRule="exact"/>
              <w:ind w:left="294"/>
              <w:jc w:val="left"/>
              <w:rPr>
                <w:sz w:val="16"/>
              </w:rPr>
            </w:pPr>
            <w:r>
              <w:rPr>
                <w:sz w:val="16"/>
              </w:rPr>
              <w:t>compressor</w:t>
            </w:r>
          </w:p>
        </w:tc>
        <w:tc>
          <w:tcPr>
            <w:tcW w:w="1207" w:type="dxa"/>
            <w:tcBorders>
              <w:top w:val="nil"/>
            </w:tcBorders>
            <w:shd w:val="clear" w:color="auto" w:fill="F9FCF9"/>
          </w:tcPr>
          <w:p>
            <w:pPr>
              <w:pStyle w:val="TableParagraph"/>
              <w:jc w:val="left"/>
              <w:rPr>
                <w:sz w:val="14"/>
              </w:rPr>
            </w:pPr>
          </w:p>
        </w:tc>
        <w:tc>
          <w:tcPr>
            <w:tcW w:w="1170" w:type="dxa"/>
            <w:tcBorders>
              <w:top w:val="nil"/>
            </w:tcBorders>
            <w:shd w:val="clear" w:color="auto" w:fill="F9FCF9"/>
          </w:tcPr>
          <w:p>
            <w:pPr>
              <w:pStyle w:val="TableParagraph"/>
              <w:jc w:val="left"/>
              <w:rPr>
                <w:sz w:val="14"/>
              </w:rPr>
            </w:pPr>
          </w:p>
        </w:tc>
        <w:tc>
          <w:tcPr>
            <w:tcW w:w="1223" w:type="dxa"/>
            <w:tcBorders>
              <w:top w:val="nil"/>
            </w:tcBorders>
            <w:shd w:val="clear" w:color="auto" w:fill="F9FCF9"/>
          </w:tcPr>
          <w:p>
            <w:pPr>
              <w:pStyle w:val="TableParagraph"/>
              <w:jc w:val="left"/>
              <w:rPr>
                <w:sz w:val="14"/>
              </w:rPr>
            </w:pPr>
          </w:p>
        </w:tc>
        <w:tc>
          <w:tcPr>
            <w:tcW w:w="1235" w:type="dxa"/>
            <w:tcBorders>
              <w:top w:val="nil"/>
            </w:tcBorders>
            <w:shd w:val="clear" w:color="auto" w:fill="F9FCF9"/>
          </w:tcPr>
          <w:p>
            <w:pPr>
              <w:pStyle w:val="TableParagraph"/>
              <w:jc w:val="left"/>
              <w:rPr>
                <w:sz w:val="14"/>
              </w:rPr>
            </w:pPr>
          </w:p>
        </w:tc>
        <w:tc>
          <w:tcPr>
            <w:tcW w:w="597" w:type="dxa"/>
            <w:vMerge/>
            <w:tcBorders>
              <w:top w:val="nil"/>
            </w:tcBorders>
            <w:shd w:val="clear" w:color="auto" w:fill="F9FCF9"/>
          </w:tcPr>
          <w:p>
            <w:pPr>
              <w:rPr>
                <w:sz w:val="2"/>
                <w:szCs w:val="2"/>
              </w:rPr>
            </w:pPr>
          </w:p>
        </w:tc>
        <w:tc>
          <w:tcPr>
            <w:tcW w:w="1167" w:type="dxa"/>
            <w:vMerge/>
            <w:tcBorders>
              <w:top w:val="nil"/>
            </w:tcBorders>
            <w:shd w:val="clear" w:color="auto" w:fill="F9FCF9"/>
          </w:tcPr>
          <w:p>
            <w:pPr>
              <w:rPr>
                <w:sz w:val="2"/>
                <w:szCs w:val="2"/>
              </w:rPr>
            </w:pPr>
          </w:p>
        </w:tc>
      </w:tr>
      <w:tr>
        <w:trPr>
          <w:trHeight w:val="270" w:hRule="atLeast"/>
        </w:trPr>
        <w:tc>
          <w:tcPr>
            <w:tcW w:w="3492" w:type="dxa"/>
            <w:shd w:val="clear" w:color="auto" w:fill="F9FCF9"/>
          </w:tcPr>
          <w:p>
            <w:pPr>
              <w:pStyle w:val="TableParagraph"/>
              <w:spacing w:before="45"/>
              <w:ind w:left="54"/>
              <w:jc w:val="left"/>
              <w:rPr>
                <w:sz w:val="16"/>
              </w:rPr>
            </w:pPr>
            <w:r>
              <w:rPr>
                <w:sz w:val="16"/>
              </w:rPr>
              <w:t>Feedstock</w:t>
            </w:r>
          </w:p>
        </w:tc>
        <w:tc>
          <w:tcPr>
            <w:tcW w:w="1143" w:type="dxa"/>
            <w:shd w:val="clear" w:color="auto" w:fill="F9FCF9"/>
          </w:tcPr>
          <w:p>
            <w:pPr>
              <w:pStyle w:val="TableParagraph"/>
              <w:spacing w:before="45"/>
              <w:ind w:left="82" w:right="44"/>
              <w:rPr>
                <w:sz w:val="16"/>
              </w:rPr>
            </w:pPr>
            <w:r>
              <w:rPr>
                <w:sz w:val="16"/>
              </w:rPr>
              <w:t>Natural gas</w:t>
            </w:r>
          </w:p>
        </w:tc>
        <w:tc>
          <w:tcPr>
            <w:tcW w:w="1047" w:type="dxa"/>
            <w:shd w:val="clear" w:color="auto" w:fill="F9FCF9"/>
          </w:tcPr>
          <w:p>
            <w:pPr>
              <w:pStyle w:val="TableParagraph"/>
              <w:spacing w:before="45"/>
              <w:ind w:left="171"/>
              <w:jc w:val="left"/>
              <w:rPr>
                <w:sz w:val="16"/>
              </w:rPr>
            </w:pPr>
            <w:r>
              <w:rPr>
                <w:sz w:val="16"/>
              </w:rPr>
              <w:t>Natural gas</w:t>
            </w:r>
          </w:p>
        </w:tc>
        <w:tc>
          <w:tcPr>
            <w:tcW w:w="1297" w:type="dxa"/>
            <w:shd w:val="clear" w:color="auto" w:fill="F9FCF9"/>
          </w:tcPr>
          <w:p>
            <w:pPr>
              <w:pStyle w:val="TableParagraph"/>
              <w:spacing w:before="45"/>
              <w:ind w:left="463" w:right="424"/>
              <w:rPr>
                <w:sz w:val="16"/>
              </w:rPr>
            </w:pPr>
            <w:r>
              <w:rPr>
                <w:sz w:val="16"/>
              </w:rPr>
              <w:t>Coal</w:t>
            </w:r>
          </w:p>
        </w:tc>
        <w:tc>
          <w:tcPr>
            <w:tcW w:w="1207" w:type="dxa"/>
            <w:shd w:val="clear" w:color="auto" w:fill="F9FCF9"/>
          </w:tcPr>
          <w:p>
            <w:pPr>
              <w:pStyle w:val="TableParagraph"/>
              <w:spacing w:before="45"/>
              <w:ind w:left="122" w:right="42"/>
              <w:rPr>
                <w:sz w:val="16"/>
              </w:rPr>
            </w:pPr>
            <w:r>
              <w:rPr>
                <w:sz w:val="16"/>
              </w:rPr>
              <w:t>Pgh #8 Coal</w:t>
            </w:r>
          </w:p>
        </w:tc>
        <w:tc>
          <w:tcPr>
            <w:tcW w:w="1170" w:type="dxa"/>
            <w:shd w:val="clear" w:color="auto" w:fill="F9FCF9"/>
          </w:tcPr>
          <w:p>
            <w:pPr>
              <w:pStyle w:val="TableParagraph"/>
              <w:spacing w:before="45"/>
              <w:ind w:left="111" w:right="31"/>
              <w:rPr>
                <w:sz w:val="16"/>
              </w:rPr>
            </w:pPr>
            <w:r>
              <w:rPr>
                <w:sz w:val="16"/>
              </w:rPr>
              <w:t>Coal</w:t>
            </w:r>
          </w:p>
        </w:tc>
        <w:tc>
          <w:tcPr>
            <w:tcW w:w="1223" w:type="dxa"/>
            <w:shd w:val="clear" w:color="auto" w:fill="F9FCF9"/>
          </w:tcPr>
          <w:p>
            <w:pPr>
              <w:pStyle w:val="TableParagraph"/>
              <w:spacing w:before="45"/>
              <w:ind w:left="100" w:right="19"/>
              <w:rPr>
                <w:sz w:val="16"/>
              </w:rPr>
            </w:pPr>
            <w:r>
              <w:rPr>
                <w:sz w:val="16"/>
              </w:rPr>
              <w:t>Coal</w:t>
            </w:r>
          </w:p>
        </w:tc>
        <w:tc>
          <w:tcPr>
            <w:tcW w:w="1235" w:type="dxa"/>
            <w:shd w:val="clear" w:color="auto" w:fill="F9FCF9"/>
          </w:tcPr>
          <w:p>
            <w:pPr>
              <w:pStyle w:val="TableParagraph"/>
              <w:spacing w:before="45"/>
              <w:ind w:left="84" w:right="3"/>
              <w:rPr>
                <w:sz w:val="16"/>
              </w:rPr>
            </w:pPr>
            <w:r>
              <w:rPr>
                <w:sz w:val="16"/>
              </w:rPr>
              <w:t>Coal</w:t>
            </w:r>
          </w:p>
        </w:tc>
        <w:tc>
          <w:tcPr>
            <w:tcW w:w="597" w:type="dxa"/>
            <w:shd w:val="clear" w:color="auto" w:fill="F9FCF9"/>
          </w:tcPr>
          <w:p>
            <w:pPr>
              <w:pStyle w:val="TableParagraph"/>
              <w:jc w:val="left"/>
              <w:rPr>
                <w:sz w:val="14"/>
              </w:rPr>
            </w:pPr>
          </w:p>
        </w:tc>
        <w:tc>
          <w:tcPr>
            <w:tcW w:w="1167" w:type="dxa"/>
            <w:shd w:val="clear" w:color="auto" w:fill="F9FCF9"/>
          </w:tcPr>
          <w:p>
            <w:pPr>
              <w:pStyle w:val="TableParagraph"/>
              <w:jc w:val="left"/>
              <w:rPr>
                <w:sz w:val="14"/>
              </w:rPr>
            </w:pPr>
          </w:p>
        </w:tc>
      </w:tr>
      <w:tr>
        <w:trPr>
          <w:trHeight w:val="270" w:hRule="atLeast"/>
        </w:trPr>
        <w:tc>
          <w:tcPr>
            <w:tcW w:w="3492" w:type="dxa"/>
            <w:shd w:val="clear" w:color="auto" w:fill="F9FCF9"/>
          </w:tcPr>
          <w:p>
            <w:pPr>
              <w:pStyle w:val="TableParagraph"/>
              <w:spacing w:before="45"/>
              <w:ind w:left="54"/>
              <w:jc w:val="left"/>
              <w:rPr>
                <w:sz w:val="9"/>
              </w:rPr>
            </w:pPr>
            <w:r>
              <w:rPr>
                <w:sz w:val="16"/>
              </w:rPr>
              <w:t>Feedstock cost, LHV (US$ GJ</w:t>
            </w:r>
            <w:r>
              <w:rPr>
                <w:position w:val="5"/>
                <w:sz w:val="9"/>
              </w:rPr>
              <w:t>−1)</w:t>
            </w:r>
          </w:p>
        </w:tc>
        <w:tc>
          <w:tcPr>
            <w:tcW w:w="1143" w:type="dxa"/>
            <w:shd w:val="clear" w:color="auto" w:fill="F9FCF9"/>
          </w:tcPr>
          <w:p>
            <w:pPr>
              <w:pStyle w:val="TableParagraph"/>
              <w:spacing w:before="45"/>
              <w:ind w:left="83" w:right="44"/>
              <w:rPr>
                <w:sz w:val="16"/>
              </w:rPr>
            </w:pPr>
            <w:r>
              <w:rPr>
                <w:sz w:val="16"/>
              </w:rPr>
              <w:t>5.26</w:t>
            </w:r>
          </w:p>
        </w:tc>
        <w:tc>
          <w:tcPr>
            <w:tcW w:w="1047" w:type="dxa"/>
            <w:shd w:val="clear" w:color="auto" w:fill="F9FCF9"/>
          </w:tcPr>
          <w:p>
            <w:pPr>
              <w:pStyle w:val="TableParagraph"/>
              <w:spacing w:before="45"/>
              <w:ind w:left="378" w:right="339"/>
              <w:rPr>
                <w:sz w:val="16"/>
              </w:rPr>
            </w:pPr>
            <w:r>
              <w:rPr>
                <w:sz w:val="16"/>
              </w:rPr>
              <w:t>4.73</w:t>
            </w:r>
          </w:p>
        </w:tc>
        <w:tc>
          <w:tcPr>
            <w:tcW w:w="1297" w:type="dxa"/>
            <w:shd w:val="clear" w:color="auto" w:fill="F9FCF9"/>
          </w:tcPr>
          <w:p>
            <w:pPr>
              <w:pStyle w:val="TableParagraph"/>
              <w:spacing w:before="45"/>
              <w:ind w:left="463" w:right="424"/>
              <w:rPr>
                <w:sz w:val="16"/>
              </w:rPr>
            </w:pPr>
            <w:r>
              <w:rPr>
                <w:sz w:val="16"/>
              </w:rPr>
              <w:t>1.20</w:t>
            </w:r>
          </w:p>
        </w:tc>
        <w:tc>
          <w:tcPr>
            <w:tcW w:w="1207" w:type="dxa"/>
            <w:shd w:val="clear" w:color="auto" w:fill="F9FCF9"/>
          </w:tcPr>
          <w:p>
            <w:pPr>
              <w:pStyle w:val="TableParagraph"/>
              <w:spacing w:before="45"/>
              <w:ind w:left="122" w:right="82"/>
              <w:rPr>
                <w:sz w:val="16"/>
              </w:rPr>
            </w:pPr>
            <w:r>
              <w:rPr>
                <w:sz w:val="16"/>
              </w:rPr>
              <w:t>0.89</w:t>
            </w:r>
          </w:p>
        </w:tc>
        <w:tc>
          <w:tcPr>
            <w:tcW w:w="1170" w:type="dxa"/>
            <w:shd w:val="clear" w:color="auto" w:fill="F9FCF9"/>
          </w:tcPr>
          <w:p>
            <w:pPr>
              <w:pStyle w:val="TableParagraph"/>
              <w:spacing w:before="45"/>
              <w:ind w:left="111" w:right="71"/>
              <w:rPr>
                <w:sz w:val="16"/>
              </w:rPr>
            </w:pPr>
            <w:r>
              <w:rPr>
                <w:sz w:val="16"/>
              </w:rPr>
              <w:t>1.03</w:t>
            </w:r>
          </w:p>
        </w:tc>
        <w:tc>
          <w:tcPr>
            <w:tcW w:w="1223" w:type="dxa"/>
            <w:shd w:val="clear" w:color="auto" w:fill="F9FCF9"/>
          </w:tcPr>
          <w:p>
            <w:pPr>
              <w:pStyle w:val="TableParagraph"/>
              <w:spacing w:before="45"/>
              <w:ind w:left="60" w:right="19"/>
              <w:rPr>
                <w:sz w:val="16"/>
              </w:rPr>
            </w:pPr>
            <w:r>
              <w:rPr>
                <w:sz w:val="16"/>
              </w:rPr>
              <w:t>1.03</w:t>
            </w:r>
          </w:p>
        </w:tc>
        <w:tc>
          <w:tcPr>
            <w:tcW w:w="1235" w:type="dxa"/>
            <w:shd w:val="clear" w:color="auto" w:fill="F9FCF9"/>
          </w:tcPr>
          <w:p>
            <w:pPr>
              <w:pStyle w:val="TableParagraph"/>
              <w:spacing w:before="45"/>
              <w:ind w:left="44" w:right="3"/>
              <w:rPr>
                <w:sz w:val="16"/>
              </w:rPr>
            </w:pPr>
            <w:r>
              <w:rPr>
                <w:sz w:val="16"/>
              </w:rPr>
              <w:t>1.03</w:t>
            </w:r>
          </w:p>
        </w:tc>
        <w:tc>
          <w:tcPr>
            <w:tcW w:w="597" w:type="dxa"/>
            <w:shd w:val="clear" w:color="auto" w:fill="F9FCF9"/>
          </w:tcPr>
          <w:p>
            <w:pPr>
              <w:pStyle w:val="TableParagraph"/>
              <w:spacing w:before="45"/>
              <w:ind w:left="41"/>
              <w:rPr>
                <w:sz w:val="16"/>
              </w:rPr>
            </w:pPr>
            <w:r>
              <w:rPr>
                <w:sz w:val="16"/>
              </w:rPr>
              <w:t>1</w:t>
            </w:r>
          </w:p>
        </w:tc>
        <w:tc>
          <w:tcPr>
            <w:tcW w:w="1167" w:type="dxa"/>
            <w:shd w:val="clear" w:color="auto" w:fill="F9FCF9"/>
          </w:tcPr>
          <w:p>
            <w:pPr>
              <w:pStyle w:val="TableParagraph"/>
              <w:spacing w:before="45"/>
              <w:ind w:left="42"/>
              <w:rPr>
                <w:sz w:val="16"/>
              </w:rPr>
            </w:pPr>
            <w:r>
              <w:rPr>
                <w:sz w:val="16"/>
              </w:rPr>
              <w:t>5</w:t>
            </w:r>
          </w:p>
        </w:tc>
      </w:tr>
      <w:tr>
        <w:trPr>
          <w:trHeight w:val="270" w:hRule="atLeast"/>
        </w:trPr>
        <w:tc>
          <w:tcPr>
            <w:tcW w:w="3492" w:type="dxa"/>
            <w:shd w:val="clear" w:color="auto" w:fill="F9FCF9"/>
          </w:tcPr>
          <w:p>
            <w:pPr>
              <w:pStyle w:val="TableParagraph"/>
              <w:spacing w:before="45"/>
              <w:ind w:left="54"/>
              <w:jc w:val="left"/>
              <w:rPr>
                <w:sz w:val="16"/>
              </w:rPr>
            </w:pPr>
            <w:r>
              <w:rPr>
                <w:sz w:val="16"/>
              </w:rPr>
              <w:t>Plant capacity factor (%)</w:t>
            </w:r>
          </w:p>
        </w:tc>
        <w:tc>
          <w:tcPr>
            <w:tcW w:w="1143" w:type="dxa"/>
            <w:shd w:val="clear" w:color="auto" w:fill="F9FCF9"/>
          </w:tcPr>
          <w:p>
            <w:pPr>
              <w:pStyle w:val="TableParagraph"/>
              <w:spacing w:before="45"/>
              <w:ind w:left="83" w:right="44"/>
              <w:rPr>
                <w:sz w:val="16"/>
              </w:rPr>
            </w:pPr>
            <w:r>
              <w:rPr>
                <w:sz w:val="16"/>
              </w:rPr>
              <w:t>90</w:t>
            </w:r>
          </w:p>
        </w:tc>
        <w:tc>
          <w:tcPr>
            <w:tcW w:w="1047" w:type="dxa"/>
            <w:shd w:val="clear" w:color="auto" w:fill="F9FCF9"/>
          </w:tcPr>
          <w:p>
            <w:pPr>
              <w:pStyle w:val="TableParagraph"/>
              <w:spacing w:before="45"/>
              <w:ind w:left="378" w:right="339"/>
              <w:rPr>
                <w:sz w:val="16"/>
              </w:rPr>
            </w:pPr>
            <w:r>
              <w:rPr>
                <w:sz w:val="16"/>
              </w:rPr>
              <w:t>90</w:t>
            </w:r>
          </w:p>
        </w:tc>
        <w:tc>
          <w:tcPr>
            <w:tcW w:w="1297" w:type="dxa"/>
            <w:shd w:val="clear" w:color="auto" w:fill="F9FCF9"/>
          </w:tcPr>
          <w:p>
            <w:pPr>
              <w:pStyle w:val="TableParagraph"/>
              <w:spacing w:before="45"/>
              <w:ind w:left="463" w:right="424"/>
              <w:rPr>
                <w:sz w:val="16"/>
              </w:rPr>
            </w:pPr>
            <w:r>
              <w:rPr>
                <w:sz w:val="16"/>
              </w:rPr>
              <w:t>90</w:t>
            </w:r>
          </w:p>
        </w:tc>
        <w:tc>
          <w:tcPr>
            <w:tcW w:w="1207" w:type="dxa"/>
            <w:shd w:val="clear" w:color="auto" w:fill="F9FCF9"/>
          </w:tcPr>
          <w:p>
            <w:pPr>
              <w:pStyle w:val="TableParagraph"/>
              <w:spacing w:before="45"/>
              <w:ind w:left="122" w:right="82"/>
              <w:rPr>
                <w:sz w:val="16"/>
              </w:rPr>
            </w:pPr>
            <w:r>
              <w:rPr>
                <w:sz w:val="16"/>
              </w:rPr>
              <w:t>80</w:t>
            </w:r>
          </w:p>
        </w:tc>
        <w:tc>
          <w:tcPr>
            <w:tcW w:w="1170" w:type="dxa"/>
            <w:shd w:val="clear" w:color="auto" w:fill="F9FCF9"/>
          </w:tcPr>
          <w:p>
            <w:pPr>
              <w:pStyle w:val="TableParagraph"/>
              <w:spacing w:before="45"/>
              <w:ind w:left="111" w:right="71"/>
              <w:rPr>
                <w:sz w:val="16"/>
              </w:rPr>
            </w:pPr>
            <w:r>
              <w:rPr>
                <w:sz w:val="16"/>
              </w:rPr>
              <w:t>85</w:t>
            </w:r>
          </w:p>
        </w:tc>
        <w:tc>
          <w:tcPr>
            <w:tcW w:w="1223" w:type="dxa"/>
            <w:shd w:val="clear" w:color="auto" w:fill="F9FCF9"/>
          </w:tcPr>
          <w:p>
            <w:pPr>
              <w:pStyle w:val="TableParagraph"/>
              <w:spacing w:before="45"/>
              <w:ind w:left="60" w:right="19"/>
              <w:rPr>
                <w:sz w:val="16"/>
              </w:rPr>
            </w:pPr>
            <w:r>
              <w:rPr>
                <w:sz w:val="16"/>
              </w:rPr>
              <w:t>85</w:t>
            </w:r>
          </w:p>
        </w:tc>
        <w:tc>
          <w:tcPr>
            <w:tcW w:w="1235" w:type="dxa"/>
            <w:shd w:val="clear" w:color="auto" w:fill="F9FCF9"/>
          </w:tcPr>
          <w:p>
            <w:pPr>
              <w:pStyle w:val="TableParagraph"/>
              <w:spacing w:before="45"/>
              <w:ind w:left="44" w:right="3"/>
              <w:rPr>
                <w:sz w:val="16"/>
              </w:rPr>
            </w:pPr>
            <w:r>
              <w:rPr>
                <w:sz w:val="16"/>
              </w:rPr>
              <w:t>85</w:t>
            </w:r>
          </w:p>
        </w:tc>
        <w:tc>
          <w:tcPr>
            <w:tcW w:w="597" w:type="dxa"/>
            <w:shd w:val="clear" w:color="auto" w:fill="F9FCF9"/>
          </w:tcPr>
          <w:p>
            <w:pPr>
              <w:pStyle w:val="TableParagraph"/>
              <w:spacing w:before="45"/>
              <w:ind w:left="234"/>
              <w:jc w:val="left"/>
              <w:rPr>
                <w:sz w:val="16"/>
              </w:rPr>
            </w:pPr>
            <w:r>
              <w:rPr>
                <w:sz w:val="16"/>
              </w:rPr>
              <w:t>80</w:t>
            </w:r>
          </w:p>
        </w:tc>
        <w:tc>
          <w:tcPr>
            <w:tcW w:w="1167" w:type="dxa"/>
            <w:shd w:val="clear" w:color="auto" w:fill="F9FCF9"/>
          </w:tcPr>
          <w:p>
            <w:pPr>
              <w:pStyle w:val="TableParagraph"/>
              <w:spacing w:before="45"/>
              <w:ind w:left="519"/>
              <w:jc w:val="left"/>
              <w:rPr>
                <w:sz w:val="16"/>
              </w:rPr>
            </w:pPr>
            <w:r>
              <w:rPr>
                <w:sz w:val="16"/>
              </w:rPr>
              <w:t>90</w:t>
            </w:r>
          </w:p>
        </w:tc>
      </w:tr>
      <w:tr>
        <w:trPr>
          <w:trHeight w:val="270" w:hRule="atLeast"/>
        </w:trPr>
        <w:tc>
          <w:tcPr>
            <w:tcW w:w="3492" w:type="dxa"/>
            <w:shd w:val="clear" w:color="auto" w:fill="F9FCF9"/>
          </w:tcPr>
          <w:p>
            <w:pPr>
              <w:pStyle w:val="TableParagraph"/>
              <w:spacing w:line="204" w:lineRule="exact" w:before="45"/>
              <w:ind w:left="54"/>
              <w:jc w:val="left"/>
              <w:rPr>
                <w:sz w:val="16"/>
              </w:rPr>
            </w:pPr>
            <w:r>
              <w:rPr>
                <w:sz w:val="16"/>
              </w:rPr>
              <w:t>CO</w:t>
            </w:r>
            <w:r>
              <w:rPr>
                <w:position w:val="-4"/>
                <w:sz w:val="9"/>
              </w:rPr>
              <w:t>2 </w:t>
            </w:r>
            <w:r>
              <w:rPr>
                <w:sz w:val="16"/>
              </w:rPr>
              <w:t>capture/separation technology</w:t>
            </w:r>
          </w:p>
        </w:tc>
        <w:tc>
          <w:tcPr>
            <w:tcW w:w="1143" w:type="dxa"/>
            <w:shd w:val="clear" w:color="auto" w:fill="F9FCF9"/>
          </w:tcPr>
          <w:p>
            <w:pPr>
              <w:pStyle w:val="TableParagraph"/>
              <w:spacing w:before="45"/>
              <w:ind w:left="83" w:right="44"/>
              <w:rPr>
                <w:sz w:val="16"/>
              </w:rPr>
            </w:pPr>
            <w:r>
              <w:rPr>
                <w:sz w:val="16"/>
              </w:rPr>
              <w:t>Oxy-fuel</w:t>
            </w:r>
          </w:p>
        </w:tc>
        <w:tc>
          <w:tcPr>
            <w:tcW w:w="1047" w:type="dxa"/>
            <w:shd w:val="clear" w:color="auto" w:fill="F9FCF9"/>
          </w:tcPr>
          <w:p>
            <w:pPr>
              <w:pStyle w:val="TableParagraph"/>
              <w:jc w:val="left"/>
              <w:rPr>
                <w:sz w:val="14"/>
              </w:rPr>
            </w:pPr>
          </w:p>
        </w:tc>
        <w:tc>
          <w:tcPr>
            <w:tcW w:w="1297" w:type="dxa"/>
            <w:shd w:val="clear" w:color="auto" w:fill="F9FCF9"/>
          </w:tcPr>
          <w:p>
            <w:pPr>
              <w:pStyle w:val="TableParagraph"/>
              <w:jc w:val="left"/>
              <w:rPr>
                <w:sz w:val="14"/>
              </w:rPr>
            </w:pPr>
          </w:p>
        </w:tc>
        <w:tc>
          <w:tcPr>
            <w:tcW w:w="1207" w:type="dxa"/>
            <w:shd w:val="clear" w:color="auto" w:fill="F9FCF9"/>
          </w:tcPr>
          <w:p>
            <w:pPr>
              <w:pStyle w:val="TableParagraph"/>
              <w:spacing w:before="45"/>
              <w:ind w:left="122" w:right="82"/>
              <w:rPr>
                <w:sz w:val="16"/>
              </w:rPr>
            </w:pPr>
            <w:r>
              <w:rPr>
                <w:sz w:val="16"/>
              </w:rPr>
              <w:t>Oxy-fuel</w:t>
            </w:r>
          </w:p>
        </w:tc>
        <w:tc>
          <w:tcPr>
            <w:tcW w:w="1170" w:type="dxa"/>
            <w:shd w:val="clear" w:color="auto" w:fill="F9FCF9"/>
          </w:tcPr>
          <w:p>
            <w:pPr>
              <w:pStyle w:val="TableParagraph"/>
              <w:spacing w:before="45"/>
              <w:ind w:left="111" w:right="71"/>
              <w:rPr>
                <w:sz w:val="16"/>
              </w:rPr>
            </w:pPr>
            <w:r>
              <w:rPr>
                <w:sz w:val="16"/>
              </w:rPr>
              <w:t>Oxy-fuel</w:t>
            </w:r>
          </w:p>
        </w:tc>
        <w:tc>
          <w:tcPr>
            <w:tcW w:w="1223" w:type="dxa"/>
            <w:shd w:val="clear" w:color="auto" w:fill="F9FCF9"/>
          </w:tcPr>
          <w:p>
            <w:pPr>
              <w:pStyle w:val="TableParagraph"/>
              <w:spacing w:before="45"/>
              <w:ind w:left="59" w:right="19"/>
              <w:rPr>
                <w:sz w:val="16"/>
              </w:rPr>
            </w:pPr>
            <w:r>
              <w:rPr>
                <w:sz w:val="16"/>
              </w:rPr>
              <w:t>Oxy-fuel</w:t>
            </w:r>
          </w:p>
        </w:tc>
        <w:tc>
          <w:tcPr>
            <w:tcW w:w="1235" w:type="dxa"/>
            <w:shd w:val="clear" w:color="auto" w:fill="F9FCF9"/>
          </w:tcPr>
          <w:p>
            <w:pPr>
              <w:pStyle w:val="TableParagraph"/>
              <w:spacing w:before="45"/>
              <w:ind w:left="44" w:right="3"/>
              <w:rPr>
                <w:sz w:val="16"/>
              </w:rPr>
            </w:pPr>
            <w:r>
              <w:rPr>
                <w:sz w:val="16"/>
              </w:rPr>
              <w:t>Oxy-fuel</w:t>
            </w:r>
          </w:p>
        </w:tc>
        <w:tc>
          <w:tcPr>
            <w:tcW w:w="597" w:type="dxa"/>
            <w:shd w:val="clear" w:color="auto" w:fill="F9FCF9"/>
          </w:tcPr>
          <w:p>
            <w:pPr>
              <w:pStyle w:val="TableParagraph"/>
              <w:jc w:val="left"/>
              <w:rPr>
                <w:sz w:val="14"/>
              </w:rPr>
            </w:pPr>
          </w:p>
        </w:tc>
        <w:tc>
          <w:tcPr>
            <w:tcW w:w="1167" w:type="dxa"/>
            <w:shd w:val="clear" w:color="auto" w:fill="F9FCF9"/>
          </w:tcPr>
          <w:p>
            <w:pPr>
              <w:pStyle w:val="TableParagraph"/>
              <w:jc w:val="left"/>
              <w:rPr>
                <w:sz w:val="14"/>
              </w:rPr>
            </w:pPr>
          </w:p>
        </w:tc>
      </w:tr>
      <w:tr>
        <w:trPr>
          <w:trHeight w:val="270" w:hRule="atLeast"/>
        </w:trPr>
        <w:tc>
          <w:tcPr>
            <w:tcW w:w="3492" w:type="dxa"/>
            <w:shd w:val="clear" w:color="auto" w:fill="F9FCF9"/>
          </w:tcPr>
          <w:p>
            <w:pPr>
              <w:pStyle w:val="TableParagraph"/>
              <w:spacing w:before="45"/>
              <w:ind w:left="54"/>
              <w:jc w:val="left"/>
              <w:rPr>
                <w:sz w:val="16"/>
              </w:rPr>
            </w:pPr>
            <w:r>
              <w:rPr>
                <w:sz w:val="16"/>
              </w:rPr>
              <w:t>Capture plant input capacity, LHV (GJ h</w:t>
            </w:r>
            <w:r>
              <w:rPr>
                <w:position w:val="5"/>
                <w:sz w:val="9"/>
              </w:rPr>
              <w:t>−1</w:t>
            </w:r>
            <w:r>
              <w:rPr>
                <w:sz w:val="16"/>
              </w:rPr>
              <w:t>)</w:t>
            </w:r>
          </w:p>
        </w:tc>
        <w:tc>
          <w:tcPr>
            <w:tcW w:w="1143" w:type="dxa"/>
            <w:shd w:val="clear" w:color="auto" w:fill="F9FCF9"/>
          </w:tcPr>
          <w:p>
            <w:pPr>
              <w:pStyle w:val="TableParagraph"/>
              <w:spacing w:before="45"/>
              <w:ind w:left="83" w:right="44"/>
              <w:rPr>
                <w:sz w:val="16"/>
              </w:rPr>
            </w:pPr>
            <w:r>
              <w:rPr>
                <w:sz w:val="16"/>
              </w:rPr>
              <w:t>9527</w:t>
            </w:r>
          </w:p>
        </w:tc>
        <w:tc>
          <w:tcPr>
            <w:tcW w:w="1047" w:type="dxa"/>
            <w:shd w:val="clear" w:color="auto" w:fill="F9FCF9"/>
          </w:tcPr>
          <w:p>
            <w:pPr>
              <w:pStyle w:val="TableParagraph"/>
              <w:spacing w:before="45"/>
              <w:ind w:left="378"/>
              <w:jc w:val="left"/>
              <w:rPr>
                <w:sz w:val="16"/>
              </w:rPr>
            </w:pPr>
            <w:r>
              <w:rPr>
                <w:sz w:val="16"/>
              </w:rPr>
              <w:t>7697</w:t>
            </w:r>
          </w:p>
        </w:tc>
        <w:tc>
          <w:tcPr>
            <w:tcW w:w="1297" w:type="dxa"/>
            <w:shd w:val="clear" w:color="auto" w:fill="F9FCF9"/>
          </w:tcPr>
          <w:p>
            <w:pPr>
              <w:pStyle w:val="TableParagraph"/>
              <w:spacing w:before="45"/>
              <w:ind w:left="463" w:right="424"/>
              <w:rPr>
                <w:sz w:val="16"/>
              </w:rPr>
            </w:pPr>
            <w:r>
              <w:rPr>
                <w:sz w:val="16"/>
              </w:rPr>
              <w:t>8121</w:t>
            </w:r>
          </w:p>
        </w:tc>
        <w:tc>
          <w:tcPr>
            <w:tcW w:w="1207" w:type="dxa"/>
            <w:shd w:val="clear" w:color="auto" w:fill="F9FCF9"/>
          </w:tcPr>
          <w:p>
            <w:pPr>
              <w:pStyle w:val="TableParagraph"/>
              <w:spacing w:before="45"/>
              <w:ind w:left="122" w:right="82"/>
              <w:rPr>
                <w:sz w:val="16"/>
              </w:rPr>
            </w:pPr>
            <w:r>
              <w:rPr>
                <w:sz w:val="16"/>
              </w:rPr>
              <w:t>2794</w:t>
            </w:r>
          </w:p>
        </w:tc>
        <w:tc>
          <w:tcPr>
            <w:tcW w:w="1170" w:type="dxa"/>
            <w:shd w:val="clear" w:color="auto" w:fill="F9FCF9"/>
          </w:tcPr>
          <w:p>
            <w:pPr>
              <w:pStyle w:val="TableParagraph"/>
              <w:spacing w:before="45"/>
              <w:ind w:left="111" w:right="71"/>
              <w:rPr>
                <w:sz w:val="16"/>
              </w:rPr>
            </w:pPr>
            <w:r>
              <w:rPr>
                <w:sz w:val="16"/>
              </w:rPr>
              <w:t>3020</w:t>
            </w:r>
          </w:p>
        </w:tc>
        <w:tc>
          <w:tcPr>
            <w:tcW w:w="1223" w:type="dxa"/>
            <w:shd w:val="clear" w:color="auto" w:fill="F9FCF9"/>
          </w:tcPr>
          <w:p>
            <w:pPr>
              <w:pStyle w:val="TableParagraph"/>
              <w:spacing w:before="45"/>
              <w:ind w:left="60" w:right="19"/>
              <w:rPr>
                <w:sz w:val="16"/>
              </w:rPr>
            </w:pPr>
            <w:r>
              <w:rPr>
                <w:sz w:val="16"/>
              </w:rPr>
              <w:t>6051</w:t>
            </w:r>
          </w:p>
        </w:tc>
        <w:tc>
          <w:tcPr>
            <w:tcW w:w="1235" w:type="dxa"/>
            <w:shd w:val="clear" w:color="auto" w:fill="F9FCF9"/>
          </w:tcPr>
          <w:p>
            <w:pPr>
              <w:pStyle w:val="TableParagraph"/>
              <w:spacing w:before="45"/>
              <w:ind w:left="44" w:right="3"/>
              <w:rPr>
                <w:sz w:val="16"/>
              </w:rPr>
            </w:pPr>
            <w:r>
              <w:rPr>
                <w:sz w:val="16"/>
              </w:rPr>
              <w:t>6051</w:t>
            </w:r>
          </w:p>
        </w:tc>
        <w:tc>
          <w:tcPr>
            <w:tcW w:w="597" w:type="dxa"/>
            <w:shd w:val="clear" w:color="auto" w:fill="F9FCF9"/>
          </w:tcPr>
          <w:p>
            <w:pPr>
              <w:pStyle w:val="TableParagraph"/>
              <w:spacing w:before="45"/>
              <w:ind w:left="154"/>
              <w:jc w:val="left"/>
              <w:rPr>
                <w:sz w:val="16"/>
              </w:rPr>
            </w:pPr>
            <w:r>
              <w:rPr>
                <w:sz w:val="16"/>
              </w:rPr>
              <w:t>2794</w:t>
            </w:r>
          </w:p>
        </w:tc>
        <w:tc>
          <w:tcPr>
            <w:tcW w:w="1167" w:type="dxa"/>
            <w:shd w:val="clear" w:color="auto" w:fill="F9FCF9"/>
          </w:tcPr>
          <w:p>
            <w:pPr>
              <w:pStyle w:val="TableParagraph"/>
              <w:spacing w:before="45"/>
              <w:ind w:left="439"/>
              <w:jc w:val="left"/>
              <w:rPr>
                <w:sz w:val="16"/>
              </w:rPr>
            </w:pPr>
            <w:r>
              <w:rPr>
                <w:sz w:val="16"/>
              </w:rPr>
              <w:t>9527</w:t>
            </w:r>
          </w:p>
        </w:tc>
      </w:tr>
      <w:tr>
        <w:trPr>
          <w:trHeight w:val="270" w:hRule="atLeast"/>
        </w:trPr>
        <w:tc>
          <w:tcPr>
            <w:tcW w:w="3492" w:type="dxa"/>
            <w:shd w:val="clear" w:color="auto" w:fill="F9FCF9"/>
          </w:tcPr>
          <w:p>
            <w:pPr>
              <w:pStyle w:val="TableParagraph"/>
              <w:spacing w:before="45"/>
              <w:ind w:left="54"/>
              <w:jc w:val="left"/>
              <w:rPr>
                <w:sz w:val="16"/>
              </w:rPr>
            </w:pPr>
            <w:r>
              <w:rPr>
                <w:sz w:val="16"/>
              </w:rPr>
              <w:t>Capture plant output capacity, LHV: Fuels (GJ h</w:t>
            </w:r>
            <w:r>
              <w:rPr>
                <w:position w:val="5"/>
                <w:sz w:val="9"/>
              </w:rPr>
              <w:t>−1</w:t>
            </w:r>
            <w:r>
              <w:rPr>
                <w:sz w:val="16"/>
              </w:rPr>
              <w:t>)</w:t>
            </w:r>
          </w:p>
        </w:tc>
        <w:tc>
          <w:tcPr>
            <w:tcW w:w="1143" w:type="dxa"/>
            <w:shd w:val="clear" w:color="auto" w:fill="F9FCF9"/>
          </w:tcPr>
          <w:p>
            <w:pPr>
              <w:pStyle w:val="TableParagraph"/>
              <w:spacing w:before="45"/>
              <w:ind w:left="83" w:right="44"/>
              <w:rPr>
                <w:sz w:val="16"/>
              </w:rPr>
            </w:pPr>
            <w:r>
              <w:rPr>
                <w:sz w:val="16"/>
              </w:rPr>
              <w:t>7504</w:t>
            </w:r>
          </w:p>
        </w:tc>
        <w:tc>
          <w:tcPr>
            <w:tcW w:w="1047" w:type="dxa"/>
            <w:shd w:val="clear" w:color="auto" w:fill="F9FCF9"/>
          </w:tcPr>
          <w:p>
            <w:pPr>
              <w:pStyle w:val="TableParagraph"/>
              <w:spacing w:before="45"/>
              <w:ind w:left="378"/>
              <w:jc w:val="left"/>
              <w:rPr>
                <w:sz w:val="16"/>
              </w:rPr>
            </w:pPr>
            <w:r>
              <w:rPr>
                <w:sz w:val="16"/>
              </w:rPr>
              <w:t>6004</w:t>
            </w:r>
          </w:p>
        </w:tc>
        <w:tc>
          <w:tcPr>
            <w:tcW w:w="1297" w:type="dxa"/>
            <w:shd w:val="clear" w:color="auto" w:fill="F9FCF9"/>
          </w:tcPr>
          <w:p>
            <w:pPr>
              <w:pStyle w:val="TableParagraph"/>
              <w:spacing w:before="45"/>
              <w:ind w:left="463" w:right="424"/>
              <w:rPr>
                <w:sz w:val="16"/>
              </w:rPr>
            </w:pPr>
            <w:r>
              <w:rPr>
                <w:sz w:val="16"/>
              </w:rPr>
              <w:t>6004</w:t>
            </w:r>
          </w:p>
        </w:tc>
        <w:tc>
          <w:tcPr>
            <w:tcW w:w="1207" w:type="dxa"/>
            <w:shd w:val="clear" w:color="auto" w:fill="F9FCF9"/>
          </w:tcPr>
          <w:p>
            <w:pPr>
              <w:pStyle w:val="TableParagraph"/>
              <w:spacing w:before="45"/>
              <w:ind w:left="122" w:right="82"/>
              <w:rPr>
                <w:sz w:val="16"/>
              </w:rPr>
            </w:pPr>
            <w:r>
              <w:rPr>
                <w:sz w:val="16"/>
              </w:rPr>
              <w:t>1956</w:t>
            </w:r>
          </w:p>
        </w:tc>
        <w:tc>
          <w:tcPr>
            <w:tcW w:w="1170" w:type="dxa"/>
            <w:shd w:val="clear" w:color="auto" w:fill="F9FCF9"/>
          </w:tcPr>
          <w:p>
            <w:pPr>
              <w:pStyle w:val="TableParagraph"/>
              <w:spacing w:before="45"/>
              <w:ind w:left="111" w:right="71"/>
              <w:rPr>
                <w:sz w:val="16"/>
              </w:rPr>
            </w:pPr>
            <w:r>
              <w:rPr>
                <w:sz w:val="16"/>
              </w:rPr>
              <w:t>1904</w:t>
            </w:r>
          </w:p>
        </w:tc>
        <w:tc>
          <w:tcPr>
            <w:tcW w:w="1223" w:type="dxa"/>
            <w:shd w:val="clear" w:color="auto" w:fill="F9FCF9"/>
          </w:tcPr>
          <w:p>
            <w:pPr>
              <w:pStyle w:val="TableParagraph"/>
              <w:spacing w:before="45"/>
              <w:ind w:left="60" w:right="19"/>
              <w:rPr>
                <w:sz w:val="16"/>
              </w:rPr>
            </w:pPr>
            <w:r>
              <w:rPr>
                <w:sz w:val="16"/>
              </w:rPr>
              <w:t>1844</w:t>
            </w:r>
          </w:p>
        </w:tc>
        <w:tc>
          <w:tcPr>
            <w:tcW w:w="1235" w:type="dxa"/>
            <w:shd w:val="clear" w:color="auto" w:fill="F9FCF9"/>
          </w:tcPr>
          <w:p>
            <w:pPr>
              <w:pStyle w:val="TableParagraph"/>
              <w:spacing w:before="45"/>
              <w:ind w:left="44" w:right="3"/>
              <w:rPr>
                <w:sz w:val="16"/>
              </w:rPr>
            </w:pPr>
            <w:r>
              <w:rPr>
                <w:sz w:val="16"/>
              </w:rPr>
              <w:t>1808</w:t>
            </w:r>
          </w:p>
        </w:tc>
        <w:tc>
          <w:tcPr>
            <w:tcW w:w="597" w:type="dxa"/>
            <w:shd w:val="clear" w:color="auto" w:fill="F9FCF9"/>
          </w:tcPr>
          <w:p>
            <w:pPr>
              <w:pStyle w:val="TableParagraph"/>
              <w:spacing w:before="45"/>
              <w:ind w:left="154"/>
              <w:jc w:val="left"/>
              <w:rPr>
                <w:sz w:val="16"/>
              </w:rPr>
            </w:pPr>
            <w:r>
              <w:rPr>
                <w:sz w:val="16"/>
              </w:rPr>
              <w:t>1808</w:t>
            </w:r>
          </w:p>
        </w:tc>
        <w:tc>
          <w:tcPr>
            <w:tcW w:w="1167" w:type="dxa"/>
            <w:shd w:val="clear" w:color="auto" w:fill="F9FCF9"/>
          </w:tcPr>
          <w:p>
            <w:pPr>
              <w:pStyle w:val="TableParagraph"/>
              <w:spacing w:before="45"/>
              <w:ind w:left="439"/>
              <w:jc w:val="left"/>
              <w:rPr>
                <w:sz w:val="16"/>
              </w:rPr>
            </w:pPr>
            <w:r>
              <w:rPr>
                <w:sz w:val="16"/>
              </w:rPr>
              <w:t>7504</w:t>
            </w:r>
          </w:p>
        </w:tc>
      </w:tr>
      <w:tr>
        <w:trPr>
          <w:trHeight w:val="270" w:hRule="atLeast"/>
        </w:trPr>
        <w:tc>
          <w:tcPr>
            <w:tcW w:w="3492" w:type="dxa"/>
            <w:shd w:val="clear" w:color="auto" w:fill="F9FCF9"/>
          </w:tcPr>
          <w:p>
            <w:pPr>
              <w:pStyle w:val="TableParagraph"/>
              <w:spacing w:before="45"/>
              <w:ind w:right="12"/>
              <w:jc w:val="right"/>
              <w:rPr>
                <w:sz w:val="16"/>
              </w:rPr>
            </w:pPr>
            <w:r>
              <w:rPr>
                <w:sz w:val="16"/>
              </w:rPr>
              <w:t>Electricity (MW)</w:t>
            </w:r>
          </w:p>
        </w:tc>
        <w:tc>
          <w:tcPr>
            <w:tcW w:w="1143" w:type="dxa"/>
            <w:shd w:val="clear" w:color="auto" w:fill="F9FCF9"/>
          </w:tcPr>
          <w:p>
            <w:pPr>
              <w:pStyle w:val="TableParagraph"/>
              <w:spacing w:before="45"/>
              <w:ind w:left="83" w:right="44"/>
              <w:rPr>
                <w:sz w:val="16"/>
              </w:rPr>
            </w:pPr>
            <w:r>
              <w:rPr>
                <w:sz w:val="16"/>
              </w:rPr>
              <w:t>−13</w:t>
            </w:r>
          </w:p>
        </w:tc>
        <w:tc>
          <w:tcPr>
            <w:tcW w:w="1047" w:type="dxa"/>
            <w:shd w:val="clear" w:color="auto" w:fill="F9FCF9"/>
          </w:tcPr>
          <w:p>
            <w:pPr>
              <w:pStyle w:val="TableParagraph"/>
              <w:spacing w:before="45"/>
              <w:ind w:left="378" w:right="339"/>
              <w:rPr>
                <w:sz w:val="16"/>
              </w:rPr>
            </w:pPr>
            <w:r>
              <w:rPr>
                <w:sz w:val="16"/>
              </w:rPr>
              <w:t>−66</w:t>
            </w:r>
          </w:p>
        </w:tc>
        <w:tc>
          <w:tcPr>
            <w:tcW w:w="1297" w:type="dxa"/>
            <w:shd w:val="clear" w:color="auto" w:fill="F9FCF9"/>
          </w:tcPr>
          <w:p>
            <w:pPr>
              <w:pStyle w:val="TableParagraph"/>
              <w:spacing w:before="45"/>
              <w:ind w:left="463" w:right="424"/>
              <w:rPr>
                <w:sz w:val="16"/>
              </w:rPr>
            </w:pPr>
            <w:r>
              <w:rPr>
                <w:sz w:val="16"/>
              </w:rPr>
              <w:t>−88</w:t>
            </w:r>
          </w:p>
        </w:tc>
        <w:tc>
          <w:tcPr>
            <w:tcW w:w="1207" w:type="dxa"/>
            <w:shd w:val="clear" w:color="auto" w:fill="F9FCF9"/>
          </w:tcPr>
          <w:p>
            <w:pPr>
              <w:pStyle w:val="TableParagraph"/>
              <w:spacing w:before="45"/>
              <w:ind w:left="40"/>
              <w:rPr>
                <w:sz w:val="16"/>
              </w:rPr>
            </w:pPr>
            <w:r>
              <w:rPr>
                <w:sz w:val="16"/>
              </w:rPr>
              <w:t>7</w:t>
            </w:r>
          </w:p>
        </w:tc>
        <w:tc>
          <w:tcPr>
            <w:tcW w:w="1170" w:type="dxa"/>
            <w:shd w:val="clear" w:color="auto" w:fill="F9FCF9"/>
          </w:tcPr>
          <w:p>
            <w:pPr>
              <w:pStyle w:val="TableParagraph"/>
              <w:spacing w:before="45"/>
              <w:ind w:left="111" w:right="71"/>
              <w:rPr>
                <w:sz w:val="16"/>
              </w:rPr>
            </w:pPr>
            <w:r>
              <w:rPr>
                <w:sz w:val="16"/>
              </w:rPr>
              <w:t>25</w:t>
            </w:r>
          </w:p>
        </w:tc>
        <w:tc>
          <w:tcPr>
            <w:tcW w:w="1223" w:type="dxa"/>
            <w:shd w:val="clear" w:color="auto" w:fill="F9FCF9"/>
          </w:tcPr>
          <w:p>
            <w:pPr>
              <w:pStyle w:val="TableParagraph"/>
              <w:spacing w:before="45"/>
              <w:ind w:left="60" w:right="19"/>
              <w:rPr>
                <w:sz w:val="16"/>
              </w:rPr>
            </w:pPr>
            <w:r>
              <w:rPr>
                <w:sz w:val="16"/>
              </w:rPr>
              <w:t>416</w:t>
            </w:r>
          </w:p>
        </w:tc>
        <w:tc>
          <w:tcPr>
            <w:tcW w:w="1235" w:type="dxa"/>
            <w:shd w:val="clear" w:color="auto" w:fill="F9FCF9"/>
          </w:tcPr>
          <w:p>
            <w:pPr>
              <w:pStyle w:val="TableParagraph"/>
              <w:spacing w:before="45"/>
              <w:ind w:left="44" w:right="3"/>
              <w:rPr>
                <w:sz w:val="16"/>
              </w:rPr>
            </w:pPr>
            <w:r>
              <w:rPr>
                <w:sz w:val="16"/>
              </w:rPr>
              <w:t>519</w:t>
            </w:r>
          </w:p>
        </w:tc>
        <w:tc>
          <w:tcPr>
            <w:tcW w:w="597" w:type="dxa"/>
            <w:shd w:val="clear" w:color="auto" w:fill="F9FCF9"/>
          </w:tcPr>
          <w:p>
            <w:pPr>
              <w:pStyle w:val="TableParagraph"/>
              <w:spacing w:before="45"/>
              <w:ind w:left="207"/>
              <w:jc w:val="left"/>
              <w:rPr>
                <w:sz w:val="16"/>
              </w:rPr>
            </w:pPr>
            <w:r>
              <w:rPr>
                <w:sz w:val="16"/>
              </w:rPr>
              <w:t>-88</w:t>
            </w:r>
          </w:p>
        </w:tc>
        <w:tc>
          <w:tcPr>
            <w:tcW w:w="1167" w:type="dxa"/>
            <w:shd w:val="clear" w:color="auto" w:fill="F9FCF9"/>
          </w:tcPr>
          <w:p>
            <w:pPr>
              <w:pStyle w:val="TableParagraph"/>
              <w:spacing w:before="45"/>
              <w:ind w:left="479"/>
              <w:jc w:val="left"/>
              <w:rPr>
                <w:sz w:val="16"/>
              </w:rPr>
            </w:pPr>
            <w:r>
              <w:rPr>
                <w:sz w:val="16"/>
              </w:rPr>
              <w:t>519</w:t>
            </w:r>
          </w:p>
        </w:tc>
      </w:tr>
      <w:tr>
        <w:trPr>
          <w:trHeight w:val="270" w:hRule="atLeast"/>
        </w:trPr>
        <w:tc>
          <w:tcPr>
            <w:tcW w:w="3492" w:type="dxa"/>
            <w:shd w:val="clear" w:color="auto" w:fill="F9FCF9"/>
          </w:tcPr>
          <w:p>
            <w:pPr>
              <w:pStyle w:val="TableParagraph"/>
              <w:spacing w:before="45"/>
              <w:ind w:left="54"/>
              <w:jc w:val="left"/>
              <w:rPr>
                <w:sz w:val="16"/>
              </w:rPr>
            </w:pPr>
            <w:r>
              <w:rPr>
                <w:sz w:val="16"/>
              </w:rPr>
              <w:t>Net plant efficiency, LHV (%)</w:t>
            </w:r>
          </w:p>
        </w:tc>
        <w:tc>
          <w:tcPr>
            <w:tcW w:w="1143" w:type="dxa"/>
            <w:shd w:val="clear" w:color="auto" w:fill="F9FCF9"/>
          </w:tcPr>
          <w:p>
            <w:pPr>
              <w:pStyle w:val="TableParagraph"/>
              <w:spacing w:before="45"/>
              <w:ind w:left="83" w:right="44"/>
              <w:rPr>
                <w:sz w:val="16"/>
              </w:rPr>
            </w:pPr>
            <w:r>
              <w:rPr>
                <w:sz w:val="16"/>
              </w:rPr>
              <w:t>78.3</w:t>
            </w:r>
          </w:p>
        </w:tc>
        <w:tc>
          <w:tcPr>
            <w:tcW w:w="1047" w:type="dxa"/>
            <w:shd w:val="clear" w:color="auto" w:fill="F9FCF9"/>
          </w:tcPr>
          <w:p>
            <w:pPr>
              <w:pStyle w:val="TableParagraph"/>
              <w:spacing w:before="45"/>
              <w:ind w:left="378" w:right="339"/>
              <w:rPr>
                <w:sz w:val="16"/>
              </w:rPr>
            </w:pPr>
            <w:r>
              <w:rPr>
                <w:sz w:val="16"/>
              </w:rPr>
              <w:t>74.9</w:t>
            </w:r>
          </w:p>
        </w:tc>
        <w:tc>
          <w:tcPr>
            <w:tcW w:w="1297" w:type="dxa"/>
            <w:shd w:val="clear" w:color="auto" w:fill="F9FCF9"/>
          </w:tcPr>
          <w:p>
            <w:pPr>
              <w:pStyle w:val="TableParagraph"/>
              <w:spacing w:before="45"/>
              <w:ind w:left="463" w:right="424"/>
              <w:rPr>
                <w:sz w:val="16"/>
              </w:rPr>
            </w:pPr>
            <w:r>
              <w:rPr>
                <w:sz w:val="16"/>
              </w:rPr>
              <w:t>70.0</w:t>
            </w:r>
          </w:p>
        </w:tc>
        <w:tc>
          <w:tcPr>
            <w:tcW w:w="1207" w:type="dxa"/>
            <w:shd w:val="clear" w:color="auto" w:fill="F9FCF9"/>
          </w:tcPr>
          <w:p>
            <w:pPr>
              <w:pStyle w:val="TableParagraph"/>
              <w:spacing w:before="45"/>
              <w:ind w:left="122" w:right="82"/>
              <w:rPr>
                <w:sz w:val="16"/>
              </w:rPr>
            </w:pPr>
            <w:r>
              <w:rPr>
                <w:sz w:val="16"/>
              </w:rPr>
              <w:t>70.9</w:t>
            </w:r>
          </w:p>
        </w:tc>
        <w:tc>
          <w:tcPr>
            <w:tcW w:w="1170" w:type="dxa"/>
            <w:shd w:val="clear" w:color="auto" w:fill="F9FCF9"/>
          </w:tcPr>
          <w:p>
            <w:pPr>
              <w:pStyle w:val="TableParagraph"/>
              <w:spacing w:before="45"/>
              <w:ind w:left="111" w:right="71"/>
              <w:rPr>
                <w:sz w:val="16"/>
              </w:rPr>
            </w:pPr>
            <w:r>
              <w:rPr>
                <w:sz w:val="16"/>
              </w:rPr>
              <w:t>66.0</w:t>
            </w:r>
          </w:p>
        </w:tc>
        <w:tc>
          <w:tcPr>
            <w:tcW w:w="1223" w:type="dxa"/>
            <w:shd w:val="clear" w:color="auto" w:fill="F9FCF9"/>
          </w:tcPr>
          <w:p>
            <w:pPr>
              <w:pStyle w:val="TableParagraph"/>
              <w:spacing w:before="45"/>
              <w:ind w:left="60" w:right="19"/>
              <w:rPr>
                <w:sz w:val="16"/>
              </w:rPr>
            </w:pPr>
            <w:r>
              <w:rPr>
                <w:sz w:val="16"/>
              </w:rPr>
              <w:t>55.2</w:t>
            </w:r>
          </w:p>
        </w:tc>
        <w:tc>
          <w:tcPr>
            <w:tcW w:w="1235" w:type="dxa"/>
            <w:shd w:val="clear" w:color="auto" w:fill="F9FCF9"/>
          </w:tcPr>
          <w:p>
            <w:pPr>
              <w:pStyle w:val="TableParagraph"/>
              <w:spacing w:before="45"/>
              <w:ind w:left="44" w:right="3"/>
              <w:rPr>
                <w:sz w:val="16"/>
              </w:rPr>
            </w:pPr>
            <w:r>
              <w:rPr>
                <w:sz w:val="16"/>
              </w:rPr>
              <w:t>60.7</w:t>
            </w:r>
          </w:p>
        </w:tc>
        <w:tc>
          <w:tcPr>
            <w:tcW w:w="597" w:type="dxa"/>
            <w:shd w:val="clear" w:color="auto" w:fill="F9FCF9"/>
          </w:tcPr>
          <w:p>
            <w:pPr>
              <w:pStyle w:val="TableParagraph"/>
              <w:spacing w:before="45"/>
              <w:ind w:left="234"/>
              <w:jc w:val="left"/>
              <w:rPr>
                <w:sz w:val="16"/>
              </w:rPr>
            </w:pPr>
            <w:r>
              <w:rPr>
                <w:sz w:val="16"/>
              </w:rPr>
              <w:t>55</w:t>
            </w:r>
          </w:p>
        </w:tc>
        <w:tc>
          <w:tcPr>
            <w:tcW w:w="1167" w:type="dxa"/>
            <w:shd w:val="clear" w:color="auto" w:fill="F9FCF9"/>
          </w:tcPr>
          <w:p>
            <w:pPr>
              <w:pStyle w:val="TableParagraph"/>
              <w:spacing w:before="45"/>
              <w:ind w:left="519"/>
              <w:jc w:val="left"/>
              <w:rPr>
                <w:sz w:val="16"/>
              </w:rPr>
            </w:pPr>
            <w:r>
              <w:rPr>
                <w:sz w:val="16"/>
              </w:rPr>
              <w:t>78</w:t>
            </w:r>
          </w:p>
        </w:tc>
      </w:tr>
      <w:tr>
        <w:trPr>
          <w:trHeight w:val="270" w:hRule="atLeast"/>
        </w:trPr>
        <w:tc>
          <w:tcPr>
            <w:tcW w:w="3492" w:type="dxa"/>
            <w:shd w:val="clear" w:color="auto" w:fill="F9FCF9"/>
          </w:tcPr>
          <w:p>
            <w:pPr>
              <w:pStyle w:val="TableParagraph"/>
              <w:spacing w:line="204" w:lineRule="exact" w:before="45"/>
              <w:ind w:left="54"/>
              <w:jc w:val="left"/>
              <w:rPr>
                <w:sz w:val="16"/>
              </w:rPr>
            </w:pPr>
            <w:r>
              <w:rPr>
                <w:sz w:val="16"/>
              </w:rPr>
              <w:t>CO</w:t>
            </w:r>
            <w:r>
              <w:rPr>
                <w:position w:val="-4"/>
                <w:sz w:val="9"/>
              </w:rPr>
              <w:t>2 </w:t>
            </w:r>
            <w:r>
              <w:rPr>
                <w:sz w:val="16"/>
              </w:rPr>
              <w:t>capture efficiency (%)**</w:t>
            </w:r>
          </w:p>
        </w:tc>
        <w:tc>
          <w:tcPr>
            <w:tcW w:w="1143" w:type="dxa"/>
            <w:shd w:val="clear" w:color="auto" w:fill="F9FCF9"/>
          </w:tcPr>
          <w:p>
            <w:pPr>
              <w:pStyle w:val="TableParagraph"/>
              <w:spacing w:before="45"/>
              <w:ind w:left="83" w:right="44"/>
              <w:rPr>
                <w:sz w:val="16"/>
              </w:rPr>
            </w:pPr>
            <w:r>
              <w:rPr>
                <w:sz w:val="16"/>
              </w:rPr>
              <w:t>95</w:t>
            </w:r>
          </w:p>
        </w:tc>
        <w:tc>
          <w:tcPr>
            <w:tcW w:w="1047" w:type="dxa"/>
            <w:shd w:val="clear" w:color="auto" w:fill="F9FCF9"/>
          </w:tcPr>
          <w:p>
            <w:pPr>
              <w:pStyle w:val="TableParagraph"/>
              <w:spacing w:before="45"/>
              <w:ind w:left="378" w:right="339"/>
              <w:rPr>
                <w:sz w:val="16"/>
              </w:rPr>
            </w:pPr>
            <w:r>
              <w:rPr>
                <w:sz w:val="16"/>
              </w:rPr>
              <w:t>90</w:t>
            </w:r>
          </w:p>
        </w:tc>
        <w:tc>
          <w:tcPr>
            <w:tcW w:w="1297" w:type="dxa"/>
            <w:shd w:val="clear" w:color="auto" w:fill="F9FCF9"/>
          </w:tcPr>
          <w:p>
            <w:pPr>
              <w:pStyle w:val="TableParagraph"/>
              <w:spacing w:before="45"/>
              <w:ind w:left="463" w:right="424"/>
              <w:rPr>
                <w:sz w:val="16"/>
              </w:rPr>
            </w:pPr>
            <w:r>
              <w:rPr>
                <w:sz w:val="16"/>
              </w:rPr>
              <w:t>90</w:t>
            </w:r>
          </w:p>
        </w:tc>
        <w:tc>
          <w:tcPr>
            <w:tcW w:w="1207" w:type="dxa"/>
            <w:shd w:val="clear" w:color="auto" w:fill="F9FCF9"/>
          </w:tcPr>
          <w:p>
            <w:pPr>
              <w:pStyle w:val="TableParagraph"/>
              <w:spacing w:before="45"/>
              <w:ind w:left="122" w:right="82"/>
              <w:rPr>
                <w:sz w:val="16"/>
              </w:rPr>
            </w:pPr>
            <w:r>
              <w:rPr>
                <w:sz w:val="16"/>
              </w:rPr>
              <w:t>94</w:t>
            </w:r>
          </w:p>
        </w:tc>
        <w:tc>
          <w:tcPr>
            <w:tcW w:w="1170" w:type="dxa"/>
            <w:shd w:val="clear" w:color="auto" w:fill="F9FCF9"/>
          </w:tcPr>
          <w:p>
            <w:pPr>
              <w:pStyle w:val="TableParagraph"/>
              <w:spacing w:before="45"/>
              <w:ind w:left="111" w:right="71"/>
              <w:rPr>
                <w:sz w:val="16"/>
              </w:rPr>
            </w:pPr>
            <w:r>
              <w:rPr>
                <w:sz w:val="16"/>
              </w:rPr>
              <w:t>100</w:t>
            </w:r>
          </w:p>
        </w:tc>
        <w:tc>
          <w:tcPr>
            <w:tcW w:w="1223" w:type="dxa"/>
            <w:shd w:val="clear" w:color="auto" w:fill="F9FCF9"/>
          </w:tcPr>
          <w:p>
            <w:pPr>
              <w:pStyle w:val="TableParagraph"/>
              <w:spacing w:before="45"/>
              <w:ind w:left="60" w:right="19"/>
              <w:rPr>
                <w:sz w:val="16"/>
              </w:rPr>
            </w:pPr>
            <w:r>
              <w:rPr>
                <w:sz w:val="16"/>
              </w:rPr>
              <w:t>100</w:t>
            </w:r>
          </w:p>
        </w:tc>
        <w:tc>
          <w:tcPr>
            <w:tcW w:w="1235" w:type="dxa"/>
            <w:shd w:val="clear" w:color="auto" w:fill="F9FCF9"/>
          </w:tcPr>
          <w:p>
            <w:pPr>
              <w:pStyle w:val="TableParagraph"/>
              <w:spacing w:before="45"/>
              <w:ind w:left="44" w:right="3"/>
              <w:rPr>
                <w:sz w:val="16"/>
              </w:rPr>
            </w:pPr>
            <w:r>
              <w:rPr>
                <w:sz w:val="16"/>
              </w:rPr>
              <w:t>95</w:t>
            </w:r>
          </w:p>
        </w:tc>
        <w:tc>
          <w:tcPr>
            <w:tcW w:w="597" w:type="dxa"/>
            <w:shd w:val="clear" w:color="auto" w:fill="F9FCF9"/>
          </w:tcPr>
          <w:p>
            <w:pPr>
              <w:pStyle w:val="TableParagraph"/>
              <w:spacing w:before="45"/>
              <w:ind w:left="234"/>
              <w:jc w:val="left"/>
              <w:rPr>
                <w:sz w:val="16"/>
              </w:rPr>
            </w:pPr>
            <w:r>
              <w:rPr>
                <w:sz w:val="16"/>
              </w:rPr>
              <w:t>90</w:t>
            </w:r>
          </w:p>
        </w:tc>
        <w:tc>
          <w:tcPr>
            <w:tcW w:w="1167" w:type="dxa"/>
            <w:shd w:val="clear" w:color="auto" w:fill="F9FCF9"/>
          </w:tcPr>
          <w:p>
            <w:pPr>
              <w:pStyle w:val="TableParagraph"/>
              <w:spacing w:before="45"/>
              <w:ind w:left="479"/>
              <w:jc w:val="left"/>
              <w:rPr>
                <w:sz w:val="16"/>
              </w:rPr>
            </w:pPr>
            <w:r>
              <w:rPr>
                <w:sz w:val="16"/>
              </w:rPr>
              <w:t>100</w:t>
            </w:r>
          </w:p>
        </w:tc>
      </w:tr>
      <w:tr>
        <w:trPr>
          <w:trHeight w:val="270" w:hRule="atLeast"/>
        </w:trPr>
        <w:tc>
          <w:tcPr>
            <w:tcW w:w="3492" w:type="dxa"/>
            <w:shd w:val="clear" w:color="auto" w:fill="F9FCF9"/>
          </w:tcPr>
          <w:p>
            <w:pPr>
              <w:pStyle w:val="TableParagraph"/>
              <w:spacing w:line="151" w:lineRule="exact" w:before="45"/>
              <w:ind w:left="54"/>
              <w:jc w:val="left"/>
              <w:rPr>
                <w:sz w:val="16"/>
              </w:rPr>
            </w:pPr>
            <w:r>
              <w:rPr>
                <w:sz w:val="16"/>
              </w:rPr>
              <w:t>CO emitted (MtCO yr</w:t>
            </w:r>
            <w:r>
              <w:rPr>
                <w:position w:val="5"/>
                <w:sz w:val="9"/>
              </w:rPr>
              <w:t>−1</w:t>
            </w:r>
            <w:r>
              <w:rPr>
                <w:sz w:val="16"/>
              </w:rPr>
              <w:t>)***</w:t>
            </w:r>
          </w:p>
          <w:p>
            <w:pPr>
              <w:pStyle w:val="TableParagraph"/>
              <w:tabs>
                <w:tab w:pos="1328" w:val="left" w:leader="none"/>
              </w:tabs>
              <w:spacing w:line="53" w:lineRule="exact"/>
              <w:ind w:left="276"/>
              <w:jc w:val="left"/>
              <w:rPr>
                <w:sz w:val="9"/>
              </w:rPr>
            </w:pPr>
            <w:r>
              <w:rPr>
                <w:w w:val="105"/>
                <w:sz w:val="9"/>
              </w:rPr>
              <w:t>2</w:t>
              <w:tab/>
              <w:t>2</w:t>
            </w:r>
          </w:p>
        </w:tc>
        <w:tc>
          <w:tcPr>
            <w:tcW w:w="1143" w:type="dxa"/>
            <w:shd w:val="clear" w:color="auto" w:fill="F9FCF9"/>
          </w:tcPr>
          <w:p>
            <w:pPr>
              <w:pStyle w:val="TableParagraph"/>
              <w:spacing w:before="45"/>
              <w:ind w:left="83" w:right="44"/>
              <w:rPr>
                <w:sz w:val="16"/>
              </w:rPr>
            </w:pPr>
            <w:r>
              <w:rPr>
                <w:sz w:val="16"/>
              </w:rPr>
              <w:t>0.086</w:t>
            </w:r>
          </w:p>
        </w:tc>
        <w:tc>
          <w:tcPr>
            <w:tcW w:w="1047" w:type="dxa"/>
            <w:shd w:val="clear" w:color="auto" w:fill="F9FCF9"/>
          </w:tcPr>
          <w:p>
            <w:pPr>
              <w:pStyle w:val="TableParagraph"/>
              <w:spacing w:before="45"/>
              <w:ind w:left="358"/>
              <w:jc w:val="left"/>
              <w:rPr>
                <w:sz w:val="16"/>
              </w:rPr>
            </w:pPr>
            <w:r>
              <w:rPr>
                <w:sz w:val="16"/>
              </w:rPr>
              <w:t>0.505</w:t>
            </w:r>
          </w:p>
        </w:tc>
        <w:tc>
          <w:tcPr>
            <w:tcW w:w="1297" w:type="dxa"/>
            <w:shd w:val="clear" w:color="auto" w:fill="F9FCF9"/>
          </w:tcPr>
          <w:p>
            <w:pPr>
              <w:pStyle w:val="TableParagraph"/>
              <w:spacing w:before="45"/>
              <w:ind w:left="463" w:right="424"/>
              <w:rPr>
                <w:sz w:val="16"/>
              </w:rPr>
            </w:pPr>
            <w:r>
              <w:rPr>
                <w:sz w:val="16"/>
              </w:rPr>
              <w:t>0.873</w:t>
            </w:r>
          </w:p>
        </w:tc>
        <w:tc>
          <w:tcPr>
            <w:tcW w:w="1207" w:type="dxa"/>
            <w:shd w:val="clear" w:color="auto" w:fill="F9FCF9"/>
          </w:tcPr>
          <w:p>
            <w:pPr>
              <w:pStyle w:val="TableParagraph"/>
              <w:spacing w:before="45"/>
              <w:ind w:left="122" w:right="82"/>
              <w:rPr>
                <w:sz w:val="16"/>
              </w:rPr>
            </w:pPr>
            <w:r>
              <w:rPr>
                <w:sz w:val="16"/>
              </w:rPr>
              <w:t>0.117</w:t>
            </w:r>
          </w:p>
        </w:tc>
        <w:tc>
          <w:tcPr>
            <w:tcW w:w="1170" w:type="dxa"/>
            <w:shd w:val="clear" w:color="auto" w:fill="F9FCF9"/>
          </w:tcPr>
          <w:p>
            <w:pPr>
              <w:pStyle w:val="TableParagraph"/>
              <w:spacing w:before="45"/>
              <w:ind w:left="111" w:right="71"/>
              <w:rPr>
                <w:sz w:val="16"/>
              </w:rPr>
            </w:pPr>
            <w:r>
              <w:rPr>
                <w:sz w:val="16"/>
              </w:rPr>
              <w:t>0.000</w:t>
            </w:r>
          </w:p>
        </w:tc>
        <w:tc>
          <w:tcPr>
            <w:tcW w:w="1223" w:type="dxa"/>
            <w:shd w:val="clear" w:color="auto" w:fill="F9FCF9"/>
          </w:tcPr>
          <w:p>
            <w:pPr>
              <w:pStyle w:val="TableParagraph"/>
              <w:spacing w:before="45"/>
              <w:ind w:left="60" w:right="19"/>
              <w:rPr>
                <w:sz w:val="16"/>
              </w:rPr>
            </w:pPr>
            <w:r>
              <w:rPr>
                <w:sz w:val="16"/>
              </w:rPr>
              <w:t>0.000</w:t>
            </w:r>
          </w:p>
        </w:tc>
        <w:tc>
          <w:tcPr>
            <w:tcW w:w="1235" w:type="dxa"/>
            <w:shd w:val="clear" w:color="auto" w:fill="F9FCF9"/>
          </w:tcPr>
          <w:p>
            <w:pPr>
              <w:pStyle w:val="TableParagraph"/>
              <w:spacing w:before="45"/>
              <w:ind w:left="44" w:right="3"/>
              <w:rPr>
                <w:sz w:val="16"/>
              </w:rPr>
            </w:pPr>
            <w:r>
              <w:rPr>
                <w:sz w:val="16"/>
              </w:rPr>
              <w:t>0.191</w:t>
            </w:r>
          </w:p>
        </w:tc>
        <w:tc>
          <w:tcPr>
            <w:tcW w:w="597" w:type="dxa"/>
            <w:shd w:val="clear" w:color="auto" w:fill="F9FCF9"/>
          </w:tcPr>
          <w:p>
            <w:pPr>
              <w:pStyle w:val="TableParagraph"/>
              <w:spacing w:before="45"/>
              <w:ind w:left="134"/>
              <w:jc w:val="left"/>
              <w:rPr>
                <w:sz w:val="16"/>
              </w:rPr>
            </w:pPr>
            <w:r>
              <w:rPr>
                <w:sz w:val="16"/>
              </w:rPr>
              <w:t>0.000</w:t>
            </w:r>
          </w:p>
        </w:tc>
        <w:tc>
          <w:tcPr>
            <w:tcW w:w="1167" w:type="dxa"/>
            <w:shd w:val="clear" w:color="auto" w:fill="F9FCF9"/>
          </w:tcPr>
          <w:p>
            <w:pPr>
              <w:pStyle w:val="TableParagraph"/>
              <w:spacing w:before="45"/>
              <w:ind w:left="419"/>
              <w:jc w:val="left"/>
              <w:rPr>
                <w:sz w:val="16"/>
              </w:rPr>
            </w:pPr>
            <w:r>
              <w:rPr>
                <w:sz w:val="16"/>
              </w:rPr>
              <w:t>0.873</w:t>
            </w:r>
          </w:p>
        </w:tc>
      </w:tr>
      <w:tr>
        <w:trPr>
          <w:trHeight w:val="270" w:hRule="atLeast"/>
        </w:trPr>
        <w:tc>
          <w:tcPr>
            <w:tcW w:w="3492" w:type="dxa"/>
            <w:shd w:val="clear" w:color="auto" w:fill="F9FCF9"/>
          </w:tcPr>
          <w:p>
            <w:pPr>
              <w:pStyle w:val="TableParagraph"/>
              <w:spacing w:before="45"/>
              <w:ind w:left="54"/>
              <w:jc w:val="left"/>
              <w:rPr>
                <w:sz w:val="16"/>
              </w:rPr>
            </w:pPr>
            <w:r>
              <w:rPr>
                <w:sz w:val="16"/>
              </w:rPr>
              <w:t>Carbon exported in fuels (MtC yr</w:t>
            </w:r>
            <w:r>
              <w:rPr>
                <w:position w:val="5"/>
                <w:sz w:val="9"/>
              </w:rPr>
              <w:t>−1</w:t>
            </w:r>
            <w:r>
              <w:rPr>
                <w:sz w:val="16"/>
              </w:rPr>
              <w:t>)</w:t>
            </w:r>
          </w:p>
        </w:tc>
        <w:tc>
          <w:tcPr>
            <w:tcW w:w="1143" w:type="dxa"/>
            <w:shd w:val="clear" w:color="auto" w:fill="F9FCF9"/>
          </w:tcPr>
          <w:p>
            <w:pPr>
              <w:pStyle w:val="TableParagraph"/>
              <w:spacing w:before="45"/>
              <w:ind w:left="39"/>
              <w:rPr>
                <w:sz w:val="16"/>
              </w:rPr>
            </w:pPr>
            <w:r>
              <w:rPr>
                <w:sz w:val="16"/>
              </w:rPr>
              <w:t>0</w:t>
            </w:r>
          </w:p>
        </w:tc>
        <w:tc>
          <w:tcPr>
            <w:tcW w:w="1047" w:type="dxa"/>
            <w:shd w:val="clear" w:color="auto" w:fill="F9FCF9"/>
          </w:tcPr>
          <w:p>
            <w:pPr>
              <w:pStyle w:val="TableParagraph"/>
              <w:spacing w:before="45"/>
              <w:ind w:left="39"/>
              <w:rPr>
                <w:sz w:val="16"/>
              </w:rPr>
            </w:pPr>
            <w:r>
              <w:rPr>
                <w:sz w:val="16"/>
              </w:rPr>
              <w:t>0</w:t>
            </w:r>
          </w:p>
        </w:tc>
        <w:tc>
          <w:tcPr>
            <w:tcW w:w="1297" w:type="dxa"/>
            <w:shd w:val="clear" w:color="auto" w:fill="F9FCF9"/>
          </w:tcPr>
          <w:p>
            <w:pPr>
              <w:pStyle w:val="TableParagraph"/>
              <w:spacing w:before="45"/>
              <w:ind w:left="39"/>
              <w:rPr>
                <w:sz w:val="16"/>
              </w:rPr>
            </w:pPr>
            <w:r>
              <w:rPr>
                <w:sz w:val="16"/>
              </w:rPr>
              <w:t>0</w:t>
            </w:r>
          </w:p>
        </w:tc>
        <w:tc>
          <w:tcPr>
            <w:tcW w:w="1207" w:type="dxa"/>
            <w:shd w:val="clear" w:color="auto" w:fill="F9FCF9"/>
          </w:tcPr>
          <w:p>
            <w:pPr>
              <w:pStyle w:val="TableParagraph"/>
              <w:spacing w:before="45"/>
              <w:ind w:left="40"/>
              <w:rPr>
                <w:sz w:val="16"/>
              </w:rPr>
            </w:pPr>
            <w:r>
              <w:rPr>
                <w:sz w:val="16"/>
              </w:rPr>
              <w:t>0</w:t>
            </w:r>
          </w:p>
        </w:tc>
        <w:tc>
          <w:tcPr>
            <w:tcW w:w="1170" w:type="dxa"/>
            <w:shd w:val="clear" w:color="auto" w:fill="F9FCF9"/>
          </w:tcPr>
          <w:p>
            <w:pPr>
              <w:pStyle w:val="TableParagraph"/>
              <w:spacing w:before="45"/>
              <w:ind w:left="40"/>
              <w:rPr>
                <w:sz w:val="16"/>
              </w:rPr>
            </w:pPr>
            <w:r>
              <w:rPr>
                <w:sz w:val="16"/>
              </w:rPr>
              <w:t>0</w:t>
            </w:r>
          </w:p>
        </w:tc>
        <w:tc>
          <w:tcPr>
            <w:tcW w:w="1223" w:type="dxa"/>
            <w:shd w:val="clear" w:color="auto" w:fill="F9FCF9"/>
          </w:tcPr>
          <w:p>
            <w:pPr>
              <w:pStyle w:val="TableParagraph"/>
              <w:spacing w:before="45"/>
              <w:ind w:left="41"/>
              <w:rPr>
                <w:sz w:val="16"/>
              </w:rPr>
            </w:pPr>
            <w:r>
              <w:rPr>
                <w:sz w:val="16"/>
              </w:rPr>
              <w:t>0</w:t>
            </w:r>
          </w:p>
        </w:tc>
        <w:tc>
          <w:tcPr>
            <w:tcW w:w="1235" w:type="dxa"/>
            <w:shd w:val="clear" w:color="auto" w:fill="F9FCF9"/>
          </w:tcPr>
          <w:p>
            <w:pPr>
              <w:pStyle w:val="TableParagraph"/>
              <w:spacing w:before="45"/>
              <w:ind w:left="41"/>
              <w:rPr>
                <w:sz w:val="16"/>
              </w:rPr>
            </w:pPr>
            <w:r>
              <w:rPr>
                <w:sz w:val="16"/>
              </w:rPr>
              <w:t>0</w:t>
            </w:r>
          </w:p>
        </w:tc>
        <w:tc>
          <w:tcPr>
            <w:tcW w:w="597" w:type="dxa"/>
            <w:shd w:val="clear" w:color="auto" w:fill="F9FCF9"/>
          </w:tcPr>
          <w:p>
            <w:pPr>
              <w:pStyle w:val="TableParagraph"/>
              <w:spacing w:before="45"/>
              <w:ind w:left="41"/>
              <w:rPr>
                <w:sz w:val="16"/>
              </w:rPr>
            </w:pPr>
            <w:r>
              <w:rPr>
                <w:sz w:val="16"/>
              </w:rPr>
              <w:t>0</w:t>
            </w:r>
          </w:p>
        </w:tc>
        <w:tc>
          <w:tcPr>
            <w:tcW w:w="1167" w:type="dxa"/>
            <w:shd w:val="clear" w:color="auto" w:fill="F9FCF9"/>
          </w:tcPr>
          <w:p>
            <w:pPr>
              <w:pStyle w:val="TableParagraph"/>
              <w:spacing w:before="45"/>
              <w:ind w:left="42"/>
              <w:rPr>
                <w:sz w:val="16"/>
              </w:rPr>
            </w:pPr>
            <w:r>
              <w:rPr>
                <w:sz w:val="16"/>
              </w:rPr>
              <w:t>0</w:t>
            </w:r>
          </w:p>
        </w:tc>
      </w:tr>
      <w:tr>
        <w:trPr>
          <w:trHeight w:val="270" w:hRule="atLeast"/>
        </w:trPr>
        <w:tc>
          <w:tcPr>
            <w:tcW w:w="3492" w:type="dxa"/>
            <w:shd w:val="clear" w:color="auto" w:fill="F9FCF9"/>
          </w:tcPr>
          <w:p>
            <w:pPr>
              <w:pStyle w:val="TableParagraph"/>
              <w:spacing w:line="151" w:lineRule="exact" w:before="45"/>
              <w:ind w:left="54"/>
              <w:jc w:val="left"/>
              <w:rPr>
                <w:sz w:val="16"/>
              </w:rPr>
            </w:pPr>
            <w:r>
              <w:rPr>
                <w:sz w:val="16"/>
              </w:rPr>
              <w:t>Total carbon released (kgCO GJ</w:t>
            </w:r>
            <w:r>
              <w:rPr>
                <w:position w:val="5"/>
                <w:sz w:val="9"/>
              </w:rPr>
              <w:t>−1 </w:t>
            </w:r>
            <w:r>
              <w:rPr>
                <w:sz w:val="16"/>
              </w:rPr>
              <w:t>products)</w:t>
            </w:r>
          </w:p>
          <w:p>
            <w:pPr>
              <w:pStyle w:val="TableParagraph"/>
              <w:spacing w:line="53" w:lineRule="exact"/>
              <w:ind w:left="356"/>
              <w:rPr>
                <w:sz w:val="9"/>
              </w:rPr>
            </w:pPr>
            <w:r>
              <w:rPr>
                <w:w w:val="103"/>
                <w:sz w:val="9"/>
              </w:rPr>
              <w:t>2</w:t>
            </w:r>
          </w:p>
        </w:tc>
        <w:tc>
          <w:tcPr>
            <w:tcW w:w="1143" w:type="dxa"/>
            <w:shd w:val="clear" w:color="auto" w:fill="F9FCF9"/>
          </w:tcPr>
          <w:p>
            <w:pPr>
              <w:pStyle w:val="TableParagraph"/>
              <w:spacing w:before="45"/>
              <w:ind w:left="83" w:right="44"/>
              <w:rPr>
                <w:sz w:val="16"/>
              </w:rPr>
            </w:pPr>
            <w:r>
              <w:rPr>
                <w:sz w:val="16"/>
              </w:rPr>
              <w:t>1.46</w:t>
            </w:r>
          </w:p>
        </w:tc>
        <w:tc>
          <w:tcPr>
            <w:tcW w:w="1047" w:type="dxa"/>
            <w:shd w:val="clear" w:color="auto" w:fill="F9FCF9"/>
          </w:tcPr>
          <w:p>
            <w:pPr>
              <w:pStyle w:val="TableParagraph"/>
              <w:spacing w:before="45"/>
              <w:ind w:left="361"/>
              <w:jc w:val="left"/>
              <w:rPr>
                <w:sz w:val="16"/>
              </w:rPr>
            </w:pPr>
            <w:r>
              <w:rPr>
                <w:sz w:val="16"/>
              </w:rPr>
              <w:t>11.10</w:t>
            </w:r>
          </w:p>
        </w:tc>
        <w:tc>
          <w:tcPr>
            <w:tcW w:w="1297" w:type="dxa"/>
            <w:shd w:val="clear" w:color="auto" w:fill="F9FCF9"/>
          </w:tcPr>
          <w:p>
            <w:pPr>
              <w:pStyle w:val="TableParagraph"/>
              <w:spacing w:before="45"/>
              <w:ind w:left="463" w:right="424"/>
              <w:rPr>
                <w:sz w:val="16"/>
              </w:rPr>
            </w:pPr>
            <w:r>
              <w:rPr>
                <w:sz w:val="16"/>
              </w:rPr>
              <w:t>19.45</w:t>
            </w:r>
          </w:p>
        </w:tc>
        <w:tc>
          <w:tcPr>
            <w:tcW w:w="1207" w:type="dxa"/>
            <w:shd w:val="clear" w:color="auto" w:fill="F9FCF9"/>
          </w:tcPr>
          <w:p>
            <w:pPr>
              <w:pStyle w:val="TableParagraph"/>
              <w:spacing w:before="45"/>
              <w:ind w:left="122" w:right="82"/>
              <w:rPr>
                <w:sz w:val="16"/>
              </w:rPr>
            </w:pPr>
            <w:r>
              <w:rPr>
                <w:sz w:val="16"/>
              </w:rPr>
              <w:t>8.45</w:t>
            </w:r>
          </w:p>
        </w:tc>
        <w:tc>
          <w:tcPr>
            <w:tcW w:w="1170" w:type="dxa"/>
            <w:shd w:val="clear" w:color="auto" w:fill="F9FCF9"/>
          </w:tcPr>
          <w:p>
            <w:pPr>
              <w:pStyle w:val="TableParagraph"/>
              <w:spacing w:before="45"/>
              <w:ind w:left="111" w:right="71"/>
              <w:rPr>
                <w:sz w:val="16"/>
              </w:rPr>
            </w:pPr>
            <w:r>
              <w:rPr>
                <w:sz w:val="16"/>
              </w:rPr>
              <w:t>0.00</w:t>
            </w:r>
          </w:p>
        </w:tc>
        <w:tc>
          <w:tcPr>
            <w:tcW w:w="1223" w:type="dxa"/>
            <w:shd w:val="clear" w:color="auto" w:fill="F9FCF9"/>
          </w:tcPr>
          <w:p>
            <w:pPr>
              <w:pStyle w:val="TableParagraph"/>
              <w:spacing w:before="45"/>
              <w:ind w:left="60" w:right="19"/>
              <w:rPr>
                <w:sz w:val="16"/>
              </w:rPr>
            </w:pPr>
            <w:r>
              <w:rPr>
                <w:sz w:val="16"/>
              </w:rPr>
              <w:t>0.00</w:t>
            </w:r>
          </w:p>
        </w:tc>
        <w:tc>
          <w:tcPr>
            <w:tcW w:w="1235" w:type="dxa"/>
            <w:shd w:val="clear" w:color="auto" w:fill="F9FCF9"/>
          </w:tcPr>
          <w:p>
            <w:pPr>
              <w:pStyle w:val="TableParagraph"/>
              <w:spacing w:before="45"/>
              <w:ind w:left="44" w:right="3"/>
              <w:rPr>
                <w:sz w:val="16"/>
              </w:rPr>
            </w:pPr>
            <w:r>
              <w:rPr>
                <w:sz w:val="16"/>
              </w:rPr>
              <w:t>6.96</w:t>
            </w:r>
          </w:p>
        </w:tc>
        <w:tc>
          <w:tcPr>
            <w:tcW w:w="597" w:type="dxa"/>
            <w:shd w:val="clear" w:color="auto" w:fill="F9FCF9"/>
          </w:tcPr>
          <w:p>
            <w:pPr>
              <w:pStyle w:val="TableParagraph"/>
              <w:spacing w:before="45"/>
              <w:ind w:left="214"/>
              <w:jc w:val="left"/>
              <w:rPr>
                <w:sz w:val="16"/>
              </w:rPr>
            </w:pPr>
            <w:r>
              <w:rPr>
                <w:sz w:val="16"/>
              </w:rPr>
              <w:t>0.0</w:t>
            </w:r>
          </w:p>
        </w:tc>
        <w:tc>
          <w:tcPr>
            <w:tcW w:w="1167" w:type="dxa"/>
            <w:shd w:val="clear" w:color="auto" w:fill="F9FCF9"/>
          </w:tcPr>
          <w:p>
            <w:pPr>
              <w:pStyle w:val="TableParagraph"/>
              <w:spacing w:before="45"/>
              <w:ind w:left="459"/>
              <w:jc w:val="left"/>
              <w:rPr>
                <w:sz w:val="16"/>
              </w:rPr>
            </w:pPr>
            <w:r>
              <w:rPr>
                <w:sz w:val="16"/>
              </w:rPr>
              <w:t>19.5</w:t>
            </w:r>
          </w:p>
        </w:tc>
      </w:tr>
      <w:tr>
        <w:trPr>
          <w:trHeight w:val="270" w:hRule="atLeast"/>
        </w:trPr>
        <w:tc>
          <w:tcPr>
            <w:tcW w:w="3492" w:type="dxa"/>
            <w:shd w:val="clear" w:color="auto" w:fill="F9FCF9"/>
          </w:tcPr>
          <w:p>
            <w:pPr>
              <w:pStyle w:val="TableParagraph"/>
              <w:spacing w:line="151" w:lineRule="exact" w:before="45"/>
              <w:ind w:left="54"/>
              <w:jc w:val="left"/>
              <w:rPr>
                <w:sz w:val="16"/>
              </w:rPr>
            </w:pPr>
            <w:r>
              <w:rPr>
                <w:sz w:val="16"/>
              </w:rPr>
              <w:t>CO captured (MtCO yr</w:t>
            </w:r>
            <w:r>
              <w:rPr>
                <w:position w:val="5"/>
                <w:sz w:val="9"/>
              </w:rPr>
              <w:t>−1</w:t>
            </w:r>
            <w:r>
              <w:rPr>
                <w:sz w:val="16"/>
              </w:rPr>
              <w:t>)</w:t>
            </w:r>
          </w:p>
          <w:p>
            <w:pPr>
              <w:pStyle w:val="TableParagraph"/>
              <w:tabs>
                <w:tab w:pos="1399" w:val="left" w:leader="none"/>
              </w:tabs>
              <w:spacing w:line="53" w:lineRule="exact"/>
              <w:ind w:left="276"/>
              <w:jc w:val="left"/>
              <w:rPr>
                <w:sz w:val="9"/>
              </w:rPr>
            </w:pPr>
            <w:r>
              <w:rPr>
                <w:w w:val="105"/>
                <w:sz w:val="9"/>
              </w:rPr>
              <w:t>2</w:t>
              <w:tab/>
              <w:t>2</w:t>
            </w:r>
          </w:p>
        </w:tc>
        <w:tc>
          <w:tcPr>
            <w:tcW w:w="1143" w:type="dxa"/>
            <w:shd w:val="clear" w:color="auto" w:fill="F9FCF9"/>
          </w:tcPr>
          <w:p>
            <w:pPr>
              <w:pStyle w:val="TableParagraph"/>
              <w:spacing w:before="45"/>
              <w:ind w:left="83" w:right="44"/>
              <w:rPr>
                <w:sz w:val="16"/>
              </w:rPr>
            </w:pPr>
            <w:r>
              <w:rPr>
                <w:sz w:val="16"/>
              </w:rPr>
              <w:t>4.074</w:t>
            </w:r>
          </w:p>
        </w:tc>
        <w:tc>
          <w:tcPr>
            <w:tcW w:w="1047" w:type="dxa"/>
            <w:shd w:val="clear" w:color="auto" w:fill="F9FCF9"/>
          </w:tcPr>
          <w:p>
            <w:pPr>
              <w:pStyle w:val="TableParagraph"/>
              <w:spacing w:before="45"/>
              <w:ind w:left="361"/>
              <w:jc w:val="left"/>
              <w:rPr>
                <w:sz w:val="16"/>
              </w:rPr>
            </w:pPr>
            <w:r>
              <w:rPr>
                <w:sz w:val="16"/>
              </w:rPr>
              <w:t>3.119</w:t>
            </w:r>
          </w:p>
        </w:tc>
        <w:tc>
          <w:tcPr>
            <w:tcW w:w="1297" w:type="dxa"/>
            <w:shd w:val="clear" w:color="auto" w:fill="F9FCF9"/>
          </w:tcPr>
          <w:p>
            <w:pPr>
              <w:pStyle w:val="TableParagraph"/>
              <w:spacing w:before="45"/>
              <w:ind w:left="463" w:right="424"/>
              <w:rPr>
                <w:sz w:val="16"/>
              </w:rPr>
            </w:pPr>
            <w:r>
              <w:rPr>
                <w:sz w:val="16"/>
              </w:rPr>
              <w:t>5.853</w:t>
            </w:r>
          </w:p>
        </w:tc>
        <w:tc>
          <w:tcPr>
            <w:tcW w:w="1207" w:type="dxa"/>
            <w:shd w:val="clear" w:color="auto" w:fill="F9FCF9"/>
          </w:tcPr>
          <w:p>
            <w:pPr>
              <w:pStyle w:val="TableParagraph"/>
              <w:spacing w:before="45"/>
              <w:ind w:left="122" w:right="82"/>
              <w:rPr>
                <w:sz w:val="16"/>
              </w:rPr>
            </w:pPr>
            <w:r>
              <w:rPr>
                <w:sz w:val="16"/>
              </w:rPr>
              <w:t>1.855</w:t>
            </w:r>
          </w:p>
        </w:tc>
        <w:tc>
          <w:tcPr>
            <w:tcW w:w="1170" w:type="dxa"/>
            <w:shd w:val="clear" w:color="auto" w:fill="F9FCF9"/>
          </w:tcPr>
          <w:p>
            <w:pPr>
              <w:pStyle w:val="TableParagraph"/>
              <w:spacing w:before="45"/>
              <w:ind w:left="111" w:right="71"/>
              <w:rPr>
                <w:sz w:val="16"/>
              </w:rPr>
            </w:pPr>
            <w:r>
              <w:rPr>
                <w:sz w:val="16"/>
              </w:rPr>
              <w:t>1.918</w:t>
            </w:r>
          </w:p>
        </w:tc>
        <w:tc>
          <w:tcPr>
            <w:tcW w:w="1223" w:type="dxa"/>
            <w:shd w:val="clear" w:color="auto" w:fill="F9FCF9"/>
          </w:tcPr>
          <w:p>
            <w:pPr>
              <w:pStyle w:val="TableParagraph"/>
              <w:spacing w:before="45"/>
              <w:ind w:left="60" w:right="19"/>
              <w:rPr>
                <w:sz w:val="16"/>
              </w:rPr>
            </w:pPr>
            <w:r>
              <w:rPr>
                <w:sz w:val="16"/>
              </w:rPr>
              <w:t>3.846</w:t>
            </w:r>
          </w:p>
        </w:tc>
        <w:tc>
          <w:tcPr>
            <w:tcW w:w="1235" w:type="dxa"/>
            <w:shd w:val="clear" w:color="auto" w:fill="F9FCF9"/>
          </w:tcPr>
          <w:p>
            <w:pPr>
              <w:pStyle w:val="TableParagraph"/>
              <w:spacing w:before="45"/>
              <w:ind w:left="44" w:right="3"/>
              <w:rPr>
                <w:sz w:val="16"/>
              </w:rPr>
            </w:pPr>
            <w:r>
              <w:rPr>
                <w:sz w:val="16"/>
              </w:rPr>
              <w:t>3.652</w:t>
            </w:r>
          </w:p>
        </w:tc>
        <w:tc>
          <w:tcPr>
            <w:tcW w:w="597" w:type="dxa"/>
            <w:shd w:val="clear" w:color="auto" w:fill="F9FCF9"/>
          </w:tcPr>
          <w:p>
            <w:pPr>
              <w:pStyle w:val="TableParagraph"/>
              <w:spacing w:before="45"/>
              <w:ind w:left="214"/>
              <w:jc w:val="left"/>
              <w:rPr>
                <w:sz w:val="16"/>
              </w:rPr>
            </w:pPr>
            <w:r>
              <w:rPr>
                <w:sz w:val="16"/>
              </w:rPr>
              <w:t>1.9</w:t>
            </w:r>
          </w:p>
        </w:tc>
        <w:tc>
          <w:tcPr>
            <w:tcW w:w="1167" w:type="dxa"/>
            <w:shd w:val="clear" w:color="auto" w:fill="F9FCF9"/>
          </w:tcPr>
          <w:p>
            <w:pPr>
              <w:pStyle w:val="TableParagraph"/>
              <w:spacing w:before="45"/>
              <w:ind w:left="499"/>
              <w:jc w:val="left"/>
              <w:rPr>
                <w:sz w:val="16"/>
              </w:rPr>
            </w:pPr>
            <w:r>
              <w:rPr>
                <w:sz w:val="16"/>
              </w:rPr>
              <w:t>5.9</w:t>
            </w:r>
          </w:p>
        </w:tc>
      </w:tr>
      <w:tr>
        <w:trPr>
          <w:trHeight w:val="270" w:hRule="atLeast"/>
        </w:trPr>
        <w:tc>
          <w:tcPr>
            <w:tcW w:w="3492" w:type="dxa"/>
            <w:shd w:val="clear" w:color="auto" w:fill="F9FCF9"/>
          </w:tcPr>
          <w:p>
            <w:pPr>
              <w:pStyle w:val="TableParagraph"/>
              <w:spacing w:line="204" w:lineRule="exact" w:before="45"/>
              <w:ind w:left="54"/>
              <w:jc w:val="left"/>
              <w:rPr>
                <w:sz w:val="16"/>
              </w:rPr>
            </w:pPr>
            <w:r>
              <w:rPr>
                <w:sz w:val="16"/>
              </w:rPr>
              <w:t>CO</w:t>
            </w:r>
            <w:r>
              <w:rPr>
                <w:position w:val="-4"/>
                <w:sz w:val="9"/>
              </w:rPr>
              <w:t>2 </w:t>
            </w:r>
            <w:r>
              <w:rPr>
                <w:sz w:val="16"/>
              </w:rPr>
              <w:t>product pressure (MPa)</w:t>
            </w:r>
          </w:p>
        </w:tc>
        <w:tc>
          <w:tcPr>
            <w:tcW w:w="1143" w:type="dxa"/>
            <w:shd w:val="clear" w:color="auto" w:fill="F9FCF9"/>
          </w:tcPr>
          <w:p>
            <w:pPr>
              <w:pStyle w:val="TableParagraph"/>
              <w:spacing w:before="45"/>
              <w:ind w:left="83" w:right="44"/>
              <w:rPr>
                <w:sz w:val="16"/>
              </w:rPr>
            </w:pPr>
            <w:r>
              <w:rPr>
                <w:sz w:val="16"/>
              </w:rPr>
              <w:t>13.7</w:t>
            </w:r>
          </w:p>
        </w:tc>
        <w:tc>
          <w:tcPr>
            <w:tcW w:w="1047" w:type="dxa"/>
            <w:shd w:val="clear" w:color="auto" w:fill="F9FCF9"/>
          </w:tcPr>
          <w:p>
            <w:pPr>
              <w:pStyle w:val="TableParagraph"/>
              <w:spacing w:before="45"/>
              <w:ind w:left="378" w:right="339"/>
              <w:rPr>
                <w:sz w:val="16"/>
              </w:rPr>
            </w:pPr>
            <w:r>
              <w:rPr>
                <w:sz w:val="16"/>
              </w:rPr>
              <w:t>13.7</w:t>
            </w:r>
          </w:p>
        </w:tc>
        <w:tc>
          <w:tcPr>
            <w:tcW w:w="1297" w:type="dxa"/>
            <w:shd w:val="clear" w:color="auto" w:fill="F9FCF9"/>
          </w:tcPr>
          <w:p>
            <w:pPr>
              <w:pStyle w:val="TableParagraph"/>
              <w:spacing w:before="45"/>
              <w:ind w:left="463" w:right="424"/>
              <w:rPr>
                <w:sz w:val="16"/>
              </w:rPr>
            </w:pPr>
            <w:r>
              <w:rPr>
                <w:sz w:val="16"/>
              </w:rPr>
              <w:t>13.7</w:t>
            </w:r>
          </w:p>
        </w:tc>
        <w:tc>
          <w:tcPr>
            <w:tcW w:w="1207" w:type="dxa"/>
            <w:shd w:val="clear" w:color="auto" w:fill="F9FCF9"/>
          </w:tcPr>
          <w:p>
            <w:pPr>
              <w:pStyle w:val="TableParagraph"/>
              <w:spacing w:before="45"/>
              <w:ind w:left="122" w:right="82"/>
              <w:rPr>
                <w:sz w:val="16"/>
              </w:rPr>
            </w:pPr>
            <w:r>
              <w:rPr>
                <w:sz w:val="16"/>
              </w:rPr>
              <w:t>13.4</w:t>
            </w:r>
          </w:p>
        </w:tc>
        <w:tc>
          <w:tcPr>
            <w:tcW w:w="1170" w:type="dxa"/>
            <w:shd w:val="clear" w:color="auto" w:fill="F9FCF9"/>
          </w:tcPr>
          <w:p>
            <w:pPr>
              <w:pStyle w:val="TableParagraph"/>
              <w:spacing w:before="45"/>
              <w:ind w:left="111" w:right="71"/>
              <w:rPr>
                <w:sz w:val="16"/>
              </w:rPr>
            </w:pPr>
            <w:r>
              <w:rPr>
                <w:sz w:val="16"/>
              </w:rPr>
              <w:t>20</w:t>
            </w:r>
          </w:p>
        </w:tc>
        <w:tc>
          <w:tcPr>
            <w:tcW w:w="1223" w:type="dxa"/>
            <w:shd w:val="clear" w:color="auto" w:fill="F9FCF9"/>
          </w:tcPr>
          <w:p>
            <w:pPr>
              <w:pStyle w:val="TableParagraph"/>
              <w:spacing w:before="45"/>
              <w:ind w:left="60" w:right="19"/>
              <w:rPr>
                <w:sz w:val="16"/>
              </w:rPr>
            </w:pPr>
            <w:r>
              <w:rPr>
                <w:sz w:val="16"/>
              </w:rPr>
              <w:t>20</w:t>
            </w:r>
          </w:p>
        </w:tc>
        <w:tc>
          <w:tcPr>
            <w:tcW w:w="1235" w:type="dxa"/>
            <w:shd w:val="clear" w:color="auto" w:fill="F9FCF9"/>
          </w:tcPr>
          <w:p>
            <w:pPr>
              <w:pStyle w:val="TableParagraph"/>
              <w:spacing w:before="45"/>
              <w:ind w:left="44" w:right="3"/>
              <w:rPr>
                <w:sz w:val="16"/>
              </w:rPr>
            </w:pPr>
            <w:r>
              <w:rPr>
                <w:sz w:val="16"/>
              </w:rPr>
              <w:t>20</w:t>
            </w:r>
          </w:p>
        </w:tc>
        <w:tc>
          <w:tcPr>
            <w:tcW w:w="597" w:type="dxa"/>
            <w:shd w:val="clear" w:color="auto" w:fill="F9FCF9"/>
          </w:tcPr>
          <w:p>
            <w:pPr>
              <w:pStyle w:val="TableParagraph"/>
              <w:spacing w:before="45"/>
              <w:ind w:left="174"/>
              <w:jc w:val="left"/>
              <w:rPr>
                <w:sz w:val="16"/>
              </w:rPr>
            </w:pPr>
            <w:r>
              <w:rPr>
                <w:sz w:val="16"/>
              </w:rPr>
              <w:t>13.4</w:t>
            </w:r>
          </w:p>
        </w:tc>
        <w:tc>
          <w:tcPr>
            <w:tcW w:w="1167" w:type="dxa"/>
            <w:shd w:val="clear" w:color="auto" w:fill="F9FCF9"/>
          </w:tcPr>
          <w:p>
            <w:pPr>
              <w:pStyle w:val="TableParagraph"/>
              <w:spacing w:before="45"/>
              <w:ind w:left="459"/>
              <w:jc w:val="left"/>
              <w:rPr>
                <w:sz w:val="16"/>
              </w:rPr>
            </w:pPr>
            <w:r>
              <w:rPr>
                <w:sz w:val="16"/>
              </w:rPr>
              <w:t>20.0</w:t>
            </w:r>
          </w:p>
        </w:tc>
      </w:tr>
      <w:tr>
        <w:trPr>
          <w:trHeight w:val="270" w:hRule="atLeast"/>
        </w:trPr>
        <w:tc>
          <w:tcPr>
            <w:tcW w:w="3492" w:type="dxa"/>
            <w:shd w:val="clear" w:color="auto" w:fill="F9FCF9"/>
          </w:tcPr>
          <w:p>
            <w:pPr>
              <w:pStyle w:val="TableParagraph"/>
              <w:spacing w:before="45"/>
              <w:ind w:left="54"/>
              <w:jc w:val="left"/>
              <w:rPr>
                <w:b/>
                <w:i/>
                <w:sz w:val="16"/>
              </w:rPr>
            </w:pPr>
            <w:r>
              <w:rPr>
                <w:b/>
                <w:i/>
                <w:sz w:val="16"/>
              </w:rPr>
              <w:t>Cost Results</w:t>
            </w:r>
          </w:p>
        </w:tc>
        <w:tc>
          <w:tcPr>
            <w:tcW w:w="1143" w:type="dxa"/>
            <w:shd w:val="clear" w:color="auto" w:fill="F9FCF9"/>
          </w:tcPr>
          <w:p>
            <w:pPr>
              <w:pStyle w:val="TableParagraph"/>
              <w:jc w:val="left"/>
              <w:rPr>
                <w:sz w:val="14"/>
              </w:rPr>
            </w:pPr>
          </w:p>
        </w:tc>
        <w:tc>
          <w:tcPr>
            <w:tcW w:w="1047" w:type="dxa"/>
            <w:shd w:val="clear" w:color="auto" w:fill="F9FCF9"/>
          </w:tcPr>
          <w:p>
            <w:pPr>
              <w:pStyle w:val="TableParagraph"/>
              <w:jc w:val="left"/>
              <w:rPr>
                <w:sz w:val="14"/>
              </w:rPr>
            </w:pPr>
          </w:p>
        </w:tc>
        <w:tc>
          <w:tcPr>
            <w:tcW w:w="1297" w:type="dxa"/>
            <w:shd w:val="clear" w:color="auto" w:fill="F9FCF9"/>
          </w:tcPr>
          <w:p>
            <w:pPr>
              <w:pStyle w:val="TableParagraph"/>
              <w:jc w:val="left"/>
              <w:rPr>
                <w:sz w:val="14"/>
              </w:rPr>
            </w:pPr>
          </w:p>
        </w:tc>
        <w:tc>
          <w:tcPr>
            <w:tcW w:w="1207" w:type="dxa"/>
            <w:shd w:val="clear" w:color="auto" w:fill="F9FCF9"/>
          </w:tcPr>
          <w:p>
            <w:pPr>
              <w:pStyle w:val="TableParagraph"/>
              <w:jc w:val="left"/>
              <w:rPr>
                <w:sz w:val="14"/>
              </w:rPr>
            </w:pPr>
          </w:p>
        </w:tc>
        <w:tc>
          <w:tcPr>
            <w:tcW w:w="1170" w:type="dxa"/>
            <w:shd w:val="clear" w:color="auto" w:fill="F9FCF9"/>
          </w:tcPr>
          <w:p>
            <w:pPr>
              <w:pStyle w:val="TableParagraph"/>
              <w:jc w:val="left"/>
              <w:rPr>
                <w:sz w:val="14"/>
              </w:rPr>
            </w:pPr>
          </w:p>
        </w:tc>
        <w:tc>
          <w:tcPr>
            <w:tcW w:w="1223" w:type="dxa"/>
            <w:shd w:val="clear" w:color="auto" w:fill="F9FCF9"/>
          </w:tcPr>
          <w:p>
            <w:pPr>
              <w:pStyle w:val="TableParagraph"/>
              <w:jc w:val="left"/>
              <w:rPr>
                <w:sz w:val="14"/>
              </w:rPr>
            </w:pPr>
          </w:p>
        </w:tc>
        <w:tc>
          <w:tcPr>
            <w:tcW w:w="1235" w:type="dxa"/>
            <w:shd w:val="clear" w:color="auto" w:fill="F9FCF9"/>
          </w:tcPr>
          <w:p>
            <w:pPr>
              <w:pStyle w:val="TableParagraph"/>
              <w:jc w:val="left"/>
              <w:rPr>
                <w:sz w:val="14"/>
              </w:rPr>
            </w:pPr>
          </w:p>
        </w:tc>
        <w:tc>
          <w:tcPr>
            <w:tcW w:w="597" w:type="dxa"/>
            <w:shd w:val="clear" w:color="auto" w:fill="F9FCF9"/>
          </w:tcPr>
          <w:p>
            <w:pPr>
              <w:pStyle w:val="TableParagraph"/>
              <w:jc w:val="left"/>
              <w:rPr>
                <w:sz w:val="14"/>
              </w:rPr>
            </w:pPr>
          </w:p>
        </w:tc>
        <w:tc>
          <w:tcPr>
            <w:tcW w:w="1167" w:type="dxa"/>
            <w:shd w:val="clear" w:color="auto" w:fill="F9FCF9"/>
          </w:tcPr>
          <w:p>
            <w:pPr>
              <w:pStyle w:val="TableParagraph"/>
              <w:jc w:val="left"/>
              <w:rPr>
                <w:sz w:val="14"/>
              </w:rPr>
            </w:pPr>
          </w:p>
        </w:tc>
      </w:tr>
      <w:tr>
        <w:trPr>
          <w:trHeight w:val="270" w:hRule="atLeast"/>
        </w:trPr>
        <w:tc>
          <w:tcPr>
            <w:tcW w:w="3492" w:type="dxa"/>
            <w:shd w:val="clear" w:color="auto" w:fill="F9FCF9"/>
          </w:tcPr>
          <w:p>
            <w:pPr>
              <w:pStyle w:val="TableParagraph"/>
              <w:spacing w:before="45"/>
              <w:ind w:left="54"/>
              <w:jc w:val="left"/>
              <w:rPr>
                <w:sz w:val="16"/>
              </w:rPr>
            </w:pPr>
            <w:r>
              <w:rPr>
                <w:sz w:val="16"/>
              </w:rPr>
              <w:t>Cost year basis (constant dollars)</w:t>
            </w:r>
          </w:p>
        </w:tc>
        <w:tc>
          <w:tcPr>
            <w:tcW w:w="1143" w:type="dxa"/>
            <w:shd w:val="clear" w:color="auto" w:fill="F9FCF9"/>
          </w:tcPr>
          <w:p>
            <w:pPr>
              <w:pStyle w:val="TableParagraph"/>
              <w:spacing w:before="45"/>
              <w:ind w:left="83" w:right="44"/>
              <w:rPr>
                <w:sz w:val="16"/>
              </w:rPr>
            </w:pPr>
            <w:r>
              <w:rPr>
                <w:sz w:val="16"/>
              </w:rPr>
              <w:t>2003</w:t>
            </w:r>
          </w:p>
        </w:tc>
        <w:tc>
          <w:tcPr>
            <w:tcW w:w="1047" w:type="dxa"/>
            <w:shd w:val="clear" w:color="auto" w:fill="F9FCF9"/>
          </w:tcPr>
          <w:p>
            <w:pPr>
              <w:pStyle w:val="TableParagraph"/>
              <w:spacing w:before="45"/>
              <w:ind w:left="378"/>
              <w:jc w:val="left"/>
              <w:rPr>
                <w:sz w:val="16"/>
              </w:rPr>
            </w:pPr>
            <w:r>
              <w:rPr>
                <w:sz w:val="16"/>
              </w:rPr>
              <w:t>2000</w:t>
            </w:r>
          </w:p>
        </w:tc>
        <w:tc>
          <w:tcPr>
            <w:tcW w:w="1297" w:type="dxa"/>
            <w:shd w:val="clear" w:color="auto" w:fill="F9FCF9"/>
          </w:tcPr>
          <w:p>
            <w:pPr>
              <w:pStyle w:val="TableParagraph"/>
              <w:spacing w:before="45"/>
              <w:ind w:left="463" w:right="424"/>
              <w:rPr>
                <w:sz w:val="16"/>
              </w:rPr>
            </w:pPr>
            <w:r>
              <w:rPr>
                <w:sz w:val="16"/>
              </w:rPr>
              <w:t>2000</w:t>
            </w:r>
          </w:p>
        </w:tc>
        <w:tc>
          <w:tcPr>
            <w:tcW w:w="1207" w:type="dxa"/>
            <w:shd w:val="clear" w:color="auto" w:fill="F9FCF9"/>
          </w:tcPr>
          <w:p>
            <w:pPr>
              <w:pStyle w:val="TableParagraph"/>
              <w:spacing w:before="45"/>
              <w:ind w:left="122" w:right="82"/>
              <w:rPr>
                <w:sz w:val="16"/>
              </w:rPr>
            </w:pPr>
            <w:r>
              <w:rPr>
                <w:sz w:val="16"/>
              </w:rPr>
              <w:t>2000</w:t>
            </w:r>
          </w:p>
        </w:tc>
        <w:tc>
          <w:tcPr>
            <w:tcW w:w="1170" w:type="dxa"/>
            <w:shd w:val="clear" w:color="auto" w:fill="F9FCF9"/>
          </w:tcPr>
          <w:p>
            <w:pPr>
              <w:pStyle w:val="TableParagraph"/>
              <w:spacing w:before="45"/>
              <w:ind w:left="111" w:right="71"/>
              <w:rPr>
                <w:sz w:val="16"/>
              </w:rPr>
            </w:pPr>
            <w:r>
              <w:rPr>
                <w:sz w:val="16"/>
              </w:rPr>
              <w:t>2000</w:t>
            </w:r>
          </w:p>
        </w:tc>
        <w:tc>
          <w:tcPr>
            <w:tcW w:w="1223" w:type="dxa"/>
            <w:shd w:val="clear" w:color="auto" w:fill="F9FCF9"/>
          </w:tcPr>
          <w:p>
            <w:pPr>
              <w:pStyle w:val="TableParagraph"/>
              <w:spacing w:before="45"/>
              <w:ind w:left="60" w:right="19"/>
              <w:rPr>
                <w:sz w:val="16"/>
              </w:rPr>
            </w:pPr>
            <w:r>
              <w:rPr>
                <w:sz w:val="16"/>
              </w:rPr>
              <w:t>2000</w:t>
            </w:r>
          </w:p>
        </w:tc>
        <w:tc>
          <w:tcPr>
            <w:tcW w:w="1235" w:type="dxa"/>
            <w:shd w:val="clear" w:color="auto" w:fill="F9FCF9"/>
          </w:tcPr>
          <w:p>
            <w:pPr>
              <w:pStyle w:val="TableParagraph"/>
              <w:spacing w:before="45"/>
              <w:ind w:left="44" w:right="3"/>
              <w:rPr>
                <w:sz w:val="16"/>
              </w:rPr>
            </w:pPr>
            <w:r>
              <w:rPr>
                <w:sz w:val="16"/>
              </w:rPr>
              <w:t>2000</w:t>
            </w:r>
          </w:p>
        </w:tc>
        <w:tc>
          <w:tcPr>
            <w:tcW w:w="597" w:type="dxa"/>
            <w:shd w:val="clear" w:color="auto" w:fill="F9FCF9"/>
          </w:tcPr>
          <w:p>
            <w:pPr>
              <w:pStyle w:val="TableParagraph"/>
              <w:jc w:val="left"/>
              <w:rPr>
                <w:sz w:val="14"/>
              </w:rPr>
            </w:pPr>
          </w:p>
        </w:tc>
        <w:tc>
          <w:tcPr>
            <w:tcW w:w="1167" w:type="dxa"/>
            <w:shd w:val="clear" w:color="auto" w:fill="F9FCF9"/>
          </w:tcPr>
          <w:p>
            <w:pPr>
              <w:pStyle w:val="TableParagraph"/>
              <w:jc w:val="left"/>
              <w:rPr>
                <w:sz w:val="14"/>
              </w:rPr>
            </w:pPr>
          </w:p>
        </w:tc>
      </w:tr>
      <w:tr>
        <w:trPr>
          <w:trHeight w:val="270" w:hRule="atLeast"/>
        </w:trPr>
        <w:tc>
          <w:tcPr>
            <w:tcW w:w="3492" w:type="dxa"/>
            <w:shd w:val="clear" w:color="auto" w:fill="F9FCF9"/>
          </w:tcPr>
          <w:p>
            <w:pPr>
              <w:pStyle w:val="TableParagraph"/>
              <w:spacing w:before="45"/>
              <w:ind w:left="54"/>
              <w:jc w:val="left"/>
              <w:rPr>
                <w:sz w:val="16"/>
              </w:rPr>
            </w:pPr>
            <w:r>
              <w:rPr>
                <w:sz w:val="16"/>
              </w:rPr>
              <w:t>Fixed charge rate (%)</w:t>
            </w:r>
          </w:p>
        </w:tc>
        <w:tc>
          <w:tcPr>
            <w:tcW w:w="1143" w:type="dxa"/>
            <w:shd w:val="clear" w:color="auto" w:fill="F9FCF9"/>
          </w:tcPr>
          <w:p>
            <w:pPr>
              <w:pStyle w:val="TableParagraph"/>
              <w:spacing w:before="45"/>
              <w:ind w:left="83" w:right="44"/>
              <w:rPr>
                <w:sz w:val="16"/>
              </w:rPr>
            </w:pPr>
            <w:r>
              <w:rPr>
                <w:sz w:val="16"/>
              </w:rPr>
              <w:t>20</w:t>
            </w:r>
          </w:p>
        </w:tc>
        <w:tc>
          <w:tcPr>
            <w:tcW w:w="1047" w:type="dxa"/>
            <w:shd w:val="clear" w:color="auto" w:fill="F9FCF9"/>
          </w:tcPr>
          <w:p>
            <w:pPr>
              <w:pStyle w:val="TableParagraph"/>
              <w:spacing w:before="45"/>
              <w:ind w:left="378" w:right="339"/>
              <w:rPr>
                <w:sz w:val="16"/>
              </w:rPr>
            </w:pPr>
            <w:r>
              <w:rPr>
                <w:sz w:val="16"/>
              </w:rPr>
              <w:t>16</w:t>
            </w:r>
          </w:p>
        </w:tc>
        <w:tc>
          <w:tcPr>
            <w:tcW w:w="1297" w:type="dxa"/>
            <w:shd w:val="clear" w:color="auto" w:fill="F9FCF9"/>
          </w:tcPr>
          <w:p>
            <w:pPr>
              <w:pStyle w:val="TableParagraph"/>
              <w:spacing w:before="45"/>
              <w:ind w:left="463" w:right="424"/>
              <w:rPr>
                <w:sz w:val="16"/>
              </w:rPr>
            </w:pPr>
            <w:r>
              <w:rPr>
                <w:sz w:val="16"/>
              </w:rPr>
              <w:t>16</w:t>
            </w:r>
          </w:p>
        </w:tc>
        <w:tc>
          <w:tcPr>
            <w:tcW w:w="1207" w:type="dxa"/>
            <w:shd w:val="clear" w:color="auto" w:fill="F9FCF9"/>
          </w:tcPr>
          <w:p>
            <w:pPr>
              <w:pStyle w:val="TableParagraph"/>
              <w:spacing w:before="45"/>
              <w:ind w:left="122" w:right="82"/>
              <w:rPr>
                <w:sz w:val="16"/>
              </w:rPr>
            </w:pPr>
            <w:r>
              <w:rPr>
                <w:sz w:val="16"/>
              </w:rPr>
              <w:t>14.3</w:t>
            </w:r>
          </w:p>
        </w:tc>
        <w:tc>
          <w:tcPr>
            <w:tcW w:w="1170" w:type="dxa"/>
            <w:shd w:val="clear" w:color="auto" w:fill="F9FCF9"/>
          </w:tcPr>
          <w:p>
            <w:pPr>
              <w:pStyle w:val="TableParagraph"/>
              <w:spacing w:before="45"/>
              <w:ind w:left="111" w:right="71"/>
              <w:rPr>
                <w:sz w:val="16"/>
              </w:rPr>
            </w:pPr>
            <w:r>
              <w:rPr>
                <w:sz w:val="16"/>
              </w:rPr>
              <w:t>12.7</w:t>
            </w:r>
          </w:p>
        </w:tc>
        <w:tc>
          <w:tcPr>
            <w:tcW w:w="1223" w:type="dxa"/>
            <w:shd w:val="clear" w:color="auto" w:fill="F9FCF9"/>
          </w:tcPr>
          <w:p>
            <w:pPr>
              <w:pStyle w:val="TableParagraph"/>
              <w:spacing w:before="45"/>
              <w:ind w:left="60" w:right="19"/>
              <w:rPr>
                <w:sz w:val="16"/>
              </w:rPr>
            </w:pPr>
            <w:r>
              <w:rPr>
                <w:sz w:val="16"/>
              </w:rPr>
              <w:t>12.7</w:t>
            </w:r>
          </w:p>
        </w:tc>
        <w:tc>
          <w:tcPr>
            <w:tcW w:w="1235" w:type="dxa"/>
            <w:shd w:val="clear" w:color="auto" w:fill="F9FCF9"/>
          </w:tcPr>
          <w:p>
            <w:pPr>
              <w:pStyle w:val="TableParagraph"/>
              <w:spacing w:before="45"/>
              <w:ind w:left="44" w:right="3"/>
              <w:rPr>
                <w:sz w:val="16"/>
              </w:rPr>
            </w:pPr>
            <w:r>
              <w:rPr>
                <w:sz w:val="16"/>
              </w:rPr>
              <w:t>12.7</w:t>
            </w:r>
          </w:p>
        </w:tc>
        <w:tc>
          <w:tcPr>
            <w:tcW w:w="597" w:type="dxa"/>
            <w:shd w:val="clear" w:color="auto" w:fill="F9FCF9"/>
          </w:tcPr>
          <w:p>
            <w:pPr>
              <w:pStyle w:val="TableParagraph"/>
              <w:spacing w:before="45"/>
              <w:ind w:left="174"/>
              <w:jc w:val="left"/>
              <w:rPr>
                <w:sz w:val="16"/>
              </w:rPr>
            </w:pPr>
            <w:r>
              <w:rPr>
                <w:sz w:val="16"/>
              </w:rPr>
              <w:t>12.7</w:t>
            </w:r>
          </w:p>
        </w:tc>
        <w:tc>
          <w:tcPr>
            <w:tcW w:w="1167" w:type="dxa"/>
            <w:shd w:val="clear" w:color="auto" w:fill="F9FCF9"/>
          </w:tcPr>
          <w:p>
            <w:pPr>
              <w:pStyle w:val="TableParagraph"/>
              <w:spacing w:before="45"/>
              <w:ind w:left="459"/>
              <w:jc w:val="left"/>
              <w:rPr>
                <w:sz w:val="16"/>
              </w:rPr>
            </w:pPr>
            <w:r>
              <w:rPr>
                <w:sz w:val="16"/>
              </w:rPr>
              <w:t>20.0</w:t>
            </w:r>
          </w:p>
        </w:tc>
      </w:tr>
      <w:tr>
        <w:trPr>
          <w:trHeight w:val="270" w:hRule="atLeast"/>
        </w:trPr>
        <w:tc>
          <w:tcPr>
            <w:tcW w:w="3492" w:type="dxa"/>
            <w:shd w:val="clear" w:color="auto" w:fill="F9FCF9"/>
          </w:tcPr>
          <w:p>
            <w:pPr>
              <w:pStyle w:val="TableParagraph"/>
              <w:spacing w:before="45"/>
              <w:ind w:left="54"/>
              <w:jc w:val="left"/>
              <w:rPr>
                <w:sz w:val="16"/>
              </w:rPr>
            </w:pPr>
            <w:r>
              <w:rPr>
                <w:sz w:val="16"/>
              </w:rPr>
              <w:t>Capture plant TCR (million US$)****</w:t>
            </w:r>
          </w:p>
        </w:tc>
        <w:tc>
          <w:tcPr>
            <w:tcW w:w="1143" w:type="dxa"/>
            <w:shd w:val="clear" w:color="auto" w:fill="F9FCF9"/>
          </w:tcPr>
          <w:p>
            <w:pPr>
              <w:pStyle w:val="TableParagraph"/>
              <w:spacing w:before="45"/>
              <w:ind w:left="83" w:right="44"/>
              <w:rPr>
                <w:sz w:val="16"/>
              </w:rPr>
            </w:pPr>
            <w:r>
              <w:rPr>
                <w:sz w:val="16"/>
              </w:rPr>
              <w:t>725</w:t>
            </w:r>
          </w:p>
        </w:tc>
        <w:tc>
          <w:tcPr>
            <w:tcW w:w="1047" w:type="dxa"/>
            <w:shd w:val="clear" w:color="auto" w:fill="F9FCF9"/>
          </w:tcPr>
          <w:p>
            <w:pPr>
              <w:pStyle w:val="TableParagraph"/>
              <w:spacing w:before="45"/>
              <w:ind w:left="378" w:right="339"/>
              <w:rPr>
                <w:sz w:val="16"/>
              </w:rPr>
            </w:pPr>
            <w:r>
              <w:rPr>
                <w:sz w:val="16"/>
              </w:rPr>
              <w:t>441</w:t>
            </w:r>
          </w:p>
        </w:tc>
        <w:tc>
          <w:tcPr>
            <w:tcW w:w="1297" w:type="dxa"/>
            <w:shd w:val="clear" w:color="auto" w:fill="F9FCF9"/>
          </w:tcPr>
          <w:p>
            <w:pPr>
              <w:pStyle w:val="TableParagraph"/>
              <w:spacing w:before="45"/>
              <w:ind w:left="463" w:right="424"/>
              <w:rPr>
                <w:sz w:val="16"/>
              </w:rPr>
            </w:pPr>
            <w:r>
              <w:rPr>
                <w:sz w:val="16"/>
              </w:rPr>
              <w:t>921</w:t>
            </w:r>
          </w:p>
        </w:tc>
        <w:tc>
          <w:tcPr>
            <w:tcW w:w="1207" w:type="dxa"/>
            <w:shd w:val="clear" w:color="auto" w:fill="F9FCF9"/>
          </w:tcPr>
          <w:p>
            <w:pPr>
              <w:pStyle w:val="TableParagraph"/>
              <w:spacing w:before="45"/>
              <w:ind w:left="122" w:right="82"/>
              <w:rPr>
                <w:sz w:val="16"/>
              </w:rPr>
            </w:pPr>
            <w:r>
              <w:rPr>
                <w:sz w:val="16"/>
              </w:rPr>
              <w:t>398</w:t>
            </w:r>
          </w:p>
        </w:tc>
        <w:tc>
          <w:tcPr>
            <w:tcW w:w="1170" w:type="dxa"/>
            <w:shd w:val="clear" w:color="auto" w:fill="F9FCF9"/>
          </w:tcPr>
          <w:p>
            <w:pPr>
              <w:pStyle w:val="TableParagraph"/>
              <w:spacing w:before="45"/>
              <w:ind w:left="111" w:right="71"/>
              <w:rPr>
                <w:sz w:val="16"/>
              </w:rPr>
            </w:pPr>
            <w:r>
              <w:rPr>
                <w:sz w:val="16"/>
              </w:rPr>
              <w:t>441</w:t>
            </w:r>
          </w:p>
        </w:tc>
        <w:tc>
          <w:tcPr>
            <w:tcW w:w="1223" w:type="dxa"/>
            <w:shd w:val="clear" w:color="auto" w:fill="F9FCF9"/>
          </w:tcPr>
          <w:p>
            <w:pPr>
              <w:pStyle w:val="TableParagraph"/>
              <w:spacing w:before="45"/>
              <w:ind w:left="60" w:right="19"/>
              <w:rPr>
                <w:sz w:val="16"/>
              </w:rPr>
            </w:pPr>
            <w:r>
              <w:rPr>
                <w:sz w:val="16"/>
              </w:rPr>
              <w:t>950</w:t>
            </w:r>
          </w:p>
        </w:tc>
        <w:tc>
          <w:tcPr>
            <w:tcW w:w="1235" w:type="dxa"/>
            <w:shd w:val="clear" w:color="auto" w:fill="F9FCF9"/>
          </w:tcPr>
          <w:p>
            <w:pPr>
              <w:pStyle w:val="TableParagraph"/>
              <w:spacing w:before="45"/>
              <w:ind w:left="44" w:right="3"/>
              <w:rPr>
                <w:sz w:val="16"/>
              </w:rPr>
            </w:pPr>
            <w:r>
              <w:rPr>
                <w:sz w:val="16"/>
              </w:rPr>
              <w:t>1023</w:t>
            </w:r>
          </w:p>
        </w:tc>
        <w:tc>
          <w:tcPr>
            <w:tcW w:w="597" w:type="dxa"/>
            <w:shd w:val="clear" w:color="auto" w:fill="F9FCF9"/>
          </w:tcPr>
          <w:p>
            <w:pPr>
              <w:pStyle w:val="TableParagraph"/>
              <w:spacing w:before="45"/>
              <w:ind w:left="194"/>
              <w:jc w:val="left"/>
              <w:rPr>
                <w:sz w:val="16"/>
              </w:rPr>
            </w:pPr>
            <w:r>
              <w:rPr>
                <w:sz w:val="16"/>
              </w:rPr>
              <w:t>398</w:t>
            </w:r>
          </w:p>
        </w:tc>
        <w:tc>
          <w:tcPr>
            <w:tcW w:w="1167" w:type="dxa"/>
            <w:shd w:val="clear" w:color="auto" w:fill="F9FCF9"/>
          </w:tcPr>
          <w:p>
            <w:pPr>
              <w:pStyle w:val="TableParagraph"/>
              <w:spacing w:before="45"/>
              <w:ind w:left="439"/>
              <w:jc w:val="left"/>
              <w:rPr>
                <w:sz w:val="16"/>
              </w:rPr>
            </w:pPr>
            <w:r>
              <w:rPr>
                <w:sz w:val="16"/>
              </w:rPr>
              <w:t>1023</w:t>
            </w:r>
          </w:p>
        </w:tc>
      </w:tr>
      <w:tr>
        <w:trPr>
          <w:trHeight w:val="270" w:hRule="atLeast"/>
        </w:trPr>
        <w:tc>
          <w:tcPr>
            <w:tcW w:w="3492" w:type="dxa"/>
            <w:shd w:val="clear" w:color="auto" w:fill="F9FCF9"/>
          </w:tcPr>
          <w:p>
            <w:pPr>
              <w:pStyle w:val="TableParagraph"/>
              <w:spacing w:before="45"/>
              <w:ind w:left="54"/>
              <w:jc w:val="left"/>
              <w:rPr>
                <w:sz w:val="16"/>
              </w:rPr>
            </w:pPr>
            <w:r>
              <w:rPr>
                <w:sz w:val="16"/>
              </w:rPr>
              <w:t>Capture plant electricity price (US$ MWh</w:t>
            </w:r>
            <w:r>
              <w:rPr>
                <w:position w:val="5"/>
                <w:sz w:val="9"/>
              </w:rPr>
              <w:t>−1</w:t>
            </w:r>
            <w:r>
              <w:rPr>
                <w:sz w:val="16"/>
              </w:rPr>
              <w:t>)</w:t>
            </w:r>
          </w:p>
        </w:tc>
        <w:tc>
          <w:tcPr>
            <w:tcW w:w="1143" w:type="dxa"/>
            <w:shd w:val="clear" w:color="auto" w:fill="F9FCF9"/>
          </w:tcPr>
          <w:p>
            <w:pPr>
              <w:pStyle w:val="TableParagraph"/>
              <w:spacing w:before="45"/>
              <w:ind w:left="83" w:right="44"/>
              <w:rPr>
                <w:sz w:val="16"/>
              </w:rPr>
            </w:pPr>
            <w:r>
              <w:rPr>
                <w:sz w:val="16"/>
              </w:rPr>
              <w:t>50.0</w:t>
            </w:r>
          </w:p>
        </w:tc>
        <w:tc>
          <w:tcPr>
            <w:tcW w:w="1047" w:type="dxa"/>
            <w:shd w:val="clear" w:color="auto" w:fill="F9FCF9"/>
          </w:tcPr>
          <w:p>
            <w:pPr>
              <w:pStyle w:val="TableParagraph"/>
              <w:spacing w:before="45"/>
              <w:ind w:left="378" w:right="339"/>
              <w:rPr>
                <w:sz w:val="16"/>
              </w:rPr>
            </w:pPr>
            <w:r>
              <w:rPr>
                <w:sz w:val="16"/>
              </w:rPr>
              <w:t>45.0</w:t>
            </w:r>
          </w:p>
        </w:tc>
        <w:tc>
          <w:tcPr>
            <w:tcW w:w="1297" w:type="dxa"/>
            <w:shd w:val="clear" w:color="auto" w:fill="F9FCF9"/>
          </w:tcPr>
          <w:p>
            <w:pPr>
              <w:pStyle w:val="TableParagraph"/>
              <w:spacing w:before="45"/>
              <w:ind w:left="463" w:right="424"/>
              <w:rPr>
                <w:sz w:val="16"/>
              </w:rPr>
            </w:pPr>
            <w:r>
              <w:rPr>
                <w:sz w:val="16"/>
              </w:rPr>
              <w:t>45.0</w:t>
            </w:r>
          </w:p>
        </w:tc>
        <w:tc>
          <w:tcPr>
            <w:tcW w:w="1207" w:type="dxa"/>
            <w:shd w:val="clear" w:color="auto" w:fill="F9FCF9"/>
          </w:tcPr>
          <w:p>
            <w:pPr>
              <w:pStyle w:val="TableParagraph"/>
              <w:spacing w:before="45"/>
              <w:ind w:left="122" w:right="82"/>
              <w:rPr>
                <w:sz w:val="16"/>
              </w:rPr>
            </w:pPr>
            <w:r>
              <w:rPr>
                <w:sz w:val="16"/>
              </w:rPr>
              <w:t>30.8</w:t>
            </w:r>
          </w:p>
        </w:tc>
        <w:tc>
          <w:tcPr>
            <w:tcW w:w="1170" w:type="dxa"/>
            <w:shd w:val="clear" w:color="auto" w:fill="F9FCF9"/>
          </w:tcPr>
          <w:p>
            <w:pPr>
              <w:pStyle w:val="TableParagraph"/>
              <w:spacing w:before="45"/>
              <w:ind w:left="111" w:right="71"/>
              <w:rPr>
                <w:sz w:val="16"/>
              </w:rPr>
            </w:pPr>
            <w:r>
              <w:rPr>
                <w:sz w:val="16"/>
              </w:rPr>
              <w:t>53.6</w:t>
            </w:r>
          </w:p>
        </w:tc>
        <w:tc>
          <w:tcPr>
            <w:tcW w:w="1223" w:type="dxa"/>
            <w:shd w:val="clear" w:color="auto" w:fill="F9FCF9"/>
          </w:tcPr>
          <w:p>
            <w:pPr>
              <w:pStyle w:val="TableParagraph"/>
              <w:spacing w:before="45"/>
              <w:ind w:left="60" w:right="19"/>
              <w:rPr>
                <w:sz w:val="16"/>
              </w:rPr>
            </w:pPr>
            <w:r>
              <w:rPr>
                <w:sz w:val="16"/>
              </w:rPr>
              <w:t>53.6</w:t>
            </w:r>
          </w:p>
        </w:tc>
        <w:tc>
          <w:tcPr>
            <w:tcW w:w="1235" w:type="dxa"/>
            <w:shd w:val="clear" w:color="auto" w:fill="F9FCF9"/>
          </w:tcPr>
          <w:p>
            <w:pPr>
              <w:pStyle w:val="TableParagraph"/>
              <w:spacing w:before="45"/>
              <w:ind w:left="44" w:right="3"/>
              <w:rPr>
                <w:sz w:val="16"/>
              </w:rPr>
            </w:pPr>
            <w:r>
              <w:rPr>
                <w:sz w:val="16"/>
              </w:rPr>
              <w:t>53.6</w:t>
            </w:r>
          </w:p>
        </w:tc>
        <w:tc>
          <w:tcPr>
            <w:tcW w:w="597" w:type="dxa"/>
            <w:shd w:val="clear" w:color="auto" w:fill="F9FCF9"/>
          </w:tcPr>
          <w:p>
            <w:pPr>
              <w:pStyle w:val="TableParagraph"/>
              <w:spacing w:before="45"/>
              <w:ind w:left="234"/>
              <w:jc w:val="left"/>
              <w:rPr>
                <w:sz w:val="16"/>
              </w:rPr>
            </w:pPr>
            <w:r>
              <w:rPr>
                <w:sz w:val="16"/>
              </w:rPr>
              <w:t>31</w:t>
            </w:r>
          </w:p>
        </w:tc>
        <w:tc>
          <w:tcPr>
            <w:tcW w:w="1167" w:type="dxa"/>
            <w:shd w:val="clear" w:color="auto" w:fill="F9FCF9"/>
          </w:tcPr>
          <w:p>
            <w:pPr>
              <w:pStyle w:val="TableParagraph"/>
              <w:spacing w:before="45"/>
              <w:ind w:left="519"/>
              <w:jc w:val="left"/>
              <w:rPr>
                <w:sz w:val="16"/>
              </w:rPr>
            </w:pPr>
            <w:r>
              <w:rPr>
                <w:sz w:val="16"/>
              </w:rPr>
              <w:t>54</w:t>
            </w:r>
          </w:p>
        </w:tc>
      </w:tr>
      <w:tr>
        <w:trPr>
          <w:trHeight w:val="270" w:hRule="atLeast"/>
        </w:trPr>
        <w:tc>
          <w:tcPr>
            <w:tcW w:w="3492" w:type="dxa"/>
            <w:shd w:val="clear" w:color="auto" w:fill="F9FCF9"/>
          </w:tcPr>
          <w:p>
            <w:pPr>
              <w:pStyle w:val="TableParagraph"/>
              <w:spacing w:before="45"/>
              <w:ind w:left="54"/>
              <w:jc w:val="left"/>
              <w:rPr>
                <w:b/>
                <w:sz w:val="16"/>
              </w:rPr>
            </w:pPr>
            <w:r>
              <w:rPr>
                <w:b/>
                <w:w w:val="105"/>
                <w:sz w:val="16"/>
              </w:rPr>
              <w:t>Capture</w:t>
            </w:r>
            <w:r>
              <w:rPr>
                <w:b/>
                <w:spacing w:val="-14"/>
                <w:w w:val="105"/>
                <w:sz w:val="16"/>
              </w:rPr>
              <w:t> </w:t>
            </w:r>
            <w:r>
              <w:rPr>
                <w:b/>
                <w:w w:val="105"/>
                <w:sz w:val="16"/>
              </w:rPr>
              <w:t>plant</w:t>
            </w:r>
            <w:r>
              <w:rPr>
                <w:b/>
                <w:spacing w:val="-14"/>
                <w:w w:val="105"/>
                <w:sz w:val="16"/>
              </w:rPr>
              <w:t> </w:t>
            </w:r>
            <w:r>
              <w:rPr>
                <w:b/>
                <w:w w:val="105"/>
                <w:sz w:val="16"/>
              </w:rPr>
              <w:t>fuel</w:t>
            </w:r>
            <w:r>
              <w:rPr>
                <w:b/>
                <w:spacing w:val="-13"/>
                <w:w w:val="105"/>
                <w:sz w:val="16"/>
              </w:rPr>
              <w:t> </w:t>
            </w:r>
            <w:r>
              <w:rPr>
                <w:b/>
                <w:w w:val="105"/>
                <w:sz w:val="16"/>
              </w:rPr>
              <w:t>product</w:t>
            </w:r>
            <w:r>
              <w:rPr>
                <w:b/>
                <w:spacing w:val="-13"/>
                <w:w w:val="105"/>
                <w:sz w:val="16"/>
              </w:rPr>
              <w:t> </w:t>
            </w:r>
            <w:r>
              <w:rPr>
                <w:b/>
                <w:w w:val="105"/>
                <w:sz w:val="16"/>
              </w:rPr>
              <w:t>cost,</w:t>
            </w:r>
            <w:r>
              <w:rPr>
                <w:b/>
                <w:spacing w:val="-13"/>
                <w:w w:val="105"/>
                <w:sz w:val="16"/>
              </w:rPr>
              <w:t> </w:t>
            </w:r>
            <w:r>
              <w:rPr>
                <w:b/>
                <w:w w:val="105"/>
                <w:sz w:val="16"/>
              </w:rPr>
              <w:t>LHv</w:t>
            </w:r>
            <w:r>
              <w:rPr>
                <w:b/>
                <w:spacing w:val="-16"/>
                <w:w w:val="105"/>
                <w:sz w:val="16"/>
              </w:rPr>
              <w:t> </w:t>
            </w:r>
            <w:r>
              <w:rPr>
                <w:b/>
                <w:w w:val="105"/>
                <w:sz w:val="16"/>
              </w:rPr>
              <w:t>(uS$</w:t>
            </w:r>
            <w:r>
              <w:rPr>
                <w:b/>
                <w:spacing w:val="-14"/>
                <w:w w:val="105"/>
                <w:sz w:val="16"/>
              </w:rPr>
              <w:t> </w:t>
            </w:r>
            <w:r>
              <w:rPr>
                <w:b/>
                <w:w w:val="105"/>
                <w:sz w:val="16"/>
              </w:rPr>
              <w:t>GJ</w:t>
            </w:r>
            <w:r>
              <w:rPr>
                <w:b/>
                <w:w w:val="105"/>
                <w:position w:val="5"/>
                <w:sz w:val="9"/>
              </w:rPr>
              <w:t>−1</w:t>
            </w:r>
            <w:r>
              <w:rPr>
                <w:b/>
                <w:w w:val="105"/>
                <w:sz w:val="16"/>
              </w:rPr>
              <w:t>)</w:t>
            </w:r>
          </w:p>
        </w:tc>
        <w:tc>
          <w:tcPr>
            <w:tcW w:w="1143" w:type="dxa"/>
            <w:shd w:val="clear" w:color="auto" w:fill="F9FCF9"/>
          </w:tcPr>
          <w:p>
            <w:pPr>
              <w:pStyle w:val="TableParagraph"/>
              <w:spacing w:before="45"/>
              <w:ind w:left="83" w:right="44"/>
              <w:rPr>
                <w:sz w:val="16"/>
              </w:rPr>
            </w:pPr>
            <w:r>
              <w:rPr>
                <w:sz w:val="16"/>
              </w:rPr>
              <w:t>9.84</w:t>
            </w:r>
          </w:p>
        </w:tc>
        <w:tc>
          <w:tcPr>
            <w:tcW w:w="1047" w:type="dxa"/>
            <w:shd w:val="clear" w:color="auto" w:fill="F9FCF9"/>
          </w:tcPr>
          <w:p>
            <w:pPr>
              <w:pStyle w:val="TableParagraph"/>
              <w:spacing w:before="45"/>
              <w:ind w:left="378" w:right="339"/>
              <w:rPr>
                <w:sz w:val="16"/>
              </w:rPr>
            </w:pPr>
            <w:r>
              <w:rPr>
                <w:sz w:val="16"/>
              </w:rPr>
              <w:t>8.53</w:t>
            </w:r>
          </w:p>
        </w:tc>
        <w:tc>
          <w:tcPr>
            <w:tcW w:w="1297" w:type="dxa"/>
            <w:shd w:val="clear" w:color="auto" w:fill="F9FCF9"/>
          </w:tcPr>
          <w:p>
            <w:pPr>
              <w:pStyle w:val="TableParagraph"/>
              <w:spacing w:before="45"/>
              <w:ind w:left="463" w:right="424"/>
              <w:rPr>
                <w:sz w:val="16"/>
              </w:rPr>
            </w:pPr>
            <w:r>
              <w:rPr>
                <w:sz w:val="16"/>
              </w:rPr>
              <w:t>6.39</w:t>
            </w:r>
          </w:p>
        </w:tc>
        <w:tc>
          <w:tcPr>
            <w:tcW w:w="1207" w:type="dxa"/>
            <w:shd w:val="clear" w:color="auto" w:fill="F9FCF9"/>
          </w:tcPr>
          <w:p>
            <w:pPr>
              <w:pStyle w:val="TableParagraph"/>
              <w:spacing w:before="45"/>
              <w:ind w:left="122" w:right="82"/>
              <w:rPr>
                <w:sz w:val="16"/>
              </w:rPr>
            </w:pPr>
            <w:r>
              <w:rPr>
                <w:sz w:val="16"/>
              </w:rPr>
              <w:t>5.79</w:t>
            </w:r>
          </w:p>
        </w:tc>
        <w:tc>
          <w:tcPr>
            <w:tcW w:w="1170" w:type="dxa"/>
            <w:shd w:val="clear" w:color="auto" w:fill="F9FCF9"/>
          </w:tcPr>
          <w:p>
            <w:pPr>
              <w:pStyle w:val="TableParagraph"/>
              <w:spacing w:before="45"/>
              <w:ind w:left="111" w:right="71"/>
              <w:rPr>
                <w:sz w:val="16"/>
              </w:rPr>
            </w:pPr>
            <w:r>
              <w:rPr>
                <w:sz w:val="16"/>
              </w:rPr>
              <w:t>6.24</w:t>
            </w:r>
          </w:p>
        </w:tc>
        <w:tc>
          <w:tcPr>
            <w:tcW w:w="1223" w:type="dxa"/>
            <w:shd w:val="clear" w:color="auto" w:fill="F9FCF9"/>
          </w:tcPr>
          <w:p>
            <w:pPr>
              <w:pStyle w:val="TableParagraph"/>
              <w:spacing w:before="45"/>
              <w:ind w:left="60" w:right="19"/>
              <w:rPr>
                <w:sz w:val="16"/>
              </w:rPr>
            </w:pPr>
            <w:r>
              <w:rPr>
                <w:sz w:val="16"/>
              </w:rPr>
              <w:t>3.27</w:t>
            </w:r>
          </w:p>
        </w:tc>
        <w:tc>
          <w:tcPr>
            <w:tcW w:w="1235" w:type="dxa"/>
            <w:shd w:val="clear" w:color="auto" w:fill="F9FCF9"/>
          </w:tcPr>
          <w:p>
            <w:pPr>
              <w:pStyle w:val="TableParagraph"/>
              <w:spacing w:before="45"/>
              <w:ind w:left="44" w:right="3"/>
              <w:rPr>
                <w:sz w:val="16"/>
              </w:rPr>
            </w:pPr>
            <w:r>
              <w:rPr>
                <w:sz w:val="16"/>
              </w:rPr>
              <w:t>1.13</w:t>
            </w:r>
          </w:p>
        </w:tc>
        <w:tc>
          <w:tcPr>
            <w:tcW w:w="597" w:type="dxa"/>
            <w:shd w:val="clear" w:color="auto" w:fill="F9FCF9"/>
          </w:tcPr>
          <w:p>
            <w:pPr>
              <w:pStyle w:val="TableParagraph"/>
              <w:spacing w:before="45"/>
              <w:ind w:left="174"/>
              <w:jc w:val="left"/>
              <w:rPr>
                <w:sz w:val="16"/>
              </w:rPr>
            </w:pPr>
            <w:r>
              <w:rPr>
                <w:sz w:val="16"/>
              </w:rPr>
              <w:t>1.13</w:t>
            </w:r>
          </w:p>
        </w:tc>
        <w:tc>
          <w:tcPr>
            <w:tcW w:w="1167" w:type="dxa"/>
            <w:shd w:val="clear" w:color="auto" w:fill="F9FCF9"/>
          </w:tcPr>
          <w:p>
            <w:pPr>
              <w:pStyle w:val="TableParagraph"/>
              <w:spacing w:before="45"/>
              <w:ind w:left="459"/>
              <w:jc w:val="left"/>
              <w:rPr>
                <w:sz w:val="16"/>
              </w:rPr>
            </w:pPr>
            <w:r>
              <w:rPr>
                <w:sz w:val="16"/>
              </w:rPr>
              <w:t>9.84</w:t>
            </w:r>
          </w:p>
        </w:tc>
      </w:tr>
      <w:tr>
        <w:trPr>
          <w:trHeight w:val="270" w:hRule="atLeast"/>
        </w:trPr>
        <w:tc>
          <w:tcPr>
            <w:tcW w:w="3492" w:type="dxa"/>
            <w:shd w:val="clear" w:color="auto" w:fill="F9FCF9"/>
          </w:tcPr>
          <w:p>
            <w:pPr>
              <w:pStyle w:val="TableParagraph"/>
              <w:spacing w:before="45"/>
              <w:ind w:left="54"/>
              <w:jc w:val="left"/>
              <w:rPr>
                <w:sz w:val="16"/>
              </w:rPr>
            </w:pPr>
            <w:r>
              <w:rPr>
                <w:sz w:val="16"/>
              </w:rPr>
              <w:t>Capture cost confidence level (see </w:t>
            </w:r>
            <w:hyperlink w:history="true" w:anchor="_bookmark28">
              <w:r>
                <w:rPr>
                  <w:sz w:val="16"/>
                </w:rPr>
                <w:t>Table 3.6)</w:t>
              </w:r>
            </w:hyperlink>
          </w:p>
        </w:tc>
        <w:tc>
          <w:tcPr>
            <w:tcW w:w="1143" w:type="dxa"/>
            <w:shd w:val="clear" w:color="auto" w:fill="F9FCF9"/>
          </w:tcPr>
          <w:p>
            <w:pPr>
              <w:pStyle w:val="TableParagraph"/>
              <w:spacing w:before="45"/>
              <w:ind w:left="83" w:right="44"/>
              <w:rPr>
                <w:sz w:val="16"/>
              </w:rPr>
            </w:pPr>
            <w:r>
              <w:rPr>
                <w:sz w:val="16"/>
              </w:rPr>
              <w:t>low</w:t>
            </w:r>
          </w:p>
        </w:tc>
        <w:tc>
          <w:tcPr>
            <w:tcW w:w="1047" w:type="dxa"/>
            <w:shd w:val="clear" w:color="auto" w:fill="F9FCF9"/>
          </w:tcPr>
          <w:p>
            <w:pPr>
              <w:pStyle w:val="TableParagraph"/>
              <w:spacing w:before="45"/>
              <w:ind w:left="378" w:right="339"/>
              <w:rPr>
                <w:sz w:val="16"/>
              </w:rPr>
            </w:pPr>
            <w:r>
              <w:rPr>
                <w:sz w:val="16"/>
              </w:rPr>
              <w:t>low</w:t>
            </w:r>
          </w:p>
        </w:tc>
        <w:tc>
          <w:tcPr>
            <w:tcW w:w="1297" w:type="dxa"/>
            <w:shd w:val="clear" w:color="auto" w:fill="F9FCF9"/>
          </w:tcPr>
          <w:p>
            <w:pPr>
              <w:pStyle w:val="TableParagraph"/>
              <w:spacing w:before="45"/>
              <w:ind w:left="463" w:right="424"/>
              <w:rPr>
                <w:sz w:val="16"/>
              </w:rPr>
            </w:pPr>
            <w:r>
              <w:rPr>
                <w:sz w:val="16"/>
              </w:rPr>
              <w:t>low</w:t>
            </w:r>
          </w:p>
        </w:tc>
        <w:tc>
          <w:tcPr>
            <w:tcW w:w="3600" w:type="dxa"/>
            <w:gridSpan w:val="3"/>
            <w:shd w:val="clear" w:color="auto" w:fill="F9FCF9"/>
          </w:tcPr>
          <w:p>
            <w:pPr>
              <w:pStyle w:val="TableParagraph"/>
              <w:spacing w:before="45"/>
              <w:ind w:left="1291" w:right="1250"/>
              <w:rPr>
                <w:sz w:val="16"/>
              </w:rPr>
            </w:pPr>
            <w:r>
              <w:rPr>
                <w:sz w:val="16"/>
              </w:rPr>
              <w:t>low to very low</w:t>
            </w:r>
          </w:p>
        </w:tc>
        <w:tc>
          <w:tcPr>
            <w:tcW w:w="1235" w:type="dxa"/>
            <w:shd w:val="clear" w:color="auto" w:fill="F9FCF9"/>
          </w:tcPr>
          <w:p>
            <w:pPr>
              <w:pStyle w:val="TableParagraph"/>
              <w:spacing w:before="45"/>
              <w:ind w:left="44" w:right="3"/>
              <w:rPr>
                <w:sz w:val="16"/>
              </w:rPr>
            </w:pPr>
            <w:r>
              <w:rPr>
                <w:sz w:val="16"/>
              </w:rPr>
              <w:t>very low</w:t>
            </w:r>
          </w:p>
        </w:tc>
        <w:tc>
          <w:tcPr>
            <w:tcW w:w="597" w:type="dxa"/>
            <w:shd w:val="clear" w:color="auto" w:fill="F9FCF9"/>
          </w:tcPr>
          <w:p>
            <w:pPr>
              <w:pStyle w:val="TableParagraph"/>
              <w:jc w:val="left"/>
              <w:rPr>
                <w:sz w:val="14"/>
              </w:rPr>
            </w:pPr>
          </w:p>
        </w:tc>
        <w:tc>
          <w:tcPr>
            <w:tcW w:w="1167" w:type="dxa"/>
            <w:shd w:val="clear" w:color="auto" w:fill="F9FCF9"/>
          </w:tcPr>
          <w:p>
            <w:pPr>
              <w:pStyle w:val="TableParagraph"/>
              <w:jc w:val="left"/>
              <w:rPr>
                <w:sz w:val="14"/>
              </w:rPr>
            </w:pPr>
          </w:p>
        </w:tc>
      </w:tr>
    </w:tbl>
    <w:p>
      <w:pPr>
        <w:spacing w:line="211" w:lineRule="auto" w:before="56"/>
        <w:ind w:left="133" w:right="515" w:firstLine="0"/>
        <w:jc w:val="left"/>
        <w:rPr>
          <w:sz w:val="16"/>
        </w:rPr>
      </w:pPr>
      <w:r>
        <w:rPr>
          <w:sz w:val="16"/>
        </w:rPr>
        <w:t>Notes: All costs in this table are for capture only and do not include the costs of CO</w:t>
      </w:r>
      <w:r>
        <w:rPr>
          <w:position w:val="-4"/>
          <w:sz w:val="9"/>
        </w:rPr>
        <w:t>2 </w:t>
      </w:r>
      <w:r>
        <w:rPr>
          <w:sz w:val="16"/>
        </w:rPr>
        <w:t>transport and storage; see Chapter 8 for total CCS costs. * Reported HHV values converted to LHV assuming LHV/ HHV = 0.96 for coal and 0.846 for hydrogen. **CO</w:t>
      </w:r>
      <w:r>
        <w:rPr>
          <w:position w:val="-4"/>
          <w:sz w:val="9"/>
        </w:rPr>
        <w:t>2 </w:t>
      </w:r>
      <w:r>
        <w:rPr>
          <w:sz w:val="16"/>
        </w:rPr>
        <w:t>capture efficiency = (C in CO</w:t>
      </w:r>
      <w:r>
        <w:rPr>
          <w:position w:val="-4"/>
          <w:sz w:val="9"/>
        </w:rPr>
        <w:t>2 </w:t>
      </w:r>
      <w:r>
        <w:rPr>
          <w:sz w:val="16"/>
        </w:rPr>
        <w:t>captured)/(C in fossil fuel input to plant - C in carbonaceous fuel products of plant) x100; C associated with imported electricity is not included. ***Includes CO</w:t>
      </w:r>
      <w:r>
        <w:rPr>
          <w:position w:val="-4"/>
          <w:sz w:val="9"/>
        </w:rPr>
        <w:t>2 </w:t>
      </w:r>
      <w:r>
        <w:rPr>
          <w:sz w:val="16"/>
        </w:rPr>
        <w:t>emitted in the production of electricity imported by the plant. ****Reported total plant investment values increased by 3.5% to estimate total capital requirement.</w:t>
      </w:r>
    </w:p>
    <w:p>
      <w:pPr>
        <w:spacing w:after="0" w:line="211" w:lineRule="auto"/>
        <w:jc w:val="left"/>
        <w:rPr>
          <w:sz w:val="16"/>
        </w:rPr>
        <w:sectPr>
          <w:pgSz w:w="15840" w:h="12240" w:orient="landscape"/>
          <w:pgMar w:header="934" w:footer="0" w:top="1120" w:bottom="280" w:left="1000" w:right="1000"/>
        </w:sectPr>
      </w:pPr>
    </w:p>
    <w:p>
      <w:pPr>
        <w:pStyle w:val="BodyText"/>
        <w:spacing w:line="249" w:lineRule="auto" w:before="53"/>
        <w:ind w:left="117" w:right="39"/>
        <w:jc w:val="both"/>
      </w:pPr>
      <w:bookmarkStart w:name="3.7.12 CO2 capture costs for other indus" w:id="113"/>
      <w:bookmarkEnd w:id="113"/>
      <w:r>
        <w:rPr/>
      </w:r>
      <w:bookmarkStart w:name="3.7.13 Summary of CO2 capture cost estim" w:id="114"/>
      <w:bookmarkEnd w:id="114"/>
      <w:r>
        <w:rPr/>
      </w:r>
      <w:r>
        <w:rPr/>
        <w:t>the successful scale-up and commercialization of technologies that have not yet been demonstrated, or which are still under development at relatively small scales, such as solid oxide fuel cells (SOFC). Published cost estimates for these systems thus have a very high degree of uncertainty.</w:t>
      </w:r>
    </w:p>
    <w:p>
      <w:pPr>
        <w:pStyle w:val="BodyText"/>
        <w:spacing w:before="10"/>
        <w:rPr>
          <w:sz w:val="22"/>
        </w:rPr>
      </w:pPr>
    </w:p>
    <w:p>
      <w:pPr>
        <w:pStyle w:val="Heading2"/>
        <w:numPr>
          <w:ilvl w:val="2"/>
          <w:numId w:val="30"/>
        </w:numPr>
        <w:tabs>
          <w:tab w:pos="936" w:val="left" w:leader="none"/>
          <w:tab w:pos="937" w:val="left" w:leader="none"/>
        </w:tabs>
        <w:spacing w:line="206" w:lineRule="auto" w:before="0" w:after="0"/>
        <w:ind w:left="937" w:right="348" w:hanging="821"/>
        <w:jc w:val="left"/>
      </w:pPr>
      <w:r>
        <w:rPr>
          <w:i/>
        </w:rPr>
        <w:t>CO</w:t>
      </w:r>
      <w:r>
        <w:rPr>
          <w:i/>
          <w:position w:val="-6"/>
          <w:sz w:val="11"/>
        </w:rPr>
        <w:t>2 </w:t>
      </w:r>
      <w:r>
        <w:rPr>
          <w:i/>
        </w:rPr>
        <w:t>capture costs for other industrial processes </w:t>
      </w:r>
      <w:r>
        <w:rPr/>
        <w:t>(advanced technology)</w:t>
      </w:r>
    </w:p>
    <w:p>
      <w:pPr>
        <w:pStyle w:val="BodyText"/>
        <w:spacing w:before="8"/>
        <w:rPr>
          <w:b/>
          <w:i/>
          <w:sz w:val="21"/>
        </w:rPr>
      </w:pPr>
    </w:p>
    <w:p>
      <w:pPr>
        <w:pStyle w:val="BodyText"/>
        <w:spacing w:line="240" w:lineRule="exact"/>
        <w:ind w:left="117" w:right="39"/>
        <w:jc w:val="both"/>
      </w:pPr>
      <w:r>
        <w:rPr/>
        <w:t>As noted earlier, CO</w:t>
      </w:r>
      <w:r>
        <w:rPr>
          <w:position w:val="-6"/>
          <w:sz w:val="11"/>
        </w:rPr>
        <w:t>2 </w:t>
      </w:r>
      <w:r>
        <w:rPr/>
        <w:t>capture for industrial processes has </w:t>
      </w:r>
      <w:r>
        <w:rPr>
          <w:spacing w:val="-5"/>
        </w:rPr>
        <w:t>not </w:t>
      </w:r>
      <w:r>
        <w:rPr/>
        <w:t>been</w:t>
      </w:r>
      <w:r>
        <w:rPr>
          <w:spacing w:val="-7"/>
        </w:rPr>
        <w:t> </w:t>
      </w:r>
      <w:r>
        <w:rPr/>
        <w:t>widely</w:t>
      </w:r>
      <w:r>
        <w:rPr>
          <w:spacing w:val="-6"/>
        </w:rPr>
        <w:t> </w:t>
      </w:r>
      <w:r>
        <w:rPr/>
        <w:t>studied.</w:t>
      </w:r>
      <w:r>
        <w:rPr>
          <w:spacing w:val="-11"/>
        </w:rPr>
        <w:t> </w:t>
      </w:r>
      <w:r>
        <w:rPr/>
        <w:t>The</w:t>
      </w:r>
      <w:r>
        <w:rPr>
          <w:spacing w:val="-6"/>
        </w:rPr>
        <w:t> </w:t>
      </w:r>
      <w:r>
        <w:rPr/>
        <w:t>most</w:t>
      </w:r>
      <w:r>
        <w:rPr>
          <w:spacing w:val="-7"/>
        </w:rPr>
        <w:t> </w:t>
      </w:r>
      <w:r>
        <w:rPr/>
        <w:t>extensive</w:t>
      </w:r>
      <w:r>
        <w:rPr>
          <w:spacing w:val="-6"/>
        </w:rPr>
        <w:t> </w:t>
      </w:r>
      <w:r>
        <w:rPr/>
        <w:t>analyses</w:t>
      </w:r>
      <w:r>
        <w:rPr>
          <w:spacing w:val="-6"/>
        </w:rPr>
        <w:t> </w:t>
      </w:r>
      <w:r>
        <w:rPr/>
        <w:t>have</w:t>
      </w:r>
      <w:r>
        <w:rPr>
          <w:spacing w:val="-7"/>
        </w:rPr>
        <w:t> </w:t>
      </w:r>
      <w:r>
        <w:rPr/>
        <w:t>focused on petroleum refineries, especially CO</w:t>
      </w:r>
      <w:r>
        <w:rPr>
          <w:position w:val="-6"/>
          <w:sz w:val="11"/>
        </w:rPr>
        <w:t>2 </w:t>
      </w:r>
      <w:r>
        <w:rPr/>
        <w:t>capture options </w:t>
      </w:r>
      <w:r>
        <w:rPr>
          <w:spacing w:val="-4"/>
        </w:rPr>
        <w:t>for </w:t>
      </w:r>
      <w:r>
        <w:rPr/>
        <w:t>heaters and other combustion-based processes (see </w:t>
      </w:r>
      <w:hyperlink w:history="true" w:anchor="_bookmark51">
        <w:r>
          <w:rPr>
            <w:spacing w:val="-3"/>
          </w:rPr>
          <w:t>Table</w:t>
        </w:r>
        <w:r>
          <w:rPr>
            <w:spacing w:val="-24"/>
          </w:rPr>
          <w:t> </w:t>
        </w:r>
        <w:r>
          <w:rPr>
            <w:spacing w:val="-3"/>
          </w:rPr>
          <w:t>3.12).</w:t>
        </w:r>
      </w:hyperlink>
      <w:r>
        <w:rPr>
          <w:spacing w:val="-3"/>
        </w:rPr>
        <w:t> </w:t>
      </w:r>
      <w:r>
        <w:rPr/>
        <w:t>The use of oxy-fuel combustion offers potential cost savings</w:t>
      </w:r>
      <w:r>
        <w:rPr>
          <w:spacing w:val="-19"/>
        </w:rPr>
        <w:t> </w:t>
      </w:r>
      <w:r>
        <w:rPr/>
        <w:t>in several</w:t>
      </w:r>
      <w:r>
        <w:rPr>
          <w:spacing w:val="-9"/>
        </w:rPr>
        <w:t> </w:t>
      </w:r>
      <w:r>
        <w:rPr/>
        <w:t>industrial</w:t>
      </w:r>
      <w:r>
        <w:rPr>
          <w:spacing w:val="-8"/>
        </w:rPr>
        <w:t> </w:t>
      </w:r>
      <w:r>
        <w:rPr/>
        <w:t>applications.</w:t>
      </w:r>
      <w:r>
        <w:rPr>
          <w:spacing w:val="-11"/>
        </w:rPr>
        <w:t> </w:t>
      </w:r>
      <w:r>
        <w:rPr/>
        <w:t>The</w:t>
      </w:r>
      <w:r>
        <w:rPr>
          <w:spacing w:val="-9"/>
        </w:rPr>
        <w:t> </w:t>
      </w:r>
      <w:r>
        <w:rPr/>
        <w:t>CO</w:t>
      </w:r>
      <w:r>
        <w:rPr>
          <w:position w:val="-6"/>
          <w:sz w:val="11"/>
        </w:rPr>
        <w:t>2</w:t>
      </w:r>
      <w:r>
        <w:rPr>
          <w:spacing w:val="14"/>
          <w:position w:val="-6"/>
          <w:sz w:val="11"/>
        </w:rPr>
        <w:t> </w:t>
      </w:r>
      <w:r>
        <w:rPr/>
        <w:t>Capture</w:t>
      </w:r>
      <w:r>
        <w:rPr>
          <w:spacing w:val="-8"/>
        </w:rPr>
        <w:t> </w:t>
      </w:r>
      <w:r>
        <w:rPr/>
        <w:t>Project</w:t>
      </w:r>
      <w:r>
        <w:rPr>
          <w:spacing w:val="-8"/>
        </w:rPr>
        <w:t> </w:t>
      </w:r>
      <w:r>
        <w:rPr/>
        <w:t>reports the cost of capturing CO</w:t>
      </w:r>
      <w:r>
        <w:rPr>
          <w:position w:val="-6"/>
          <w:sz w:val="11"/>
        </w:rPr>
        <w:t>2 </w:t>
      </w:r>
      <w:r>
        <w:rPr/>
        <w:t>in refinery heaters and boilers, with an ion transport membrane oxygen plant, to be 31 US$/tCO</w:t>
      </w:r>
      <w:r>
        <w:rPr>
          <w:position w:val="-6"/>
          <w:sz w:val="11"/>
        </w:rPr>
        <w:t>2 </w:t>
      </w:r>
      <w:r>
        <w:rPr/>
        <w:t>avoided.</w:t>
      </w:r>
      <w:r>
        <w:rPr>
          <w:spacing w:val="-8"/>
        </w:rPr>
        <w:t> </w:t>
      </w:r>
      <w:r>
        <w:rPr/>
        <w:t>The</w:t>
      </w:r>
      <w:r>
        <w:rPr>
          <w:spacing w:val="-4"/>
        </w:rPr>
        <w:t> </w:t>
      </w:r>
      <w:r>
        <w:rPr/>
        <w:t>cost</w:t>
      </w:r>
      <w:r>
        <w:rPr>
          <w:spacing w:val="-5"/>
        </w:rPr>
        <w:t> </w:t>
      </w:r>
      <w:r>
        <w:rPr/>
        <w:t>of</w:t>
      </w:r>
      <w:r>
        <w:rPr>
          <w:spacing w:val="-4"/>
        </w:rPr>
        <w:t> </w:t>
      </w:r>
      <w:r>
        <w:rPr/>
        <w:t>pre-combustion</w:t>
      </w:r>
      <w:r>
        <w:rPr>
          <w:spacing w:val="-5"/>
        </w:rPr>
        <w:t> </w:t>
      </w:r>
      <w:r>
        <w:rPr/>
        <w:t>capture</w:t>
      </w:r>
      <w:r>
        <w:rPr>
          <w:spacing w:val="-4"/>
        </w:rPr>
        <w:t> </w:t>
      </w:r>
      <w:r>
        <w:rPr/>
        <w:t>based</w:t>
      </w:r>
      <w:r>
        <w:rPr>
          <w:spacing w:val="-5"/>
        </w:rPr>
        <w:t> </w:t>
      </w:r>
      <w:r>
        <w:rPr/>
        <w:t>on</w:t>
      </w:r>
      <w:r>
        <w:rPr>
          <w:spacing w:val="-4"/>
        </w:rPr>
        <w:t> </w:t>
      </w:r>
      <w:r>
        <w:rPr/>
        <w:t>shift</w:t>
      </w:r>
      <w:r>
        <w:rPr>
          <w:spacing w:val="-4"/>
        </w:rPr>
        <w:t> </w:t>
      </w:r>
      <w:r>
        <w:rPr/>
        <w:t>and membrane gas separation was predicted to be 41 US$/tCO</w:t>
      </w:r>
      <w:r>
        <w:rPr>
          <w:position w:val="-6"/>
          <w:sz w:val="11"/>
        </w:rPr>
        <w:t>2 </w:t>
      </w:r>
      <w:r>
        <w:rPr/>
        <w:t>avoided </w:t>
      </w:r>
      <w:r>
        <w:rPr>
          <w:spacing w:val="-5"/>
        </w:rPr>
        <w:t>(CCP,</w:t>
      </w:r>
      <w:r>
        <w:rPr/>
        <w:t> 2005).</w:t>
      </w:r>
    </w:p>
    <w:p>
      <w:pPr>
        <w:pStyle w:val="BodyText"/>
        <w:spacing w:line="240" w:lineRule="exact"/>
        <w:ind w:left="117" w:right="38" w:firstLine="283"/>
        <w:jc w:val="both"/>
      </w:pPr>
      <w:r>
        <w:rPr/>
        <w:t>It also may be possible to apply oxy-fuel combustion </w:t>
      </w:r>
      <w:r>
        <w:rPr>
          <w:spacing w:val="-6"/>
        </w:rPr>
        <w:t>to </w:t>
      </w:r>
      <w:r>
        <w:rPr/>
        <w:t>cement plants, but the CO</w:t>
      </w:r>
      <w:r>
        <w:rPr>
          <w:position w:val="-6"/>
          <w:sz w:val="11"/>
        </w:rPr>
        <w:t>2 </w:t>
      </w:r>
      <w:r>
        <w:rPr/>
        <w:t>partial pressure in the cement kiln would be higher than normal and the effects of this on the calcination reactions and the quality of the cement product would</w:t>
      </w:r>
      <w:r>
        <w:rPr>
          <w:spacing w:val="-5"/>
        </w:rPr>
        <w:t> </w:t>
      </w:r>
      <w:r>
        <w:rPr/>
        <w:t>need</w:t>
      </w:r>
      <w:r>
        <w:rPr>
          <w:spacing w:val="-4"/>
        </w:rPr>
        <w:t> </w:t>
      </w:r>
      <w:r>
        <w:rPr/>
        <w:t>to</w:t>
      </w:r>
      <w:r>
        <w:rPr>
          <w:spacing w:val="-5"/>
        </w:rPr>
        <w:t> </w:t>
      </w:r>
      <w:r>
        <w:rPr/>
        <w:t>be</w:t>
      </w:r>
      <w:r>
        <w:rPr>
          <w:spacing w:val="-4"/>
        </w:rPr>
        <w:t> </w:t>
      </w:r>
      <w:r>
        <w:rPr/>
        <w:t>investigated.</w:t>
      </w:r>
      <w:r>
        <w:rPr>
          <w:spacing w:val="-8"/>
        </w:rPr>
        <w:t> </w:t>
      </w:r>
      <w:r>
        <w:rPr/>
        <w:t>The</w:t>
      </w:r>
      <w:r>
        <w:rPr>
          <w:spacing w:val="-4"/>
        </w:rPr>
        <w:t> </w:t>
      </w:r>
      <w:r>
        <w:rPr/>
        <w:t>quantity</w:t>
      </w:r>
      <w:r>
        <w:rPr>
          <w:spacing w:val="-4"/>
        </w:rPr>
        <w:t> </w:t>
      </w:r>
      <w:r>
        <w:rPr/>
        <w:t>of</w:t>
      </w:r>
      <w:r>
        <w:rPr>
          <w:spacing w:val="-5"/>
        </w:rPr>
        <w:t> </w:t>
      </w:r>
      <w:r>
        <w:rPr/>
        <w:t>oxygen</w:t>
      </w:r>
      <w:r>
        <w:rPr>
          <w:spacing w:val="-4"/>
        </w:rPr>
        <w:t> </w:t>
      </w:r>
      <w:r>
        <w:rPr/>
        <w:t>required per</w:t>
      </w:r>
      <w:r>
        <w:rPr>
          <w:spacing w:val="-15"/>
        </w:rPr>
        <w:t> </w:t>
      </w:r>
      <w:r>
        <w:rPr/>
        <w:t>tonne</w:t>
      </w:r>
      <w:r>
        <w:rPr>
          <w:spacing w:val="-14"/>
        </w:rPr>
        <w:t> </w:t>
      </w:r>
      <w:r>
        <w:rPr/>
        <w:t>of</w:t>
      </w:r>
      <w:r>
        <w:rPr>
          <w:spacing w:val="-14"/>
        </w:rPr>
        <w:t> </w:t>
      </w:r>
      <w:r>
        <w:rPr/>
        <w:t>CO</w:t>
      </w:r>
      <w:r>
        <w:rPr>
          <w:position w:val="-6"/>
          <w:sz w:val="11"/>
        </w:rPr>
        <w:t>2</w:t>
      </w:r>
      <w:r>
        <w:rPr>
          <w:spacing w:val="9"/>
          <w:position w:val="-6"/>
          <w:sz w:val="11"/>
        </w:rPr>
        <w:t> </w:t>
      </w:r>
      <w:r>
        <w:rPr/>
        <w:t>captured</w:t>
      </w:r>
      <w:r>
        <w:rPr>
          <w:spacing w:val="-14"/>
        </w:rPr>
        <w:t> </w:t>
      </w:r>
      <w:r>
        <w:rPr/>
        <w:t>in</w:t>
      </w:r>
      <w:r>
        <w:rPr>
          <w:spacing w:val="-14"/>
        </w:rPr>
        <w:t> </w:t>
      </w:r>
      <w:r>
        <w:rPr/>
        <w:t>a</w:t>
      </w:r>
      <w:r>
        <w:rPr>
          <w:spacing w:val="-15"/>
        </w:rPr>
        <w:t> </w:t>
      </w:r>
      <w:r>
        <w:rPr/>
        <w:t>cement</w:t>
      </w:r>
      <w:r>
        <w:rPr>
          <w:spacing w:val="-14"/>
        </w:rPr>
        <w:t> </w:t>
      </w:r>
      <w:r>
        <w:rPr/>
        <w:t>plant</w:t>
      </w:r>
      <w:r>
        <w:rPr>
          <w:spacing w:val="-14"/>
        </w:rPr>
        <w:t> </w:t>
      </w:r>
      <w:r>
        <w:rPr/>
        <w:t>would</w:t>
      </w:r>
      <w:r>
        <w:rPr>
          <w:spacing w:val="-14"/>
        </w:rPr>
        <w:t> </w:t>
      </w:r>
      <w:r>
        <w:rPr/>
        <w:t>be</w:t>
      </w:r>
      <w:r>
        <w:rPr>
          <w:spacing w:val="-14"/>
        </w:rPr>
        <w:t> </w:t>
      </w:r>
      <w:r>
        <w:rPr/>
        <w:t>only</w:t>
      </w:r>
      <w:r>
        <w:rPr>
          <w:spacing w:val="-14"/>
        </w:rPr>
        <w:t> </w:t>
      </w:r>
      <w:r>
        <w:rPr/>
        <w:t>about half</w:t>
      </w:r>
      <w:r>
        <w:rPr>
          <w:spacing w:val="-4"/>
        </w:rPr>
        <w:t> </w:t>
      </w:r>
      <w:r>
        <w:rPr/>
        <w:t>as</w:t>
      </w:r>
      <w:r>
        <w:rPr>
          <w:spacing w:val="-4"/>
        </w:rPr>
        <w:t> </w:t>
      </w:r>
      <w:r>
        <w:rPr/>
        <w:t>much</w:t>
      </w:r>
      <w:r>
        <w:rPr>
          <w:spacing w:val="-4"/>
        </w:rPr>
        <w:t> </w:t>
      </w:r>
      <w:r>
        <w:rPr/>
        <w:t>as</w:t>
      </w:r>
      <w:r>
        <w:rPr>
          <w:spacing w:val="-4"/>
        </w:rPr>
        <w:t> </w:t>
      </w:r>
      <w:r>
        <w:rPr/>
        <w:t>in</w:t>
      </w:r>
      <w:r>
        <w:rPr>
          <w:spacing w:val="-4"/>
        </w:rPr>
        <w:t> </w:t>
      </w:r>
      <w:r>
        <w:rPr/>
        <w:t>a</w:t>
      </w:r>
      <w:r>
        <w:rPr>
          <w:spacing w:val="-4"/>
        </w:rPr>
        <w:t> </w:t>
      </w:r>
      <w:r>
        <w:rPr/>
        <w:t>power</w:t>
      </w:r>
      <w:r>
        <w:rPr>
          <w:spacing w:val="-4"/>
        </w:rPr>
        <w:t> </w:t>
      </w:r>
      <w:r>
        <w:rPr/>
        <w:t>plant,</w:t>
      </w:r>
      <w:r>
        <w:rPr>
          <w:spacing w:val="-4"/>
        </w:rPr>
        <w:t> </w:t>
      </w:r>
      <w:r>
        <w:rPr/>
        <w:t>because</w:t>
      </w:r>
      <w:r>
        <w:rPr>
          <w:spacing w:val="-4"/>
        </w:rPr>
        <w:t> </w:t>
      </w:r>
      <w:r>
        <w:rPr/>
        <w:t>only</w:t>
      </w:r>
      <w:r>
        <w:rPr>
          <w:spacing w:val="-4"/>
        </w:rPr>
        <w:t> </w:t>
      </w:r>
      <w:r>
        <w:rPr/>
        <w:t>about</w:t>
      </w:r>
      <w:r>
        <w:rPr>
          <w:spacing w:val="-4"/>
        </w:rPr>
        <w:t> </w:t>
      </w:r>
      <w:r>
        <w:rPr/>
        <w:t>half</w:t>
      </w:r>
      <w:r>
        <w:rPr>
          <w:spacing w:val="-4"/>
        </w:rPr>
        <w:t> </w:t>
      </w:r>
      <w:r>
        <w:rPr/>
        <w:t>of</w:t>
      </w:r>
      <w:r>
        <w:rPr>
          <w:spacing w:val="-4"/>
        </w:rPr>
        <w:t> </w:t>
      </w:r>
      <w:r>
        <w:rPr/>
        <w:t>the CO</w:t>
      </w:r>
      <w:r>
        <w:rPr>
          <w:position w:val="-6"/>
          <w:sz w:val="11"/>
        </w:rPr>
        <w:t>2 </w:t>
      </w:r>
      <w:r>
        <w:rPr/>
        <w:t>is produced by fuel combustion. This implies that the cost of CO</w:t>
      </w:r>
      <w:r>
        <w:rPr>
          <w:position w:val="-6"/>
          <w:sz w:val="11"/>
        </w:rPr>
        <w:t>2 </w:t>
      </w:r>
      <w:r>
        <w:rPr/>
        <w:t>capture by oxy-fuel combustion at large cement plants would</w:t>
      </w:r>
      <w:r>
        <w:rPr>
          <w:spacing w:val="-6"/>
        </w:rPr>
        <w:t> </w:t>
      </w:r>
      <w:r>
        <w:rPr/>
        <w:t>be</w:t>
      </w:r>
      <w:r>
        <w:rPr>
          <w:spacing w:val="-5"/>
        </w:rPr>
        <w:t> </w:t>
      </w:r>
      <w:r>
        <w:rPr/>
        <w:t>lower</w:t>
      </w:r>
      <w:r>
        <w:rPr>
          <w:spacing w:val="-6"/>
        </w:rPr>
        <w:t> </w:t>
      </w:r>
      <w:r>
        <w:rPr/>
        <w:t>than</w:t>
      </w:r>
      <w:r>
        <w:rPr>
          <w:spacing w:val="-5"/>
        </w:rPr>
        <w:t> </w:t>
      </w:r>
      <w:r>
        <w:rPr/>
        <w:t>at</w:t>
      </w:r>
      <w:r>
        <w:rPr>
          <w:spacing w:val="-6"/>
        </w:rPr>
        <w:t> </w:t>
      </w:r>
      <w:r>
        <w:rPr/>
        <w:t>power</w:t>
      </w:r>
      <w:r>
        <w:rPr>
          <w:spacing w:val="-5"/>
        </w:rPr>
        <w:t> </w:t>
      </w:r>
      <w:r>
        <w:rPr/>
        <w:t>plants,</w:t>
      </w:r>
      <w:r>
        <w:rPr>
          <w:spacing w:val="-6"/>
        </w:rPr>
        <w:t> </w:t>
      </w:r>
      <w:r>
        <w:rPr/>
        <w:t>but</w:t>
      </w:r>
      <w:r>
        <w:rPr>
          <w:spacing w:val="-5"/>
        </w:rPr>
        <w:t> </w:t>
      </w:r>
      <w:r>
        <w:rPr/>
        <w:t>a</w:t>
      </w:r>
      <w:r>
        <w:rPr>
          <w:spacing w:val="-5"/>
        </w:rPr>
        <w:t> </w:t>
      </w:r>
      <w:r>
        <w:rPr/>
        <w:t>detailed</w:t>
      </w:r>
      <w:r>
        <w:rPr>
          <w:spacing w:val="-6"/>
        </w:rPr>
        <w:t> </w:t>
      </w:r>
      <w:r>
        <w:rPr/>
        <w:t>engineering cost study is lacking. Emerging technologies that capture CO</w:t>
      </w:r>
      <w:r>
        <w:rPr>
          <w:position w:val="-6"/>
          <w:sz w:val="11"/>
        </w:rPr>
        <w:t>2 </w:t>
      </w:r>
      <w:r>
        <w:rPr/>
        <w:t>using</w:t>
      </w:r>
      <w:r>
        <w:rPr>
          <w:spacing w:val="-14"/>
        </w:rPr>
        <w:t> </w:t>
      </w:r>
      <w:r>
        <w:rPr/>
        <w:t>calcium-based</w:t>
      </w:r>
      <w:r>
        <w:rPr>
          <w:spacing w:val="-14"/>
        </w:rPr>
        <w:t> </w:t>
      </w:r>
      <w:r>
        <w:rPr/>
        <w:t>sorbents,</w:t>
      </w:r>
      <w:r>
        <w:rPr>
          <w:spacing w:val="-14"/>
        </w:rPr>
        <w:t> </w:t>
      </w:r>
      <w:r>
        <w:rPr/>
        <w:t>described</w:t>
      </w:r>
      <w:r>
        <w:rPr>
          <w:spacing w:val="-14"/>
        </w:rPr>
        <w:t> </w:t>
      </w:r>
      <w:r>
        <w:rPr/>
        <w:t>in</w:t>
      </w:r>
      <w:r>
        <w:rPr>
          <w:spacing w:val="-14"/>
        </w:rPr>
        <w:t> </w:t>
      </w:r>
      <w:r>
        <w:rPr/>
        <w:t>Section</w:t>
      </w:r>
      <w:r>
        <w:rPr>
          <w:spacing w:val="-14"/>
        </w:rPr>
        <w:t> </w:t>
      </w:r>
      <w:r>
        <w:rPr/>
        <w:t>3.3.3.4,</w:t>
      </w:r>
      <w:r>
        <w:rPr>
          <w:spacing w:val="-13"/>
        </w:rPr>
        <w:t> </w:t>
      </w:r>
      <w:r>
        <w:rPr/>
        <w:t>may be cost competitive in cement plants in the future.</w:t>
      </w:r>
    </w:p>
    <w:p>
      <w:pPr>
        <w:pStyle w:val="BodyText"/>
        <w:spacing w:before="4"/>
        <w:rPr>
          <w:sz w:val="21"/>
        </w:rPr>
      </w:pPr>
    </w:p>
    <w:p>
      <w:pPr>
        <w:pStyle w:val="Heading2"/>
        <w:numPr>
          <w:ilvl w:val="2"/>
          <w:numId w:val="30"/>
        </w:numPr>
        <w:tabs>
          <w:tab w:pos="936" w:val="left" w:leader="none"/>
          <w:tab w:pos="937" w:val="left" w:leader="none"/>
        </w:tabs>
        <w:spacing w:line="240" w:lineRule="auto" w:before="0" w:after="0"/>
        <w:ind w:left="937" w:right="0" w:hanging="820"/>
        <w:jc w:val="left"/>
        <w:rPr>
          <w:i/>
        </w:rPr>
      </w:pPr>
      <w:r>
        <w:rPr>
          <w:i/>
        </w:rPr>
        <w:t>Summary of CO</w:t>
      </w:r>
      <w:r>
        <w:rPr>
          <w:i/>
          <w:position w:val="-6"/>
          <w:sz w:val="11"/>
        </w:rPr>
        <w:t>2 </w:t>
      </w:r>
      <w:r>
        <w:rPr>
          <w:i/>
        </w:rPr>
        <w:t>capture cost</w:t>
      </w:r>
      <w:r>
        <w:rPr>
          <w:i/>
          <w:spacing w:val="-7"/>
        </w:rPr>
        <w:t> </w:t>
      </w:r>
      <w:r>
        <w:rPr>
          <w:i/>
        </w:rPr>
        <w:t>estimates</w:t>
      </w:r>
    </w:p>
    <w:p>
      <w:pPr>
        <w:pStyle w:val="BodyText"/>
        <w:spacing w:line="240" w:lineRule="exact" w:before="194"/>
        <w:ind w:left="117" w:right="38"/>
        <w:jc w:val="both"/>
      </w:pPr>
      <w:hyperlink w:history="true" w:anchor="_bookmark59">
        <w:r>
          <w:rPr>
            <w:spacing w:val="-3"/>
          </w:rPr>
          <w:t>Table </w:t>
        </w:r>
        <w:r>
          <w:rPr/>
          <w:t>3.15 </w:t>
        </w:r>
      </w:hyperlink>
      <w:r>
        <w:rPr/>
        <w:t>summarizes the range of current CO</w:t>
      </w:r>
      <w:r>
        <w:rPr>
          <w:position w:val="-6"/>
          <w:sz w:val="11"/>
        </w:rPr>
        <w:t>2 </w:t>
      </w:r>
      <w:r>
        <w:rPr/>
        <w:t>capture costs for the major electric power systems analyzed in this report. These</w:t>
      </w:r>
      <w:r>
        <w:rPr>
          <w:spacing w:val="-8"/>
        </w:rPr>
        <w:t> </w:t>
      </w:r>
      <w:r>
        <w:rPr/>
        <w:t>costs</w:t>
      </w:r>
      <w:r>
        <w:rPr>
          <w:spacing w:val="-8"/>
        </w:rPr>
        <w:t> </w:t>
      </w:r>
      <w:r>
        <w:rPr/>
        <w:t>apply</w:t>
      </w:r>
      <w:r>
        <w:rPr>
          <w:spacing w:val="-8"/>
        </w:rPr>
        <w:t> </w:t>
      </w:r>
      <w:r>
        <w:rPr/>
        <w:t>to</w:t>
      </w:r>
      <w:r>
        <w:rPr>
          <w:spacing w:val="-8"/>
        </w:rPr>
        <w:t> </w:t>
      </w:r>
      <w:r>
        <w:rPr/>
        <w:t>case</w:t>
      </w:r>
      <w:r>
        <w:rPr>
          <w:spacing w:val="-8"/>
        </w:rPr>
        <w:t> </w:t>
      </w:r>
      <w:r>
        <w:rPr/>
        <w:t>studies</w:t>
      </w:r>
      <w:r>
        <w:rPr>
          <w:spacing w:val="-8"/>
        </w:rPr>
        <w:t> </w:t>
      </w:r>
      <w:r>
        <w:rPr/>
        <w:t>of</w:t>
      </w:r>
      <w:r>
        <w:rPr>
          <w:spacing w:val="-8"/>
        </w:rPr>
        <w:t> </w:t>
      </w:r>
      <w:r>
        <w:rPr/>
        <w:t>large</w:t>
      </w:r>
      <w:r>
        <w:rPr>
          <w:spacing w:val="-8"/>
        </w:rPr>
        <w:t> </w:t>
      </w:r>
      <w:r>
        <w:rPr/>
        <w:t>new</w:t>
      </w:r>
      <w:r>
        <w:rPr>
          <w:spacing w:val="-8"/>
        </w:rPr>
        <w:t> </w:t>
      </w:r>
      <w:r>
        <w:rPr/>
        <w:t>plants</w:t>
      </w:r>
      <w:r>
        <w:rPr>
          <w:spacing w:val="-8"/>
        </w:rPr>
        <w:t> </w:t>
      </w:r>
      <w:r>
        <w:rPr/>
        <w:t>employing current</w:t>
      </w:r>
      <w:r>
        <w:rPr>
          <w:spacing w:val="-21"/>
        </w:rPr>
        <w:t> </w:t>
      </w:r>
      <w:r>
        <w:rPr/>
        <w:t>commercial</w:t>
      </w:r>
      <w:r>
        <w:rPr>
          <w:spacing w:val="-20"/>
        </w:rPr>
        <w:t> </w:t>
      </w:r>
      <w:r>
        <w:rPr/>
        <w:t>technologies.</w:t>
      </w:r>
      <w:r>
        <w:rPr>
          <w:spacing w:val="-20"/>
        </w:rPr>
        <w:t> </w:t>
      </w:r>
      <w:r>
        <w:rPr/>
        <w:t>For</w:t>
      </w:r>
      <w:r>
        <w:rPr>
          <w:spacing w:val="-21"/>
        </w:rPr>
        <w:t> </w:t>
      </w:r>
      <w:r>
        <w:rPr/>
        <w:t>the</w:t>
      </w:r>
      <w:r>
        <w:rPr>
          <w:spacing w:val="-20"/>
        </w:rPr>
        <w:t> </w:t>
      </w:r>
      <w:r>
        <w:rPr/>
        <w:t>PC</w:t>
      </w:r>
      <w:r>
        <w:rPr>
          <w:spacing w:val="-20"/>
        </w:rPr>
        <w:t> </w:t>
      </w:r>
      <w:r>
        <w:rPr/>
        <w:t>and</w:t>
      </w:r>
      <w:r>
        <w:rPr>
          <w:spacing w:val="-20"/>
        </w:rPr>
        <w:t> </w:t>
      </w:r>
      <w:r>
        <w:rPr/>
        <w:t>IGCC</w:t>
      </w:r>
      <w:r>
        <w:rPr>
          <w:spacing w:val="-21"/>
        </w:rPr>
        <w:t> </w:t>
      </w:r>
      <w:r>
        <w:rPr/>
        <w:t>systems, the data in </w:t>
      </w:r>
      <w:hyperlink w:history="true" w:anchor="_bookmark59">
        <w:r>
          <w:rPr>
            <w:spacing w:val="-3"/>
          </w:rPr>
          <w:t>Table </w:t>
        </w:r>
        <w:r>
          <w:rPr/>
          <w:t>3.15</w:t>
        </w:r>
      </w:hyperlink>
      <w:r>
        <w:rPr/>
        <w:t> apply only to plants using bituminous coals</w:t>
      </w:r>
      <w:r>
        <w:rPr>
          <w:spacing w:val="-6"/>
        </w:rPr>
        <w:t> </w:t>
      </w:r>
      <w:r>
        <w:rPr/>
        <w:t>and</w:t>
      </w:r>
      <w:r>
        <w:rPr>
          <w:spacing w:val="-6"/>
        </w:rPr>
        <w:t> </w:t>
      </w:r>
      <w:r>
        <w:rPr/>
        <w:t>the</w:t>
      </w:r>
      <w:r>
        <w:rPr>
          <w:spacing w:val="-6"/>
        </w:rPr>
        <w:t> </w:t>
      </w:r>
      <w:r>
        <w:rPr/>
        <w:t>PC</w:t>
      </w:r>
      <w:r>
        <w:rPr>
          <w:spacing w:val="-6"/>
        </w:rPr>
        <w:t> </w:t>
      </w:r>
      <w:r>
        <w:rPr/>
        <w:t>plants</w:t>
      </w:r>
      <w:r>
        <w:rPr>
          <w:spacing w:val="-6"/>
        </w:rPr>
        <w:t> </w:t>
      </w:r>
      <w:r>
        <w:rPr/>
        <w:t>are</w:t>
      </w:r>
      <w:r>
        <w:rPr>
          <w:spacing w:val="-6"/>
        </w:rPr>
        <w:t> </w:t>
      </w:r>
      <w:r>
        <w:rPr/>
        <w:t>for</w:t>
      </w:r>
      <w:r>
        <w:rPr>
          <w:spacing w:val="-6"/>
        </w:rPr>
        <w:t> </w:t>
      </w:r>
      <w:r>
        <w:rPr/>
        <w:t>supercritical</w:t>
      </w:r>
      <w:r>
        <w:rPr>
          <w:spacing w:val="-6"/>
        </w:rPr>
        <w:t> </w:t>
      </w:r>
      <w:r>
        <w:rPr/>
        <w:t>units</w:t>
      </w:r>
      <w:r>
        <w:rPr>
          <w:spacing w:val="-6"/>
        </w:rPr>
        <w:t> </w:t>
      </w:r>
      <w:r>
        <w:rPr>
          <w:spacing w:val="-3"/>
        </w:rPr>
        <w:t>only.</w:t>
      </w:r>
      <w:r>
        <w:rPr>
          <w:spacing w:val="-10"/>
        </w:rPr>
        <w:t> </w:t>
      </w:r>
      <w:r>
        <w:rPr/>
        <w:t>The</w:t>
      </w:r>
      <w:r>
        <w:rPr>
          <w:spacing w:val="-6"/>
        </w:rPr>
        <w:t> </w:t>
      </w:r>
      <w:r>
        <w:rPr/>
        <w:t>cost ranges for each of the three systems reflect differences in the technical, economic and operating assumptions employed </w:t>
      </w:r>
      <w:r>
        <w:rPr>
          <w:spacing w:val="-7"/>
        </w:rPr>
        <w:t>in </w:t>
      </w:r>
      <w:r>
        <w:rPr/>
        <w:t>different studies. While some differences in reported costs can be attributed to differences in the CO</w:t>
      </w:r>
      <w:r>
        <w:rPr>
          <w:position w:val="-6"/>
          <w:sz w:val="11"/>
        </w:rPr>
        <w:t>2 </w:t>
      </w:r>
      <w:r>
        <w:rPr/>
        <w:t>capture system design, the major sources of variability are differences in the assumed design, operation and financing of the reference plant to which the</w:t>
      </w:r>
      <w:r>
        <w:rPr>
          <w:spacing w:val="-11"/>
        </w:rPr>
        <w:t> </w:t>
      </w:r>
      <w:r>
        <w:rPr/>
        <w:t>capture</w:t>
      </w:r>
      <w:r>
        <w:rPr>
          <w:spacing w:val="-12"/>
        </w:rPr>
        <w:t> </w:t>
      </w:r>
      <w:r>
        <w:rPr/>
        <w:t>technology</w:t>
      </w:r>
      <w:r>
        <w:rPr>
          <w:spacing w:val="-12"/>
        </w:rPr>
        <w:t> </w:t>
      </w:r>
      <w:r>
        <w:rPr/>
        <w:t>is</w:t>
      </w:r>
      <w:r>
        <w:rPr>
          <w:spacing w:val="-11"/>
        </w:rPr>
        <w:t> </w:t>
      </w:r>
      <w:r>
        <w:rPr/>
        <w:t>applied</w:t>
      </w:r>
      <w:r>
        <w:rPr>
          <w:spacing w:val="-11"/>
        </w:rPr>
        <w:t> </w:t>
      </w:r>
      <w:r>
        <w:rPr/>
        <w:t>(i.e.,</w:t>
      </w:r>
      <w:r>
        <w:rPr>
          <w:spacing w:val="-11"/>
        </w:rPr>
        <w:t> </w:t>
      </w:r>
      <w:r>
        <w:rPr/>
        <w:t>factors</w:t>
      </w:r>
      <w:r>
        <w:rPr>
          <w:spacing w:val="-11"/>
        </w:rPr>
        <w:t> </w:t>
      </w:r>
      <w:r>
        <w:rPr/>
        <w:t>such</w:t>
      </w:r>
      <w:r>
        <w:rPr>
          <w:spacing w:val="-12"/>
        </w:rPr>
        <w:t> </w:t>
      </w:r>
      <w:r>
        <w:rPr/>
        <w:t>as</w:t>
      </w:r>
      <w:r>
        <w:rPr>
          <w:spacing w:val="-10"/>
        </w:rPr>
        <w:t> </w:t>
      </w:r>
      <w:r>
        <w:rPr/>
        <w:t>plant</w:t>
      </w:r>
      <w:r>
        <w:rPr>
          <w:spacing w:val="-11"/>
        </w:rPr>
        <w:t> </w:t>
      </w:r>
      <w:r>
        <w:rPr/>
        <w:t>size, location,</w:t>
      </w:r>
      <w:r>
        <w:rPr>
          <w:spacing w:val="-10"/>
        </w:rPr>
        <w:t> </w:t>
      </w:r>
      <w:r>
        <w:rPr/>
        <w:t>efficiency,</w:t>
      </w:r>
      <w:r>
        <w:rPr>
          <w:spacing w:val="-10"/>
        </w:rPr>
        <w:t> </w:t>
      </w:r>
      <w:r>
        <w:rPr/>
        <w:t>fuel</w:t>
      </w:r>
      <w:r>
        <w:rPr>
          <w:spacing w:val="-9"/>
        </w:rPr>
        <w:t> </w:t>
      </w:r>
      <w:r>
        <w:rPr/>
        <w:t>type,</w:t>
      </w:r>
      <w:r>
        <w:rPr>
          <w:spacing w:val="-10"/>
        </w:rPr>
        <w:t> </w:t>
      </w:r>
      <w:r>
        <w:rPr/>
        <w:t>fuel</w:t>
      </w:r>
      <w:r>
        <w:rPr>
          <w:spacing w:val="-9"/>
        </w:rPr>
        <w:t> </w:t>
      </w:r>
      <w:r>
        <w:rPr/>
        <w:t>cost,</w:t>
      </w:r>
      <w:r>
        <w:rPr>
          <w:spacing w:val="-10"/>
        </w:rPr>
        <w:t> </w:t>
      </w:r>
      <w:r>
        <w:rPr/>
        <w:t>capacity</w:t>
      </w:r>
      <w:r>
        <w:rPr>
          <w:spacing w:val="-9"/>
        </w:rPr>
        <w:t> </w:t>
      </w:r>
      <w:r>
        <w:rPr/>
        <w:t>factor</w:t>
      </w:r>
      <w:r>
        <w:rPr>
          <w:spacing w:val="-10"/>
        </w:rPr>
        <w:t> </w:t>
      </w:r>
      <w:r>
        <w:rPr/>
        <w:t>and</w:t>
      </w:r>
      <w:r>
        <w:rPr>
          <w:spacing w:val="-9"/>
        </w:rPr>
        <w:t> </w:t>
      </w:r>
      <w:r>
        <w:rPr>
          <w:spacing w:val="-3"/>
        </w:rPr>
        <w:t>cost </w:t>
      </w:r>
      <w:r>
        <w:rPr/>
        <w:t>of capital). Because no single set of assumptions applies to all situations</w:t>
      </w:r>
      <w:r>
        <w:rPr>
          <w:spacing w:val="-9"/>
        </w:rPr>
        <w:t> </w:t>
      </w:r>
      <w:r>
        <w:rPr/>
        <w:t>or</w:t>
      </w:r>
      <w:r>
        <w:rPr>
          <w:spacing w:val="-7"/>
        </w:rPr>
        <w:t> </w:t>
      </w:r>
      <w:r>
        <w:rPr/>
        <w:t>all</w:t>
      </w:r>
      <w:r>
        <w:rPr>
          <w:spacing w:val="-8"/>
        </w:rPr>
        <w:t> </w:t>
      </w:r>
      <w:r>
        <w:rPr/>
        <w:t>parts</w:t>
      </w:r>
      <w:r>
        <w:rPr>
          <w:spacing w:val="-7"/>
        </w:rPr>
        <w:t> </w:t>
      </w:r>
      <w:r>
        <w:rPr/>
        <w:t>of</w:t>
      </w:r>
      <w:r>
        <w:rPr>
          <w:spacing w:val="-7"/>
        </w:rPr>
        <w:t> </w:t>
      </w:r>
      <w:r>
        <w:rPr/>
        <w:t>the</w:t>
      </w:r>
      <w:r>
        <w:rPr>
          <w:spacing w:val="-9"/>
        </w:rPr>
        <w:t> </w:t>
      </w:r>
      <w:r>
        <w:rPr/>
        <w:t>world,</w:t>
      </w:r>
      <w:r>
        <w:rPr>
          <w:spacing w:val="-8"/>
        </w:rPr>
        <w:t> </w:t>
      </w:r>
      <w:r>
        <w:rPr/>
        <w:t>we</w:t>
      </w:r>
      <w:r>
        <w:rPr>
          <w:spacing w:val="-8"/>
        </w:rPr>
        <w:t> </w:t>
      </w:r>
      <w:r>
        <w:rPr/>
        <w:t>display</w:t>
      </w:r>
      <w:r>
        <w:rPr>
          <w:spacing w:val="-8"/>
        </w:rPr>
        <w:t> </w:t>
      </w:r>
      <w:r>
        <w:rPr/>
        <w:t>the</w:t>
      </w:r>
      <w:r>
        <w:rPr>
          <w:spacing w:val="-8"/>
        </w:rPr>
        <w:t> </w:t>
      </w:r>
      <w:r>
        <w:rPr/>
        <w:t>ranges</w:t>
      </w:r>
      <w:r>
        <w:rPr>
          <w:spacing w:val="-8"/>
        </w:rPr>
        <w:t> </w:t>
      </w:r>
      <w:r>
        <w:rPr/>
        <w:t>of</w:t>
      </w:r>
      <w:r>
        <w:rPr>
          <w:spacing w:val="-7"/>
        </w:rPr>
        <w:t> </w:t>
      </w:r>
      <w:r>
        <w:rPr/>
        <w:t>cost represented by the studies in </w:t>
      </w:r>
      <w:r>
        <w:rPr>
          <w:spacing w:val="-3"/>
        </w:rPr>
        <w:t>Tables </w:t>
      </w:r>
      <w:hyperlink w:history="true" w:anchor="_bookmark35">
        <w:r>
          <w:rPr/>
          <w:t>3.8,</w:t>
        </w:r>
      </w:hyperlink>
      <w:r>
        <w:rPr/>
        <w:t> </w:t>
      </w:r>
      <w:hyperlink w:history="true" w:anchor="_bookmark43">
        <w:r>
          <w:rPr/>
          <w:t>3.10,</w:t>
        </w:r>
      </w:hyperlink>
      <w:r>
        <w:rPr/>
        <w:t> </w:t>
      </w:r>
      <w:hyperlink w:history="true" w:anchor="_bookmark48">
        <w:r>
          <w:rPr/>
          <w:t>3.11</w:t>
        </w:r>
      </w:hyperlink>
      <w:r>
        <w:rPr/>
        <w:t> and</w:t>
      </w:r>
      <w:r>
        <w:rPr>
          <w:spacing w:val="-9"/>
        </w:rPr>
        <w:t> </w:t>
      </w:r>
      <w:hyperlink w:history="true" w:anchor="_bookmark52">
        <w:r>
          <w:rPr/>
          <w:t>3.12.</w:t>
        </w:r>
      </w:hyperlink>
    </w:p>
    <w:p>
      <w:pPr>
        <w:pStyle w:val="BodyText"/>
        <w:spacing w:line="225" w:lineRule="auto" w:before="17"/>
        <w:ind w:left="117" w:right="39" w:firstLine="283"/>
        <w:jc w:val="both"/>
      </w:pPr>
      <w:r>
        <w:rPr/>
        <w:t>For the power plant studies reflected in T</w:t>
      </w:r>
      <w:hyperlink w:history="true" w:anchor="_bookmark59">
        <w:r>
          <w:rPr/>
          <w:t>able 3.15, </w:t>
        </w:r>
      </w:hyperlink>
      <w:r>
        <w:rPr/>
        <w:t>current CO</w:t>
      </w:r>
      <w:r>
        <w:rPr>
          <w:position w:val="-6"/>
          <w:sz w:val="11"/>
        </w:rPr>
        <w:t>2 </w:t>
      </w:r>
      <w:r>
        <w:rPr/>
        <w:t>capture systems reduce CO</w:t>
      </w:r>
      <w:r>
        <w:rPr>
          <w:position w:val="-6"/>
          <w:sz w:val="11"/>
        </w:rPr>
        <w:t>2 </w:t>
      </w:r>
      <w:r>
        <w:rPr/>
        <w:t>emissions per kilowatt-hour by approximately 85-90% relative to a similar plant without</w:t>
      </w:r>
    </w:p>
    <w:p>
      <w:pPr>
        <w:pStyle w:val="BodyText"/>
        <w:spacing w:line="240" w:lineRule="exact" w:before="48"/>
        <w:ind w:left="95" w:right="110"/>
        <w:jc w:val="right"/>
      </w:pPr>
      <w:r>
        <w:rPr/>
        <w:br w:type="column"/>
      </w:r>
      <w:r>
        <w:rPr/>
        <w:t>capture. The cost of electricity production attributed</w:t>
      </w:r>
      <w:r>
        <w:rPr>
          <w:spacing w:val="-9"/>
        </w:rPr>
        <w:t> </w:t>
      </w:r>
      <w:r>
        <w:rPr/>
        <w:t>to</w:t>
      </w:r>
      <w:r>
        <w:rPr>
          <w:spacing w:val="36"/>
        </w:rPr>
        <w:t> </w:t>
      </w:r>
      <w:r>
        <w:rPr/>
        <w:t>CO</w:t>
      </w:r>
      <w:r>
        <w:rPr>
          <w:position w:val="-6"/>
          <w:sz w:val="11"/>
        </w:rPr>
        <w:t>2</w:t>
      </w:r>
      <w:r>
        <w:rPr>
          <w:w w:val="105"/>
          <w:position w:val="-6"/>
          <w:sz w:val="11"/>
        </w:rPr>
        <w:t> </w:t>
      </w:r>
      <w:r>
        <w:rPr/>
        <w:t>capture</w:t>
      </w:r>
      <w:r>
        <w:rPr>
          <w:spacing w:val="9"/>
        </w:rPr>
        <w:t> </w:t>
      </w:r>
      <w:r>
        <w:rPr/>
        <w:t>increases</w:t>
      </w:r>
      <w:r>
        <w:rPr>
          <w:spacing w:val="9"/>
        </w:rPr>
        <w:t> </w:t>
      </w:r>
      <w:r>
        <w:rPr/>
        <w:t>by</w:t>
      </w:r>
      <w:r>
        <w:rPr>
          <w:spacing w:val="9"/>
        </w:rPr>
        <w:t> </w:t>
      </w:r>
      <w:r>
        <w:rPr/>
        <w:t>35-70%</w:t>
      </w:r>
      <w:r>
        <w:rPr>
          <w:spacing w:val="9"/>
        </w:rPr>
        <w:t> </w:t>
      </w:r>
      <w:r>
        <w:rPr/>
        <w:t>for</w:t>
      </w:r>
      <w:r>
        <w:rPr>
          <w:spacing w:val="10"/>
        </w:rPr>
        <w:t> </w:t>
      </w:r>
      <w:r>
        <w:rPr/>
        <w:t>a</w:t>
      </w:r>
      <w:r>
        <w:rPr>
          <w:spacing w:val="9"/>
        </w:rPr>
        <w:t> </w:t>
      </w:r>
      <w:r>
        <w:rPr/>
        <w:t>natural</w:t>
      </w:r>
      <w:r>
        <w:rPr>
          <w:spacing w:val="9"/>
        </w:rPr>
        <w:t> </w:t>
      </w:r>
      <w:r>
        <w:rPr/>
        <w:t>gas</w:t>
      </w:r>
      <w:r>
        <w:rPr>
          <w:spacing w:val="9"/>
        </w:rPr>
        <w:t> </w:t>
      </w:r>
      <w:r>
        <w:rPr/>
        <w:t>combined</w:t>
      </w:r>
      <w:r>
        <w:rPr>
          <w:spacing w:val="9"/>
        </w:rPr>
        <w:t> </w:t>
      </w:r>
      <w:r>
        <w:rPr>
          <w:spacing w:val="-3"/>
        </w:rPr>
        <w:t>cycle</w:t>
      </w:r>
      <w:r>
        <w:rPr/>
        <w:t> plant,</w:t>
      </w:r>
      <w:r>
        <w:rPr>
          <w:spacing w:val="-16"/>
        </w:rPr>
        <w:t> </w:t>
      </w:r>
      <w:r>
        <w:rPr/>
        <w:t>40-85%</w:t>
      </w:r>
      <w:r>
        <w:rPr>
          <w:spacing w:val="-16"/>
        </w:rPr>
        <w:t> </w:t>
      </w:r>
      <w:r>
        <w:rPr/>
        <w:t>for</w:t>
      </w:r>
      <w:r>
        <w:rPr>
          <w:spacing w:val="-16"/>
        </w:rPr>
        <w:t> </w:t>
      </w:r>
      <w:r>
        <w:rPr/>
        <w:t>a</w:t>
      </w:r>
      <w:r>
        <w:rPr>
          <w:spacing w:val="-16"/>
        </w:rPr>
        <w:t> </w:t>
      </w:r>
      <w:r>
        <w:rPr/>
        <w:t>new</w:t>
      </w:r>
      <w:r>
        <w:rPr>
          <w:spacing w:val="-16"/>
        </w:rPr>
        <w:t> </w:t>
      </w:r>
      <w:r>
        <w:rPr/>
        <w:t>pulverized</w:t>
      </w:r>
      <w:r>
        <w:rPr>
          <w:spacing w:val="-16"/>
        </w:rPr>
        <w:t> </w:t>
      </w:r>
      <w:r>
        <w:rPr/>
        <w:t>coal</w:t>
      </w:r>
      <w:r>
        <w:rPr>
          <w:spacing w:val="-16"/>
        </w:rPr>
        <w:t> </w:t>
      </w:r>
      <w:r>
        <w:rPr/>
        <w:t>plant</w:t>
      </w:r>
      <w:r>
        <w:rPr>
          <w:spacing w:val="-16"/>
        </w:rPr>
        <w:t> </w:t>
      </w:r>
      <w:r>
        <w:rPr/>
        <w:t>and</w:t>
      </w:r>
      <w:r>
        <w:rPr>
          <w:spacing w:val="-16"/>
        </w:rPr>
        <w:t> </w:t>
      </w:r>
      <w:r>
        <w:rPr/>
        <w:t>20-55%</w:t>
      </w:r>
      <w:r>
        <w:rPr>
          <w:spacing w:val="-16"/>
        </w:rPr>
        <w:t> </w:t>
      </w:r>
      <w:r>
        <w:rPr/>
        <w:t>for</w:t>
      </w:r>
      <w:r>
        <w:rPr>
          <w:spacing w:val="-16"/>
        </w:rPr>
        <w:t> </w:t>
      </w:r>
      <w:r>
        <w:rPr/>
        <w:t>an integrated gasification combined cycle plant. Overall,</w:t>
      </w:r>
      <w:r>
        <w:rPr>
          <w:spacing w:val="-4"/>
        </w:rPr>
        <w:t> </w:t>
      </w:r>
      <w:r>
        <w:rPr/>
        <w:t>the COE for</w:t>
      </w:r>
      <w:r>
        <w:rPr>
          <w:spacing w:val="-11"/>
        </w:rPr>
        <w:t> </w:t>
      </w:r>
      <w:r>
        <w:rPr/>
        <w:t>fossil</w:t>
      </w:r>
      <w:r>
        <w:rPr>
          <w:spacing w:val="-10"/>
        </w:rPr>
        <w:t> </w:t>
      </w:r>
      <w:r>
        <w:rPr/>
        <w:t>fuel</w:t>
      </w:r>
      <w:r>
        <w:rPr>
          <w:spacing w:val="-11"/>
        </w:rPr>
        <w:t> </w:t>
      </w:r>
      <w:r>
        <w:rPr/>
        <w:t>plants</w:t>
      </w:r>
      <w:r>
        <w:rPr>
          <w:spacing w:val="-10"/>
        </w:rPr>
        <w:t> </w:t>
      </w:r>
      <w:r>
        <w:rPr/>
        <w:t>with</w:t>
      </w:r>
      <w:r>
        <w:rPr>
          <w:spacing w:val="-11"/>
        </w:rPr>
        <w:t> </w:t>
      </w:r>
      <w:r>
        <w:rPr/>
        <w:t>capture</w:t>
      </w:r>
      <w:r>
        <w:rPr>
          <w:spacing w:val="-10"/>
        </w:rPr>
        <w:t> </w:t>
      </w:r>
      <w:r>
        <w:rPr/>
        <w:t>ranges</w:t>
      </w:r>
      <w:r>
        <w:rPr>
          <w:spacing w:val="-11"/>
        </w:rPr>
        <w:t> </w:t>
      </w:r>
      <w:r>
        <w:rPr/>
        <w:t>from</w:t>
      </w:r>
      <w:r>
        <w:rPr>
          <w:spacing w:val="-10"/>
        </w:rPr>
        <w:t> </w:t>
      </w:r>
      <w:r>
        <w:rPr/>
        <w:t>43-86</w:t>
      </w:r>
      <w:r>
        <w:rPr>
          <w:spacing w:val="-11"/>
        </w:rPr>
        <w:t> </w:t>
      </w:r>
      <w:r>
        <w:rPr/>
        <w:t>US$</w:t>
      </w:r>
      <w:r>
        <w:rPr>
          <w:spacing w:val="-10"/>
        </w:rPr>
        <w:t> </w:t>
      </w:r>
      <w:r>
        <w:rPr/>
        <w:t>MWh</w:t>
      </w:r>
      <w:r>
        <w:rPr>
          <w:position w:val="7"/>
          <w:sz w:val="11"/>
        </w:rPr>
        <w:t>-</w:t>
      </w:r>
      <w:r>
        <w:rPr>
          <w:w w:val="105"/>
          <w:position w:val="7"/>
          <w:sz w:val="11"/>
        </w:rPr>
        <w:t> </w:t>
      </w:r>
      <w:r>
        <w:rPr>
          <w:position w:val="7"/>
          <w:sz w:val="11"/>
        </w:rPr>
        <w:t>1</w:t>
      </w:r>
      <w:r>
        <w:rPr/>
        <w:t>, as compared to 31-61 US$ MWh</w:t>
      </w:r>
      <w:r>
        <w:rPr>
          <w:position w:val="7"/>
          <w:sz w:val="11"/>
        </w:rPr>
        <w:t>-1 </w:t>
      </w:r>
      <w:r>
        <w:rPr/>
        <w:t>for similar</w:t>
      </w:r>
      <w:r>
        <w:rPr>
          <w:spacing w:val="39"/>
        </w:rPr>
        <w:t> </w:t>
      </w:r>
      <w:r>
        <w:rPr/>
        <w:t>plants</w:t>
      </w:r>
      <w:r>
        <w:rPr>
          <w:spacing w:val="5"/>
        </w:rPr>
        <w:t> </w:t>
      </w:r>
      <w:r>
        <w:rPr/>
        <w:t>without</w:t>
      </w:r>
      <w:r>
        <w:rPr>
          <w:spacing w:val="-1"/>
        </w:rPr>
        <w:t> </w:t>
      </w:r>
      <w:r>
        <w:rPr/>
        <w:t>capture. These costs include CO</w:t>
      </w:r>
      <w:r>
        <w:rPr>
          <w:position w:val="-6"/>
          <w:sz w:val="11"/>
        </w:rPr>
        <w:t>2 </w:t>
      </w:r>
      <w:r>
        <w:rPr/>
        <w:t>compression but</w:t>
      </w:r>
      <w:r>
        <w:rPr>
          <w:spacing w:val="-36"/>
        </w:rPr>
        <w:t> </w:t>
      </w:r>
      <w:r>
        <w:rPr/>
        <w:t>not</w:t>
      </w:r>
      <w:r>
        <w:rPr>
          <w:spacing w:val="-3"/>
        </w:rPr>
        <w:t> </w:t>
      </w:r>
      <w:r>
        <w:rPr/>
        <w:t>transport and storage costs. In most studies to date,</w:t>
      </w:r>
      <w:r>
        <w:rPr>
          <w:spacing w:val="14"/>
        </w:rPr>
        <w:t> </w:t>
      </w:r>
      <w:r>
        <w:rPr/>
        <w:t>NGCC</w:t>
      </w:r>
      <w:r>
        <w:rPr>
          <w:spacing w:val="46"/>
        </w:rPr>
        <w:t> </w:t>
      </w:r>
      <w:r>
        <w:rPr/>
        <w:t>systems</w:t>
      </w:r>
      <w:r>
        <w:rPr>
          <w:spacing w:val="-1"/>
        </w:rPr>
        <w:t> </w:t>
      </w:r>
      <w:r>
        <w:rPr/>
        <w:t>typically</w:t>
      </w:r>
      <w:r>
        <w:rPr>
          <w:spacing w:val="-11"/>
        </w:rPr>
        <w:t> </w:t>
      </w:r>
      <w:r>
        <w:rPr/>
        <w:t>have</w:t>
      </w:r>
      <w:r>
        <w:rPr>
          <w:spacing w:val="-11"/>
        </w:rPr>
        <w:t> </w:t>
      </w:r>
      <w:r>
        <w:rPr/>
        <w:t>a</w:t>
      </w:r>
      <w:r>
        <w:rPr>
          <w:spacing w:val="-11"/>
        </w:rPr>
        <w:t> </w:t>
      </w:r>
      <w:r>
        <w:rPr/>
        <w:t>lower</w:t>
      </w:r>
      <w:r>
        <w:rPr>
          <w:spacing w:val="-11"/>
        </w:rPr>
        <w:t> </w:t>
      </w:r>
      <w:r>
        <w:rPr/>
        <w:t>COE</w:t>
      </w:r>
      <w:r>
        <w:rPr>
          <w:spacing w:val="-10"/>
        </w:rPr>
        <w:t> </w:t>
      </w:r>
      <w:r>
        <w:rPr/>
        <w:t>than</w:t>
      </w:r>
      <w:r>
        <w:rPr>
          <w:spacing w:val="-11"/>
        </w:rPr>
        <w:t> </w:t>
      </w:r>
      <w:r>
        <w:rPr/>
        <w:t>new</w:t>
      </w:r>
      <w:r>
        <w:rPr>
          <w:spacing w:val="-11"/>
        </w:rPr>
        <w:t> </w:t>
      </w:r>
      <w:r>
        <w:rPr/>
        <w:t>PC</w:t>
      </w:r>
      <w:r>
        <w:rPr>
          <w:spacing w:val="-11"/>
        </w:rPr>
        <w:t> </w:t>
      </w:r>
      <w:r>
        <w:rPr/>
        <w:t>and</w:t>
      </w:r>
      <w:r>
        <w:rPr>
          <w:spacing w:val="-10"/>
        </w:rPr>
        <w:t> </w:t>
      </w:r>
      <w:r>
        <w:rPr/>
        <w:t>IGCC</w:t>
      </w:r>
      <w:r>
        <w:rPr>
          <w:spacing w:val="-11"/>
        </w:rPr>
        <w:t> </w:t>
      </w:r>
      <w:r>
        <w:rPr/>
        <w:t>plants</w:t>
      </w:r>
      <w:r>
        <w:rPr>
          <w:spacing w:val="-11"/>
        </w:rPr>
        <w:t> </w:t>
      </w:r>
      <w:r>
        <w:rPr>
          <w:spacing w:val="-3"/>
        </w:rPr>
        <w:t>(with</w:t>
      </w:r>
      <w:r>
        <w:rPr/>
        <w:t> or</w:t>
      </w:r>
      <w:r>
        <w:rPr>
          <w:spacing w:val="-10"/>
        </w:rPr>
        <w:t> </w:t>
      </w:r>
      <w:r>
        <w:rPr/>
        <w:t>without</w:t>
      </w:r>
      <w:r>
        <w:rPr>
          <w:spacing w:val="-9"/>
        </w:rPr>
        <w:t> </w:t>
      </w:r>
      <w:r>
        <w:rPr/>
        <w:t>capture)</w:t>
      </w:r>
      <w:r>
        <w:rPr>
          <w:spacing w:val="-9"/>
        </w:rPr>
        <w:t> </w:t>
      </w:r>
      <w:r>
        <w:rPr/>
        <w:t>for</w:t>
      </w:r>
      <w:r>
        <w:rPr>
          <w:spacing w:val="-10"/>
        </w:rPr>
        <w:t> </w:t>
      </w:r>
      <w:r>
        <w:rPr/>
        <w:t>large</w:t>
      </w:r>
      <w:r>
        <w:rPr>
          <w:spacing w:val="-9"/>
        </w:rPr>
        <w:t> </w:t>
      </w:r>
      <w:r>
        <w:rPr/>
        <w:t>base</w:t>
      </w:r>
      <w:r>
        <w:rPr>
          <w:spacing w:val="-9"/>
        </w:rPr>
        <w:t> </w:t>
      </w:r>
      <w:r>
        <w:rPr/>
        <w:t>load</w:t>
      </w:r>
      <w:r>
        <w:rPr>
          <w:spacing w:val="-10"/>
        </w:rPr>
        <w:t> </w:t>
      </w:r>
      <w:r>
        <w:rPr/>
        <w:t>plants</w:t>
      </w:r>
      <w:r>
        <w:rPr>
          <w:spacing w:val="-9"/>
        </w:rPr>
        <w:t> </w:t>
      </w:r>
      <w:r>
        <w:rPr/>
        <w:t>with</w:t>
      </w:r>
      <w:r>
        <w:rPr>
          <w:spacing w:val="-9"/>
        </w:rPr>
        <w:t> </w:t>
      </w:r>
      <w:r>
        <w:rPr/>
        <w:t>high</w:t>
      </w:r>
      <w:r>
        <w:rPr>
          <w:spacing w:val="-9"/>
        </w:rPr>
        <w:t> </w:t>
      </w:r>
      <w:r>
        <w:rPr/>
        <w:t>capacity factors</w:t>
      </w:r>
      <w:r>
        <w:rPr>
          <w:spacing w:val="13"/>
        </w:rPr>
        <w:t> </w:t>
      </w:r>
      <w:r>
        <w:rPr/>
        <w:t>(75%</w:t>
      </w:r>
      <w:r>
        <w:rPr>
          <w:spacing w:val="14"/>
        </w:rPr>
        <w:t> </w:t>
      </w:r>
      <w:r>
        <w:rPr/>
        <w:t>or</w:t>
      </w:r>
      <w:r>
        <w:rPr>
          <w:spacing w:val="14"/>
        </w:rPr>
        <w:t> </w:t>
      </w:r>
      <w:r>
        <w:rPr/>
        <w:t>more)</w:t>
      </w:r>
      <w:r>
        <w:rPr>
          <w:spacing w:val="14"/>
        </w:rPr>
        <w:t> </w:t>
      </w:r>
      <w:r>
        <w:rPr/>
        <w:t>and</w:t>
      </w:r>
      <w:r>
        <w:rPr>
          <w:spacing w:val="14"/>
        </w:rPr>
        <w:t> </w:t>
      </w:r>
      <w:r>
        <w:rPr/>
        <w:t>gas</w:t>
      </w:r>
      <w:r>
        <w:rPr>
          <w:spacing w:val="14"/>
        </w:rPr>
        <w:t> </w:t>
      </w:r>
      <w:r>
        <w:rPr/>
        <w:t>prices</w:t>
      </w:r>
      <w:r>
        <w:rPr>
          <w:spacing w:val="14"/>
        </w:rPr>
        <w:t> </w:t>
      </w:r>
      <w:r>
        <w:rPr/>
        <w:t>below</w:t>
      </w:r>
      <w:r>
        <w:rPr>
          <w:spacing w:val="14"/>
        </w:rPr>
        <w:t> </w:t>
      </w:r>
      <w:r>
        <w:rPr/>
        <w:t>about</w:t>
      </w:r>
      <w:r>
        <w:rPr>
          <w:spacing w:val="14"/>
        </w:rPr>
        <w:t> </w:t>
      </w:r>
      <w:r>
        <w:rPr/>
        <w:t>4 US$</w:t>
      </w:r>
      <w:r>
        <w:rPr>
          <w:spacing w:val="14"/>
        </w:rPr>
        <w:t> </w:t>
      </w:r>
      <w:r>
        <w:rPr>
          <w:spacing w:val="-5"/>
        </w:rPr>
        <w:t>GJ</w:t>
      </w:r>
      <w:r>
        <w:rPr>
          <w:spacing w:val="-5"/>
          <w:position w:val="7"/>
          <w:sz w:val="11"/>
        </w:rPr>
        <w:t>-1</w:t>
      </w:r>
      <w:r>
        <w:rPr>
          <w:w w:val="105"/>
          <w:position w:val="7"/>
          <w:sz w:val="11"/>
        </w:rPr>
        <w:t> </w:t>
      </w:r>
      <w:r>
        <w:rPr/>
        <w:t>over</w:t>
      </w:r>
      <w:r>
        <w:rPr>
          <w:spacing w:val="12"/>
        </w:rPr>
        <w:t> </w:t>
      </w:r>
      <w:r>
        <w:rPr/>
        <w:t>the</w:t>
      </w:r>
      <w:r>
        <w:rPr>
          <w:spacing w:val="13"/>
        </w:rPr>
        <w:t> </w:t>
      </w:r>
      <w:r>
        <w:rPr/>
        <w:t>life</w:t>
      </w:r>
      <w:r>
        <w:rPr>
          <w:spacing w:val="12"/>
        </w:rPr>
        <w:t> </w:t>
      </w:r>
      <w:r>
        <w:rPr/>
        <w:t>of</w:t>
      </w:r>
      <w:r>
        <w:rPr>
          <w:spacing w:val="13"/>
        </w:rPr>
        <w:t> </w:t>
      </w:r>
      <w:r>
        <w:rPr/>
        <w:t>the</w:t>
      </w:r>
      <w:r>
        <w:rPr>
          <w:spacing w:val="13"/>
        </w:rPr>
        <w:t> </w:t>
      </w:r>
      <w:r>
        <w:rPr/>
        <w:t>plant.</w:t>
      </w:r>
      <w:r>
        <w:rPr>
          <w:spacing w:val="12"/>
        </w:rPr>
        <w:t> </w:t>
      </w:r>
      <w:r>
        <w:rPr/>
        <w:t>However,</w:t>
      </w:r>
      <w:r>
        <w:rPr>
          <w:spacing w:val="13"/>
        </w:rPr>
        <w:t> </w:t>
      </w:r>
      <w:r>
        <w:rPr/>
        <w:t>for</w:t>
      </w:r>
      <w:r>
        <w:rPr>
          <w:spacing w:val="13"/>
        </w:rPr>
        <w:t> </w:t>
      </w:r>
      <w:r>
        <w:rPr/>
        <w:t>higher</w:t>
      </w:r>
      <w:r>
        <w:rPr>
          <w:spacing w:val="12"/>
        </w:rPr>
        <w:t> </w:t>
      </w:r>
      <w:r>
        <w:rPr/>
        <w:t>gas</w:t>
      </w:r>
      <w:r>
        <w:rPr>
          <w:spacing w:val="13"/>
        </w:rPr>
        <w:t> </w:t>
      </w:r>
      <w:r>
        <w:rPr/>
        <w:t>prices</w:t>
      </w:r>
      <w:r>
        <w:rPr>
          <w:spacing w:val="13"/>
        </w:rPr>
        <w:t> </w:t>
      </w:r>
      <w:r>
        <w:rPr/>
        <w:t>and/ or</w:t>
      </w:r>
      <w:r>
        <w:rPr>
          <w:spacing w:val="15"/>
        </w:rPr>
        <w:t> </w:t>
      </w:r>
      <w:r>
        <w:rPr/>
        <w:t>lower</w:t>
      </w:r>
      <w:r>
        <w:rPr>
          <w:spacing w:val="15"/>
        </w:rPr>
        <w:t> </w:t>
      </w:r>
      <w:r>
        <w:rPr/>
        <w:t>capacity</w:t>
      </w:r>
      <w:r>
        <w:rPr>
          <w:spacing w:val="16"/>
        </w:rPr>
        <w:t> </w:t>
      </w:r>
      <w:r>
        <w:rPr/>
        <w:t>factors,</w:t>
      </w:r>
      <w:r>
        <w:rPr>
          <w:spacing w:val="15"/>
        </w:rPr>
        <w:t> </w:t>
      </w:r>
      <w:r>
        <w:rPr/>
        <w:t>NGCC</w:t>
      </w:r>
      <w:r>
        <w:rPr>
          <w:spacing w:val="15"/>
        </w:rPr>
        <w:t> </w:t>
      </w:r>
      <w:r>
        <w:rPr/>
        <w:t>plants</w:t>
      </w:r>
      <w:r>
        <w:rPr>
          <w:spacing w:val="16"/>
        </w:rPr>
        <w:t> </w:t>
      </w:r>
      <w:r>
        <w:rPr/>
        <w:t>typically</w:t>
      </w:r>
      <w:r>
        <w:rPr>
          <w:spacing w:val="15"/>
        </w:rPr>
        <w:t> </w:t>
      </w:r>
      <w:r>
        <w:rPr/>
        <w:t>have</w:t>
      </w:r>
      <w:r>
        <w:rPr>
          <w:spacing w:val="15"/>
        </w:rPr>
        <w:t> </w:t>
      </w:r>
      <w:r>
        <w:rPr/>
        <w:t>higher COEs</w:t>
      </w:r>
      <w:r>
        <w:rPr>
          <w:spacing w:val="11"/>
        </w:rPr>
        <w:t> </w:t>
      </w:r>
      <w:r>
        <w:rPr/>
        <w:t>than</w:t>
      </w:r>
      <w:r>
        <w:rPr>
          <w:spacing w:val="12"/>
        </w:rPr>
        <w:t> </w:t>
      </w:r>
      <w:r>
        <w:rPr/>
        <w:t>coal-based</w:t>
      </w:r>
      <w:r>
        <w:rPr>
          <w:spacing w:val="12"/>
        </w:rPr>
        <w:t> </w:t>
      </w:r>
      <w:r>
        <w:rPr/>
        <w:t>plants,</w:t>
      </w:r>
      <w:r>
        <w:rPr>
          <w:spacing w:val="12"/>
        </w:rPr>
        <w:t> </w:t>
      </w:r>
      <w:r>
        <w:rPr/>
        <w:t>with</w:t>
      </w:r>
      <w:r>
        <w:rPr>
          <w:spacing w:val="12"/>
        </w:rPr>
        <w:t> </w:t>
      </w:r>
      <w:r>
        <w:rPr/>
        <w:t>or</w:t>
      </w:r>
      <w:r>
        <w:rPr>
          <w:spacing w:val="12"/>
        </w:rPr>
        <w:t> </w:t>
      </w:r>
      <w:r>
        <w:rPr/>
        <w:t>without</w:t>
      </w:r>
      <w:r>
        <w:rPr>
          <w:spacing w:val="12"/>
        </w:rPr>
        <w:t> </w:t>
      </w:r>
      <w:r>
        <w:rPr/>
        <w:t>capture.</w:t>
      </w:r>
      <w:r>
        <w:rPr>
          <w:spacing w:val="12"/>
        </w:rPr>
        <w:t> </w:t>
      </w:r>
      <w:r>
        <w:rPr/>
        <w:t>Recent studies</w:t>
      </w:r>
      <w:r>
        <w:rPr>
          <w:spacing w:val="18"/>
        </w:rPr>
        <w:t> </w:t>
      </w:r>
      <w:r>
        <w:rPr/>
        <w:t>also</w:t>
      </w:r>
      <w:r>
        <w:rPr>
          <w:spacing w:val="18"/>
        </w:rPr>
        <w:t> </w:t>
      </w:r>
      <w:r>
        <w:rPr/>
        <w:t>found</w:t>
      </w:r>
      <w:r>
        <w:rPr>
          <w:spacing w:val="18"/>
        </w:rPr>
        <w:t> </w:t>
      </w:r>
      <w:r>
        <w:rPr/>
        <w:t>that</w:t>
      </w:r>
      <w:r>
        <w:rPr>
          <w:spacing w:val="18"/>
        </w:rPr>
        <w:t> </w:t>
      </w:r>
      <w:r>
        <w:rPr/>
        <w:t>IGCC</w:t>
      </w:r>
      <w:r>
        <w:rPr>
          <w:spacing w:val="18"/>
        </w:rPr>
        <w:t> </w:t>
      </w:r>
      <w:r>
        <w:rPr/>
        <w:t>plants</w:t>
      </w:r>
      <w:r>
        <w:rPr>
          <w:spacing w:val="18"/>
        </w:rPr>
        <w:t> </w:t>
      </w:r>
      <w:r>
        <w:rPr/>
        <w:t>were</w:t>
      </w:r>
      <w:r>
        <w:rPr>
          <w:spacing w:val="18"/>
        </w:rPr>
        <w:t> </w:t>
      </w:r>
      <w:r>
        <w:rPr/>
        <w:t>on</w:t>
      </w:r>
      <w:r>
        <w:rPr>
          <w:spacing w:val="18"/>
        </w:rPr>
        <w:t> </w:t>
      </w:r>
      <w:r>
        <w:rPr/>
        <w:t>average</w:t>
      </w:r>
      <w:r>
        <w:rPr>
          <w:spacing w:val="19"/>
        </w:rPr>
        <w:t> </w:t>
      </w:r>
      <w:r>
        <w:rPr/>
        <w:t>slightly</w:t>
      </w:r>
      <w:r>
        <w:rPr>
          <w:spacing w:val="-1"/>
        </w:rPr>
        <w:t> </w:t>
      </w:r>
      <w:r>
        <w:rPr/>
        <w:t>more</w:t>
      </w:r>
      <w:r>
        <w:rPr>
          <w:spacing w:val="-14"/>
        </w:rPr>
        <w:t> </w:t>
      </w:r>
      <w:r>
        <w:rPr/>
        <w:t>costly</w:t>
      </w:r>
      <w:r>
        <w:rPr>
          <w:spacing w:val="-14"/>
        </w:rPr>
        <w:t> </w:t>
      </w:r>
      <w:r>
        <w:rPr/>
        <w:t>without</w:t>
      </w:r>
      <w:r>
        <w:rPr>
          <w:spacing w:val="-14"/>
        </w:rPr>
        <w:t> </w:t>
      </w:r>
      <w:r>
        <w:rPr/>
        <w:t>capture</w:t>
      </w:r>
      <w:r>
        <w:rPr>
          <w:spacing w:val="-14"/>
        </w:rPr>
        <w:t> </w:t>
      </w:r>
      <w:r>
        <w:rPr/>
        <w:t>and</w:t>
      </w:r>
      <w:r>
        <w:rPr>
          <w:spacing w:val="-13"/>
        </w:rPr>
        <w:t> </w:t>
      </w:r>
      <w:r>
        <w:rPr/>
        <w:t>slightly</w:t>
      </w:r>
      <w:r>
        <w:rPr>
          <w:spacing w:val="-15"/>
        </w:rPr>
        <w:t> </w:t>
      </w:r>
      <w:r>
        <w:rPr/>
        <w:t>less</w:t>
      </w:r>
      <w:r>
        <w:rPr>
          <w:spacing w:val="-14"/>
        </w:rPr>
        <w:t> </w:t>
      </w:r>
      <w:r>
        <w:rPr/>
        <w:t>costly</w:t>
      </w:r>
      <w:r>
        <w:rPr>
          <w:spacing w:val="-14"/>
        </w:rPr>
        <w:t> </w:t>
      </w:r>
      <w:r>
        <w:rPr/>
        <w:t>with</w:t>
      </w:r>
      <w:r>
        <w:rPr>
          <w:spacing w:val="-13"/>
        </w:rPr>
        <w:t> </w:t>
      </w:r>
      <w:r>
        <w:rPr/>
        <w:t>capture than similarly sized PC plants. However, the difference</w:t>
      </w:r>
      <w:r>
        <w:rPr>
          <w:spacing w:val="11"/>
        </w:rPr>
        <w:t> </w:t>
      </w:r>
      <w:r>
        <w:rPr/>
        <w:t>in</w:t>
      </w:r>
      <w:r>
        <w:rPr>
          <w:spacing w:val="2"/>
        </w:rPr>
        <w:t> </w:t>
      </w:r>
      <w:r>
        <w:rPr/>
        <w:t>cost between PC and IGCC plants with or without CO</w:t>
      </w:r>
      <w:r>
        <w:rPr>
          <w:position w:val="-6"/>
          <w:sz w:val="11"/>
        </w:rPr>
        <w:t>2</w:t>
      </w:r>
      <w:r>
        <w:rPr>
          <w:spacing w:val="7"/>
          <w:position w:val="-6"/>
          <w:sz w:val="11"/>
        </w:rPr>
        <w:t> </w:t>
      </w:r>
      <w:r>
        <w:rPr/>
        <w:t>capture</w:t>
      </w:r>
      <w:r>
        <w:rPr>
          <w:spacing w:val="4"/>
        </w:rPr>
        <w:t> </w:t>
      </w:r>
      <w:r>
        <w:rPr/>
        <w:t>can vary</w:t>
      </w:r>
      <w:r>
        <w:rPr>
          <w:spacing w:val="14"/>
        </w:rPr>
        <w:t> </w:t>
      </w:r>
      <w:r>
        <w:rPr/>
        <w:t>significantly</w:t>
      </w:r>
      <w:r>
        <w:rPr>
          <w:spacing w:val="15"/>
        </w:rPr>
        <w:t> </w:t>
      </w:r>
      <w:r>
        <w:rPr/>
        <w:t>with</w:t>
      </w:r>
      <w:r>
        <w:rPr>
          <w:spacing w:val="15"/>
        </w:rPr>
        <w:t> </w:t>
      </w:r>
      <w:r>
        <w:rPr/>
        <w:t>coal</w:t>
      </w:r>
      <w:r>
        <w:rPr>
          <w:spacing w:val="14"/>
        </w:rPr>
        <w:t> </w:t>
      </w:r>
      <w:r>
        <w:rPr/>
        <w:t>type</w:t>
      </w:r>
      <w:r>
        <w:rPr>
          <w:spacing w:val="15"/>
        </w:rPr>
        <w:t> </w:t>
      </w:r>
      <w:r>
        <w:rPr/>
        <w:t>and</w:t>
      </w:r>
      <w:r>
        <w:rPr>
          <w:spacing w:val="15"/>
        </w:rPr>
        <w:t> </w:t>
      </w:r>
      <w:r>
        <w:rPr/>
        <w:t>other</w:t>
      </w:r>
      <w:r>
        <w:rPr>
          <w:spacing w:val="14"/>
        </w:rPr>
        <w:t> </w:t>
      </w:r>
      <w:r>
        <w:rPr/>
        <w:t>local</w:t>
      </w:r>
      <w:r>
        <w:rPr>
          <w:spacing w:val="15"/>
        </w:rPr>
        <w:t> </w:t>
      </w:r>
      <w:r>
        <w:rPr/>
        <w:t>factors,</w:t>
      </w:r>
      <w:r>
        <w:rPr>
          <w:spacing w:val="15"/>
        </w:rPr>
        <w:t> </w:t>
      </w:r>
      <w:r>
        <w:rPr/>
        <w:t>such</w:t>
      </w:r>
      <w:r>
        <w:rPr>
          <w:spacing w:val="-1"/>
        </w:rPr>
        <w:t> </w:t>
      </w:r>
      <w:r>
        <w:rPr/>
        <w:t>as the cost of capital. Since neither PC nor IGCC</w:t>
      </w:r>
      <w:r>
        <w:rPr>
          <w:spacing w:val="-5"/>
        </w:rPr>
        <w:t> </w:t>
      </w:r>
      <w:r>
        <w:rPr/>
        <w:t>systems</w:t>
      </w:r>
      <w:r>
        <w:rPr>
          <w:spacing w:val="-1"/>
        </w:rPr>
        <w:t> </w:t>
      </w:r>
      <w:r>
        <w:rPr/>
        <w:t>have yet been demonstrated with CO</w:t>
      </w:r>
      <w:r>
        <w:rPr>
          <w:position w:val="-6"/>
          <w:sz w:val="11"/>
        </w:rPr>
        <w:t>2 </w:t>
      </w:r>
      <w:r>
        <w:rPr/>
        <w:t>capture and storage for</w:t>
      </w:r>
      <w:r>
        <w:rPr>
          <w:spacing w:val="-12"/>
        </w:rPr>
        <w:t> </w:t>
      </w:r>
      <w:r>
        <w:rPr/>
        <w:t>a</w:t>
      </w:r>
      <w:r>
        <w:rPr>
          <w:spacing w:val="-4"/>
        </w:rPr>
        <w:t> </w:t>
      </w:r>
      <w:r>
        <w:rPr/>
        <w:t>large modern</w:t>
      </w:r>
      <w:r>
        <w:rPr>
          <w:spacing w:val="28"/>
        </w:rPr>
        <w:t> </w:t>
      </w:r>
      <w:r>
        <w:rPr/>
        <w:t>power</w:t>
      </w:r>
      <w:r>
        <w:rPr>
          <w:spacing w:val="29"/>
        </w:rPr>
        <w:t> </w:t>
      </w:r>
      <w:r>
        <w:rPr/>
        <w:t>plant</w:t>
      </w:r>
      <w:r>
        <w:rPr>
          <w:spacing w:val="28"/>
        </w:rPr>
        <w:t> </w:t>
      </w:r>
      <w:r>
        <w:rPr/>
        <w:t>(e.g.,</w:t>
      </w:r>
      <w:r>
        <w:rPr>
          <w:spacing w:val="28"/>
        </w:rPr>
        <w:t> </w:t>
      </w:r>
      <w:r>
        <w:rPr/>
        <w:t>500</w:t>
      </w:r>
      <w:r>
        <w:rPr>
          <w:spacing w:val="29"/>
        </w:rPr>
        <w:t> </w:t>
      </w:r>
      <w:r>
        <w:rPr/>
        <w:t>MW),</w:t>
      </w:r>
      <w:r>
        <w:rPr>
          <w:spacing w:val="28"/>
        </w:rPr>
        <w:t> </w:t>
      </w:r>
      <w:r>
        <w:rPr/>
        <w:t>neither</w:t>
      </w:r>
      <w:r>
        <w:rPr>
          <w:spacing w:val="27"/>
        </w:rPr>
        <w:t> </w:t>
      </w:r>
      <w:r>
        <w:rPr/>
        <w:t>the</w:t>
      </w:r>
      <w:r>
        <w:rPr>
          <w:spacing w:val="29"/>
        </w:rPr>
        <w:t> </w:t>
      </w:r>
      <w:r>
        <w:rPr/>
        <w:t>absolute</w:t>
      </w:r>
      <w:r>
        <w:rPr>
          <w:spacing w:val="28"/>
        </w:rPr>
        <w:t> </w:t>
      </w:r>
      <w:r>
        <w:rPr/>
        <w:t>or relative</w:t>
      </w:r>
      <w:r>
        <w:rPr>
          <w:spacing w:val="21"/>
        </w:rPr>
        <w:t> </w:t>
      </w:r>
      <w:r>
        <w:rPr/>
        <w:t>costs</w:t>
      </w:r>
      <w:r>
        <w:rPr>
          <w:spacing w:val="21"/>
        </w:rPr>
        <w:t> </w:t>
      </w:r>
      <w:r>
        <w:rPr/>
        <w:t>of</w:t>
      </w:r>
      <w:r>
        <w:rPr>
          <w:spacing w:val="21"/>
        </w:rPr>
        <w:t> </w:t>
      </w:r>
      <w:r>
        <w:rPr/>
        <w:t>these</w:t>
      </w:r>
      <w:r>
        <w:rPr>
          <w:spacing w:val="22"/>
        </w:rPr>
        <w:t> </w:t>
      </w:r>
      <w:r>
        <w:rPr/>
        <w:t>systems</w:t>
      </w:r>
      <w:r>
        <w:rPr>
          <w:spacing w:val="21"/>
        </w:rPr>
        <w:t> </w:t>
      </w:r>
      <w:r>
        <w:rPr/>
        <w:t>(nor</w:t>
      </w:r>
      <w:r>
        <w:rPr>
          <w:spacing w:val="21"/>
        </w:rPr>
        <w:t> </w:t>
      </w:r>
      <w:r>
        <w:rPr/>
        <w:t>comparably</w:t>
      </w:r>
      <w:r>
        <w:rPr>
          <w:spacing w:val="21"/>
        </w:rPr>
        <w:t> </w:t>
      </w:r>
      <w:r>
        <w:rPr/>
        <w:t>sized</w:t>
      </w:r>
      <w:r>
        <w:rPr>
          <w:spacing w:val="22"/>
        </w:rPr>
        <w:t> </w:t>
      </w:r>
      <w:r>
        <w:rPr/>
        <w:t>NGCC</w:t>
      </w:r>
      <w:r>
        <w:rPr>
          <w:spacing w:val="-1"/>
        </w:rPr>
        <w:t> </w:t>
      </w:r>
      <w:r>
        <w:rPr/>
        <w:t>systems</w:t>
      </w:r>
      <w:r>
        <w:rPr>
          <w:spacing w:val="-29"/>
        </w:rPr>
        <w:t> </w:t>
      </w:r>
      <w:r>
        <w:rPr/>
        <w:t>with</w:t>
      </w:r>
      <w:r>
        <w:rPr>
          <w:spacing w:val="-28"/>
        </w:rPr>
        <w:t> </w:t>
      </w:r>
      <w:r>
        <w:rPr/>
        <w:t>capture</w:t>
      </w:r>
      <w:r>
        <w:rPr>
          <w:spacing w:val="-28"/>
        </w:rPr>
        <w:t> </w:t>
      </w:r>
      <w:r>
        <w:rPr/>
        <w:t>and</w:t>
      </w:r>
      <w:r>
        <w:rPr>
          <w:spacing w:val="-28"/>
        </w:rPr>
        <w:t> </w:t>
      </w:r>
      <w:r>
        <w:rPr/>
        <w:t>storage)</w:t>
      </w:r>
      <w:r>
        <w:rPr>
          <w:spacing w:val="-28"/>
        </w:rPr>
        <w:t> </w:t>
      </w:r>
      <w:r>
        <w:rPr/>
        <w:t>can</w:t>
      </w:r>
      <w:r>
        <w:rPr>
          <w:spacing w:val="-29"/>
        </w:rPr>
        <w:t> </w:t>
      </w:r>
      <w:r>
        <w:rPr/>
        <w:t>be</w:t>
      </w:r>
      <w:r>
        <w:rPr>
          <w:spacing w:val="-28"/>
        </w:rPr>
        <w:t> </w:t>
      </w:r>
      <w:r>
        <w:rPr/>
        <w:t>stated</w:t>
      </w:r>
      <w:r>
        <w:rPr>
          <w:spacing w:val="-28"/>
        </w:rPr>
        <w:t> </w:t>
      </w:r>
      <w:r>
        <w:rPr/>
        <w:t>with</w:t>
      </w:r>
      <w:r>
        <w:rPr>
          <w:spacing w:val="-28"/>
        </w:rPr>
        <w:t> </w:t>
      </w:r>
      <w:r>
        <w:rPr/>
        <w:t>a</w:t>
      </w:r>
      <w:r>
        <w:rPr>
          <w:spacing w:val="-28"/>
        </w:rPr>
        <w:t> </w:t>
      </w:r>
      <w:r>
        <w:rPr/>
        <w:t>high</w:t>
      </w:r>
      <w:r>
        <w:rPr>
          <w:spacing w:val="-28"/>
        </w:rPr>
        <w:t> </w:t>
      </w:r>
      <w:r>
        <w:rPr/>
        <w:t>degree of</w:t>
      </w:r>
      <w:r>
        <w:rPr>
          <w:spacing w:val="21"/>
        </w:rPr>
        <w:t> </w:t>
      </w:r>
      <w:r>
        <w:rPr/>
        <w:t>confidence</w:t>
      </w:r>
      <w:r>
        <w:rPr>
          <w:spacing w:val="21"/>
        </w:rPr>
        <w:t> </w:t>
      </w:r>
      <w:r>
        <w:rPr/>
        <w:t>at</w:t>
      </w:r>
      <w:r>
        <w:rPr>
          <w:spacing w:val="21"/>
        </w:rPr>
        <w:t> </w:t>
      </w:r>
      <w:r>
        <w:rPr/>
        <w:t>this</w:t>
      </w:r>
      <w:r>
        <w:rPr>
          <w:spacing w:val="21"/>
        </w:rPr>
        <w:t> </w:t>
      </w:r>
      <w:r>
        <w:rPr/>
        <w:t>time,</w:t>
      </w:r>
      <w:r>
        <w:rPr>
          <w:spacing w:val="21"/>
        </w:rPr>
        <w:t> </w:t>
      </w:r>
      <w:r>
        <w:rPr/>
        <w:t>based</w:t>
      </w:r>
      <w:r>
        <w:rPr>
          <w:spacing w:val="21"/>
        </w:rPr>
        <w:t> </w:t>
      </w:r>
      <w:r>
        <w:rPr/>
        <w:t>on</w:t>
      </w:r>
      <w:r>
        <w:rPr>
          <w:spacing w:val="21"/>
        </w:rPr>
        <w:t> </w:t>
      </w:r>
      <w:r>
        <w:rPr/>
        <w:t>the</w:t>
      </w:r>
      <w:r>
        <w:rPr>
          <w:spacing w:val="21"/>
        </w:rPr>
        <w:t> </w:t>
      </w:r>
      <w:r>
        <w:rPr/>
        <w:t>criteria</w:t>
      </w:r>
      <w:r>
        <w:rPr>
          <w:spacing w:val="21"/>
        </w:rPr>
        <w:t> </w:t>
      </w:r>
      <w:r>
        <w:rPr/>
        <w:t>of</w:t>
      </w:r>
      <w:r>
        <w:rPr>
          <w:spacing w:val="18"/>
        </w:rPr>
        <w:t> </w:t>
      </w:r>
      <w:hyperlink w:history="true" w:anchor="_bookmark28">
        <w:r>
          <w:rPr>
            <w:spacing w:val="-3"/>
          </w:rPr>
          <w:t>Table</w:t>
        </w:r>
        <w:r>
          <w:rPr>
            <w:spacing w:val="22"/>
          </w:rPr>
          <w:t> </w:t>
        </w:r>
        <w:r>
          <w:rPr/>
          <w:t>3.6.</w:t>
        </w:r>
      </w:hyperlink>
      <w:r>
        <w:rPr/>
        <w:t> </w:t>
      </w:r>
      <w:hyperlink w:history="true" w:anchor="_bookmark59">
        <w:r>
          <w:rPr>
            <w:spacing w:val="-3"/>
          </w:rPr>
          <w:t>Table</w:t>
        </w:r>
        <w:r>
          <w:rPr>
            <w:spacing w:val="-12"/>
          </w:rPr>
          <w:t> </w:t>
        </w:r>
        <w:r>
          <w:rPr/>
          <w:t>3.15</w:t>
        </w:r>
        <w:r>
          <w:rPr>
            <w:spacing w:val="-10"/>
          </w:rPr>
          <w:t> </w:t>
        </w:r>
      </w:hyperlink>
      <w:r>
        <w:rPr/>
        <w:t>also</w:t>
      </w:r>
      <w:r>
        <w:rPr>
          <w:spacing w:val="-11"/>
        </w:rPr>
        <w:t> </w:t>
      </w:r>
      <w:r>
        <w:rPr/>
        <w:t>shows</w:t>
      </w:r>
      <w:r>
        <w:rPr>
          <w:spacing w:val="-11"/>
        </w:rPr>
        <w:t> </w:t>
      </w:r>
      <w:r>
        <w:rPr/>
        <w:t>that</w:t>
      </w:r>
      <w:r>
        <w:rPr>
          <w:spacing w:val="-12"/>
        </w:rPr>
        <w:t> </w:t>
      </w:r>
      <w:r>
        <w:rPr/>
        <w:t>the</w:t>
      </w:r>
      <w:r>
        <w:rPr>
          <w:spacing w:val="-11"/>
        </w:rPr>
        <w:t> </w:t>
      </w:r>
      <w:r>
        <w:rPr/>
        <w:t>lowest</w:t>
      </w:r>
      <w:r>
        <w:rPr>
          <w:spacing w:val="-11"/>
        </w:rPr>
        <w:t> </w:t>
      </w:r>
      <w:r>
        <w:rPr/>
        <w:t>CO</w:t>
      </w:r>
      <w:r>
        <w:rPr>
          <w:position w:val="-6"/>
          <w:sz w:val="11"/>
        </w:rPr>
        <w:t>2</w:t>
      </w:r>
      <w:r>
        <w:rPr>
          <w:spacing w:val="12"/>
          <w:position w:val="-6"/>
          <w:sz w:val="11"/>
        </w:rPr>
        <w:t> </w:t>
      </w:r>
      <w:r>
        <w:rPr/>
        <w:t>capture</w:t>
      </w:r>
      <w:r>
        <w:rPr>
          <w:spacing w:val="-12"/>
        </w:rPr>
        <w:t> </w:t>
      </w:r>
      <w:r>
        <w:rPr/>
        <w:t>costs</w:t>
      </w:r>
      <w:r>
        <w:rPr>
          <w:spacing w:val="-10"/>
        </w:rPr>
        <w:t> </w:t>
      </w:r>
      <w:r>
        <w:rPr/>
        <w:t>with</w:t>
      </w:r>
      <w:r>
        <w:rPr>
          <w:spacing w:val="-1"/>
        </w:rPr>
        <w:t> </w:t>
      </w:r>
      <w:r>
        <w:rPr/>
        <w:t>current technology (as low as 2 US$/tCO</w:t>
      </w:r>
      <w:r>
        <w:rPr>
          <w:position w:val="-6"/>
          <w:sz w:val="11"/>
        </w:rPr>
        <w:t>2 </w:t>
      </w:r>
      <w:r>
        <w:rPr/>
        <w:t>captured</w:t>
      </w:r>
      <w:r>
        <w:rPr>
          <w:spacing w:val="-30"/>
        </w:rPr>
        <w:t> </w:t>
      </w:r>
      <w:r>
        <w:rPr/>
        <w:t>or</w:t>
      </w:r>
      <w:r>
        <w:rPr>
          <w:spacing w:val="-3"/>
        </w:rPr>
        <w:t> </w:t>
      </w:r>
      <w:r>
        <w:rPr/>
        <w:t>avoided) were</w:t>
      </w:r>
      <w:r>
        <w:rPr>
          <w:spacing w:val="-16"/>
        </w:rPr>
        <w:t> </w:t>
      </w:r>
      <w:r>
        <w:rPr/>
        <w:t>found</w:t>
      </w:r>
      <w:r>
        <w:rPr>
          <w:spacing w:val="-15"/>
        </w:rPr>
        <w:t> </w:t>
      </w:r>
      <w:r>
        <w:rPr/>
        <w:t>for</w:t>
      </w:r>
      <w:r>
        <w:rPr>
          <w:spacing w:val="-15"/>
        </w:rPr>
        <w:t> </w:t>
      </w:r>
      <w:r>
        <w:rPr/>
        <w:t>industrial</w:t>
      </w:r>
      <w:r>
        <w:rPr>
          <w:spacing w:val="-14"/>
        </w:rPr>
        <w:t> </w:t>
      </w:r>
      <w:r>
        <w:rPr/>
        <w:t>processes</w:t>
      </w:r>
      <w:r>
        <w:rPr>
          <w:spacing w:val="-15"/>
        </w:rPr>
        <w:t> </w:t>
      </w:r>
      <w:r>
        <w:rPr/>
        <w:t>such</w:t>
      </w:r>
      <w:r>
        <w:rPr>
          <w:spacing w:val="-15"/>
        </w:rPr>
        <w:t> </w:t>
      </w:r>
      <w:r>
        <w:rPr/>
        <w:t>as</w:t>
      </w:r>
      <w:r>
        <w:rPr>
          <w:spacing w:val="-15"/>
        </w:rPr>
        <w:t> </w:t>
      </w:r>
      <w:r>
        <w:rPr/>
        <w:t>coal-based</w:t>
      </w:r>
      <w:r>
        <w:rPr>
          <w:spacing w:val="-14"/>
        </w:rPr>
        <w:t> </w:t>
      </w:r>
      <w:r>
        <w:rPr/>
        <w:t>hydrogen production plants that produce concentrated</w:t>
      </w:r>
      <w:r>
        <w:rPr>
          <w:spacing w:val="-8"/>
        </w:rPr>
        <w:t> </w:t>
      </w:r>
      <w:r>
        <w:rPr/>
        <w:t>CO</w:t>
      </w:r>
      <w:r>
        <w:rPr>
          <w:position w:val="-6"/>
          <w:sz w:val="11"/>
        </w:rPr>
        <w:t>2 </w:t>
      </w:r>
      <w:r>
        <w:rPr/>
        <w:t>streams</w:t>
      </w:r>
      <w:r>
        <w:rPr>
          <w:spacing w:val="38"/>
        </w:rPr>
        <w:t> </w:t>
      </w:r>
      <w:r>
        <w:rPr/>
        <w:t>as part</w:t>
      </w:r>
      <w:r>
        <w:rPr>
          <w:spacing w:val="16"/>
        </w:rPr>
        <w:t> </w:t>
      </w:r>
      <w:r>
        <w:rPr/>
        <w:t>of</w:t>
      </w:r>
      <w:r>
        <w:rPr>
          <w:spacing w:val="17"/>
        </w:rPr>
        <w:t> </w:t>
      </w:r>
      <w:r>
        <w:rPr/>
        <w:t>the</w:t>
      </w:r>
      <w:r>
        <w:rPr>
          <w:spacing w:val="17"/>
        </w:rPr>
        <w:t> </w:t>
      </w:r>
      <w:r>
        <w:rPr/>
        <w:t>production</w:t>
      </w:r>
      <w:r>
        <w:rPr>
          <w:spacing w:val="17"/>
        </w:rPr>
        <w:t> </w:t>
      </w:r>
      <w:r>
        <w:rPr/>
        <w:t>process.</w:t>
      </w:r>
      <w:r>
        <w:rPr>
          <w:spacing w:val="16"/>
        </w:rPr>
        <w:t> </w:t>
      </w:r>
      <w:r>
        <w:rPr/>
        <w:t>Such</w:t>
      </w:r>
      <w:r>
        <w:rPr>
          <w:spacing w:val="17"/>
        </w:rPr>
        <w:t> </w:t>
      </w:r>
      <w:r>
        <w:rPr/>
        <w:t>industrial</w:t>
      </w:r>
      <w:r>
        <w:rPr>
          <w:spacing w:val="17"/>
        </w:rPr>
        <w:t> </w:t>
      </w:r>
      <w:r>
        <w:rPr/>
        <w:t>processes</w:t>
      </w:r>
      <w:r>
        <w:rPr>
          <w:spacing w:val="17"/>
        </w:rPr>
        <w:t> </w:t>
      </w:r>
      <w:r>
        <w:rPr>
          <w:spacing w:val="-4"/>
        </w:rPr>
        <w:t>may</w:t>
      </w:r>
    </w:p>
    <w:p>
      <w:pPr>
        <w:pStyle w:val="BodyText"/>
        <w:spacing w:before="5"/>
        <w:ind w:left="117"/>
        <w:jc w:val="both"/>
      </w:pPr>
      <w:r>
        <w:rPr/>
        <w:t>represent some of the earliest opportunities for CCS.</w:t>
      </w:r>
    </w:p>
    <w:p>
      <w:pPr>
        <w:pStyle w:val="BodyText"/>
        <w:spacing w:line="240" w:lineRule="exact" w:before="5"/>
        <w:ind w:left="117" w:right="110" w:firstLine="283"/>
        <w:jc w:val="both"/>
      </w:pPr>
      <w:hyperlink w:history="true" w:anchor="_bookmark62">
        <w:r>
          <w:rPr/>
          <w:t>Figure 3.20 </w:t>
        </w:r>
      </w:hyperlink>
      <w:r>
        <w:rPr/>
        <w:t>displays the normalized power plant cost and emissions data from </w:t>
      </w:r>
      <w:r>
        <w:rPr>
          <w:spacing w:val="-3"/>
        </w:rPr>
        <w:t>T</w:t>
      </w:r>
      <w:hyperlink w:history="true" w:anchor="_bookmark59">
        <w:r>
          <w:rPr>
            <w:spacing w:val="-3"/>
          </w:rPr>
          <w:t>able </w:t>
        </w:r>
        <w:r>
          <w:rPr/>
          <w:t>3.15</w:t>
        </w:r>
      </w:hyperlink>
      <w:r>
        <w:rPr/>
        <w:t> in graphical form. On this graph,</w:t>
      </w:r>
      <w:r>
        <w:rPr>
          <w:spacing w:val="-10"/>
        </w:rPr>
        <w:t> </w:t>
      </w:r>
      <w:r>
        <w:rPr/>
        <w:t>the</w:t>
      </w:r>
      <w:r>
        <w:rPr>
          <w:spacing w:val="-9"/>
        </w:rPr>
        <w:t> </w:t>
      </w:r>
      <w:r>
        <w:rPr/>
        <w:t>cost</w:t>
      </w:r>
      <w:r>
        <w:rPr>
          <w:spacing w:val="-9"/>
        </w:rPr>
        <w:t> </w:t>
      </w:r>
      <w:r>
        <w:rPr/>
        <w:t>of</w:t>
      </w:r>
      <w:r>
        <w:rPr>
          <w:spacing w:val="-9"/>
        </w:rPr>
        <w:t> </w:t>
      </w:r>
      <w:r>
        <w:rPr/>
        <w:t>CO</w:t>
      </w:r>
      <w:r>
        <w:rPr>
          <w:position w:val="-6"/>
          <w:sz w:val="11"/>
        </w:rPr>
        <w:t>2</w:t>
      </w:r>
      <w:r>
        <w:rPr>
          <w:spacing w:val="13"/>
          <w:position w:val="-6"/>
          <w:sz w:val="11"/>
        </w:rPr>
        <w:t> </w:t>
      </w:r>
      <w:r>
        <w:rPr/>
        <w:t>avoided</w:t>
      </w:r>
      <w:r>
        <w:rPr>
          <w:spacing w:val="-10"/>
        </w:rPr>
        <w:t> </w:t>
      </w:r>
      <w:r>
        <w:rPr/>
        <w:t>corresponds</w:t>
      </w:r>
      <w:r>
        <w:rPr>
          <w:spacing w:val="-10"/>
        </w:rPr>
        <w:t> </w:t>
      </w:r>
      <w:r>
        <w:rPr/>
        <w:t>to</w:t>
      </w:r>
      <w:r>
        <w:rPr>
          <w:spacing w:val="-9"/>
        </w:rPr>
        <w:t> </w:t>
      </w:r>
      <w:r>
        <w:rPr/>
        <w:t>the</w:t>
      </w:r>
      <w:r>
        <w:rPr>
          <w:spacing w:val="-9"/>
        </w:rPr>
        <w:t> </w:t>
      </w:r>
      <w:r>
        <w:rPr/>
        <w:t>slope</w:t>
      </w:r>
      <w:r>
        <w:rPr>
          <w:spacing w:val="-10"/>
        </w:rPr>
        <w:t> </w:t>
      </w:r>
      <w:r>
        <w:rPr/>
        <w:t>of</w:t>
      </w:r>
      <w:r>
        <w:rPr>
          <w:spacing w:val="-9"/>
        </w:rPr>
        <w:t> </w:t>
      </w:r>
      <w:r>
        <w:rPr/>
        <w:t>a</w:t>
      </w:r>
      <w:r>
        <w:rPr>
          <w:spacing w:val="-9"/>
        </w:rPr>
        <w:t> </w:t>
      </w:r>
      <w:r>
        <w:rPr/>
        <w:t>line connecting</w:t>
      </w:r>
      <w:r>
        <w:rPr>
          <w:spacing w:val="14"/>
        </w:rPr>
        <w:t> </w:t>
      </w:r>
      <w:r>
        <w:rPr/>
        <w:t>any</w:t>
      </w:r>
      <w:r>
        <w:rPr>
          <w:spacing w:val="15"/>
        </w:rPr>
        <w:t> </w:t>
      </w:r>
      <w:r>
        <w:rPr/>
        <w:t>two</w:t>
      </w:r>
      <w:r>
        <w:rPr>
          <w:spacing w:val="14"/>
        </w:rPr>
        <w:t> </w:t>
      </w:r>
      <w:r>
        <w:rPr/>
        <w:t>plants</w:t>
      </w:r>
      <w:r>
        <w:rPr>
          <w:spacing w:val="15"/>
        </w:rPr>
        <w:t> </w:t>
      </w:r>
      <w:r>
        <w:rPr/>
        <w:t>(or</w:t>
      </w:r>
      <w:r>
        <w:rPr>
          <w:spacing w:val="14"/>
        </w:rPr>
        <w:t> </w:t>
      </w:r>
      <w:r>
        <w:rPr/>
        <w:t>points)</w:t>
      </w:r>
      <w:r>
        <w:rPr>
          <w:spacing w:val="15"/>
        </w:rPr>
        <w:t> </w:t>
      </w:r>
      <w:r>
        <w:rPr/>
        <w:t>of</w:t>
      </w:r>
      <w:r>
        <w:rPr>
          <w:spacing w:val="14"/>
        </w:rPr>
        <w:t> </w:t>
      </w:r>
      <w:r>
        <w:rPr/>
        <w:t>interest.</w:t>
      </w:r>
      <w:r>
        <w:rPr>
          <w:spacing w:val="12"/>
        </w:rPr>
        <w:t> </w:t>
      </w:r>
      <w:r>
        <w:rPr/>
        <w:t>While</w:t>
      </w:r>
      <w:r>
        <w:rPr>
          <w:spacing w:val="11"/>
        </w:rPr>
        <w:t> </w:t>
      </w:r>
      <w:hyperlink w:history="true" w:anchor="_bookmark59">
        <w:r>
          <w:rPr>
            <w:spacing w:val="-6"/>
          </w:rPr>
          <w:t>Table</w:t>
        </w:r>
      </w:hyperlink>
    </w:p>
    <w:p>
      <w:pPr>
        <w:pStyle w:val="BodyText"/>
        <w:spacing w:line="240" w:lineRule="exact"/>
        <w:ind w:left="117" w:right="110"/>
        <w:jc w:val="both"/>
      </w:pPr>
      <w:hyperlink w:history="true" w:anchor="_bookmark59">
        <w:r>
          <w:rPr/>
          <w:t>3.15 </w:t>
        </w:r>
      </w:hyperlink>
      <w:r>
        <w:rPr/>
        <w:t>compares a given capture plant to a similar plant without capture, in some cases comparisons may be sought between    a given capture plant and a different type of reference plant. Several cases are illustrated in </w:t>
      </w:r>
      <w:hyperlink w:history="true" w:anchor="_bookmark63">
        <w:r>
          <w:rPr/>
          <w:t>Figure 3.20 </w:t>
        </w:r>
      </w:hyperlink>
      <w:r>
        <w:rPr/>
        <w:t>based on either a PC or NGCC reference plant. In each case, the COE and CO</w:t>
      </w:r>
      <w:r>
        <w:rPr>
          <w:position w:val="-6"/>
          <w:sz w:val="11"/>
        </w:rPr>
        <w:t>2</w:t>
      </w:r>
      <w:r>
        <w:rPr>
          <w:sz w:val="11"/>
        </w:rPr>
        <w:t> </w:t>
      </w:r>
      <w:r>
        <w:rPr/>
        <w:t>emission rate are highly dependent upon technical, economic and financial factors related to the design and operation of the power systems of interest at a particular location. The cost of CO</w:t>
      </w:r>
      <w:r>
        <w:rPr>
          <w:position w:val="-6"/>
          <w:sz w:val="11"/>
        </w:rPr>
        <w:t>2 </w:t>
      </w:r>
      <w:r>
        <w:rPr/>
        <w:t>avoided is especially sensitive to these site-specific</w:t>
      </w:r>
      <w:r>
        <w:rPr>
          <w:spacing w:val="-34"/>
        </w:rPr>
        <w:t> </w:t>
      </w:r>
      <w:r>
        <w:rPr/>
        <w:t>factors and can vary by an order of magnitude or more when different types of plants are compared. Comparisons of different </w:t>
      </w:r>
      <w:r>
        <w:rPr>
          <w:spacing w:val="-3"/>
        </w:rPr>
        <w:t>plant </w:t>
      </w:r>
      <w:r>
        <w:rPr/>
        <w:t>types, therefore, require a specific context and geographical location to be meaningful and should be based on the full COE including CO</w:t>
      </w:r>
      <w:r>
        <w:rPr>
          <w:position w:val="-6"/>
          <w:sz w:val="11"/>
        </w:rPr>
        <w:t>2 </w:t>
      </w:r>
      <w:r>
        <w:rPr/>
        <w:t>transport and storage costs. Later, Chapter 8 presents examples of full CCS costs for different plant </w:t>
      </w:r>
      <w:r>
        <w:rPr>
          <w:spacing w:val="-3"/>
        </w:rPr>
        <w:t>types </w:t>
      </w:r>
      <w:r>
        <w:rPr/>
        <w:t>and storage</w:t>
      </w:r>
      <w:r>
        <w:rPr>
          <w:spacing w:val="-2"/>
        </w:rPr>
        <w:t> </w:t>
      </w:r>
      <w:r>
        <w:rPr/>
        <w:t>options.</w:t>
      </w:r>
    </w:p>
    <w:p>
      <w:pPr>
        <w:pStyle w:val="BodyText"/>
        <w:spacing w:line="240" w:lineRule="exact"/>
        <w:ind w:left="117" w:right="111" w:firstLine="284"/>
        <w:jc w:val="both"/>
      </w:pPr>
      <w:r>
        <w:rPr/>
        <w:t>In contrast to new plants, CO</w:t>
      </w:r>
      <w:r>
        <w:rPr>
          <w:position w:val="-6"/>
          <w:sz w:val="11"/>
        </w:rPr>
        <w:t>2 </w:t>
      </w:r>
      <w:r>
        <w:rPr/>
        <w:t>capture options and costs for existing</w:t>
      </w:r>
      <w:r>
        <w:rPr>
          <w:spacing w:val="-18"/>
        </w:rPr>
        <w:t> </w:t>
      </w:r>
      <w:r>
        <w:rPr/>
        <w:t>power</w:t>
      </w:r>
      <w:r>
        <w:rPr>
          <w:spacing w:val="-17"/>
        </w:rPr>
        <w:t> </w:t>
      </w:r>
      <w:r>
        <w:rPr/>
        <w:t>plants</w:t>
      </w:r>
      <w:r>
        <w:rPr>
          <w:spacing w:val="-17"/>
        </w:rPr>
        <w:t> </w:t>
      </w:r>
      <w:r>
        <w:rPr/>
        <w:t>have</w:t>
      </w:r>
      <w:r>
        <w:rPr>
          <w:spacing w:val="-17"/>
        </w:rPr>
        <w:t> </w:t>
      </w:r>
      <w:r>
        <w:rPr/>
        <w:t>not</w:t>
      </w:r>
      <w:r>
        <w:rPr>
          <w:spacing w:val="-17"/>
        </w:rPr>
        <w:t> </w:t>
      </w:r>
      <w:r>
        <w:rPr/>
        <w:t>been</w:t>
      </w:r>
      <w:r>
        <w:rPr>
          <w:spacing w:val="-17"/>
        </w:rPr>
        <w:t> </w:t>
      </w:r>
      <w:r>
        <w:rPr/>
        <w:t>extensively</w:t>
      </w:r>
      <w:r>
        <w:rPr>
          <w:spacing w:val="-17"/>
        </w:rPr>
        <w:t> </w:t>
      </w:r>
      <w:r>
        <w:rPr/>
        <w:t>studied.</w:t>
      </w:r>
      <w:r>
        <w:rPr>
          <w:spacing w:val="-18"/>
        </w:rPr>
        <w:t> </w:t>
      </w:r>
      <w:r>
        <w:rPr/>
        <w:t>Current studies indicate that these costs are extremely site-specific and fall</w:t>
      </w:r>
      <w:r>
        <w:rPr>
          <w:spacing w:val="-7"/>
        </w:rPr>
        <w:t> </w:t>
      </w:r>
      <w:r>
        <w:rPr/>
        <w:t>into</w:t>
      </w:r>
      <w:r>
        <w:rPr>
          <w:spacing w:val="-7"/>
        </w:rPr>
        <w:t> </w:t>
      </w:r>
      <w:r>
        <w:rPr/>
        <w:t>two</w:t>
      </w:r>
      <w:r>
        <w:rPr>
          <w:spacing w:val="-7"/>
        </w:rPr>
        <w:t> </w:t>
      </w:r>
      <w:r>
        <w:rPr/>
        <w:t>categories</w:t>
      </w:r>
      <w:r>
        <w:rPr>
          <w:spacing w:val="-7"/>
        </w:rPr>
        <w:t> </w:t>
      </w:r>
      <w:r>
        <w:rPr/>
        <w:t>(see</w:t>
      </w:r>
      <w:r>
        <w:rPr>
          <w:spacing w:val="-10"/>
        </w:rPr>
        <w:t> </w:t>
      </w:r>
      <w:hyperlink w:history="true" w:anchor="_bookmark35">
        <w:r>
          <w:rPr>
            <w:spacing w:val="-3"/>
          </w:rPr>
          <w:t>Table</w:t>
        </w:r>
        <w:r>
          <w:rPr>
            <w:spacing w:val="-6"/>
          </w:rPr>
          <w:t> </w:t>
        </w:r>
      </w:hyperlink>
      <w:r>
        <w:rPr/>
        <w:t>3.8).</w:t>
      </w:r>
      <w:r>
        <w:rPr>
          <w:spacing w:val="-6"/>
        </w:rPr>
        <w:t> </w:t>
      </w:r>
      <w:r>
        <w:rPr/>
        <w:t>One</w:t>
      </w:r>
      <w:r>
        <w:rPr>
          <w:spacing w:val="-6"/>
        </w:rPr>
        <w:t> </w:t>
      </w:r>
      <w:r>
        <w:rPr/>
        <w:t>is</w:t>
      </w:r>
      <w:r>
        <w:rPr>
          <w:spacing w:val="-7"/>
        </w:rPr>
        <w:t> </w:t>
      </w:r>
      <w:r>
        <w:rPr/>
        <w:t>the</w:t>
      </w:r>
      <w:r>
        <w:rPr>
          <w:spacing w:val="-6"/>
        </w:rPr>
        <w:t> </w:t>
      </w:r>
      <w:r>
        <w:rPr/>
        <w:t>retrofitting</w:t>
      </w:r>
      <w:r>
        <w:rPr>
          <w:spacing w:val="-7"/>
        </w:rPr>
        <w:t> </w:t>
      </w:r>
      <w:r>
        <w:rPr/>
        <w:t>of a post-combustion capture system to the existing</w:t>
      </w:r>
      <w:r>
        <w:rPr>
          <w:spacing w:val="-3"/>
        </w:rPr>
        <w:t> </w:t>
      </w:r>
      <w:r>
        <w:rPr/>
        <w:t>unit.</w:t>
      </w:r>
    </w:p>
    <w:p>
      <w:pPr>
        <w:spacing w:after="0" w:line="240" w:lineRule="exact"/>
        <w:jc w:val="both"/>
        <w:sectPr>
          <w:pgSz w:w="12240" w:h="15840"/>
          <w:pgMar w:header="567" w:footer="0" w:top="1200" w:bottom="280" w:left="620" w:right="1020"/>
          <w:cols w:num="2" w:equalWidth="0">
            <w:col w:w="5202" w:space="124"/>
            <w:col w:w="5274"/>
          </w:cols>
        </w:sectPr>
      </w:pPr>
    </w:p>
    <w:p>
      <w:pPr>
        <w:pStyle w:val="BodyText"/>
      </w:pPr>
      <w:r>
        <w:rPr/>
        <w:pict>
          <v:shape style="position:absolute;margin-left:750.403625pt;margin-top:55.692902pt;width:14.25pt;height:110.1pt;mso-position-horizontal-relative:page;mso-position-vertical-relative:page;z-index:251787264" type="#_x0000_t202" filled="false" stroked="false">
            <v:textbox inset="0,0,0,0" style="layout-flow:vertical">
              <w:txbxContent>
                <w:p>
                  <w:pPr>
                    <w:spacing w:line="218" w:lineRule="auto" w:before="0"/>
                    <w:ind w:left="20" w:right="0" w:firstLine="0"/>
                    <w:jc w:val="left"/>
                    <w:rPr>
                      <w:i/>
                      <w:sz w:val="11"/>
                    </w:rPr>
                  </w:pPr>
                  <w:r>
                    <w:rPr>
                      <w:i/>
                      <w:sz w:val="20"/>
                    </w:rPr>
                    <w:t>Chapter 3: Capture of CO</w:t>
                  </w:r>
                  <w:r>
                    <w:rPr>
                      <w:i/>
                      <w:position w:val="-6"/>
                      <w:sz w:val="11"/>
                    </w:rPr>
                    <w:t>2</w:t>
                  </w:r>
                </w:p>
              </w:txbxContent>
            </v:textbox>
            <w10:wrap type="none"/>
          </v:shape>
        </w:pict>
      </w:r>
      <w:r>
        <w:rPr/>
        <w:pict>
          <v:shape style="position:absolute;margin-left:752.653625pt;margin-top:559.149597pt;width:12pt;height:17pt;mso-position-horizontal-relative:page;mso-position-vertical-relative:page;z-index:251788288" type="#_x0000_t202" filled="false" stroked="false">
            <v:textbox inset="0,0,0,0" style="layout-flow:vertical">
              <w:txbxContent>
                <w:p>
                  <w:pPr>
                    <w:spacing w:line="213" w:lineRule="exact" w:before="0"/>
                    <w:ind w:left="20" w:right="0" w:firstLine="0"/>
                    <w:jc w:val="left"/>
                    <w:rPr>
                      <w:b/>
                      <w:sz w:val="20"/>
                    </w:rPr>
                  </w:pPr>
                  <w:r>
                    <w:rPr>
                      <w:b/>
                      <w:sz w:val="20"/>
                    </w:rPr>
                    <w:t>169</w:t>
                  </w:r>
                </w:p>
              </w:txbxContent>
            </v:textbox>
            <w10:wrap type="none"/>
          </v:shape>
        </w:pict>
      </w: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34"/>
        <w:gridCol w:w="1010"/>
        <w:gridCol w:w="517"/>
        <w:gridCol w:w="1202"/>
        <w:gridCol w:w="641"/>
        <w:gridCol w:w="1157"/>
        <w:gridCol w:w="663"/>
        <w:gridCol w:w="1127"/>
        <w:gridCol w:w="895"/>
        <w:gridCol w:w="3181"/>
      </w:tblGrid>
      <w:tr>
        <w:trPr>
          <w:trHeight w:val="210" w:hRule="atLeast"/>
        </w:trPr>
        <w:tc>
          <w:tcPr>
            <w:tcW w:w="3134" w:type="dxa"/>
            <w:vMerge w:val="restart"/>
            <w:shd w:val="clear" w:color="auto" w:fill="E0EEE0"/>
          </w:tcPr>
          <w:p>
            <w:pPr>
              <w:pStyle w:val="TableParagraph"/>
              <w:spacing w:before="3"/>
              <w:jc w:val="left"/>
              <w:rPr>
                <w:sz w:val="18"/>
              </w:rPr>
            </w:pPr>
          </w:p>
          <w:p>
            <w:pPr>
              <w:pStyle w:val="TableParagraph"/>
              <w:ind w:left="77"/>
              <w:jc w:val="left"/>
              <w:rPr>
                <w:b/>
                <w:sz w:val="18"/>
              </w:rPr>
            </w:pPr>
            <w:r>
              <w:rPr>
                <w:b/>
                <w:sz w:val="18"/>
              </w:rPr>
              <w:t>Performance and Cost measures</w:t>
            </w:r>
          </w:p>
        </w:tc>
        <w:tc>
          <w:tcPr>
            <w:tcW w:w="1527" w:type="dxa"/>
            <w:gridSpan w:val="2"/>
            <w:shd w:val="clear" w:color="auto" w:fill="E0EEE0"/>
          </w:tcPr>
          <w:p>
            <w:pPr>
              <w:pStyle w:val="TableParagraph"/>
              <w:spacing w:line="190" w:lineRule="exact"/>
              <w:ind w:left="102"/>
              <w:jc w:val="left"/>
              <w:rPr>
                <w:b/>
                <w:sz w:val="18"/>
              </w:rPr>
            </w:pPr>
            <w:r>
              <w:rPr>
                <w:b/>
                <w:sz w:val="18"/>
              </w:rPr>
              <w:t>New NGCC Plant</w:t>
            </w:r>
          </w:p>
        </w:tc>
        <w:tc>
          <w:tcPr>
            <w:tcW w:w="1843" w:type="dxa"/>
            <w:gridSpan w:val="2"/>
            <w:shd w:val="clear" w:color="auto" w:fill="E0EEE0"/>
          </w:tcPr>
          <w:p>
            <w:pPr>
              <w:pStyle w:val="TableParagraph"/>
              <w:spacing w:line="190" w:lineRule="exact"/>
              <w:ind w:left="405"/>
              <w:jc w:val="left"/>
              <w:rPr>
                <w:b/>
                <w:sz w:val="18"/>
              </w:rPr>
            </w:pPr>
            <w:r>
              <w:rPr>
                <w:b/>
                <w:sz w:val="18"/>
              </w:rPr>
              <w:t>New PC Plant</w:t>
            </w:r>
          </w:p>
        </w:tc>
        <w:tc>
          <w:tcPr>
            <w:tcW w:w="1820" w:type="dxa"/>
            <w:gridSpan w:val="2"/>
            <w:tcBorders>
              <w:right w:val="double" w:sz="1" w:space="0" w:color="000000"/>
            </w:tcBorders>
            <w:shd w:val="clear" w:color="auto" w:fill="E0EEE0"/>
          </w:tcPr>
          <w:p>
            <w:pPr>
              <w:pStyle w:val="TableParagraph"/>
              <w:spacing w:line="190" w:lineRule="exact"/>
              <w:ind w:left="264"/>
              <w:jc w:val="left"/>
              <w:rPr>
                <w:b/>
                <w:sz w:val="18"/>
              </w:rPr>
            </w:pPr>
            <w:r>
              <w:rPr>
                <w:b/>
                <w:sz w:val="18"/>
              </w:rPr>
              <w:t>New iGCC Plant</w:t>
            </w:r>
          </w:p>
        </w:tc>
        <w:tc>
          <w:tcPr>
            <w:tcW w:w="2022" w:type="dxa"/>
            <w:gridSpan w:val="2"/>
            <w:tcBorders>
              <w:left w:val="double" w:sz="1" w:space="0" w:color="000000"/>
            </w:tcBorders>
            <w:shd w:val="clear" w:color="auto" w:fill="E0EEE0"/>
          </w:tcPr>
          <w:p>
            <w:pPr>
              <w:pStyle w:val="TableParagraph"/>
              <w:spacing w:line="190" w:lineRule="exact"/>
              <w:ind w:left="237"/>
              <w:jc w:val="left"/>
              <w:rPr>
                <w:b/>
                <w:sz w:val="18"/>
              </w:rPr>
            </w:pPr>
            <w:bookmarkStart w:name="_bookmark59" w:id="115"/>
            <w:bookmarkEnd w:id="115"/>
            <w:r>
              <w:rPr/>
            </w:r>
            <w:bookmarkStart w:name="_bookmark60" w:id="116"/>
            <w:bookmarkEnd w:id="116"/>
            <w:r>
              <w:rPr/>
            </w:r>
            <w:r>
              <w:rPr>
                <w:b/>
                <w:sz w:val="18"/>
              </w:rPr>
              <w:t>New Hydrogen Plant</w:t>
            </w:r>
          </w:p>
        </w:tc>
        <w:tc>
          <w:tcPr>
            <w:tcW w:w="3181" w:type="dxa"/>
            <w:vMerge w:val="restart"/>
            <w:shd w:val="clear" w:color="auto" w:fill="E0EEE0"/>
          </w:tcPr>
          <w:p>
            <w:pPr>
              <w:pStyle w:val="TableParagraph"/>
              <w:spacing w:before="3"/>
              <w:jc w:val="left"/>
              <w:rPr>
                <w:sz w:val="18"/>
              </w:rPr>
            </w:pPr>
          </w:p>
          <w:p>
            <w:pPr>
              <w:pStyle w:val="TableParagraph"/>
              <w:ind w:left="80"/>
              <w:jc w:val="left"/>
              <w:rPr>
                <w:b/>
                <w:sz w:val="18"/>
              </w:rPr>
            </w:pPr>
            <w:r>
              <w:rPr>
                <w:b/>
                <w:sz w:val="18"/>
              </w:rPr>
              <w:t>(units for H</w:t>
            </w:r>
            <w:r>
              <w:rPr>
                <w:b/>
                <w:position w:val="-5"/>
                <w:sz w:val="10"/>
              </w:rPr>
              <w:t>2 </w:t>
            </w:r>
            <w:r>
              <w:rPr>
                <w:b/>
                <w:sz w:val="18"/>
              </w:rPr>
              <w:t>Plant)</w:t>
            </w:r>
          </w:p>
        </w:tc>
      </w:tr>
      <w:tr>
        <w:trPr>
          <w:trHeight w:val="210" w:hRule="atLeast"/>
        </w:trPr>
        <w:tc>
          <w:tcPr>
            <w:tcW w:w="3134" w:type="dxa"/>
            <w:vMerge/>
            <w:tcBorders>
              <w:top w:val="nil"/>
            </w:tcBorders>
            <w:shd w:val="clear" w:color="auto" w:fill="E0EEE0"/>
          </w:tcPr>
          <w:p>
            <w:pPr>
              <w:rPr>
                <w:sz w:val="2"/>
                <w:szCs w:val="2"/>
              </w:rPr>
            </w:pPr>
          </w:p>
        </w:tc>
        <w:tc>
          <w:tcPr>
            <w:tcW w:w="1010" w:type="dxa"/>
            <w:shd w:val="clear" w:color="auto" w:fill="E0EEE0"/>
          </w:tcPr>
          <w:p>
            <w:pPr>
              <w:pStyle w:val="TableParagraph"/>
              <w:spacing w:line="190" w:lineRule="exact"/>
              <w:rPr>
                <w:b/>
                <w:sz w:val="18"/>
              </w:rPr>
            </w:pPr>
            <w:r>
              <w:rPr>
                <w:b/>
                <w:sz w:val="18"/>
              </w:rPr>
              <w:t>Range</w:t>
            </w:r>
          </w:p>
        </w:tc>
        <w:tc>
          <w:tcPr>
            <w:tcW w:w="517" w:type="dxa"/>
            <w:vMerge w:val="restart"/>
            <w:shd w:val="clear" w:color="auto" w:fill="E0EEE0"/>
          </w:tcPr>
          <w:p>
            <w:pPr>
              <w:pStyle w:val="TableParagraph"/>
              <w:spacing w:line="197" w:lineRule="exact"/>
              <w:ind w:left="85"/>
              <w:jc w:val="left"/>
              <w:rPr>
                <w:b/>
                <w:i/>
                <w:sz w:val="18"/>
              </w:rPr>
            </w:pPr>
            <w:r>
              <w:rPr>
                <w:b/>
                <w:i/>
                <w:sz w:val="18"/>
              </w:rPr>
              <w:t>Rep.</w:t>
            </w:r>
          </w:p>
          <w:p>
            <w:pPr>
              <w:pStyle w:val="TableParagraph"/>
              <w:spacing w:line="204" w:lineRule="exact" w:before="9"/>
              <w:ind w:left="43"/>
              <w:jc w:val="left"/>
              <w:rPr>
                <w:b/>
                <w:i/>
                <w:sz w:val="18"/>
              </w:rPr>
            </w:pPr>
            <w:r>
              <w:rPr>
                <w:b/>
                <w:i/>
                <w:spacing w:val="-4"/>
                <w:sz w:val="18"/>
              </w:rPr>
              <w:t>Value</w:t>
            </w:r>
          </w:p>
        </w:tc>
        <w:tc>
          <w:tcPr>
            <w:tcW w:w="1202" w:type="dxa"/>
            <w:shd w:val="clear" w:color="auto" w:fill="E0EEE0"/>
          </w:tcPr>
          <w:p>
            <w:pPr>
              <w:pStyle w:val="TableParagraph"/>
              <w:spacing w:line="190" w:lineRule="exact"/>
              <w:rPr>
                <w:b/>
                <w:sz w:val="18"/>
              </w:rPr>
            </w:pPr>
            <w:r>
              <w:rPr>
                <w:b/>
                <w:sz w:val="18"/>
              </w:rPr>
              <w:t>Range</w:t>
            </w:r>
          </w:p>
        </w:tc>
        <w:tc>
          <w:tcPr>
            <w:tcW w:w="641" w:type="dxa"/>
            <w:vMerge w:val="restart"/>
            <w:shd w:val="clear" w:color="auto" w:fill="E0EEE0"/>
          </w:tcPr>
          <w:p>
            <w:pPr>
              <w:pStyle w:val="TableParagraph"/>
              <w:spacing w:line="197" w:lineRule="exact"/>
              <w:ind w:left="147"/>
              <w:jc w:val="left"/>
              <w:rPr>
                <w:b/>
                <w:i/>
                <w:sz w:val="18"/>
              </w:rPr>
            </w:pPr>
            <w:r>
              <w:rPr>
                <w:b/>
                <w:i/>
                <w:sz w:val="18"/>
              </w:rPr>
              <w:t>Rep.</w:t>
            </w:r>
          </w:p>
          <w:p>
            <w:pPr>
              <w:pStyle w:val="TableParagraph"/>
              <w:spacing w:line="204" w:lineRule="exact" w:before="9"/>
              <w:ind w:left="105"/>
              <w:jc w:val="left"/>
              <w:rPr>
                <w:b/>
                <w:i/>
                <w:sz w:val="18"/>
              </w:rPr>
            </w:pPr>
            <w:r>
              <w:rPr>
                <w:b/>
                <w:i/>
                <w:spacing w:val="-4"/>
                <w:sz w:val="18"/>
              </w:rPr>
              <w:t>Value</w:t>
            </w:r>
          </w:p>
        </w:tc>
        <w:tc>
          <w:tcPr>
            <w:tcW w:w="1157" w:type="dxa"/>
            <w:shd w:val="clear" w:color="auto" w:fill="E0EEE0"/>
          </w:tcPr>
          <w:p>
            <w:pPr>
              <w:pStyle w:val="TableParagraph"/>
              <w:spacing w:line="190" w:lineRule="exact"/>
              <w:ind w:left="328"/>
              <w:jc w:val="left"/>
              <w:rPr>
                <w:b/>
                <w:sz w:val="18"/>
              </w:rPr>
            </w:pPr>
            <w:r>
              <w:rPr>
                <w:b/>
                <w:sz w:val="18"/>
              </w:rPr>
              <w:t>Range</w:t>
            </w:r>
          </w:p>
        </w:tc>
        <w:tc>
          <w:tcPr>
            <w:tcW w:w="663" w:type="dxa"/>
            <w:vMerge w:val="restart"/>
            <w:tcBorders>
              <w:right w:val="double" w:sz="1" w:space="0" w:color="000000"/>
            </w:tcBorders>
            <w:shd w:val="clear" w:color="auto" w:fill="E0EEE0"/>
          </w:tcPr>
          <w:p>
            <w:pPr>
              <w:pStyle w:val="TableParagraph"/>
              <w:spacing w:line="197" w:lineRule="exact"/>
              <w:ind w:left="144"/>
              <w:jc w:val="left"/>
              <w:rPr>
                <w:b/>
                <w:i/>
                <w:sz w:val="18"/>
              </w:rPr>
            </w:pPr>
            <w:r>
              <w:rPr>
                <w:b/>
                <w:i/>
                <w:sz w:val="18"/>
              </w:rPr>
              <w:t>Rep.</w:t>
            </w:r>
          </w:p>
          <w:p>
            <w:pPr>
              <w:pStyle w:val="TableParagraph"/>
              <w:spacing w:line="204" w:lineRule="exact" w:before="9"/>
              <w:ind w:left="101"/>
              <w:jc w:val="left"/>
              <w:rPr>
                <w:b/>
                <w:i/>
                <w:sz w:val="18"/>
              </w:rPr>
            </w:pPr>
            <w:r>
              <w:rPr>
                <w:b/>
                <w:i/>
                <w:spacing w:val="-4"/>
                <w:sz w:val="18"/>
              </w:rPr>
              <w:t>Value</w:t>
            </w:r>
          </w:p>
        </w:tc>
        <w:tc>
          <w:tcPr>
            <w:tcW w:w="1127" w:type="dxa"/>
            <w:tcBorders>
              <w:left w:val="double" w:sz="1" w:space="0" w:color="000000"/>
            </w:tcBorders>
            <w:shd w:val="clear" w:color="auto" w:fill="E0EEE0"/>
          </w:tcPr>
          <w:p>
            <w:pPr>
              <w:pStyle w:val="TableParagraph"/>
              <w:spacing w:line="190" w:lineRule="exact"/>
              <w:ind w:left="322"/>
              <w:jc w:val="left"/>
              <w:rPr>
                <w:b/>
                <w:sz w:val="18"/>
              </w:rPr>
            </w:pPr>
            <w:r>
              <w:rPr>
                <w:b/>
                <w:sz w:val="18"/>
              </w:rPr>
              <w:t>Range</w:t>
            </w:r>
          </w:p>
        </w:tc>
        <w:tc>
          <w:tcPr>
            <w:tcW w:w="895" w:type="dxa"/>
            <w:vMerge w:val="restart"/>
            <w:shd w:val="clear" w:color="auto" w:fill="E0EEE0"/>
          </w:tcPr>
          <w:p>
            <w:pPr>
              <w:pStyle w:val="TableParagraph"/>
              <w:spacing w:line="197" w:lineRule="exact"/>
              <w:ind w:left="279"/>
              <w:jc w:val="left"/>
              <w:rPr>
                <w:b/>
                <w:i/>
                <w:sz w:val="18"/>
              </w:rPr>
            </w:pPr>
            <w:r>
              <w:rPr>
                <w:b/>
                <w:i/>
                <w:sz w:val="18"/>
              </w:rPr>
              <w:t>Rep.</w:t>
            </w:r>
          </w:p>
          <w:p>
            <w:pPr>
              <w:pStyle w:val="TableParagraph"/>
              <w:spacing w:line="204" w:lineRule="exact" w:before="9"/>
              <w:ind w:left="237"/>
              <w:jc w:val="left"/>
              <w:rPr>
                <w:b/>
                <w:i/>
                <w:sz w:val="18"/>
              </w:rPr>
            </w:pPr>
            <w:r>
              <w:rPr>
                <w:b/>
                <w:i/>
                <w:spacing w:val="-4"/>
                <w:sz w:val="18"/>
              </w:rPr>
              <w:t>Value</w:t>
            </w:r>
          </w:p>
        </w:tc>
        <w:tc>
          <w:tcPr>
            <w:tcW w:w="3181" w:type="dxa"/>
            <w:vMerge/>
            <w:tcBorders>
              <w:top w:val="nil"/>
            </w:tcBorders>
            <w:shd w:val="clear" w:color="auto" w:fill="E0EEE0"/>
          </w:tcPr>
          <w:p>
            <w:pPr>
              <w:rPr>
                <w:sz w:val="2"/>
                <w:szCs w:val="2"/>
              </w:rPr>
            </w:pPr>
          </w:p>
        </w:tc>
      </w:tr>
      <w:tr>
        <w:trPr>
          <w:trHeight w:val="210" w:hRule="atLeast"/>
        </w:trPr>
        <w:tc>
          <w:tcPr>
            <w:tcW w:w="3134" w:type="dxa"/>
            <w:vMerge/>
            <w:tcBorders>
              <w:top w:val="nil"/>
            </w:tcBorders>
            <w:shd w:val="clear" w:color="auto" w:fill="E0EEE0"/>
          </w:tcPr>
          <w:p>
            <w:pPr>
              <w:rPr>
                <w:sz w:val="2"/>
                <w:szCs w:val="2"/>
              </w:rPr>
            </w:pPr>
          </w:p>
        </w:tc>
        <w:tc>
          <w:tcPr>
            <w:tcW w:w="1010" w:type="dxa"/>
            <w:shd w:val="clear" w:color="auto" w:fill="E0EEE0"/>
          </w:tcPr>
          <w:p>
            <w:pPr>
              <w:pStyle w:val="TableParagraph"/>
              <w:tabs>
                <w:tab w:pos="515" w:val="left" w:leader="none"/>
              </w:tabs>
              <w:spacing w:line="190" w:lineRule="exact"/>
              <w:ind w:right="4"/>
              <w:rPr>
                <w:b/>
                <w:sz w:val="18"/>
              </w:rPr>
            </w:pPr>
            <w:r>
              <w:rPr>
                <w:b/>
                <w:sz w:val="18"/>
              </w:rPr>
              <w:t>low</w:t>
              <w:tab/>
              <w:t>high</w:t>
            </w:r>
          </w:p>
        </w:tc>
        <w:tc>
          <w:tcPr>
            <w:tcW w:w="517" w:type="dxa"/>
            <w:vMerge/>
            <w:tcBorders>
              <w:top w:val="nil"/>
            </w:tcBorders>
            <w:shd w:val="clear" w:color="auto" w:fill="E0EEE0"/>
          </w:tcPr>
          <w:p>
            <w:pPr>
              <w:rPr>
                <w:sz w:val="2"/>
                <w:szCs w:val="2"/>
              </w:rPr>
            </w:pPr>
          </w:p>
        </w:tc>
        <w:tc>
          <w:tcPr>
            <w:tcW w:w="1202" w:type="dxa"/>
            <w:shd w:val="clear" w:color="auto" w:fill="E0EEE0"/>
          </w:tcPr>
          <w:p>
            <w:pPr>
              <w:pStyle w:val="TableParagraph"/>
              <w:tabs>
                <w:tab w:pos="701" w:val="left" w:leader="none"/>
              </w:tabs>
              <w:spacing w:line="190" w:lineRule="exact"/>
              <w:ind w:left="81"/>
              <w:rPr>
                <w:b/>
                <w:sz w:val="18"/>
              </w:rPr>
            </w:pPr>
            <w:r>
              <w:rPr>
                <w:b/>
                <w:sz w:val="18"/>
              </w:rPr>
              <w:t>low</w:t>
              <w:tab/>
              <w:t>high</w:t>
            </w:r>
          </w:p>
        </w:tc>
        <w:tc>
          <w:tcPr>
            <w:tcW w:w="641" w:type="dxa"/>
            <w:vMerge/>
            <w:tcBorders>
              <w:top w:val="nil"/>
            </w:tcBorders>
            <w:shd w:val="clear" w:color="auto" w:fill="E0EEE0"/>
          </w:tcPr>
          <w:p>
            <w:pPr>
              <w:rPr>
                <w:sz w:val="2"/>
                <w:szCs w:val="2"/>
              </w:rPr>
            </w:pPr>
          </w:p>
        </w:tc>
        <w:tc>
          <w:tcPr>
            <w:tcW w:w="1157" w:type="dxa"/>
            <w:shd w:val="clear" w:color="auto" w:fill="E0EEE0"/>
          </w:tcPr>
          <w:p>
            <w:pPr>
              <w:pStyle w:val="TableParagraph"/>
              <w:tabs>
                <w:tab w:pos="587" w:val="left" w:leader="none"/>
              </w:tabs>
              <w:spacing w:line="190" w:lineRule="exact"/>
              <w:ind w:right="72"/>
              <w:jc w:val="right"/>
              <w:rPr>
                <w:b/>
                <w:sz w:val="18"/>
              </w:rPr>
            </w:pPr>
            <w:r>
              <w:rPr>
                <w:b/>
                <w:sz w:val="18"/>
              </w:rPr>
              <w:t>low</w:t>
              <w:tab/>
            </w:r>
            <w:r>
              <w:rPr>
                <w:b/>
                <w:spacing w:val="-1"/>
                <w:sz w:val="18"/>
              </w:rPr>
              <w:t>high</w:t>
            </w:r>
          </w:p>
        </w:tc>
        <w:tc>
          <w:tcPr>
            <w:tcW w:w="663" w:type="dxa"/>
            <w:vMerge/>
            <w:tcBorders>
              <w:top w:val="nil"/>
              <w:right w:val="double" w:sz="1" w:space="0" w:color="000000"/>
            </w:tcBorders>
            <w:shd w:val="clear" w:color="auto" w:fill="E0EEE0"/>
          </w:tcPr>
          <w:p>
            <w:pPr>
              <w:rPr>
                <w:sz w:val="2"/>
                <w:szCs w:val="2"/>
              </w:rPr>
            </w:pPr>
          </w:p>
        </w:tc>
        <w:tc>
          <w:tcPr>
            <w:tcW w:w="1127" w:type="dxa"/>
            <w:tcBorders>
              <w:left w:val="double" w:sz="1" w:space="0" w:color="000000"/>
            </w:tcBorders>
            <w:shd w:val="clear" w:color="auto" w:fill="E0EEE0"/>
          </w:tcPr>
          <w:p>
            <w:pPr>
              <w:pStyle w:val="TableParagraph"/>
              <w:tabs>
                <w:tab w:pos="701" w:val="left" w:leader="none"/>
              </w:tabs>
              <w:spacing w:line="190" w:lineRule="exact"/>
              <w:ind w:left="100"/>
              <w:jc w:val="left"/>
              <w:rPr>
                <w:b/>
                <w:sz w:val="18"/>
              </w:rPr>
            </w:pPr>
            <w:r>
              <w:rPr>
                <w:b/>
                <w:sz w:val="18"/>
              </w:rPr>
              <w:t>low</w:t>
              <w:tab/>
              <w:t>high</w:t>
            </w:r>
          </w:p>
        </w:tc>
        <w:tc>
          <w:tcPr>
            <w:tcW w:w="895" w:type="dxa"/>
            <w:vMerge/>
            <w:tcBorders>
              <w:top w:val="nil"/>
            </w:tcBorders>
            <w:shd w:val="clear" w:color="auto" w:fill="E0EEE0"/>
          </w:tcPr>
          <w:p>
            <w:pPr>
              <w:rPr>
                <w:sz w:val="2"/>
                <w:szCs w:val="2"/>
              </w:rPr>
            </w:pPr>
          </w:p>
        </w:tc>
        <w:tc>
          <w:tcPr>
            <w:tcW w:w="3181" w:type="dxa"/>
            <w:vMerge/>
            <w:tcBorders>
              <w:top w:val="nil"/>
            </w:tcBorders>
            <w:shd w:val="clear" w:color="auto" w:fill="E0EEE0"/>
          </w:tcPr>
          <w:p>
            <w:pPr>
              <w:rPr>
                <w:sz w:val="2"/>
                <w:szCs w:val="2"/>
              </w:rPr>
            </w:pPr>
          </w:p>
        </w:tc>
      </w:tr>
      <w:tr>
        <w:trPr>
          <w:trHeight w:val="426" w:hRule="atLeast"/>
        </w:trPr>
        <w:tc>
          <w:tcPr>
            <w:tcW w:w="3134" w:type="dxa"/>
            <w:shd w:val="clear" w:color="auto" w:fill="F9FCF9"/>
          </w:tcPr>
          <w:p>
            <w:pPr>
              <w:pStyle w:val="TableParagraph"/>
              <w:spacing w:line="197" w:lineRule="exact"/>
              <w:ind w:left="26"/>
              <w:jc w:val="left"/>
              <w:rPr>
                <w:sz w:val="18"/>
              </w:rPr>
            </w:pPr>
            <w:r>
              <w:rPr>
                <w:sz w:val="18"/>
              </w:rPr>
              <w:t>Emission rate without capture</w:t>
            </w:r>
          </w:p>
          <w:p>
            <w:pPr>
              <w:pStyle w:val="TableParagraph"/>
              <w:spacing w:line="171" w:lineRule="exact" w:before="9"/>
              <w:ind w:left="26"/>
              <w:jc w:val="left"/>
              <w:rPr>
                <w:sz w:val="18"/>
              </w:rPr>
            </w:pPr>
            <w:r>
              <w:rPr>
                <w:sz w:val="18"/>
              </w:rPr>
              <w:t>(kgCO MWh</w:t>
            </w:r>
            <w:r>
              <w:rPr>
                <w:position w:val="6"/>
                <w:sz w:val="10"/>
              </w:rPr>
              <w:t>−1</w:t>
            </w:r>
            <w:r>
              <w:rPr>
                <w:sz w:val="18"/>
              </w:rPr>
              <w:t>)</w:t>
            </w:r>
          </w:p>
          <w:p>
            <w:pPr>
              <w:pStyle w:val="TableParagraph"/>
              <w:spacing w:line="29" w:lineRule="exact"/>
              <w:ind w:left="516"/>
              <w:jc w:val="left"/>
              <w:rPr>
                <w:sz w:val="10"/>
              </w:rPr>
            </w:pPr>
            <w:r>
              <w:rPr>
                <w:w w:val="104"/>
                <w:sz w:val="10"/>
              </w:rPr>
              <w:t>2</w:t>
            </w:r>
          </w:p>
        </w:tc>
        <w:tc>
          <w:tcPr>
            <w:tcW w:w="1010" w:type="dxa"/>
            <w:shd w:val="clear" w:color="auto" w:fill="F9FCF9"/>
          </w:tcPr>
          <w:p>
            <w:pPr>
              <w:pStyle w:val="TableParagraph"/>
              <w:spacing w:line="197" w:lineRule="exact"/>
              <w:ind w:right="74"/>
              <w:rPr>
                <w:sz w:val="18"/>
              </w:rPr>
            </w:pPr>
            <w:r>
              <w:rPr>
                <w:sz w:val="18"/>
              </w:rPr>
              <w:t>344 - 379</w:t>
            </w:r>
          </w:p>
        </w:tc>
        <w:tc>
          <w:tcPr>
            <w:tcW w:w="517" w:type="dxa"/>
            <w:shd w:val="clear" w:color="auto" w:fill="F9FCF9"/>
          </w:tcPr>
          <w:p>
            <w:pPr>
              <w:pStyle w:val="TableParagraph"/>
              <w:spacing w:line="197" w:lineRule="exact"/>
              <w:ind w:left="98" w:right="98"/>
              <w:rPr>
                <w:i/>
                <w:sz w:val="18"/>
              </w:rPr>
            </w:pPr>
            <w:r>
              <w:rPr>
                <w:i/>
                <w:sz w:val="18"/>
              </w:rPr>
              <w:t>367</w:t>
            </w:r>
          </w:p>
        </w:tc>
        <w:tc>
          <w:tcPr>
            <w:tcW w:w="1202" w:type="dxa"/>
            <w:shd w:val="clear" w:color="auto" w:fill="F9FCF9"/>
          </w:tcPr>
          <w:p>
            <w:pPr>
              <w:pStyle w:val="TableParagraph"/>
              <w:spacing w:line="197" w:lineRule="exact"/>
              <w:ind w:left="5"/>
              <w:rPr>
                <w:sz w:val="18"/>
              </w:rPr>
            </w:pPr>
            <w:r>
              <w:rPr>
                <w:sz w:val="18"/>
              </w:rPr>
              <w:t>736 - 811</w:t>
            </w:r>
          </w:p>
        </w:tc>
        <w:tc>
          <w:tcPr>
            <w:tcW w:w="641" w:type="dxa"/>
            <w:shd w:val="clear" w:color="auto" w:fill="F9FCF9"/>
          </w:tcPr>
          <w:p>
            <w:pPr>
              <w:pStyle w:val="TableParagraph"/>
              <w:spacing w:line="197" w:lineRule="exact"/>
              <w:ind w:right="178"/>
              <w:jc w:val="right"/>
              <w:rPr>
                <w:i/>
                <w:sz w:val="18"/>
              </w:rPr>
            </w:pPr>
            <w:r>
              <w:rPr>
                <w:i/>
                <w:sz w:val="18"/>
              </w:rPr>
              <w:t>762</w:t>
            </w:r>
          </w:p>
        </w:tc>
        <w:tc>
          <w:tcPr>
            <w:tcW w:w="1157" w:type="dxa"/>
            <w:shd w:val="clear" w:color="auto" w:fill="F9FCF9"/>
          </w:tcPr>
          <w:p>
            <w:pPr>
              <w:pStyle w:val="TableParagraph"/>
              <w:spacing w:line="197" w:lineRule="exact"/>
              <w:ind w:left="144"/>
              <w:jc w:val="left"/>
              <w:rPr>
                <w:sz w:val="18"/>
              </w:rPr>
            </w:pPr>
            <w:r>
              <w:rPr>
                <w:sz w:val="18"/>
              </w:rPr>
              <w:t>682 - 846</w:t>
            </w:r>
          </w:p>
        </w:tc>
        <w:tc>
          <w:tcPr>
            <w:tcW w:w="663" w:type="dxa"/>
            <w:tcBorders>
              <w:right w:val="double" w:sz="1" w:space="0" w:color="000000"/>
            </w:tcBorders>
            <w:shd w:val="clear" w:color="auto" w:fill="F9FCF9"/>
          </w:tcPr>
          <w:p>
            <w:pPr>
              <w:pStyle w:val="TableParagraph"/>
              <w:spacing w:line="197" w:lineRule="exact"/>
              <w:ind w:left="113" w:right="130"/>
              <w:rPr>
                <w:i/>
                <w:sz w:val="18"/>
              </w:rPr>
            </w:pPr>
            <w:r>
              <w:rPr>
                <w:i/>
                <w:sz w:val="18"/>
              </w:rPr>
              <w:t>773</w:t>
            </w:r>
          </w:p>
        </w:tc>
        <w:tc>
          <w:tcPr>
            <w:tcW w:w="1127" w:type="dxa"/>
            <w:tcBorders>
              <w:left w:val="double" w:sz="1" w:space="0" w:color="000000"/>
            </w:tcBorders>
            <w:shd w:val="clear" w:color="auto" w:fill="F9FCF9"/>
          </w:tcPr>
          <w:p>
            <w:pPr>
              <w:pStyle w:val="TableParagraph"/>
              <w:spacing w:line="197" w:lineRule="exact"/>
              <w:ind w:left="190"/>
              <w:jc w:val="left"/>
              <w:rPr>
                <w:sz w:val="18"/>
              </w:rPr>
            </w:pPr>
            <w:r>
              <w:rPr>
                <w:sz w:val="18"/>
              </w:rPr>
              <w:t>78 - 174</w:t>
            </w:r>
          </w:p>
        </w:tc>
        <w:tc>
          <w:tcPr>
            <w:tcW w:w="895" w:type="dxa"/>
            <w:shd w:val="clear" w:color="auto" w:fill="F9FCF9"/>
          </w:tcPr>
          <w:p>
            <w:pPr>
              <w:pStyle w:val="TableParagraph"/>
              <w:spacing w:line="197" w:lineRule="exact"/>
              <w:ind w:right="300"/>
              <w:jc w:val="right"/>
              <w:rPr>
                <w:i/>
                <w:sz w:val="18"/>
              </w:rPr>
            </w:pPr>
            <w:r>
              <w:rPr>
                <w:i/>
                <w:sz w:val="18"/>
              </w:rPr>
              <w:t>137</w:t>
            </w:r>
          </w:p>
        </w:tc>
        <w:tc>
          <w:tcPr>
            <w:tcW w:w="3181" w:type="dxa"/>
            <w:shd w:val="clear" w:color="auto" w:fill="F9FCF9"/>
          </w:tcPr>
          <w:p>
            <w:pPr>
              <w:pStyle w:val="TableParagraph"/>
              <w:spacing w:line="161" w:lineRule="exact"/>
              <w:ind w:left="80"/>
              <w:jc w:val="left"/>
              <w:rPr>
                <w:sz w:val="18"/>
              </w:rPr>
            </w:pPr>
            <w:r>
              <w:rPr>
                <w:sz w:val="18"/>
              </w:rPr>
              <w:t>kgCO GJ</w:t>
            </w:r>
            <w:r>
              <w:rPr>
                <w:position w:val="6"/>
                <w:sz w:val="10"/>
              </w:rPr>
              <w:t>−1 </w:t>
            </w:r>
            <w:r>
              <w:rPr>
                <w:sz w:val="18"/>
              </w:rPr>
              <w:t>(without </w:t>
            </w:r>
            <w:bookmarkStart w:name="_bookmark61" w:id="117"/>
            <w:bookmarkEnd w:id="117"/>
            <w:r>
              <w:rPr>
                <w:sz w:val="18"/>
              </w:rPr>
              <w:t>capture)</w:t>
            </w:r>
          </w:p>
          <w:p>
            <w:pPr>
              <w:pStyle w:val="TableParagraph"/>
              <w:spacing w:line="79" w:lineRule="exact"/>
              <w:ind w:left="510"/>
              <w:jc w:val="left"/>
              <w:rPr>
                <w:sz w:val="10"/>
              </w:rPr>
            </w:pPr>
            <w:r>
              <w:rPr>
                <w:w w:val="104"/>
                <w:sz w:val="10"/>
              </w:rPr>
              <w:t>2</w:t>
            </w:r>
          </w:p>
        </w:tc>
      </w:tr>
      <w:tr>
        <w:trPr>
          <w:trHeight w:val="426" w:hRule="atLeast"/>
        </w:trPr>
        <w:tc>
          <w:tcPr>
            <w:tcW w:w="3134" w:type="dxa"/>
            <w:shd w:val="clear" w:color="auto" w:fill="F9FCF9"/>
          </w:tcPr>
          <w:p>
            <w:pPr>
              <w:pStyle w:val="TableParagraph"/>
              <w:spacing w:line="197" w:lineRule="exact"/>
              <w:ind w:left="26"/>
              <w:jc w:val="left"/>
              <w:rPr>
                <w:sz w:val="18"/>
              </w:rPr>
            </w:pPr>
            <w:r>
              <w:rPr>
                <w:sz w:val="18"/>
              </w:rPr>
              <w:t>Emission rate with</w:t>
            </w:r>
          </w:p>
          <w:p>
            <w:pPr>
              <w:pStyle w:val="TableParagraph"/>
              <w:spacing w:line="171" w:lineRule="exact" w:before="9"/>
              <w:ind w:left="26"/>
              <w:jc w:val="left"/>
              <w:rPr>
                <w:sz w:val="18"/>
              </w:rPr>
            </w:pPr>
            <w:r>
              <w:rPr>
                <w:sz w:val="18"/>
              </w:rPr>
              <w:t>capture (kgCO MWh</w:t>
            </w:r>
            <w:r>
              <w:rPr>
                <w:position w:val="6"/>
                <w:sz w:val="10"/>
              </w:rPr>
              <w:t>−1</w:t>
            </w:r>
            <w:r>
              <w:rPr>
                <w:sz w:val="18"/>
              </w:rPr>
              <w:t>)</w:t>
            </w:r>
          </w:p>
          <w:p>
            <w:pPr>
              <w:pStyle w:val="TableParagraph"/>
              <w:spacing w:line="29" w:lineRule="exact"/>
              <w:ind w:right="887"/>
              <w:rPr>
                <w:sz w:val="10"/>
              </w:rPr>
            </w:pPr>
            <w:r>
              <w:rPr>
                <w:w w:val="104"/>
                <w:sz w:val="10"/>
              </w:rPr>
              <w:t>2</w:t>
            </w:r>
          </w:p>
        </w:tc>
        <w:tc>
          <w:tcPr>
            <w:tcW w:w="1010" w:type="dxa"/>
            <w:shd w:val="clear" w:color="auto" w:fill="F9FCF9"/>
          </w:tcPr>
          <w:p>
            <w:pPr>
              <w:pStyle w:val="TableParagraph"/>
              <w:spacing w:line="197" w:lineRule="exact"/>
              <w:ind w:right="74"/>
              <w:rPr>
                <w:sz w:val="18"/>
              </w:rPr>
            </w:pPr>
            <w:r>
              <w:rPr>
                <w:sz w:val="18"/>
              </w:rPr>
              <w:t>40 - 66</w:t>
            </w:r>
          </w:p>
        </w:tc>
        <w:tc>
          <w:tcPr>
            <w:tcW w:w="517" w:type="dxa"/>
            <w:shd w:val="clear" w:color="auto" w:fill="F9FCF9"/>
          </w:tcPr>
          <w:p>
            <w:pPr>
              <w:pStyle w:val="TableParagraph"/>
              <w:spacing w:line="197" w:lineRule="exact"/>
              <w:ind w:left="98" w:right="98"/>
              <w:rPr>
                <w:i/>
                <w:sz w:val="18"/>
              </w:rPr>
            </w:pPr>
            <w:r>
              <w:rPr>
                <w:i/>
                <w:sz w:val="18"/>
              </w:rPr>
              <w:t>52</w:t>
            </w:r>
          </w:p>
        </w:tc>
        <w:tc>
          <w:tcPr>
            <w:tcW w:w="1202" w:type="dxa"/>
            <w:shd w:val="clear" w:color="auto" w:fill="F9FCF9"/>
          </w:tcPr>
          <w:p>
            <w:pPr>
              <w:pStyle w:val="TableParagraph"/>
              <w:spacing w:line="197" w:lineRule="exact"/>
              <w:ind w:left="101"/>
              <w:rPr>
                <w:sz w:val="18"/>
              </w:rPr>
            </w:pPr>
            <w:r>
              <w:rPr>
                <w:sz w:val="18"/>
              </w:rPr>
              <w:t>92 - 145</w:t>
            </w:r>
          </w:p>
        </w:tc>
        <w:tc>
          <w:tcPr>
            <w:tcW w:w="641" w:type="dxa"/>
            <w:shd w:val="clear" w:color="auto" w:fill="F9FCF9"/>
          </w:tcPr>
          <w:p>
            <w:pPr>
              <w:pStyle w:val="TableParagraph"/>
              <w:spacing w:line="197" w:lineRule="exact"/>
              <w:ind w:right="185"/>
              <w:jc w:val="right"/>
              <w:rPr>
                <w:i/>
                <w:sz w:val="18"/>
              </w:rPr>
            </w:pPr>
            <w:r>
              <w:rPr>
                <w:i/>
                <w:sz w:val="18"/>
              </w:rPr>
              <w:t>112</w:t>
            </w:r>
          </w:p>
        </w:tc>
        <w:tc>
          <w:tcPr>
            <w:tcW w:w="1157" w:type="dxa"/>
            <w:shd w:val="clear" w:color="auto" w:fill="F9FCF9"/>
          </w:tcPr>
          <w:p>
            <w:pPr>
              <w:pStyle w:val="TableParagraph"/>
              <w:spacing w:line="197" w:lineRule="exact"/>
              <w:ind w:left="234"/>
              <w:jc w:val="left"/>
              <w:rPr>
                <w:sz w:val="18"/>
              </w:rPr>
            </w:pPr>
            <w:r>
              <w:rPr>
                <w:sz w:val="18"/>
              </w:rPr>
              <w:t>65 - 152</w:t>
            </w:r>
          </w:p>
        </w:tc>
        <w:tc>
          <w:tcPr>
            <w:tcW w:w="663" w:type="dxa"/>
            <w:tcBorders>
              <w:right w:val="double" w:sz="1" w:space="0" w:color="000000"/>
            </w:tcBorders>
            <w:shd w:val="clear" w:color="auto" w:fill="F9FCF9"/>
          </w:tcPr>
          <w:p>
            <w:pPr>
              <w:pStyle w:val="TableParagraph"/>
              <w:spacing w:line="197" w:lineRule="exact"/>
              <w:ind w:left="113" w:right="130"/>
              <w:rPr>
                <w:i/>
                <w:sz w:val="18"/>
              </w:rPr>
            </w:pPr>
            <w:r>
              <w:rPr>
                <w:i/>
                <w:sz w:val="18"/>
              </w:rPr>
              <w:t>108</w:t>
            </w:r>
          </w:p>
        </w:tc>
        <w:tc>
          <w:tcPr>
            <w:tcW w:w="1127" w:type="dxa"/>
            <w:tcBorders>
              <w:left w:val="double" w:sz="1" w:space="0" w:color="000000"/>
            </w:tcBorders>
            <w:shd w:val="clear" w:color="auto" w:fill="F9FCF9"/>
          </w:tcPr>
          <w:p>
            <w:pPr>
              <w:pStyle w:val="TableParagraph"/>
              <w:spacing w:line="197" w:lineRule="exact"/>
              <w:ind w:left="280"/>
              <w:jc w:val="left"/>
              <w:rPr>
                <w:sz w:val="18"/>
              </w:rPr>
            </w:pPr>
            <w:r>
              <w:rPr>
                <w:sz w:val="18"/>
              </w:rPr>
              <w:t>7 - 28</w:t>
            </w:r>
          </w:p>
        </w:tc>
        <w:tc>
          <w:tcPr>
            <w:tcW w:w="895" w:type="dxa"/>
            <w:shd w:val="clear" w:color="auto" w:fill="F9FCF9"/>
          </w:tcPr>
          <w:p>
            <w:pPr>
              <w:pStyle w:val="TableParagraph"/>
              <w:spacing w:line="197" w:lineRule="exact"/>
              <w:ind w:right="345"/>
              <w:jc w:val="right"/>
              <w:rPr>
                <w:i/>
                <w:sz w:val="18"/>
              </w:rPr>
            </w:pPr>
            <w:r>
              <w:rPr>
                <w:i/>
                <w:sz w:val="18"/>
              </w:rPr>
              <w:t>17</w:t>
            </w:r>
          </w:p>
        </w:tc>
        <w:tc>
          <w:tcPr>
            <w:tcW w:w="3181" w:type="dxa"/>
            <w:shd w:val="clear" w:color="auto" w:fill="F9FCF9"/>
          </w:tcPr>
          <w:p>
            <w:pPr>
              <w:pStyle w:val="TableParagraph"/>
              <w:spacing w:line="161" w:lineRule="exact"/>
              <w:ind w:left="80"/>
              <w:jc w:val="left"/>
              <w:rPr>
                <w:sz w:val="18"/>
              </w:rPr>
            </w:pPr>
            <w:r>
              <w:rPr>
                <w:sz w:val="18"/>
              </w:rPr>
              <w:t>kgCO GJ</w:t>
            </w:r>
            <w:r>
              <w:rPr>
                <w:position w:val="6"/>
                <w:sz w:val="10"/>
              </w:rPr>
              <w:t>−1 </w:t>
            </w:r>
            <w:r>
              <w:rPr>
                <w:sz w:val="18"/>
              </w:rPr>
              <w:t>(with capture)</w:t>
            </w:r>
          </w:p>
          <w:p>
            <w:pPr>
              <w:pStyle w:val="TableParagraph"/>
              <w:spacing w:line="79" w:lineRule="exact"/>
              <w:ind w:left="510"/>
              <w:jc w:val="left"/>
              <w:rPr>
                <w:sz w:val="10"/>
              </w:rPr>
            </w:pPr>
            <w:r>
              <w:rPr>
                <w:w w:val="104"/>
                <w:sz w:val="10"/>
              </w:rPr>
              <w:t>2</w:t>
            </w:r>
          </w:p>
        </w:tc>
      </w:tr>
      <w:tr>
        <w:trPr>
          <w:trHeight w:val="426" w:hRule="atLeast"/>
        </w:trPr>
        <w:tc>
          <w:tcPr>
            <w:tcW w:w="3134" w:type="dxa"/>
            <w:shd w:val="clear" w:color="auto" w:fill="F9FCF9"/>
          </w:tcPr>
          <w:p>
            <w:pPr>
              <w:pStyle w:val="TableParagraph"/>
              <w:spacing w:line="223" w:lineRule="exact"/>
              <w:ind w:left="26"/>
              <w:jc w:val="left"/>
              <w:rPr>
                <w:sz w:val="18"/>
              </w:rPr>
            </w:pPr>
            <w:r>
              <w:rPr>
                <w:sz w:val="18"/>
              </w:rPr>
              <w:t>Percent CO</w:t>
            </w:r>
            <w:r>
              <w:rPr>
                <w:position w:val="-5"/>
                <w:sz w:val="10"/>
              </w:rPr>
              <w:t>2 </w:t>
            </w:r>
            <w:r>
              <w:rPr>
                <w:sz w:val="18"/>
              </w:rPr>
              <w:t>reduction</w:t>
            </w:r>
          </w:p>
          <w:p>
            <w:pPr>
              <w:pStyle w:val="TableParagraph"/>
              <w:spacing w:line="183" w:lineRule="exact"/>
              <w:ind w:left="26"/>
              <w:jc w:val="left"/>
              <w:rPr>
                <w:sz w:val="18"/>
              </w:rPr>
            </w:pPr>
            <w:r>
              <w:rPr>
                <w:sz w:val="18"/>
              </w:rPr>
              <w:t>per kWh (%)</w:t>
            </w:r>
          </w:p>
        </w:tc>
        <w:tc>
          <w:tcPr>
            <w:tcW w:w="1010" w:type="dxa"/>
            <w:shd w:val="clear" w:color="auto" w:fill="F9FCF9"/>
          </w:tcPr>
          <w:p>
            <w:pPr>
              <w:pStyle w:val="TableParagraph"/>
              <w:spacing w:line="197" w:lineRule="exact"/>
              <w:ind w:right="74"/>
              <w:rPr>
                <w:sz w:val="18"/>
              </w:rPr>
            </w:pPr>
            <w:r>
              <w:rPr>
                <w:sz w:val="18"/>
              </w:rPr>
              <w:t>83 - 88</w:t>
            </w:r>
          </w:p>
        </w:tc>
        <w:tc>
          <w:tcPr>
            <w:tcW w:w="517" w:type="dxa"/>
            <w:shd w:val="clear" w:color="auto" w:fill="F9FCF9"/>
          </w:tcPr>
          <w:p>
            <w:pPr>
              <w:pStyle w:val="TableParagraph"/>
              <w:spacing w:line="197" w:lineRule="exact"/>
              <w:ind w:left="98" w:right="98"/>
              <w:rPr>
                <w:i/>
                <w:sz w:val="18"/>
              </w:rPr>
            </w:pPr>
            <w:r>
              <w:rPr>
                <w:i/>
                <w:sz w:val="18"/>
              </w:rPr>
              <w:t>86</w:t>
            </w:r>
          </w:p>
        </w:tc>
        <w:tc>
          <w:tcPr>
            <w:tcW w:w="1202" w:type="dxa"/>
            <w:shd w:val="clear" w:color="auto" w:fill="F9FCF9"/>
          </w:tcPr>
          <w:p>
            <w:pPr>
              <w:pStyle w:val="TableParagraph"/>
              <w:spacing w:line="197" w:lineRule="exact"/>
              <w:ind w:left="11"/>
              <w:rPr>
                <w:sz w:val="18"/>
              </w:rPr>
            </w:pPr>
            <w:r>
              <w:rPr>
                <w:sz w:val="18"/>
              </w:rPr>
              <w:t>81 - 88</w:t>
            </w:r>
          </w:p>
        </w:tc>
        <w:tc>
          <w:tcPr>
            <w:tcW w:w="641" w:type="dxa"/>
            <w:shd w:val="clear" w:color="auto" w:fill="F9FCF9"/>
          </w:tcPr>
          <w:p>
            <w:pPr>
              <w:pStyle w:val="TableParagraph"/>
              <w:spacing w:line="197" w:lineRule="exact"/>
              <w:ind w:right="223"/>
              <w:jc w:val="right"/>
              <w:rPr>
                <w:i/>
                <w:sz w:val="18"/>
              </w:rPr>
            </w:pPr>
            <w:r>
              <w:rPr>
                <w:i/>
                <w:sz w:val="18"/>
              </w:rPr>
              <w:t>85</w:t>
            </w:r>
          </w:p>
        </w:tc>
        <w:tc>
          <w:tcPr>
            <w:tcW w:w="1157" w:type="dxa"/>
            <w:shd w:val="clear" w:color="auto" w:fill="F9FCF9"/>
          </w:tcPr>
          <w:p>
            <w:pPr>
              <w:pStyle w:val="TableParagraph"/>
              <w:spacing w:line="197" w:lineRule="exact"/>
              <w:ind w:left="234"/>
              <w:jc w:val="left"/>
              <w:rPr>
                <w:sz w:val="18"/>
              </w:rPr>
            </w:pPr>
            <w:r>
              <w:rPr>
                <w:sz w:val="18"/>
              </w:rPr>
              <w:t>81 - 91</w:t>
            </w:r>
          </w:p>
        </w:tc>
        <w:tc>
          <w:tcPr>
            <w:tcW w:w="663" w:type="dxa"/>
            <w:tcBorders>
              <w:right w:val="double" w:sz="1" w:space="0" w:color="000000"/>
            </w:tcBorders>
            <w:shd w:val="clear" w:color="auto" w:fill="F9FCF9"/>
          </w:tcPr>
          <w:p>
            <w:pPr>
              <w:pStyle w:val="TableParagraph"/>
              <w:spacing w:line="197" w:lineRule="exact"/>
              <w:ind w:left="113" w:right="130"/>
              <w:rPr>
                <w:i/>
                <w:sz w:val="18"/>
              </w:rPr>
            </w:pPr>
            <w:r>
              <w:rPr>
                <w:i/>
                <w:sz w:val="18"/>
              </w:rPr>
              <w:t>86</w:t>
            </w:r>
          </w:p>
        </w:tc>
        <w:tc>
          <w:tcPr>
            <w:tcW w:w="1127" w:type="dxa"/>
            <w:tcBorders>
              <w:left w:val="double" w:sz="1" w:space="0" w:color="000000"/>
            </w:tcBorders>
            <w:shd w:val="clear" w:color="auto" w:fill="F9FCF9"/>
          </w:tcPr>
          <w:p>
            <w:pPr>
              <w:pStyle w:val="TableParagraph"/>
              <w:spacing w:line="197" w:lineRule="exact"/>
              <w:ind w:left="190"/>
              <w:jc w:val="left"/>
              <w:rPr>
                <w:sz w:val="18"/>
              </w:rPr>
            </w:pPr>
            <w:r>
              <w:rPr>
                <w:sz w:val="18"/>
              </w:rPr>
              <w:t>72 - 96</w:t>
            </w:r>
          </w:p>
        </w:tc>
        <w:tc>
          <w:tcPr>
            <w:tcW w:w="895" w:type="dxa"/>
            <w:shd w:val="clear" w:color="auto" w:fill="F9FCF9"/>
          </w:tcPr>
          <w:p>
            <w:pPr>
              <w:pStyle w:val="TableParagraph"/>
              <w:spacing w:line="197" w:lineRule="exact"/>
              <w:ind w:right="345"/>
              <w:jc w:val="right"/>
              <w:rPr>
                <w:i/>
                <w:sz w:val="18"/>
              </w:rPr>
            </w:pPr>
            <w:r>
              <w:rPr>
                <w:i/>
                <w:sz w:val="18"/>
              </w:rPr>
              <w:t>86</w:t>
            </w:r>
          </w:p>
        </w:tc>
        <w:tc>
          <w:tcPr>
            <w:tcW w:w="3181" w:type="dxa"/>
            <w:shd w:val="clear" w:color="auto" w:fill="F9FCF9"/>
          </w:tcPr>
          <w:p>
            <w:pPr>
              <w:pStyle w:val="TableParagraph"/>
              <w:spacing w:line="197" w:lineRule="exact"/>
              <w:ind w:left="80"/>
              <w:jc w:val="left"/>
              <w:rPr>
                <w:sz w:val="18"/>
              </w:rPr>
            </w:pPr>
            <w:r>
              <w:rPr>
                <w:sz w:val="18"/>
              </w:rPr>
              <w:t>% reduction/unit of product</w:t>
            </w:r>
          </w:p>
        </w:tc>
      </w:tr>
      <w:tr>
        <w:trPr>
          <w:trHeight w:val="426" w:hRule="atLeast"/>
        </w:trPr>
        <w:tc>
          <w:tcPr>
            <w:tcW w:w="3134" w:type="dxa"/>
            <w:shd w:val="clear" w:color="auto" w:fill="F9FCF9"/>
          </w:tcPr>
          <w:p>
            <w:pPr>
              <w:pStyle w:val="TableParagraph"/>
              <w:spacing w:line="197" w:lineRule="exact"/>
              <w:ind w:left="26"/>
              <w:jc w:val="left"/>
              <w:rPr>
                <w:sz w:val="18"/>
              </w:rPr>
            </w:pPr>
            <w:r>
              <w:rPr>
                <w:sz w:val="18"/>
              </w:rPr>
              <w:t>Plant efficiency with</w:t>
            </w:r>
          </w:p>
          <w:p>
            <w:pPr>
              <w:pStyle w:val="TableParagraph"/>
              <w:spacing w:line="200" w:lineRule="exact" w:before="9"/>
              <w:ind w:left="26"/>
              <w:jc w:val="left"/>
              <w:rPr>
                <w:sz w:val="18"/>
              </w:rPr>
            </w:pPr>
            <w:r>
              <w:rPr>
                <w:sz w:val="18"/>
              </w:rPr>
              <w:t>capture, LHV basis (% )</w:t>
            </w:r>
          </w:p>
        </w:tc>
        <w:tc>
          <w:tcPr>
            <w:tcW w:w="1010" w:type="dxa"/>
            <w:shd w:val="clear" w:color="auto" w:fill="F9FCF9"/>
          </w:tcPr>
          <w:p>
            <w:pPr>
              <w:pStyle w:val="TableParagraph"/>
              <w:spacing w:line="197" w:lineRule="exact"/>
              <w:ind w:right="74"/>
              <w:rPr>
                <w:sz w:val="18"/>
              </w:rPr>
            </w:pPr>
            <w:r>
              <w:rPr>
                <w:sz w:val="18"/>
              </w:rPr>
              <w:t>47 - 50</w:t>
            </w:r>
          </w:p>
        </w:tc>
        <w:tc>
          <w:tcPr>
            <w:tcW w:w="517" w:type="dxa"/>
            <w:shd w:val="clear" w:color="auto" w:fill="F9FCF9"/>
          </w:tcPr>
          <w:p>
            <w:pPr>
              <w:pStyle w:val="TableParagraph"/>
              <w:spacing w:line="197" w:lineRule="exact"/>
              <w:ind w:left="98" w:right="98"/>
              <w:rPr>
                <w:i/>
                <w:sz w:val="18"/>
              </w:rPr>
            </w:pPr>
            <w:r>
              <w:rPr>
                <w:i/>
                <w:sz w:val="18"/>
              </w:rPr>
              <w:t>48</w:t>
            </w:r>
          </w:p>
        </w:tc>
        <w:tc>
          <w:tcPr>
            <w:tcW w:w="1202" w:type="dxa"/>
            <w:shd w:val="clear" w:color="auto" w:fill="F9FCF9"/>
          </w:tcPr>
          <w:p>
            <w:pPr>
              <w:pStyle w:val="TableParagraph"/>
              <w:spacing w:line="197" w:lineRule="exact"/>
              <w:ind w:left="11"/>
              <w:rPr>
                <w:sz w:val="18"/>
              </w:rPr>
            </w:pPr>
            <w:r>
              <w:rPr>
                <w:sz w:val="18"/>
              </w:rPr>
              <w:t>30 - 35</w:t>
            </w:r>
          </w:p>
        </w:tc>
        <w:tc>
          <w:tcPr>
            <w:tcW w:w="641" w:type="dxa"/>
            <w:shd w:val="clear" w:color="auto" w:fill="F9FCF9"/>
          </w:tcPr>
          <w:p>
            <w:pPr>
              <w:pStyle w:val="TableParagraph"/>
              <w:spacing w:line="197" w:lineRule="exact"/>
              <w:ind w:right="223"/>
              <w:jc w:val="right"/>
              <w:rPr>
                <w:i/>
                <w:sz w:val="18"/>
              </w:rPr>
            </w:pPr>
            <w:r>
              <w:rPr>
                <w:i/>
                <w:sz w:val="18"/>
              </w:rPr>
              <w:t>33</w:t>
            </w:r>
          </w:p>
        </w:tc>
        <w:tc>
          <w:tcPr>
            <w:tcW w:w="1157" w:type="dxa"/>
            <w:shd w:val="clear" w:color="auto" w:fill="F9FCF9"/>
          </w:tcPr>
          <w:p>
            <w:pPr>
              <w:pStyle w:val="TableParagraph"/>
              <w:spacing w:line="197" w:lineRule="exact"/>
              <w:ind w:left="234"/>
              <w:jc w:val="left"/>
              <w:rPr>
                <w:sz w:val="18"/>
              </w:rPr>
            </w:pPr>
            <w:r>
              <w:rPr>
                <w:sz w:val="18"/>
              </w:rPr>
              <w:t>31 - 40</w:t>
            </w:r>
          </w:p>
        </w:tc>
        <w:tc>
          <w:tcPr>
            <w:tcW w:w="663" w:type="dxa"/>
            <w:tcBorders>
              <w:right w:val="double" w:sz="1" w:space="0" w:color="000000"/>
            </w:tcBorders>
            <w:shd w:val="clear" w:color="auto" w:fill="F9FCF9"/>
          </w:tcPr>
          <w:p>
            <w:pPr>
              <w:pStyle w:val="TableParagraph"/>
              <w:spacing w:line="197" w:lineRule="exact"/>
              <w:ind w:left="113" w:right="130"/>
              <w:rPr>
                <w:i/>
                <w:sz w:val="18"/>
              </w:rPr>
            </w:pPr>
            <w:r>
              <w:rPr>
                <w:i/>
                <w:sz w:val="18"/>
              </w:rPr>
              <w:t>35</w:t>
            </w:r>
          </w:p>
        </w:tc>
        <w:tc>
          <w:tcPr>
            <w:tcW w:w="1127" w:type="dxa"/>
            <w:tcBorders>
              <w:left w:val="double" w:sz="1" w:space="0" w:color="000000"/>
            </w:tcBorders>
            <w:shd w:val="clear" w:color="auto" w:fill="F9FCF9"/>
          </w:tcPr>
          <w:p>
            <w:pPr>
              <w:pStyle w:val="TableParagraph"/>
              <w:spacing w:line="197" w:lineRule="exact"/>
              <w:ind w:left="190"/>
              <w:jc w:val="left"/>
              <w:rPr>
                <w:sz w:val="18"/>
              </w:rPr>
            </w:pPr>
            <w:r>
              <w:rPr>
                <w:sz w:val="18"/>
              </w:rPr>
              <w:t>52 - 68</w:t>
            </w:r>
          </w:p>
        </w:tc>
        <w:tc>
          <w:tcPr>
            <w:tcW w:w="895" w:type="dxa"/>
            <w:shd w:val="clear" w:color="auto" w:fill="F9FCF9"/>
          </w:tcPr>
          <w:p>
            <w:pPr>
              <w:pStyle w:val="TableParagraph"/>
              <w:spacing w:line="197" w:lineRule="exact"/>
              <w:ind w:right="345"/>
              <w:jc w:val="right"/>
              <w:rPr>
                <w:i/>
                <w:sz w:val="18"/>
              </w:rPr>
            </w:pPr>
            <w:r>
              <w:rPr>
                <w:i/>
                <w:sz w:val="18"/>
              </w:rPr>
              <w:t>60</w:t>
            </w:r>
          </w:p>
        </w:tc>
        <w:tc>
          <w:tcPr>
            <w:tcW w:w="3181" w:type="dxa"/>
            <w:shd w:val="clear" w:color="auto" w:fill="F9FCF9"/>
          </w:tcPr>
          <w:p>
            <w:pPr>
              <w:pStyle w:val="TableParagraph"/>
              <w:spacing w:line="197" w:lineRule="exact"/>
              <w:ind w:left="80"/>
              <w:jc w:val="left"/>
              <w:rPr>
                <w:sz w:val="18"/>
              </w:rPr>
            </w:pPr>
            <w:r>
              <w:rPr>
                <w:sz w:val="18"/>
              </w:rPr>
              <w:t>Capture plant efficiency (% LHV)</w:t>
            </w:r>
          </w:p>
        </w:tc>
      </w:tr>
      <w:tr>
        <w:trPr>
          <w:trHeight w:val="426" w:hRule="atLeast"/>
        </w:trPr>
        <w:tc>
          <w:tcPr>
            <w:tcW w:w="3134" w:type="dxa"/>
            <w:shd w:val="clear" w:color="auto" w:fill="F9FCF9"/>
          </w:tcPr>
          <w:p>
            <w:pPr>
              <w:pStyle w:val="TableParagraph"/>
              <w:spacing w:line="197" w:lineRule="exact"/>
              <w:ind w:left="26"/>
              <w:jc w:val="left"/>
              <w:rPr>
                <w:sz w:val="18"/>
              </w:rPr>
            </w:pPr>
            <w:r>
              <w:rPr>
                <w:sz w:val="18"/>
              </w:rPr>
              <w:t>Capture energy requirement</w:t>
            </w:r>
          </w:p>
          <w:p>
            <w:pPr>
              <w:pStyle w:val="TableParagraph"/>
              <w:spacing w:line="200" w:lineRule="exact" w:before="9"/>
              <w:ind w:left="26"/>
              <w:jc w:val="left"/>
              <w:rPr>
                <w:sz w:val="18"/>
              </w:rPr>
            </w:pPr>
            <w:r>
              <w:rPr>
                <w:sz w:val="18"/>
              </w:rPr>
              <w:t>(% more input MWh</w:t>
            </w:r>
            <w:r>
              <w:rPr>
                <w:position w:val="6"/>
                <w:sz w:val="10"/>
              </w:rPr>
              <w:t>−1</w:t>
            </w:r>
            <w:r>
              <w:rPr>
                <w:sz w:val="18"/>
              </w:rPr>
              <w:t>)</w:t>
            </w:r>
          </w:p>
        </w:tc>
        <w:tc>
          <w:tcPr>
            <w:tcW w:w="1010" w:type="dxa"/>
            <w:shd w:val="clear" w:color="auto" w:fill="F9FCF9"/>
          </w:tcPr>
          <w:p>
            <w:pPr>
              <w:pStyle w:val="TableParagraph"/>
              <w:spacing w:line="197" w:lineRule="exact"/>
              <w:ind w:right="67"/>
              <w:rPr>
                <w:sz w:val="18"/>
              </w:rPr>
            </w:pPr>
            <w:r>
              <w:rPr>
                <w:sz w:val="18"/>
              </w:rPr>
              <w:t>11 - 22</w:t>
            </w:r>
          </w:p>
        </w:tc>
        <w:tc>
          <w:tcPr>
            <w:tcW w:w="517" w:type="dxa"/>
            <w:shd w:val="clear" w:color="auto" w:fill="F9FCF9"/>
          </w:tcPr>
          <w:p>
            <w:pPr>
              <w:pStyle w:val="TableParagraph"/>
              <w:spacing w:line="197" w:lineRule="exact"/>
              <w:ind w:left="98" w:right="98"/>
              <w:rPr>
                <w:i/>
                <w:sz w:val="18"/>
              </w:rPr>
            </w:pPr>
            <w:r>
              <w:rPr>
                <w:i/>
                <w:sz w:val="18"/>
              </w:rPr>
              <w:t>16</w:t>
            </w:r>
          </w:p>
        </w:tc>
        <w:tc>
          <w:tcPr>
            <w:tcW w:w="1202" w:type="dxa"/>
            <w:shd w:val="clear" w:color="auto" w:fill="F9FCF9"/>
          </w:tcPr>
          <w:p>
            <w:pPr>
              <w:pStyle w:val="TableParagraph"/>
              <w:spacing w:line="197" w:lineRule="exact"/>
              <w:ind w:left="11"/>
              <w:rPr>
                <w:sz w:val="18"/>
              </w:rPr>
            </w:pPr>
            <w:r>
              <w:rPr>
                <w:sz w:val="18"/>
              </w:rPr>
              <w:t>24 - 40</w:t>
            </w:r>
          </w:p>
        </w:tc>
        <w:tc>
          <w:tcPr>
            <w:tcW w:w="641" w:type="dxa"/>
            <w:shd w:val="clear" w:color="auto" w:fill="F9FCF9"/>
          </w:tcPr>
          <w:p>
            <w:pPr>
              <w:pStyle w:val="TableParagraph"/>
              <w:spacing w:line="197" w:lineRule="exact"/>
              <w:ind w:right="223"/>
              <w:jc w:val="right"/>
              <w:rPr>
                <w:i/>
                <w:sz w:val="18"/>
              </w:rPr>
            </w:pPr>
            <w:r>
              <w:rPr>
                <w:i/>
                <w:sz w:val="18"/>
              </w:rPr>
              <w:t>31</w:t>
            </w:r>
          </w:p>
        </w:tc>
        <w:tc>
          <w:tcPr>
            <w:tcW w:w="1157" w:type="dxa"/>
            <w:shd w:val="clear" w:color="auto" w:fill="F9FCF9"/>
          </w:tcPr>
          <w:p>
            <w:pPr>
              <w:pStyle w:val="TableParagraph"/>
              <w:spacing w:line="197" w:lineRule="exact"/>
              <w:ind w:left="234"/>
              <w:jc w:val="left"/>
              <w:rPr>
                <w:sz w:val="18"/>
              </w:rPr>
            </w:pPr>
            <w:r>
              <w:rPr>
                <w:sz w:val="18"/>
              </w:rPr>
              <w:t>14 - 25</w:t>
            </w:r>
          </w:p>
        </w:tc>
        <w:tc>
          <w:tcPr>
            <w:tcW w:w="663" w:type="dxa"/>
            <w:tcBorders>
              <w:right w:val="double" w:sz="1" w:space="0" w:color="000000"/>
            </w:tcBorders>
            <w:shd w:val="clear" w:color="auto" w:fill="F9FCF9"/>
          </w:tcPr>
          <w:p>
            <w:pPr>
              <w:pStyle w:val="TableParagraph"/>
              <w:spacing w:line="197" w:lineRule="exact"/>
              <w:ind w:left="113" w:right="130"/>
              <w:rPr>
                <w:i/>
                <w:sz w:val="18"/>
              </w:rPr>
            </w:pPr>
            <w:r>
              <w:rPr>
                <w:i/>
                <w:sz w:val="18"/>
              </w:rPr>
              <w:t>19</w:t>
            </w:r>
          </w:p>
        </w:tc>
        <w:tc>
          <w:tcPr>
            <w:tcW w:w="1127" w:type="dxa"/>
            <w:tcBorders>
              <w:left w:val="double" w:sz="1" w:space="0" w:color="000000"/>
            </w:tcBorders>
            <w:shd w:val="clear" w:color="auto" w:fill="F9FCF9"/>
          </w:tcPr>
          <w:p>
            <w:pPr>
              <w:pStyle w:val="TableParagraph"/>
              <w:spacing w:line="197" w:lineRule="exact"/>
              <w:ind w:left="280"/>
              <w:jc w:val="left"/>
              <w:rPr>
                <w:sz w:val="18"/>
              </w:rPr>
            </w:pPr>
            <w:r>
              <w:rPr>
                <w:sz w:val="18"/>
              </w:rPr>
              <w:t>4 - 22</w:t>
            </w:r>
          </w:p>
        </w:tc>
        <w:tc>
          <w:tcPr>
            <w:tcW w:w="895" w:type="dxa"/>
            <w:shd w:val="clear" w:color="auto" w:fill="F9FCF9"/>
          </w:tcPr>
          <w:p>
            <w:pPr>
              <w:pStyle w:val="TableParagraph"/>
              <w:spacing w:line="197" w:lineRule="exact"/>
              <w:ind w:right="390"/>
              <w:jc w:val="right"/>
              <w:rPr>
                <w:i/>
                <w:sz w:val="18"/>
              </w:rPr>
            </w:pPr>
            <w:r>
              <w:rPr>
                <w:i/>
                <w:sz w:val="18"/>
              </w:rPr>
              <w:t>8</w:t>
            </w:r>
          </w:p>
        </w:tc>
        <w:tc>
          <w:tcPr>
            <w:tcW w:w="3181" w:type="dxa"/>
            <w:shd w:val="clear" w:color="auto" w:fill="F9FCF9"/>
          </w:tcPr>
          <w:p>
            <w:pPr>
              <w:pStyle w:val="TableParagraph"/>
              <w:spacing w:line="197" w:lineRule="exact"/>
              <w:ind w:left="80"/>
              <w:jc w:val="left"/>
              <w:rPr>
                <w:sz w:val="18"/>
              </w:rPr>
            </w:pPr>
            <w:r>
              <w:rPr>
                <w:sz w:val="18"/>
              </w:rPr>
              <w:t>% more energy input GJ</w:t>
            </w:r>
            <w:r>
              <w:rPr>
                <w:position w:val="6"/>
                <w:sz w:val="10"/>
              </w:rPr>
              <w:t>−1 </w:t>
            </w:r>
            <w:r>
              <w:rPr>
                <w:sz w:val="18"/>
              </w:rPr>
              <w:t>product</w:t>
            </w:r>
          </w:p>
        </w:tc>
      </w:tr>
      <w:tr>
        <w:trPr>
          <w:trHeight w:val="426" w:hRule="atLeast"/>
        </w:trPr>
        <w:tc>
          <w:tcPr>
            <w:tcW w:w="3134" w:type="dxa"/>
            <w:shd w:val="clear" w:color="auto" w:fill="F9FCF9"/>
          </w:tcPr>
          <w:p>
            <w:pPr>
              <w:pStyle w:val="TableParagraph"/>
              <w:spacing w:line="197" w:lineRule="exact"/>
              <w:ind w:left="26"/>
              <w:jc w:val="left"/>
              <w:rPr>
                <w:sz w:val="18"/>
              </w:rPr>
            </w:pPr>
            <w:r>
              <w:rPr>
                <w:sz w:val="18"/>
              </w:rPr>
              <w:t>Total capital requirement without capture</w:t>
            </w:r>
          </w:p>
          <w:p>
            <w:pPr>
              <w:pStyle w:val="TableParagraph"/>
              <w:spacing w:line="200" w:lineRule="exact" w:before="9"/>
              <w:ind w:left="26"/>
              <w:jc w:val="left"/>
              <w:rPr>
                <w:sz w:val="18"/>
              </w:rPr>
            </w:pPr>
            <w:r>
              <w:rPr>
                <w:sz w:val="18"/>
              </w:rPr>
              <w:t>(US$ kW</w:t>
            </w:r>
            <w:r>
              <w:rPr>
                <w:position w:val="6"/>
                <w:sz w:val="10"/>
              </w:rPr>
              <w:t>−1</w:t>
            </w:r>
            <w:r>
              <w:rPr>
                <w:sz w:val="18"/>
              </w:rPr>
              <w:t>)</w:t>
            </w:r>
          </w:p>
        </w:tc>
        <w:tc>
          <w:tcPr>
            <w:tcW w:w="1010" w:type="dxa"/>
            <w:shd w:val="clear" w:color="auto" w:fill="F9FCF9"/>
          </w:tcPr>
          <w:p>
            <w:pPr>
              <w:pStyle w:val="TableParagraph"/>
              <w:spacing w:line="197" w:lineRule="exact"/>
              <w:ind w:right="74"/>
              <w:rPr>
                <w:sz w:val="18"/>
              </w:rPr>
            </w:pPr>
            <w:r>
              <w:rPr>
                <w:sz w:val="18"/>
              </w:rPr>
              <w:t>515 - 724</w:t>
            </w:r>
          </w:p>
        </w:tc>
        <w:tc>
          <w:tcPr>
            <w:tcW w:w="517" w:type="dxa"/>
            <w:shd w:val="clear" w:color="auto" w:fill="F9FCF9"/>
          </w:tcPr>
          <w:p>
            <w:pPr>
              <w:pStyle w:val="TableParagraph"/>
              <w:spacing w:line="197" w:lineRule="exact"/>
              <w:ind w:left="98" w:right="98"/>
              <w:rPr>
                <w:i/>
                <w:sz w:val="18"/>
              </w:rPr>
            </w:pPr>
            <w:r>
              <w:rPr>
                <w:i/>
                <w:sz w:val="18"/>
              </w:rPr>
              <w:t>568</w:t>
            </w:r>
          </w:p>
        </w:tc>
        <w:tc>
          <w:tcPr>
            <w:tcW w:w="1202" w:type="dxa"/>
            <w:shd w:val="clear" w:color="auto" w:fill="F9FCF9"/>
          </w:tcPr>
          <w:p>
            <w:pPr>
              <w:pStyle w:val="TableParagraph"/>
              <w:spacing w:line="197" w:lineRule="exact"/>
              <w:ind w:left="18"/>
              <w:rPr>
                <w:sz w:val="18"/>
              </w:rPr>
            </w:pPr>
            <w:r>
              <w:rPr>
                <w:sz w:val="18"/>
              </w:rPr>
              <w:t>1161 - 1486</w:t>
            </w:r>
          </w:p>
        </w:tc>
        <w:tc>
          <w:tcPr>
            <w:tcW w:w="641" w:type="dxa"/>
            <w:shd w:val="clear" w:color="auto" w:fill="F9FCF9"/>
          </w:tcPr>
          <w:p>
            <w:pPr>
              <w:pStyle w:val="TableParagraph"/>
              <w:spacing w:line="197" w:lineRule="exact"/>
              <w:ind w:right="133"/>
              <w:jc w:val="right"/>
              <w:rPr>
                <w:i/>
                <w:sz w:val="18"/>
              </w:rPr>
            </w:pPr>
            <w:r>
              <w:rPr>
                <w:i/>
                <w:sz w:val="18"/>
              </w:rPr>
              <w:t>1286</w:t>
            </w:r>
          </w:p>
        </w:tc>
        <w:tc>
          <w:tcPr>
            <w:tcW w:w="1157" w:type="dxa"/>
            <w:shd w:val="clear" w:color="auto" w:fill="F9FCF9"/>
          </w:tcPr>
          <w:p>
            <w:pPr>
              <w:pStyle w:val="TableParagraph"/>
              <w:spacing w:line="197" w:lineRule="exact"/>
              <w:ind w:right="52"/>
              <w:jc w:val="right"/>
              <w:rPr>
                <w:sz w:val="18"/>
              </w:rPr>
            </w:pPr>
            <w:r>
              <w:rPr>
                <w:sz w:val="18"/>
              </w:rPr>
              <w:t>1169 - 1565</w:t>
            </w:r>
          </w:p>
        </w:tc>
        <w:tc>
          <w:tcPr>
            <w:tcW w:w="663" w:type="dxa"/>
            <w:tcBorders>
              <w:right w:val="double" w:sz="1" w:space="0" w:color="000000"/>
            </w:tcBorders>
            <w:shd w:val="clear" w:color="auto" w:fill="F9FCF9"/>
          </w:tcPr>
          <w:p>
            <w:pPr>
              <w:pStyle w:val="TableParagraph"/>
              <w:spacing w:line="197" w:lineRule="exact"/>
              <w:ind w:left="113" w:right="130"/>
              <w:rPr>
                <w:i/>
                <w:sz w:val="18"/>
              </w:rPr>
            </w:pPr>
            <w:r>
              <w:rPr>
                <w:i/>
                <w:sz w:val="18"/>
              </w:rPr>
              <w:t>1326</w:t>
            </w:r>
          </w:p>
        </w:tc>
        <w:tc>
          <w:tcPr>
            <w:tcW w:w="2022" w:type="dxa"/>
            <w:gridSpan w:val="2"/>
            <w:vMerge w:val="restart"/>
            <w:tcBorders>
              <w:left w:val="double" w:sz="1" w:space="0" w:color="000000"/>
            </w:tcBorders>
            <w:shd w:val="clear" w:color="auto" w:fill="F9FCF9"/>
          </w:tcPr>
          <w:p>
            <w:pPr>
              <w:pStyle w:val="TableParagraph"/>
              <w:spacing w:before="1"/>
              <w:jc w:val="left"/>
              <w:rPr>
                <w:sz w:val="18"/>
              </w:rPr>
            </w:pPr>
          </w:p>
          <w:p>
            <w:pPr>
              <w:pStyle w:val="TableParagraph"/>
              <w:spacing w:line="249" w:lineRule="auto"/>
              <w:ind w:left="123" w:right="37" w:hanging="39"/>
              <w:jc w:val="left"/>
              <w:rPr>
                <w:i/>
                <w:sz w:val="18"/>
              </w:rPr>
            </w:pPr>
            <w:r>
              <w:rPr>
                <w:i/>
                <w:sz w:val="18"/>
              </w:rPr>
              <w:t>(No unique normalization </w:t>
            </w:r>
            <w:r>
              <w:rPr>
                <w:i/>
                <w:sz w:val="18"/>
              </w:rPr>
              <w:t>for multi-product plants)</w:t>
            </w:r>
          </w:p>
        </w:tc>
        <w:tc>
          <w:tcPr>
            <w:tcW w:w="3181" w:type="dxa"/>
            <w:shd w:val="clear" w:color="auto" w:fill="F9FCF9"/>
          </w:tcPr>
          <w:p>
            <w:pPr>
              <w:pStyle w:val="TableParagraph"/>
              <w:spacing w:line="197" w:lineRule="exact"/>
              <w:ind w:left="80"/>
              <w:jc w:val="left"/>
              <w:rPr>
                <w:sz w:val="18"/>
              </w:rPr>
            </w:pPr>
            <w:r>
              <w:rPr>
                <w:sz w:val="18"/>
              </w:rPr>
              <w:t>Capital requirement without capture</w:t>
            </w:r>
          </w:p>
        </w:tc>
      </w:tr>
      <w:tr>
        <w:trPr>
          <w:trHeight w:val="426" w:hRule="atLeast"/>
        </w:trPr>
        <w:tc>
          <w:tcPr>
            <w:tcW w:w="3134" w:type="dxa"/>
            <w:shd w:val="clear" w:color="auto" w:fill="F9FCF9"/>
          </w:tcPr>
          <w:p>
            <w:pPr>
              <w:pStyle w:val="TableParagraph"/>
              <w:spacing w:line="197" w:lineRule="exact"/>
              <w:ind w:left="26"/>
              <w:jc w:val="left"/>
              <w:rPr>
                <w:sz w:val="18"/>
              </w:rPr>
            </w:pPr>
            <w:r>
              <w:rPr>
                <w:sz w:val="18"/>
              </w:rPr>
              <w:t>Total capital requirement with capture</w:t>
            </w:r>
          </w:p>
          <w:p>
            <w:pPr>
              <w:pStyle w:val="TableParagraph"/>
              <w:spacing w:line="200" w:lineRule="exact" w:before="9"/>
              <w:ind w:left="26"/>
              <w:jc w:val="left"/>
              <w:rPr>
                <w:sz w:val="18"/>
              </w:rPr>
            </w:pPr>
            <w:r>
              <w:rPr>
                <w:sz w:val="18"/>
              </w:rPr>
              <w:t>(US$ kW</w:t>
            </w:r>
            <w:r>
              <w:rPr>
                <w:position w:val="6"/>
                <w:sz w:val="10"/>
              </w:rPr>
              <w:t>−1</w:t>
            </w:r>
            <w:r>
              <w:rPr>
                <w:sz w:val="18"/>
              </w:rPr>
              <w:t>)</w:t>
            </w:r>
          </w:p>
        </w:tc>
        <w:tc>
          <w:tcPr>
            <w:tcW w:w="1010" w:type="dxa"/>
            <w:shd w:val="clear" w:color="auto" w:fill="F9FCF9"/>
          </w:tcPr>
          <w:p>
            <w:pPr>
              <w:pStyle w:val="TableParagraph"/>
              <w:spacing w:line="197" w:lineRule="exact"/>
              <w:ind w:left="17" w:right="4"/>
              <w:rPr>
                <w:sz w:val="18"/>
              </w:rPr>
            </w:pPr>
            <w:r>
              <w:rPr>
                <w:sz w:val="18"/>
              </w:rPr>
              <w:t>909 - 1261</w:t>
            </w:r>
          </w:p>
        </w:tc>
        <w:tc>
          <w:tcPr>
            <w:tcW w:w="517" w:type="dxa"/>
            <w:shd w:val="clear" w:color="auto" w:fill="F9FCF9"/>
          </w:tcPr>
          <w:p>
            <w:pPr>
              <w:pStyle w:val="TableParagraph"/>
              <w:spacing w:line="197" w:lineRule="exact"/>
              <w:ind w:left="98" w:right="98"/>
              <w:rPr>
                <w:i/>
                <w:sz w:val="18"/>
              </w:rPr>
            </w:pPr>
            <w:r>
              <w:rPr>
                <w:i/>
                <w:sz w:val="18"/>
              </w:rPr>
              <w:t>998</w:t>
            </w:r>
          </w:p>
        </w:tc>
        <w:tc>
          <w:tcPr>
            <w:tcW w:w="1202" w:type="dxa"/>
            <w:shd w:val="clear" w:color="auto" w:fill="F9FCF9"/>
          </w:tcPr>
          <w:p>
            <w:pPr>
              <w:pStyle w:val="TableParagraph"/>
              <w:spacing w:line="197" w:lineRule="exact"/>
              <w:ind w:left="11"/>
              <w:rPr>
                <w:sz w:val="18"/>
              </w:rPr>
            </w:pPr>
            <w:r>
              <w:rPr>
                <w:sz w:val="18"/>
              </w:rPr>
              <w:t>1894 - 2578</w:t>
            </w:r>
          </w:p>
        </w:tc>
        <w:tc>
          <w:tcPr>
            <w:tcW w:w="641" w:type="dxa"/>
            <w:shd w:val="clear" w:color="auto" w:fill="F9FCF9"/>
          </w:tcPr>
          <w:p>
            <w:pPr>
              <w:pStyle w:val="TableParagraph"/>
              <w:spacing w:line="197" w:lineRule="exact"/>
              <w:ind w:right="133"/>
              <w:jc w:val="right"/>
              <w:rPr>
                <w:i/>
                <w:sz w:val="18"/>
              </w:rPr>
            </w:pPr>
            <w:r>
              <w:rPr>
                <w:i/>
                <w:sz w:val="18"/>
              </w:rPr>
              <w:t>2096</w:t>
            </w:r>
          </w:p>
        </w:tc>
        <w:tc>
          <w:tcPr>
            <w:tcW w:w="1157" w:type="dxa"/>
            <w:shd w:val="clear" w:color="auto" w:fill="F9FCF9"/>
          </w:tcPr>
          <w:p>
            <w:pPr>
              <w:pStyle w:val="TableParagraph"/>
              <w:spacing w:line="197" w:lineRule="exact"/>
              <w:ind w:right="52"/>
              <w:jc w:val="right"/>
              <w:rPr>
                <w:sz w:val="18"/>
              </w:rPr>
            </w:pPr>
            <w:r>
              <w:rPr>
                <w:sz w:val="18"/>
              </w:rPr>
              <w:t>1414 - 2270</w:t>
            </w:r>
          </w:p>
        </w:tc>
        <w:tc>
          <w:tcPr>
            <w:tcW w:w="663" w:type="dxa"/>
            <w:tcBorders>
              <w:right w:val="double" w:sz="1" w:space="0" w:color="000000"/>
            </w:tcBorders>
            <w:shd w:val="clear" w:color="auto" w:fill="F9FCF9"/>
          </w:tcPr>
          <w:p>
            <w:pPr>
              <w:pStyle w:val="TableParagraph"/>
              <w:spacing w:line="197" w:lineRule="exact"/>
              <w:ind w:left="113" w:right="130"/>
              <w:rPr>
                <w:i/>
                <w:sz w:val="18"/>
              </w:rPr>
            </w:pPr>
            <w:r>
              <w:rPr>
                <w:i/>
                <w:sz w:val="18"/>
              </w:rPr>
              <w:t>1825</w:t>
            </w:r>
          </w:p>
        </w:tc>
        <w:tc>
          <w:tcPr>
            <w:tcW w:w="2022" w:type="dxa"/>
            <w:gridSpan w:val="2"/>
            <w:vMerge/>
            <w:tcBorders>
              <w:top w:val="nil"/>
              <w:left w:val="double" w:sz="1" w:space="0" w:color="000000"/>
            </w:tcBorders>
            <w:shd w:val="clear" w:color="auto" w:fill="F9FCF9"/>
          </w:tcPr>
          <w:p>
            <w:pPr>
              <w:rPr>
                <w:sz w:val="2"/>
                <w:szCs w:val="2"/>
              </w:rPr>
            </w:pPr>
          </w:p>
        </w:tc>
        <w:tc>
          <w:tcPr>
            <w:tcW w:w="3181" w:type="dxa"/>
            <w:shd w:val="clear" w:color="auto" w:fill="F9FCF9"/>
          </w:tcPr>
          <w:p>
            <w:pPr>
              <w:pStyle w:val="TableParagraph"/>
              <w:spacing w:line="197" w:lineRule="exact"/>
              <w:ind w:left="80"/>
              <w:jc w:val="left"/>
              <w:rPr>
                <w:sz w:val="18"/>
              </w:rPr>
            </w:pPr>
            <w:r>
              <w:rPr>
                <w:sz w:val="18"/>
              </w:rPr>
              <w:t>Capital requirement with capture</w:t>
            </w:r>
          </w:p>
        </w:tc>
      </w:tr>
      <w:tr>
        <w:trPr>
          <w:trHeight w:val="426" w:hRule="atLeast"/>
        </w:trPr>
        <w:tc>
          <w:tcPr>
            <w:tcW w:w="3134" w:type="dxa"/>
            <w:shd w:val="clear" w:color="auto" w:fill="F9FCF9"/>
          </w:tcPr>
          <w:p>
            <w:pPr>
              <w:pStyle w:val="TableParagraph"/>
              <w:spacing w:line="197" w:lineRule="exact"/>
              <w:ind w:left="26"/>
              <w:jc w:val="left"/>
              <w:rPr>
                <w:sz w:val="18"/>
              </w:rPr>
            </w:pPr>
            <w:r>
              <w:rPr>
                <w:sz w:val="18"/>
              </w:rPr>
              <w:t>Percent increase in capital cost with</w:t>
            </w:r>
          </w:p>
          <w:p>
            <w:pPr>
              <w:pStyle w:val="TableParagraph"/>
              <w:spacing w:line="200" w:lineRule="exact" w:before="9"/>
              <w:ind w:left="26"/>
              <w:jc w:val="left"/>
              <w:rPr>
                <w:sz w:val="18"/>
              </w:rPr>
            </w:pPr>
            <w:r>
              <w:rPr>
                <w:sz w:val="18"/>
              </w:rPr>
              <w:t>capture (%)</w:t>
            </w:r>
          </w:p>
        </w:tc>
        <w:tc>
          <w:tcPr>
            <w:tcW w:w="1010" w:type="dxa"/>
            <w:shd w:val="clear" w:color="auto" w:fill="F9FCF9"/>
          </w:tcPr>
          <w:p>
            <w:pPr>
              <w:pStyle w:val="TableParagraph"/>
              <w:spacing w:line="197" w:lineRule="exact"/>
              <w:ind w:left="17" w:right="4"/>
              <w:rPr>
                <w:sz w:val="18"/>
              </w:rPr>
            </w:pPr>
            <w:r>
              <w:rPr>
                <w:sz w:val="18"/>
              </w:rPr>
              <w:t>64 - 100</w:t>
            </w:r>
          </w:p>
        </w:tc>
        <w:tc>
          <w:tcPr>
            <w:tcW w:w="517" w:type="dxa"/>
            <w:shd w:val="clear" w:color="auto" w:fill="F9FCF9"/>
          </w:tcPr>
          <w:p>
            <w:pPr>
              <w:pStyle w:val="TableParagraph"/>
              <w:spacing w:line="197" w:lineRule="exact"/>
              <w:ind w:left="98" w:right="98"/>
              <w:rPr>
                <w:i/>
                <w:sz w:val="18"/>
              </w:rPr>
            </w:pPr>
            <w:r>
              <w:rPr>
                <w:i/>
                <w:sz w:val="18"/>
              </w:rPr>
              <w:t>76</w:t>
            </w:r>
          </w:p>
        </w:tc>
        <w:tc>
          <w:tcPr>
            <w:tcW w:w="1202" w:type="dxa"/>
            <w:shd w:val="clear" w:color="auto" w:fill="F9FCF9"/>
          </w:tcPr>
          <w:p>
            <w:pPr>
              <w:pStyle w:val="TableParagraph"/>
              <w:spacing w:line="197" w:lineRule="exact"/>
              <w:ind w:left="11"/>
              <w:rPr>
                <w:sz w:val="18"/>
              </w:rPr>
            </w:pPr>
            <w:r>
              <w:rPr>
                <w:sz w:val="18"/>
              </w:rPr>
              <w:t>44 - 74</w:t>
            </w:r>
          </w:p>
        </w:tc>
        <w:tc>
          <w:tcPr>
            <w:tcW w:w="641" w:type="dxa"/>
            <w:shd w:val="clear" w:color="auto" w:fill="F9FCF9"/>
          </w:tcPr>
          <w:p>
            <w:pPr>
              <w:pStyle w:val="TableParagraph"/>
              <w:spacing w:line="197" w:lineRule="exact"/>
              <w:ind w:right="223"/>
              <w:jc w:val="right"/>
              <w:rPr>
                <w:i/>
                <w:sz w:val="18"/>
              </w:rPr>
            </w:pPr>
            <w:r>
              <w:rPr>
                <w:i/>
                <w:sz w:val="18"/>
              </w:rPr>
              <w:t>63</w:t>
            </w:r>
          </w:p>
        </w:tc>
        <w:tc>
          <w:tcPr>
            <w:tcW w:w="1157" w:type="dxa"/>
            <w:shd w:val="clear" w:color="auto" w:fill="F9FCF9"/>
          </w:tcPr>
          <w:p>
            <w:pPr>
              <w:pStyle w:val="TableParagraph"/>
              <w:spacing w:line="197" w:lineRule="exact"/>
              <w:ind w:left="234"/>
              <w:jc w:val="left"/>
              <w:rPr>
                <w:sz w:val="18"/>
              </w:rPr>
            </w:pPr>
            <w:r>
              <w:rPr>
                <w:sz w:val="18"/>
              </w:rPr>
              <w:t>19 - 66</w:t>
            </w:r>
          </w:p>
        </w:tc>
        <w:tc>
          <w:tcPr>
            <w:tcW w:w="663" w:type="dxa"/>
            <w:tcBorders>
              <w:right w:val="double" w:sz="1" w:space="0" w:color="000000"/>
            </w:tcBorders>
            <w:shd w:val="clear" w:color="auto" w:fill="F9FCF9"/>
          </w:tcPr>
          <w:p>
            <w:pPr>
              <w:pStyle w:val="TableParagraph"/>
              <w:spacing w:line="197" w:lineRule="exact"/>
              <w:ind w:left="113" w:right="130"/>
              <w:rPr>
                <w:i/>
                <w:sz w:val="18"/>
              </w:rPr>
            </w:pPr>
            <w:r>
              <w:rPr>
                <w:i/>
                <w:sz w:val="18"/>
              </w:rPr>
              <w:t>37</w:t>
            </w:r>
          </w:p>
        </w:tc>
        <w:tc>
          <w:tcPr>
            <w:tcW w:w="1127" w:type="dxa"/>
            <w:tcBorders>
              <w:left w:val="double" w:sz="1" w:space="0" w:color="000000"/>
            </w:tcBorders>
            <w:shd w:val="clear" w:color="auto" w:fill="F9FCF9"/>
          </w:tcPr>
          <w:p>
            <w:pPr>
              <w:pStyle w:val="TableParagraph"/>
              <w:spacing w:line="197" w:lineRule="exact"/>
              <w:ind w:left="220"/>
              <w:jc w:val="left"/>
              <w:rPr>
                <w:sz w:val="18"/>
              </w:rPr>
            </w:pPr>
            <w:r>
              <w:rPr>
                <w:sz w:val="18"/>
              </w:rPr>
              <w:t>-2 - 54</w:t>
            </w:r>
          </w:p>
        </w:tc>
        <w:tc>
          <w:tcPr>
            <w:tcW w:w="895" w:type="dxa"/>
            <w:shd w:val="clear" w:color="auto" w:fill="F9FCF9"/>
          </w:tcPr>
          <w:p>
            <w:pPr>
              <w:pStyle w:val="TableParagraph"/>
              <w:spacing w:line="197" w:lineRule="exact"/>
              <w:ind w:right="345"/>
              <w:jc w:val="right"/>
              <w:rPr>
                <w:i/>
                <w:sz w:val="18"/>
              </w:rPr>
            </w:pPr>
            <w:r>
              <w:rPr>
                <w:i/>
                <w:sz w:val="18"/>
              </w:rPr>
              <w:t>18</w:t>
            </w:r>
          </w:p>
        </w:tc>
        <w:tc>
          <w:tcPr>
            <w:tcW w:w="3181" w:type="dxa"/>
            <w:shd w:val="clear" w:color="auto" w:fill="F9FCF9"/>
          </w:tcPr>
          <w:p>
            <w:pPr>
              <w:pStyle w:val="TableParagraph"/>
              <w:spacing w:line="197" w:lineRule="exact"/>
              <w:ind w:left="80"/>
              <w:jc w:val="left"/>
              <w:rPr>
                <w:sz w:val="18"/>
              </w:rPr>
            </w:pPr>
            <w:r>
              <w:rPr>
                <w:sz w:val="18"/>
              </w:rPr>
              <w:t>% increase in capital cost</w:t>
            </w:r>
          </w:p>
        </w:tc>
      </w:tr>
      <w:tr>
        <w:trPr>
          <w:trHeight w:val="210" w:hRule="atLeast"/>
        </w:trPr>
        <w:tc>
          <w:tcPr>
            <w:tcW w:w="3134" w:type="dxa"/>
            <w:shd w:val="clear" w:color="auto" w:fill="F9FCF9"/>
          </w:tcPr>
          <w:p>
            <w:pPr>
              <w:pStyle w:val="TableParagraph"/>
              <w:spacing w:line="190" w:lineRule="exact"/>
              <w:ind w:left="26"/>
              <w:jc w:val="left"/>
              <w:rPr>
                <w:sz w:val="18"/>
              </w:rPr>
            </w:pPr>
            <w:r>
              <w:rPr>
                <w:sz w:val="18"/>
              </w:rPr>
              <w:t>COE without capture (US$ MWh</w:t>
            </w:r>
            <w:r>
              <w:rPr>
                <w:position w:val="6"/>
                <w:sz w:val="10"/>
              </w:rPr>
              <w:t>−1</w:t>
            </w:r>
            <w:r>
              <w:rPr>
                <w:sz w:val="18"/>
              </w:rPr>
              <w:t>)</w:t>
            </w:r>
          </w:p>
        </w:tc>
        <w:tc>
          <w:tcPr>
            <w:tcW w:w="1010" w:type="dxa"/>
            <w:shd w:val="clear" w:color="auto" w:fill="F9FCF9"/>
          </w:tcPr>
          <w:p>
            <w:pPr>
              <w:pStyle w:val="TableParagraph"/>
              <w:spacing w:line="190" w:lineRule="exact"/>
              <w:ind w:right="74"/>
              <w:rPr>
                <w:sz w:val="18"/>
              </w:rPr>
            </w:pPr>
            <w:r>
              <w:rPr>
                <w:sz w:val="18"/>
              </w:rPr>
              <w:t>31 - 50</w:t>
            </w:r>
          </w:p>
        </w:tc>
        <w:tc>
          <w:tcPr>
            <w:tcW w:w="517" w:type="dxa"/>
            <w:shd w:val="clear" w:color="auto" w:fill="F9FCF9"/>
          </w:tcPr>
          <w:p>
            <w:pPr>
              <w:pStyle w:val="TableParagraph"/>
              <w:spacing w:line="190" w:lineRule="exact"/>
              <w:ind w:left="98" w:right="98"/>
              <w:rPr>
                <w:i/>
                <w:sz w:val="18"/>
              </w:rPr>
            </w:pPr>
            <w:r>
              <w:rPr>
                <w:i/>
                <w:sz w:val="18"/>
              </w:rPr>
              <w:t>37</w:t>
            </w:r>
          </w:p>
        </w:tc>
        <w:tc>
          <w:tcPr>
            <w:tcW w:w="1202" w:type="dxa"/>
            <w:shd w:val="clear" w:color="auto" w:fill="F9FCF9"/>
          </w:tcPr>
          <w:p>
            <w:pPr>
              <w:pStyle w:val="TableParagraph"/>
              <w:spacing w:line="190" w:lineRule="exact"/>
              <w:ind w:left="11"/>
              <w:rPr>
                <w:sz w:val="18"/>
              </w:rPr>
            </w:pPr>
            <w:r>
              <w:rPr>
                <w:sz w:val="18"/>
              </w:rPr>
              <w:t>43 - 52</w:t>
            </w:r>
          </w:p>
        </w:tc>
        <w:tc>
          <w:tcPr>
            <w:tcW w:w="641" w:type="dxa"/>
            <w:shd w:val="clear" w:color="auto" w:fill="F9FCF9"/>
          </w:tcPr>
          <w:p>
            <w:pPr>
              <w:pStyle w:val="TableParagraph"/>
              <w:spacing w:line="190" w:lineRule="exact"/>
              <w:ind w:right="223"/>
              <w:jc w:val="right"/>
              <w:rPr>
                <w:i/>
                <w:sz w:val="18"/>
              </w:rPr>
            </w:pPr>
            <w:r>
              <w:rPr>
                <w:i/>
                <w:sz w:val="18"/>
              </w:rPr>
              <w:t>46</w:t>
            </w:r>
          </w:p>
        </w:tc>
        <w:tc>
          <w:tcPr>
            <w:tcW w:w="1157" w:type="dxa"/>
            <w:shd w:val="clear" w:color="auto" w:fill="F9FCF9"/>
          </w:tcPr>
          <w:p>
            <w:pPr>
              <w:pStyle w:val="TableParagraph"/>
              <w:spacing w:line="190" w:lineRule="exact"/>
              <w:ind w:left="234"/>
              <w:jc w:val="left"/>
              <w:rPr>
                <w:sz w:val="18"/>
              </w:rPr>
            </w:pPr>
            <w:r>
              <w:rPr>
                <w:sz w:val="18"/>
              </w:rPr>
              <w:t>41 - 61</w:t>
            </w:r>
          </w:p>
        </w:tc>
        <w:tc>
          <w:tcPr>
            <w:tcW w:w="663" w:type="dxa"/>
            <w:tcBorders>
              <w:right w:val="double" w:sz="1" w:space="0" w:color="000000"/>
            </w:tcBorders>
            <w:shd w:val="clear" w:color="auto" w:fill="F9FCF9"/>
          </w:tcPr>
          <w:p>
            <w:pPr>
              <w:pStyle w:val="TableParagraph"/>
              <w:spacing w:line="190" w:lineRule="exact"/>
              <w:ind w:left="113" w:right="130"/>
              <w:rPr>
                <w:i/>
                <w:sz w:val="18"/>
              </w:rPr>
            </w:pPr>
            <w:r>
              <w:rPr>
                <w:i/>
                <w:sz w:val="18"/>
              </w:rPr>
              <w:t>47</w:t>
            </w:r>
          </w:p>
        </w:tc>
        <w:tc>
          <w:tcPr>
            <w:tcW w:w="1127" w:type="dxa"/>
            <w:tcBorders>
              <w:left w:val="double" w:sz="1" w:space="0" w:color="000000"/>
            </w:tcBorders>
            <w:shd w:val="clear" w:color="auto" w:fill="F9FCF9"/>
          </w:tcPr>
          <w:p>
            <w:pPr>
              <w:pStyle w:val="TableParagraph"/>
              <w:spacing w:line="190" w:lineRule="exact"/>
              <w:ind w:left="145"/>
              <w:jc w:val="left"/>
              <w:rPr>
                <w:sz w:val="18"/>
              </w:rPr>
            </w:pPr>
            <w:r>
              <w:rPr>
                <w:sz w:val="18"/>
              </w:rPr>
              <w:t>6.5 - 10.0</w:t>
            </w:r>
          </w:p>
        </w:tc>
        <w:tc>
          <w:tcPr>
            <w:tcW w:w="895" w:type="dxa"/>
            <w:shd w:val="clear" w:color="auto" w:fill="F9FCF9"/>
          </w:tcPr>
          <w:p>
            <w:pPr>
              <w:pStyle w:val="TableParagraph"/>
              <w:spacing w:line="190" w:lineRule="exact"/>
              <w:ind w:right="323"/>
              <w:jc w:val="right"/>
              <w:rPr>
                <w:i/>
                <w:sz w:val="18"/>
              </w:rPr>
            </w:pPr>
            <w:r>
              <w:rPr>
                <w:i/>
                <w:sz w:val="18"/>
              </w:rPr>
              <w:t>7.8</w:t>
            </w:r>
          </w:p>
        </w:tc>
        <w:tc>
          <w:tcPr>
            <w:tcW w:w="3181" w:type="dxa"/>
            <w:shd w:val="clear" w:color="auto" w:fill="F9FCF9"/>
          </w:tcPr>
          <w:p>
            <w:pPr>
              <w:pStyle w:val="TableParagraph"/>
              <w:spacing w:line="50" w:lineRule="exact" w:before="5"/>
              <w:ind w:right="620"/>
              <w:jc w:val="right"/>
              <w:rPr>
                <w:sz w:val="10"/>
              </w:rPr>
            </w:pPr>
            <w:r>
              <w:rPr>
                <w:spacing w:val="-1"/>
                <w:w w:val="105"/>
                <w:sz w:val="10"/>
              </w:rPr>
              <w:t>−1</w:t>
            </w:r>
          </w:p>
          <w:p>
            <w:pPr>
              <w:pStyle w:val="TableParagraph"/>
              <w:spacing w:line="91" w:lineRule="auto" w:before="12"/>
              <w:ind w:left="80"/>
              <w:jc w:val="left"/>
              <w:rPr>
                <w:sz w:val="18"/>
              </w:rPr>
            </w:pPr>
            <w:r>
              <w:rPr>
                <w:sz w:val="18"/>
              </w:rPr>
              <w:t>H</w:t>
            </w:r>
            <w:r>
              <w:rPr>
                <w:position w:val="-5"/>
                <w:sz w:val="10"/>
              </w:rPr>
              <w:t>2  </w:t>
            </w:r>
            <w:r>
              <w:rPr>
                <w:sz w:val="18"/>
              </w:rPr>
              <w:t>cost without capture (US$ GJ </w:t>
            </w:r>
            <w:r>
              <w:rPr>
                <w:spacing w:val="9"/>
                <w:sz w:val="18"/>
              </w:rPr>
              <w:t> </w:t>
            </w:r>
            <w:r>
              <w:rPr>
                <w:sz w:val="18"/>
              </w:rPr>
              <w:t>)</w:t>
            </w:r>
          </w:p>
        </w:tc>
      </w:tr>
      <w:tr>
        <w:trPr>
          <w:trHeight w:val="225" w:hRule="atLeast"/>
        </w:trPr>
        <w:tc>
          <w:tcPr>
            <w:tcW w:w="3134" w:type="dxa"/>
            <w:shd w:val="clear" w:color="auto" w:fill="F9FCF9"/>
          </w:tcPr>
          <w:p>
            <w:pPr>
              <w:pStyle w:val="TableParagraph"/>
              <w:spacing w:line="197" w:lineRule="exact"/>
              <w:ind w:left="26"/>
              <w:jc w:val="left"/>
              <w:rPr>
                <w:sz w:val="10"/>
              </w:rPr>
            </w:pPr>
            <w:r>
              <w:rPr>
                <w:sz w:val="18"/>
              </w:rPr>
              <w:t>COE with capture only (US$ MWh</w:t>
            </w:r>
            <w:r>
              <w:rPr>
                <w:position w:val="6"/>
                <w:sz w:val="10"/>
              </w:rPr>
              <w:t>−1)</w:t>
            </w:r>
          </w:p>
        </w:tc>
        <w:tc>
          <w:tcPr>
            <w:tcW w:w="1010" w:type="dxa"/>
            <w:shd w:val="clear" w:color="auto" w:fill="F9FCF9"/>
          </w:tcPr>
          <w:p>
            <w:pPr>
              <w:pStyle w:val="TableParagraph"/>
              <w:spacing w:line="197" w:lineRule="exact"/>
              <w:ind w:right="74"/>
              <w:rPr>
                <w:sz w:val="18"/>
              </w:rPr>
            </w:pPr>
            <w:r>
              <w:rPr>
                <w:sz w:val="18"/>
              </w:rPr>
              <w:t>43 - 72</w:t>
            </w:r>
          </w:p>
        </w:tc>
        <w:tc>
          <w:tcPr>
            <w:tcW w:w="517" w:type="dxa"/>
            <w:shd w:val="clear" w:color="auto" w:fill="F9FCF9"/>
          </w:tcPr>
          <w:p>
            <w:pPr>
              <w:pStyle w:val="TableParagraph"/>
              <w:spacing w:line="197" w:lineRule="exact"/>
              <w:ind w:left="98" w:right="98"/>
              <w:rPr>
                <w:i/>
                <w:sz w:val="18"/>
              </w:rPr>
            </w:pPr>
            <w:r>
              <w:rPr>
                <w:i/>
                <w:sz w:val="18"/>
              </w:rPr>
              <w:t>54</w:t>
            </w:r>
          </w:p>
        </w:tc>
        <w:tc>
          <w:tcPr>
            <w:tcW w:w="1202" w:type="dxa"/>
            <w:shd w:val="clear" w:color="auto" w:fill="F9FCF9"/>
          </w:tcPr>
          <w:p>
            <w:pPr>
              <w:pStyle w:val="TableParagraph"/>
              <w:spacing w:line="197" w:lineRule="exact"/>
              <w:ind w:left="11"/>
              <w:rPr>
                <w:sz w:val="18"/>
              </w:rPr>
            </w:pPr>
            <w:r>
              <w:rPr>
                <w:sz w:val="18"/>
              </w:rPr>
              <w:t>62 - 86</w:t>
            </w:r>
          </w:p>
        </w:tc>
        <w:tc>
          <w:tcPr>
            <w:tcW w:w="641" w:type="dxa"/>
            <w:shd w:val="clear" w:color="auto" w:fill="F9FCF9"/>
          </w:tcPr>
          <w:p>
            <w:pPr>
              <w:pStyle w:val="TableParagraph"/>
              <w:spacing w:line="197" w:lineRule="exact"/>
              <w:ind w:right="223"/>
              <w:jc w:val="right"/>
              <w:rPr>
                <w:i/>
                <w:sz w:val="18"/>
              </w:rPr>
            </w:pPr>
            <w:r>
              <w:rPr>
                <w:i/>
                <w:sz w:val="18"/>
              </w:rPr>
              <w:t>73</w:t>
            </w:r>
          </w:p>
        </w:tc>
        <w:tc>
          <w:tcPr>
            <w:tcW w:w="1157" w:type="dxa"/>
            <w:shd w:val="clear" w:color="auto" w:fill="F9FCF9"/>
          </w:tcPr>
          <w:p>
            <w:pPr>
              <w:pStyle w:val="TableParagraph"/>
              <w:spacing w:line="197" w:lineRule="exact"/>
              <w:ind w:left="234"/>
              <w:jc w:val="left"/>
              <w:rPr>
                <w:sz w:val="18"/>
              </w:rPr>
            </w:pPr>
            <w:r>
              <w:rPr>
                <w:sz w:val="18"/>
              </w:rPr>
              <w:t>54 - 79</w:t>
            </w:r>
          </w:p>
        </w:tc>
        <w:tc>
          <w:tcPr>
            <w:tcW w:w="663" w:type="dxa"/>
            <w:tcBorders>
              <w:right w:val="double" w:sz="1" w:space="0" w:color="000000"/>
            </w:tcBorders>
            <w:shd w:val="clear" w:color="auto" w:fill="F9FCF9"/>
          </w:tcPr>
          <w:p>
            <w:pPr>
              <w:pStyle w:val="TableParagraph"/>
              <w:spacing w:line="197" w:lineRule="exact"/>
              <w:ind w:left="113" w:right="130"/>
              <w:rPr>
                <w:i/>
                <w:sz w:val="18"/>
              </w:rPr>
            </w:pPr>
            <w:r>
              <w:rPr>
                <w:i/>
                <w:sz w:val="18"/>
              </w:rPr>
              <w:t>62</w:t>
            </w:r>
          </w:p>
        </w:tc>
        <w:tc>
          <w:tcPr>
            <w:tcW w:w="1127" w:type="dxa"/>
            <w:tcBorders>
              <w:left w:val="double" w:sz="1" w:space="0" w:color="000000"/>
            </w:tcBorders>
            <w:shd w:val="clear" w:color="auto" w:fill="F9FCF9"/>
          </w:tcPr>
          <w:p>
            <w:pPr>
              <w:pStyle w:val="TableParagraph"/>
              <w:spacing w:line="197" w:lineRule="exact"/>
              <w:ind w:left="145"/>
              <w:jc w:val="left"/>
              <w:rPr>
                <w:sz w:val="18"/>
              </w:rPr>
            </w:pPr>
            <w:r>
              <w:rPr>
                <w:sz w:val="18"/>
              </w:rPr>
              <w:t>7.5 - 13.3</w:t>
            </w:r>
          </w:p>
        </w:tc>
        <w:tc>
          <w:tcPr>
            <w:tcW w:w="895" w:type="dxa"/>
            <w:shd w:val="clear" w:color="auto" w:fill="F9FCF9"/>
          </w:tcPr>
          <w:p>
            <w:pPr>
              <w:pStyle w:val="TableParagraph"/>
              <w:spacing w:line="197" w:lineRule="exact"/>
              <w:ind w:right="323"/>
              <w:jc w:val="right"/>
              <w:rPr>
                <w:i/>
                <w:sz w:val="18"/>
              </w:rPr>
            </w:pPr>
            <w:r>
              <w:rPr>
                <w:i/>
                <w:sz w:val="18"/>
              </w:rPr>
              <w:t>9.1</w:t>
            </w:r>
          </w:p>
        </w:tc>
        <w:tc>
          <w:tcPr>
            <w:tcW w:w="3181" w:type="dxa"/>
            <w:shd w:val="clear" w:color="auto" w:fill="F9FCF9"/>
          </w:tcPr>
          <w:p>
            <w:pPr>
              <w:pStyle w:val="TableParagraph"/>
              <w:spacing w:line="50" w:lineRule="exact" w:before="5"/>
              <w:ind w:right="869"/>
              <w:jc w:val="right"/>
              <w:rPr>
                <w:sz w:val="10"/>
              </w:rPr>
            </w:pPr>
            <w:r>
              <w:rPr>
                <w:sz w:val="10"/>
              </w:rPr>
              <w:t>−1</w:t>
            </w:r>
          </w:p>
          <w:p>
            <w:pPr>
              <w:pStyle w:val="TableParagraph"/>
              <w:spacing w:line="139" w:lineRule="auto"/>
              <w:ind w:left="80"/>
              <w:jc w:val="left"/>
              <w:rPr>
                <w:sz w:val="18"/>
              </w:rPr>
            </w:pPr>
            <w:r>
              <w:rPr>
                <w:sz w:val="18"/>
              </w:rPr>
              <w:t>H</w:t>
            </w:r>
            <w:r>
              <w:rPr>
                <w:position w:val="-5"/>
                <w:sz w:val="10"/>
              </w:rPr>
              <w:t>2 </w:t>
            </w:r>
            <w:r>
              <w:rPr>
                <w:sz w:val="18"/>
              </w:rPr>
              <w:t>cost with capture (US$ GJ )</w:t>
            </w:r>
          </w:p>
        </w:tc>
      </w:tr>
      <w:tr>
        <w:trPr>
          <w:trHeight w:val="426" w:hRule="atLeast"/>
        </w:trPr>
        <w:tc>
          <w:tcPr>
            <w:tcW w:w="3134" w:type="dxa"/>
            <w:shd w:val="clear" w:color="auto" w:fill="F9FCF9"/>
          </w:tcPr>
          <w:p>
            <w:pPr>
              <w:pStyle w:val="TableParagraph"/>
              <w:spacing w:line="197" w:lineRule="exact"/>
              <w:ind w:left="26"/>
              <w:jc w:val="left"/>
              <w:rPr>
                <w:sz w:val="18"/>
              </w:rPr>
            </w:pPr>
            <w:r>
              <w:rPr>
                <w:sz w:val="18"/>
              </w:rPr>
              <w:t>Increase in COE with capture (US$</w:t>
            </w:r>
          </w:p>
          <w:p>
            <w:pPr>
              <w:pStyle w:val="TableParagraph"/>
              <w:spacing w:line="200" w:lineRule="exact" w:before="9"/>
              <w:ind w:left="26"/>
              <w:jc w:val="left"/>
              <w:rPr>
                <w:sz w:val="18"/>
              </w:rPr>
            </w:pPr>
            <w:r>
              <w:rPr>
                <w:sz w:val="18"/>
              </w:rPr>
              <w:t>MWh</w:t>
            </w:r>
            <w:r>
              <w:rPr>
                <w:position w:val="6"/>
                <w:sz w:val="10"/>
              </w:rPr>
              <w:t>−1</w:t>
            </w:r>
            <w:r>
              <w:rPr>
                <w:sz w:val="18"/>
              </w:rPr>
              <w:t>)</w:t>
            </w:r>
          </w:p>
        </w:tc>
        <w:tc>
          <w:tcPr>
            <w:tcW w:w="1010" w:type="dxa"/>
            <w:shd w:val="clear" w:color="auto" w:fill="F9FCF9"/>
          </w:tcPr>
          <w:p>
            <w:pPr>
              <w:pStyle w:val="TableParagraph"/>
              <w:spacing w:line="197" w:lineRule="exact"/>
              <w:ind w:right="74"/>
              <w:rPr>
                <w:sz w:val="18"/>
              </w:rPr>
            </w:pPr>
            <w:r>
              <w:rPr>
                <w:sz w:val="18"/>
              </w:rPr>
              <w:t>12 - 24</w:t>
            </w:r>
          </w:p>
        </w:tc>
        <w:tc>
          <w:tcPr>
            <w:tcW w:w="517" w:type="dxa"/>
            <w:shd w:val="clear" w:color="auto" w:fill="F9FCF9"/>
          </w:tcPr>
          <w:p>
            <w:pPr>
              <w:pStyle w:val="TableParagraph"/>
              <w:spacing w:line="197" w:lineRule="exact"/>
              <w:ind w:left="98" w:right="98"/>
              <w:rPr>
                <w:i/>
                <w:sz w:val="18"/>
              </w:rPr>
            </w:pPr>
            <w:r>
              <w:rPr>
                <w:i/>
                <w:sz w:val="18"/>
              </w:rPr>
              <w:t>17</w:t>
            </w:r>
          </w:p>
        </w:tc>
        <w:tc>
          <w:tcPr>
            <w:tcW w:w="1202" w:type="dxa"/>
            <w:shd w:val="clear" w:color="auto" w:fill="F9FCF9"/>
          </w:tcPr>
          <w:p>
            <w:pPr>
              <w:pStyle w:val="TableParagraph"/>
              <w:spacing w:line="197" w:lineRule="exact"/>
              <w:ind w:left="11"/>
              <w:rPr>
                <w:sz w:val="18"/>
              </w:rPr>
            </w:pPr>
            <w:r>
              <w:rPr>
                <w:sz w:val="18"/>
              </w:rPr>
              <w:t>18 - 34</w:t>
            </w:r>
          </w:p>
        </w:tc>
        <w:tc>
          <w:tcPr>
            <w:tcW w:w="641" w:type="dxa"/>
            <w:shd w:val="clear" w:color="auto" w:fill="F9FCF9"/>
          </w:tcPr>
          <w:p>
            <w:pPr>
              <w:pStyle w:val="TableParagraph"/>
              <w:spacing w:line="197" w:lineRule="exact"/>
              <w:ind w:right="223"/>
              <w:jc w:val="right"/>
              <w:rPr>
                <w:i/>
                <w:sz w:val="18"/>
              </w:rPr>
            </w:pPr>
            <w:r>
              <w:rPr>
                <w:i/>
                <w:sz w:val="18"/>
              </w:rPr>
              <w:t>27</w:t>
            </w:r>
          </w:p>
        </w:tc>
        <w:tc>
          <w:tcPr>
            <w:tcW w:w="1157" w:type="dxa"/>
            <w:shd w:val="clear" w:color="auto" w:fill="F9FCF9"/>
          </w:tcPr>
          <w:p>
            <w:pPr>
              <w:pStyle w:val="TableParagraph"/>
              <w:spacing w:line="197" w:lineRule="exact"/>
              <w:ind w:left="324"/>
              <w:jc w:val="left"/>
              <w:rPr>
                <w:sz w:val="18"/>
              </w:rPr>
            </w:pPr>
            <w:r>
              <w:rPr>
                <w:sz w:val="18"/>
              </w:rPr>
              <w:t>9 - 22</w:t>
            </w:r>
          </w:p>
        </w:tc>
        <w:tc>
          <w:tcPr>
            <w:tcW w:w="663" w:type="dxa"/>
            <w:tcBorders>
              <w:right w:val="double" w:sz="1" w:space="0" w:color="000000"/>
            </w:tcBorders>
            <w:shd w:val="clear" w:color="auto" w:fill="F9FCF9"/>
          </w:tcPr>
          <w:p>
            <w:pPr>
              <w:pStyle w:val="TableParagraph"/>
              <w:spacing w:line="197" w:lineRule="exact"/>
              <w:ind w:left="113" w:right="130"/>
              <w:rPr>
                <w:i/>
                <w:sz w:val="18"/>
              </w:rPr>
            </w:pPr>
            <w:r>
              <w:rPr>
                <w:i/>
                <w:sz w:val="18"/>
              </w:rPr>
              <w:t>16</w:t>
            </w:r>
          </w:p>
        </w:tc>
        <w:tc>
          <w:tcPr>
            <w:tcW w:w="1127" w:type="dxa"/>
            <w:tcBorders>
              <w:left w:val="double" w:sz="1" w:space="0" w:color="000000"/>
            </w:tcBorders>
            <w:shd w:val="clear" w:color="auto" w:fill="F9FCF9"/>
          </w:tcPr>
          <w:p>
            <w:pPr>
              <w:pStyle w:val="TableParagraph"/>
              <w:spacing w:line="197" w:lineRule="exact"/>
              <w:ind w:left="145"/>
              <w:jc w:val="left"/>
              <w:rPr>
                <w:sz w:val="18"/>
              </w:rPr>
            </w:pPr>
            <w:r>
              <w:rPr>
                <w:sz w:val="18"/>
              </w:rPr>
              <w:t>0.3 - 3.3</w:t>
            </w:r>
          </w:p>
        </w:tc>
        <w:tc>
          <w:tcPr>
            <w:tcW w:w="895" w:type="dxa"/>
            <w:shd w:val="clear" w:color="auto" w:fill="F9FCF9"/>
          </w:tcPr>
          <w:p>
            <w:pPr>
              <w:pStyle w:val="TableParagraph"/>
              <w:spacing w:line="197" w:lineRule="exact"/>
              <w:ind w:right="323"/>
              <w:jc w:val="right"/>
              <w:rPr>
                <w:i/>
                <w:sz w:val="18"/>
              </w:rPr>
            </w:pPr>
            <w:r>
              <w:rPr>
                <w:i/>
                <w:sz w:val="18"/>
              </w:rPr>
              <w:t>1.3</w:t>
            </w:r>
          </w:p>
        </w:tc>
        <w:tc>
          <w:tcPr>
            <w:tcW w:w="3181" w:type="dxa"/>
            <w:shd w:val="clear" w:color="auto" w:fill="F9FCF9"/>
          </w:tcPr>
          <w:p>
            <w:pPr>
              <w:pStyle w:val="TableParagraph"/>
              <w:spacing w:line="161" w:lineRule="exact"/>
              <w:ind w:left="80"/>
              <w:jc w:val="left"/>
              <w:rPr>
                <w:sz w:val="18"/>
              </w:rPr>
            </w:pPr>
            <w:r>
              <w:rPr>
                <w:sz w:val="18"/>
              </w:rPr>
              <w:t>Increase in H cost (US$ GJ</w:t>
            </w:r>
            <w:r>
              <w:rPr>
                <w:position w:val="6"/>
                <w:sz w:val="10"/>
              </w:rPr>
              <w:t>−1</w:t>
            </w:r>
            <w:r>
              <w:rPr>
                <w:sz w:val="18"/>
              </w:rPr>
              <w:t>)</w:t>
            </w:r>
          </w:p>
          <w:p>
            <w:pPr>
              <w:pStyle w:val="TableParagraph"/>
              <w:spacing w:line="79" w:lineRule="exact"/>
              <w:ind w:left="1039"/>
              <w:jc w:val="left"/>
              <w:rPr>
                <w:sz w:val="10"/>
              </w:rPr>
            </w:pPr>
            <w:r>
              <w:rPr>
                <w:w w:val="104"/>
                <w:sz w:val="10"/>
              </w:rPr>
              <w:t>2</w:t>
            </w:r>
          </w:p>
        </w:tc>
      </w:tr>
      <w:tr>
        <w:trPr>
          <w:trHeight w:val="210" w:hRule="atLeast"/>
        </w:trPr>
        <w:tc>
          <w:tcPr>
            <w:tcW w:w="3134" w:type="dxa"/>
            <w:shd w:val="clear" w:color="auto" w:fill="F9FCF9"/>
          </w:tcPr>
          <w:p>
            <w:pPr>
              <w:pStyle w:val="TableParagraph"/>
              <w:spacing w:line="190" w:lineRule="exact"/>
              <w:ind w:left="26"/>
              <w:jc w:val="left"/>
              <w:rPr>
                <w:sz w:val="18"/>
              </w:rPr>
            </w:pPr>
            <w:r>
              <w:rPr>
                <w:sz w:val="18"/>
              </w:rPr>
              <w:t>Percent increase in COE with capture (%)</w:t>
            </w:r>
          </w:p>
        </w:tc>
        <w:tc>
          <w:tcPr>
            <w:tcW w:w="1010" w:type="dxa"/>
            <w:shd w:val="clear" w:color="auto" w:fill="F9FCF9"/>
          </w:tcPr>
          <w:p>
            <w:pPr>
              <w:pStyle w:val="TableParagraph"/>
              <w:spacing w:line="190" w:lineRule="exact"/>
              <w:ind w:right="74"/>
              <w:rPr>
                <w:sz w:val="18"/>
              </w:rPr>
            </w:pPr>
            <w:r>
              <w:rPr>
                <w:sz w:val="18"/>
              </w:rPr>
              <w:t>37 - 69</w:t>
            </w:r>
          </w:p>
        </w:tc>
        <w:tc>
          <w:tcPr>
            <w:tcW w:w="517" w:type="dxa"/>
            <w:shd w:val="clear" w:color="auto" w:fill="F9FCF9"/>
          </w:tcPr>
          <w:p>
            <w:pPr>
              <w:pStyle w:val="TableParagraph"/>
              <w:spacing w:line="190" w:lineRule="exact"/>
              <w:ind w:left="98" w:right="98"/>
              <w:rPr>
                <w:i/>
                <w:sz w:val="18"/>
              </w:rPr>
            </w:pPr>
            <w:r>
              <w:rPr>
                <w:i/>
                <w:sz w:val="18"/>
              </w:rPr>
              <w:t>46</w:t>
            </w:r>
          </w:p>
        </w:tc>
        <w:tc>
          <w:tcPr>
            <w:tcW w:w="1202" w:type="dxa"/>
            <w:shd w:val="clear" w:color="auto" w:fill="F9FCF9"/>
          </w:tcPr>
          <w:p>
            <w:pPr>
              <w:pStyle w:val="TableParagraph"/>
              <w:spacing w:line="190" w:lineRule="exact"/>
              <w:ind w:left="11"/>
              <w:rPr>
                <w:sz w:val="18"/>
              </w:rPr>
            </w:pPr>
            <w:r>
              <w:rPr>
                <w:sz w:val="18"/>
              </w:rPr>
              <w:t>42 - 66</w:t>
            </w:r>
          </w:p>
        </w:tc>
        <w:tc>
          <w:tcPr>
            <w:tcW w:w="641" w:type="dxa"/>
            <w:shd w:val="clear" w:color="auto" w:fill="F9FCF9"/>
          </w:tcPr>
          <w:p>
            <w:pPr>
              <w:pStyle w:val="TableParagraph"/>
              <w:spacing w:line="190" w:lineRule="exact"/>
              <w:ind w:right="223"/>
              <w:jc w:val="right"/>
              <w:rPr>
                <w:i/>
                <w:sz w:val="18"/>
              </w:rPr>
            </w:pPr>
            <w:r>
              <w:rPr>
                <w:i/>
                <w:sz w:val="18"/>
              </w:rPr>
              <w:t>57</w:t>
            </w:r>
          </w:p>
        </w:tc>
        <w:tc>
          <w:tcPr>
            <w:tcW w:w="1157" w:type="dxa"/>
            <w:shd w:val="clear" w:color="auto" w:fill="F9FCF9"/>
          </w:tcPr>
          <w:p>
            <w:pPr>
              <w:pStyle w:val="TableParagraph"/>
              <w:spacing w:line="190" w:lineRule="exact"/>
              <w:ind w:left="234"/>
              <w:jc w:val="left"/>
              <w:rPr>
                <w:sz w:val="18"/>
              </w:rPr>
            </w:pPr>
            <w:r>
              <w:rPr>
                <w:sz w:val="18"/>
              </w:rPr>
              <w:t>20 - 55</w:t>
            </w:r>
          </w:p>
        </w:tc>
        <w:tc>
          <w:tcPr>
            <w:tcW w:w="663" w:type="dxa"/>
            <w:tcBorders>
              <w:right w:val="double" w:sz="1" w:space="0" w:color="000000"/>
            </w:tcBorders>
            <w:shd w:val="clear" w:color="auto" w:fill="F9FCF9"/>
          </w:tcPr>
          <w:p>
            <w:pPr>
              <w:pStyle w:val="TableParagraph"/>
              <w:spacing w:line="190" w:lineRule="exact"/>
              <w:ind w:left="113" w:right="130"/>
              <w:rPr>
                <w:i/>
                <w:sz w:val="18"/>
              </w:rPr>
            </w:pPr>
            <w:r>
              <w:rPr>
                <w:i/>
                <w:sz w:val="18"/>
              </w:rPr>
              <w:t>33</w:t>
            </w:r>
          </w:p>
        </w:tc>
        <w:tc>
          <w:tcPr>
            <w:tcW w:w="1127" w:type="dxa"/>
            <w:tcBorders>
              <w:left w:val="double" w:sz="1" w:space="0" w:color="000000"/>
            </w:tcBorders>
            <w:shd w:val="clear" w:color="auto" w:fill="F9FCF9"/>
          </w:tcPr>
          <w:p>
            <w:pPr>
              <w:pStyle w:val="TableParagraph"/>
              <w:spacing w:line="190" w:lineRule="exact"/>
              <w:ind w:left="280"/>
              <w:jc w:val="left"/>
              <w:rPr>
                <w:sz w:val="18"/>
              </w:rPr>
            </w:pPr>
            <w:r>
              <w:rPr>
                <w:sz w:val="18"/>
              </w:rPr>
              <w:t>5 - 33</w:t>
            </w:r>
          </w:p>
        </w:tc>
        <w:tc>
          <w:tcPr>
            <w:tcW w:w="895" w:type="dxa"/>
            <w:shd w:val="clear" w:color="auto" w:fill="F9FCF9"/>
          </w:tcPr>
          <w:p>
            <w:pPr>
              <w:pStyle w:val="TableParagraph"/>
              <w:spacing w:line="190" w:lineRule="exact"/>
              <w:ind w:right="345"/>
              <w:jc w:val="right"/>
              <w:rPr>
                <w:i/>
                <w:sz w:val="18"/>
              </w:rPr>
            </w:pPr>
            <w:r>
              <w:rPr>
                <w:i/>
                <w:sz w:val="18"/>
              </w:rPr>
              <w:t>15</w:t>
            </w:r>
          </w:p>
        </w:tc>
        <w:tc>
          <w:tcPr>
            <w:tcW w:w="3181" w:type="dxa"/>
            <w:shd w:val="clear" w:color="auto" w:fill="F9FCF9"/>
          </w:tcPr>
          <w:p>
            <w:pPr>
              <w:pStyle w:val="TableParagraph"/>
              <w:spacing w:line="190" w:lineRule="exact"/>
              <w:ind w:left="80"/>
              <w:jc w:val="left"/>
              <w:rPr>
                <w:sz w:val="18"/>
              </w:rPr>
            </w:pPr>
            <w:r>
              <w:rPr>
                <w:sz w:val="18"/>
              </w:rPr>
              <w:t>% increase in H</w:t>
            </w:r>
            <w:r>
              <w:rPr>
                <w:position w:val="-5"/>
                <w:sz w:val="10"/>
              </w:rPr>
              <w:t>2 </w:t>
            </w:r>
            <w:r>
              <w:rPr>
                <w:sz w:val="18"/>
              </w:rPr>
              <w:t>cost</w:t>
            </w:r>
          </w:p>
        </w:tc>
      </w:tr>
      <w:tr>
        <w:trPr>
          <w:trHeight w:val="210" w:hRule="atLeast"/>
        </w:trPr>
        <w:tc>
          <w:tcPr>
            <w:tcW w:w="3134" w:type="dxa"/>
            <w:shd w:val="clear" w:color="auto" w:fill="F9FCF9"/>
          </w:tcPr>
          <w:p>
            <w:pPr>
              <w:pStyle w:val="TableParagraph"/>
              <w:spacing w:line="190" w:lineRule="exact"/>
              <w:ind w:left="26"/>
              <w:jc w:val="left"/>
              <w:rPr>
                <w:sz w:val="18"/>
              </w:rPr>
            </w:pPr>
            <w:r>
              <w:rPr>
                <w:sz w:val="18"/>
              </w:rPr>
              <w:t>Cost of CO</w:t>
            </w:r>
            <w:r>
              <w:rPr>
                <w:position w:val="-5"/>
                <w:sz w:val="10"/>
              </w:rPr>
              <w:t>2 </w:t>
            </w:r>
            <w:r>
              <w:rPr>
                <w:sz w:val="18"/>
              </w:rPr>
              <w:t>captured (US$/tCO</w:t>
            </w:r>
            <w:r>
              <w:rPr>
                <w:position w:val="-5"/>
                <w:sz w:val="10"/>
              </w:rPr>
              <w:t>2</w:t>
            </w:r>
            <w:r>
              <w:rPr>
                <w:sz w:val="18"/>
              </w:rPr>
              <w:t>)</w:t>
            </w:r>
          </w:p>
        </w:tc>
        <w:tc>
          <w:tcPr>
            <w:tcW w:w="1010" w:type="dxa"/>
            <w:shd w:val="clear" w:color="auto" w:fill="F9FCF9"/>
          </w:tcPr>
          <w:p>
            <w:pPr>
              <w:pStyle w:val="TableParagraph"/>
              <w:spacing w:line="190" w:lineRule="exact"/>
              <w:ind w:right="74"/>
              <w:rPr>
                <w:sz w:val="18"/>
              </w:rPr>
            </w:pPr>
            <w:r>
              <w:rPr>
                <w:sz w:val="18"/>
              </w:rPr>
              <w:t>33 - 57</w:t>
            </w:r>
          </w:p>
        </w:tc>
        <w:tc>
          <w:tcPr>
            <w:tcW w:w="517" w:type="dxa"/>
            <w:shd w:val="clear" w:color="auto" w:fill="F9FCF9"/>
          </w:tcPr>
          <w:p>
            <w:pPr>
              <w:pStyle w:val="TableParagraph"/>
              <w:spacing w:line="190" w:lineRule="exact"/>
              <w:ind w:left="98" w:right="98"/>
              <w:rPr>
                <w:i/>
                <w:sz w:val="18"/>
              </w:rPr>
            </w:pPr>
            <w:r>
              <w:rPr>
                <w:i/>
                <w:sz w:val="18"/>
              </w:rPr>
              <w:t>44</w:t>
            </w:r>
          </w:p>
        </w:tc>
        <w:tc>
          <w:tcPr>
            <w:tcW w:w="1202" w:type="dxa"/>
            <w:shd w:val="clear" w:color="auto" w:fill="F9FCF9"/>
          </w:tcPr>
          <w:p>
            <w:pPr>
              <w:pStyle w:val="TableParagraph"/>
              <w:spacing w:line="190" w:lineRule="exact"/>
              <w:ind w:left="11"/>
              <w:rPr>
                <w:sz w:val="18"/>
              </w:rPr>
            </w:pPr>
            <w:r>
              <w:rPr>
                <w:sz w:val="18"/>
              </w:rPr>
              <w:t>23 - 35</w:t>
            </w:r>
          </w:p>
        </w:tc>
        <w:tc>
          <w:tcPr>
            <w:tcW w:w="641" w:type="dxa"/>
            <w:shd w:val="clear" w:color="auto" w:fill="F9FCF9"/>
          </w:tcPr>
          <w:p>
            <w:pPr>
              <w:pStyle w:val="TableParagraph"/>
              <w:spacing w:line="190" w:lineRule="exact"/>
              <w:ind w:right="223"/>
              <w:jc w:val="right"/>
              <w:rPr>
                <w:i/>
                <w:sz w:val="18"/>
              </w:rPr>
            </w:pPr>
            <w:r>
              <w:rPr>
                <w:i/>
                <w:sz w:val="18"/>
              </w:rPr>
              <w:t>29</w:t>
            </w:r>
          </w:p>
        </w:tc>
        <w:tc>
          <w:tcPr>
            <w:tcW w:w="1157" w:type="dxa"/>
            <w:shd w:val="clear" w:color="auto" w:fill="F9FCF9"/>
          </w:tcPr>
          <w:p>
            <w:pPr>
              <w:pStyle w:val="TableParagraph"/>
              <w:spacing w:line="190" w:lineRule="exact"/>
              <w:ind w:left="241"/>
              <w:jc w:val="left"/>
              <w:rPr>
                <w:sz w:val="18"/>
              </w:rPr>
            </w:pPr>
            <w:r>
              <w:rPr>
                <w:sz w:val="18"/>
              </w:rPr>
              <w:t>11 - 32</w:t>
            </w:r>
          </w:p>
        </w:tc>
        <w:tc>
          <w:tcPr>
            <w:tcW w:w="663" w:type="dxa"/>
            <w:tcBorders>
              <w:right w:val="double" w:sz="1" w:space="0" w:color="000000"/>
            </w:tcBorders>
            <w:shd w:val="clear" w:color="auto" w:fill="F9FCF9"/>
          </w:tcPr>
          <w:p>
            <w:pPr>
              <w:pStyle w:val="TableParagraph"/>
              <w:spacing w:line="190" w:lineRule="exact"/>
              <w:ind w:left="113" w:right="130"/>
              <w:rPr>
                <w:i/>
                <w:sz w:val="18"/>
              </w:rPr>
            </w:pPr>
            <w:r>
              <w:rPr>
                <w:i/>
                <w:sz w:val="18"/>
              </w:rPr>
              <w:t>20</w:t>
            </w:r>
          </w:p>
        </w:tc>
        <w:tc>
          <w:tcPr>
            <w:tcW w:w="1127" w:type="dxa"/>
            <w:tcBorders>
              <w:left w:val="double" w:sz="1" w:space="0" w:color="000000"/>
            </w:tcBorders>
            <w:shd w:val="clear" w:color="auto" w:fill="F9FCF9"/>
          </w:tcPr>
          <w:p>
            <w:pPr>
              <w:pStyle w:val="TableParagraph"/>
              <w:spacing w:line="190" w:lineRule="exact"/>
              <w:ind w:left="280"/>
              <w:jc w:val="left"/>
              <w:rPr>
                <w:sz w:val="18"/>
              </w:rPr>
            </w:pPr>
            <w:r>
              <w:rPr>
                <w:sz w:val="18"/>
              </w:rPr>
              <w:t>2 - 39</w:t>
            </w:r>
          </w:p>
        </w:tc>
        <w:tc>
          <w:tcPr>
            <w:tcW w:w="895" w:type="dxa"/>
            <w:shd w:val="clear" w:color="auto" w:fill="F9FCF9"/>
          </w:tcPr>
          <w:p>
            <w:pPr>
              <w:pStyle w:val="TableParagraph"/>
              <w:spacing w:line="190" w:lineRule="exact"/>
              <w:ind w:right="345"/>
              <w:jc w:val="right"/>
              <w:rPr>
                <w:i/>
                <w:sz w:val="18"/>
              </w:rPr>
            </w:pPr>
            <w:r>
              <w:rPr>
                <w:i/>
                <w:sz w:val="18"/>
              </w:rPr>
              <w:t>12</w:t>
            </w:r>
          </w:p>
        </w:tc>
        <w:tc>
          <w:tcPr>
            <w:tcW w:w="3181" w:type="dxa"/>
            <w:shd w:val="clear" w:color="auto" w:fill="F9FCF9"/>
          </w:tcPr>
          <w:p>
            <w:pPr>
              <w:pStyle w:val="TableParagraph"/>
              <w:spacing w:line="190" w:lineRule="exact"/>
              <w:ind w:left="80"/>
              <w:jc w:val="left"/>
              <w:rPr>
                <w:sz w:val="18"/>
              </w:rPr>
            </w:pPr>
            <w:r>
              <w:rPr>
                <w:sz w:val="18"/>
              </w:rPr>
              <w:t>US$/tCO</w:t>
            </w:r>
            <w:r>
              <w:rPr>
                <w:position w:val="-5"/>
                <w:sz w:val="10"/>
              </w:rPr>
              <w:t>2 </w:t>
            </w:r>
            <w:r>
              <w:rPr>
                <w:sz w:val="18"/>
              </w:rPr>
              <w:t>captured</w:t>
            </w:r>
          </w:p>
        </w:tc>
      </w:tr>
      <w:tr>
        <w:trPr>
          <w:trHeight w:val="210" w:hRule="atLeast"/>
        </w:trPr>
        <w:tc>
          <w:tcPr>
            <w:tcW w:w="3134" w:type="dxa"/>
            <w:shd w:val="clear" w:color="auto" w:fill="F9FCF9"/>
          </w:tcPr>
          <w:p>
            <w:pPr>
              <w:pStyle w:val="TableParagraph"/>
              <w:spacing w:line="190" w:lineRule="exact"/>
              <w:ind w:left="26"/>
              <w:jc w:val="left"/>
              <w:rPr>
                <w:sz w:val="18"/>
              </w:rPr>
            </w:pPr>
            <w:r>
              <w:rPr>
                <w:sz w:val="18"/>
              </w:rPr>
              <w:t>Cost of CO</w:t>
            </w:r>
            <w:r>
              <w:rPr>
                <w:position w:val="-5"/>
                <w:sz w:val="10"/>
              </w:rPr>
              <w:t>2 </w:t>
            </w:r>
            <w:r>
              <w:rPr>
                <w:sz w:val="18"/>
              </w:rPr>
              <w:t>avoided (US$/tCO</w:t>
            </w:r>
            <w:r>
              <w:rPr>
                <w:position w:val="-5"/>
                <w:sz w:val="10"/>
              </w:rPr>
              <w:t>2</w:t>
            </w:r>
            <w:r>
              <w:rPr>
                <w:sz w:val="18"/>
              </w:rPr>
              <w:t>)</w:t>
            </w:r>
          </w:p>
        </w:tc>
        <w:tc>
          <w:tcPr>
            <w:tcW w:w="1010" w:type="dxa"/>
            <w:shd w:val="clear" w:color="auto" w:fill="F9FCF9"/>
          </w:tcPr>
          <w:p>
            <w:pPr>
              <w:pStyle w:val="TableParagraph"/>
              <w:spacing w:line="190" w:lineRule="exact"/>
              <w:ind w:right="74"/>
              <w:rPr>
                <w:sz w:val="18"/>
              </w:rPr>
            </w:pPr>
            <w:r>
              <w:rPr>
                <w:sz w:val="18"/>
              </w:rPr>
              <w:t>37 - 74</w:t>
            </w:r>
          </w:p>
        </w:tc>
        <w:tc>
          <w:tcPr>
            <w:tcW w:w="517" w:type="dxa"/>
            <w:shd w:val="clear" w:color="auto" w:fill="F9FCF9"/>
          </w:tcPr>
          <w:p>
            <w:pPr>
              <w:pStyle w:val="TableParagraph"/>
              <w:spacing w:line="190" w:lineRule="exact"/>
              <w:ind w:left="98" w:right="98"/>
              <w:rPr>
                <w:i/>
                <w:sz w:val="18"/>
              </w:rPr>
            </w:pPr>
            <w:r>
              <w:rPr>
                <w:i/>
                <w:sz w:val="18"/>
              </w:rPr>
              <w:t>53</w:t>
            </w:r>
          </w:p>
        </w:tc>
        <w:tc>
          <w:tcPr>
            <w:tcW w:w="1202" w:type="dxa"/>
            <w:shd w:val="clear" w:color="auto" w:fill="F9FCF9"/>
          </w:tcPr>
          <w:p>
            <w:pPr>
              <w:pStyle w:val="TableParagraph"/>
              <w:spacing w:line="190" w:lineRule="exact"/>
              <w:ind w:left="11"/>
              <w:rPr>
                <w:sz w:val="18"/>
              </w:rPr>
            </w:pPr>
            <w:r>
              <w:rPr>
                <w:sz w:val="18"/>
              </w:rPr>
              <w:t>29 - 51</w:t>
            </w:r>
          </w:p>
        </w:tc>
        <w:tc>
          <w:tcPr>
            <w:tcW w:w="641" w:type="dxa"/>
            <w:shd w:val="clear" w:color="auto" w:fill="F9FCF9"/>
          </w:tcPr>
          <w:p>
            <w:pPr>
              <w:pStyle w:val="TableParagraph"/>
              <w:spacing w:line="190" w:lineRule="exact"/>
              <w:ind w:right="223"/>
              <w:jc w:val="right"/>
              <w:rPr>
                <w:i/>
                <w:sz w:val="18"/>
              </w:rPr>
            </w:pPr>
            <w:r>
              <w:rPr>
                <w:i/>
                <w:sz w:val="18"/>
              </w:rPr>
              <w:t>41</w:t>
            </w:r>
          </w:p>
        </w:tc>
        <w:tc>
          <w:tcPr>
            <w:tcW w:w="1157" w:type="dxa"/>
            <w:shd w:val="clear" w:color="auto" w:fill="F9FCF9"/>
          </w:tcPr>
          <w:p>
            <w:pPr>
              <w:pStyle w:val="TableParagraph"/>
              <w:spacing w:line="190" w:lineRule="exact"/>
              <w:ind w:left="234"/>
              <w:jc w:val="left"/>
              <w:rPr>
                <w:sz w:val="18"/>
              </w:rPr>
            </w:pPr>
            <w:r>
              <w:rPr>
                <w:sz w:val="18"/>
              </w:rPr>
              <w:t>13 - 37</w:t>
            </w:r>
          </w:p>
        </w:tc>
        <w:tc>
          <w:tcPr>
            <w:tcW w:w="663" w:type="dxa"/>
            <w:tcBorders>
              <w:right w:val="double" w:sz="1" w:space="0" w:color="000000"/>
            </w:tcBorders>
            <w:shd w:val="clear" w:color="auto" w:fill="F9FCF9"/>
          </w:tcPr>
          <w:p>
            <w:pPr>
              <w:pStyle w:val="TableParagraph"/>
              <w:spacing w:line="190" w:lineRule="exact"/>
              <w:ind w:left="113" w:right="130"/>
              <w:rPr>
                <w:i/>
                <w:sz w:val="18"/>
              </w:rPr>
            </w:pPr>
            <w:r>
              <w:rPr>
                <w:i/>
                <w:sz w:val="18"/>
              </w:rPr>
              <w:t>23</w:t>
            </w:r>
          </w:p>
        </w:tc>
        <w:tc>
          <w:tcPr>
            <w:tcW w:w="1127" w:type="dxa"/>
            <w:tcBorders>
              <w:left w:val="double" w:sz="1" w:space="0" w:color="000000"/>
            </w:tcBorders>
            <w:shd w:val="clear" w:color="auto" w:fill="F9FCF9"/>
          </w:tcPr>
          <w:p>
            <w:pPr>
              <w:pStyle w:val="TableParagraph"/>
              <w:spacing w:line="190" w:lineRule="exact"/>
              <w:ind w:left="280"/>
              <w:jc w:val="left"/>
              <w:rPr>
                <w:sz w:val="18"/>
              </w:rPr>
            </w:pPr>
            <w:r>
              <w:rPr>
                <w:sz w:val="18"/>
              </w:rPr>
              <w:t>2 - 56</w:t>
            </w:r>
          </w:p>
        </w:tc>
        <w:tc>
          <w:tcPr>
            <w:tcW w:w="895" w:type="dxa"/>
            <w:shd w:val="clear" w:color="auto" w:fill="F9FCF9"/>
          </w:tcPr>
          <w:p>
            <w:pPr>
              <w:pStyle w:val="TableParagraph"/>
              <w:spacing w:line="190" w:lineRule="exact"/>
              <w:ind w:right="345"/>
              <w:jc w:val="right"/>
              <w:rPr>
                <w:i/>
                <w:sz w:val="18"/>
              </w:rPr>
            </w:pPr>
            <w:r>
              <w:rPr>
                <w:i/>
                <w:sz w:val="18"/>
              </w:rPr>
              <w:t>15</w:t>
            </w:r>
          </w:p>
        </w:tc>
        <w:tc>
          <w:tcPr>
            <w:tcW w:w="3181" w:type="dxa"/>
            <w:shd w:val="clear" w:color="auto" w:fill="F9FCF9"/>
          </w:tcPr>
          <w:p>
            <w:pPr>
              <w:pStyle w:val="TableParagraph"/>
              <w:spacing w:line="190" w:lineRule="exact"/>
              <w:ind w:left="80"/>
              <w:jc w:val="left"/>
              <w:rPr>
                <w:sz w:val="18"/>
              </w:rPr>
            </w:pPr>
            <w:r>
              <w:rPr>
                <w:sz w:val="18"/>
              </w:rPr>
              <w:t>US$/tCO</w:t>
            </w:r>
            <w:r>
              <w:rPr>
                <w:position w:val="-5"/>
                <w:sz w:val="10"/>
              </w:rPr>
              <w:t>2 </w:t>
            </w:r>
            <w:r>
              <w:rPr>
                <w:sz w:val="18"/>
              </w:rPr>
              <w:t>avoided</w:t>
            </w:r>
          </w:p>
        </w:tc>
      </w:tr>
      <w:tr>
        <w:trPr>
          <w:trHeight w:val="426" w:hRule="atLeast"/>
        </w:trPr>
        <w:tc>
          <w:tcPr>
            <w:tcW w:w="3134" w:type="dxa"/>
            <w:shd w:val="clear" w:color="auto" w:fill="F9FCF9"/>
          </w:tcPr>
          <w:p>
            <w:pPr>
              <w:pStyle w:val="TableParagraph"/>
              <w:spacing w:line="197" w:lineRule="exact"/>
              <w:ind w:left="26"/>
              <w:jc w:val="left"/>
              <w:rPr>
                <w:sz w:val="18"/>
              </w:rPr>
            </w:pPr>
            <w:r>
              <w:rPr>
                <w:sz w:val="18"/>
              </w:rPr>
              <w:t>Capture cost confidence level (see Table</w:t>
            </w:r>
          </w:p>
          <w:p>
            <w:pPr>
              <w:pStyle w:val="TableParagraph"/>
              <w:spacing w:line="200" w:lineRule="exact" w:before="9"/>
              <w:ind w:left="26"/>
              <w:jc w:val="left"/>
              <w:rPr>
                <w:sz w:val="18"/>
              </w:rPr>
            </w:pPr>
            <w:hyperlink w:history="true" w:anchor="_bookmark26">
              <w:r>
                <w:rPr>
                  <w:sz w:val="18"/>
                </w:rPr>
                <w:t>3.6)</w:t>
              </w:r>
            </w:hyperlink>
          </w:p>
        </w:tc>
        <w:tc>
          <w:tcPr>
            <w:tcW w:w="1527" w:type="dxa"/>
            <w:gridSpan w:val="2"/>
            <w:shd w:val="clear" w:color="auto" w:fill="F9FCF9"/>
          </w:tcPr>
          <w:p>
            <w:pPr>
              <w:pStyle w:val="TableParagraph"/>
              <w:spacing w:line="197" w:lineRule="exact"/>
              <w:ind w:left="452"/>
              <w:jc w:val="left"/>
              <w:rPr>
                <w:sz w:val="18"/>
              </w:rPr>
            </w:pPr>
            <w:r>
              <w:rPr>
                <w:sz w:val="18"/>
              </w:rPr>
              <w:t>moderate</w:t>
            </w:r>
          </w:p>
        </w:tc>
        <w:tc>
          <w:tcPr>
            <w:tcW w:w="1843" w:type="dxa"/>
            <w:gridSpan w:val="2"/>
            <w:shd w:val="clear" w:color="auto" w:fill="F9FCF9"/>
          </w:tcPr>
          <w:p>
            <w:pPr>
              <w:pStyle w:val="TableParagraph"/>
              <w:spacing w:line="197" w:lineRule="exact"/>
              <w:ind w:left="610"/>
              <w:jc w:val="left"/>
              <w:rPr>
                <w:sz w:val="18"/>
              </w:rPr>
            </w:pPr>
            <w:r>
              <w:rPr>
                <w:sz w:val="18"/>
              </w:rPr>
              <w:t>moderate</w:t>
            </w:r>
          </w:p>
        </w:tc>
        <w:tc>
          <w:tcPr>
            <w:tcW w:w="1820" w:type="dxa"/>
            <w:gridSpan w:val="2"/>
            <w:tcBorders>
              <w:right w:val="double" w:sz="1" w:space="0" w:color="000000"/>
            </w:tcBorders>
            <w:shd w:val="clear" w:color="auto" w:fill="F9FCF9"/>
          </w:tcPr>
          <w:p>
            <w:pPr>
              <w:pStyle w:val="TableParagraph"/>
              <w:spacing w:line="197" w:lineRule="exact"/>
              <w:ind w:left="584"/>
              <w:jc w:val="left"/>
              <w:rPr>
                <w:sz w:val="18"/>
              </w:rPr>
            </w:pPr>
            <w:r>
              <w:rPr>
                <w:sz w:val="18"/>
              </w:rPr>
              <w:t>moderate</w:t>
            </w:r>
          </w:p>
        </w:tc>
        <w:tc>
          <w:tcPr>
            <w:tcW w:w="2022" w:type="dxa"/>
            <w:gridSpan w:val="2"/>
            <w:tcBorders>
              <w:left w:val="double" w:sz="1" w:space="0" w:color="000000"/>
            </w:tcBorders>
            <w:shd w:val="clear" w:color="auto" w:fill="F9FCF9"/>
          </w:tcPr>
          <w:p>
            <w:pPr>
              <w:pStyle w:val="TableParagraph"/>
              <w:spacing w:line="197" w:lineRule="exact"/>
              <w:ind w:left="431"/>
              <w:jc w:val="left"/>
              <w:rPr>
                <w:sz w:val="18"/>
              </w:rPr>
            </w:pPr>
            <w:r>
              <w:rPr>
                <w:sz w:val="18"/>
              </w:rPr>
              <w:t>moderate to high</w:t>
            </w:r>
          </w:p>
        </w:tc>
        <w:tc>
          <w:tcPr>
            <w:tcW w:w="3181" w:type="dxa"/>
            <w:shd w:val="clear" w:color="auto" w:fill="F9FCF9"/>
          </w:tcPr>
          <w:p>
            <w:pPr>
              <w:pStyle w:val="TableParagraph"/>
              <w:spacing w:line="197" w:lineRule="exact"/>
              <w:ind w:left="80"/>
              <w:jc w:val="left"/>
              <w:rPr>
                <w:sz w:val="18"/>
              </w:rPr>
            </w:pPr>
            <w:r>
              <w:rPr>
                <w:sz w:val="18"/>
              </w:rPr>
              <w:t>Confidence Level (see </w:t>
            </w:r>
            <w:hyperlink w:history="true" w:anchor="_bookmark26">
              <w:r>
                <w:rPr>
                  <w:sz w:val="18"/>
                </w:rPr>
                <w:t>Table 3.6)</w:t>
              </w:r>
            </w:hyperlink>
          </w:p>
        </w:tc>
      </w:tr>
    </w:tbl>
    <w:p>
      <w:pPr>
        <w:spacing w:line="192" w:lineRule="exact" w:before="38"/>
        <w:ind w:left="133" w:right="571" w:firstLine="0"/>
        <w:jc w:val="left"/>
        <w:rPr>
          <w:sz w:val="16"/>
        </w:rPr>
      </w:pPr>
      <w:r>
        <w:rPr>
          <w:sz w:val="16"/>
        </w:rPr>
        <w:t>Notes: See Section 3.6.1 for calculation of energy requirement for capture plants. </w:t>
      </w:r>
      <w:r>
        <w:rPr>
          <w:spacing w:val="-3"/>
          <w:sz w:val="16"/>
        </w:rPr>
        <w:t>Values </w:t>
      </w:r>
      <w:r>
        <w:rPr>
          <w:sz w:val="16"/>
        </w:rPr>
        <w:t>in italics were adjusted from original reported values as explained below.(a) Ranges and representative values are based on data from </w:t>
      </w:r>
      <w:hyperlink w:history="true" w:anchor="_bookmark38">
        <w:r>
          <w:rPr>
            <w:sz w:val="16"/>
          </w:rPr>
          <w:t>Tables 3.8,</w:t>
        </w:r>
      </w:hyperlink>
      <w:r>
        <w:rPr>
          <w:sz w:val="16"/>
        </w:rPr>
        <w:t> </w:t>
      </w:r>
      <w:hyperlink w:history="true" w:anchor="_bookmark45">
        <w:r>
          <w:rPr>
            <w:sz w:val="16"/>
          </w:rPr>
          <w:t>3.1</w:t>
        </w:r>
      </w:hyperlink>
      <w:r>
        <w:rPr>
          <w:sz w:val="16"/>
        </w:rPr>
        <w:t>1, 3.11 </w:t>
      </w:r>
      <w:hyperlink w:history="true" w:anchor="_bookmark53">
        <w:r>
          <w:rPr>
            <w:sz w:val="16"/>
          </w:rPr>
          <w:t>and 3.12. </w:t>
        </w:r>
      </w:hyperlink>
      <w:r>
        <w:rPr>
          <w:sz w:val="16"/>
        </w:rPr>
        <w:t>All costs in this table are for capture only and do not include the costs of CO</w:t>
      </w:r>
      <w:r>
        <w:rPr>
          <w:position w:val="-4"/>
          <w:sz w:val="9"/>
        </w:rPr>
        <w:t>2 </w:t>
      </w:r>
      <w:r>
        <w:rPr>
          <w:sz w:val="16"/>
        </w:rPr>
        <w:t>transport and storage; see Chapter 8 for total CCS costs. (b) All PC and IGCC data are for bituminous coals only at costs of US$1.0-1.5 GJ</w:t>
      </w:r>
      <w:r>
        <w:rPr>
          <w:position w:val="5"/>
          <w:sz w:val="9"/>
        </w:rPr>
        <w:t>−1  </w:t>
      </w:r>
      <w:r>
        <w:rPr>
          <w:sz w:val="16"/>
        </w:rPr>
        <w:t>(LHV); all PC plants are supercritical units. (c) NGCC data based on natural gas prices of US$2.8-4.4 GJ</w:t>
      </w:r>
      <w:r>
        <w:rPr>
          <w:position w:val="5"/>
          <w:sz w:val="9"/>
        </w:rPr>
        <w:t>−1 </w:t>
      </w:r>
      <w:r>
        <w:rPr>
          <w:sz w:val="16"/>
        </w:rPr>
        <w:t>(LHV basis). (d) Cost are in constant US dollars (approx. year 2002 basis). (e) Power plant sizes range from approximately 400-800 MW without capture and 300-700 MW with capture. (f) Capacity factors vary from 65-85% for coal plants and 50-95% for gas plants (average for each = 80%). (g) Hydrogen plant feedstocks are natural gas (US$ 4.7-5.3 GJ</w:t>
      </w:r>
      <w:r>
        <w:rPr>
          <w:position w:val="5"/>
          <w:sz w:val="9"/>
        </w:rPr>
        <w:t>−1</w:t>
      </w:r>
      <w:r>
        <w:rPr>
          <w:sz w:val="16"/>
        </w:rPr>
        <w:t>) or coal (US$ 0.9-1.3 GJ</w:t>
      </w:r>
      <w:r>
        <w:rPr>
          <w:position w:val="5"/>
          <w:sz w:val="9"/>
        </w:rPr>
        <w:t>−1</w:t>
      </w:r>
      <w:r>
        <w:rPr>
          <w:sz w:val="16"/>
        </w:rPr>
        <w:t>); some plants in data set produce electricity in addition to hydrogen. (h) Fixed charge factors vary from 11-16% for power plants and 13-20% for hydrogen plants. (i) All costs include CO</w:t>
      </w:r>
      <w:r>
        <w:rPr>
          <w:position w:val="-4"/>
          <w:sz w:val="9"/>
        </w:rPr>
        <w:t>2 </w:t>
      </w:r>
      <w:r>
        <w:rPr>
          <w:sz w:val="16"/>
        </w:rPr>
        <w:t>compression but not additional CO</w:t>
      </w:r>
      <w:r>
        <w:rPr>
          <w:position w:val="-4"/>
          <w:sz w:val="9"/>
        </w:rPr>
        <w:t>2 </w:t>
      </w:r>
      <w:r>
        <w:rPr>
          <w:sz w:val="16"/>
        </w:rPr>
        <w:t>transport and storage costs (see Chapter 8 for full CCS costs).</w:t>
      </w:r>
    </w:p>
    <w:p>
      <w:pPr>
        <w:spacing w:after="0" w:line="192" w:lineRule="exact"/>
        <w:jc w:val="left"/>
        <w:rPr>
          <w:sz w:val="16"/>
        </w:rPr>
        <w:sectPr>
          <w:headerReference w:type="default" r:id="rId196"/>
          <w:headerReference w:type="even" r:id="rId197"/>
          <w:pgSz w:w="15840" w:h="12240" w:orient="landscape"/>
          <w:pgMar w:header="934" w:footer="0" w:top="1120" w:bottom="280" w:left="1000" w:right="106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69"/>
      </w:tblGrid>
      <w:tr>
        <w:trPr>
          <w:trHeight w:val="5957" w:hRule="atLeast"/>
        </w:trPr>
        <w:tc>
          <w:tcPr>
            <w:tcW w:w="10369" w:type="dxa"/>
          </w:tcPr>
          <w:p>
            <w:pPr>
              <w:pStyle w:val="TableParagraph"/>
              <w:jc w:val="left"/>
              <w:rPr>
                <w:sz w:val="20"/>
              </w:rPr>
            </w:pPr>
          </w:p>
          <w:p>
            <w:pPr>
              <w:pStyle w:val="TableParagraph"/>
              <w:spacing w:before="4"/>
              <w:jc w:val="left"/>
              <w:rPr>
                <w:sz w:val="12"/>
              </w:rPr>
            </w:pPr>
          </w:p>
          <w:p>
            <w:pPr>
              <w:pStyle w:val="TableParagraph"/>
              <w:ind w:left="544"/>
              <w:jc w:val="left"/>
              <w:rPr>
                <w:sz w:val="20"/>
              </w:rPr>
            </w:pPr>
            <w:r>
              <w:rPr>
                <w:position w:val="145"/>
                <w:sz w:val="20"/>
              </w:rPr>
              <w:drawing>
                <wp:inline distT="0" distB="0" distL="0" distR="0">
                  <wp:extent cx="112908" cy="1485900"/>
                  <wp:effectExtent l="0" t="0" r="0" b="0"/>
                  <wp:docPr id="47" name="image173.png"/>
                  <wp:cNvGraphicFramePr>
                    <a:graphicFrameLocks noChangeAspect="1"/>
                  </wp:cNvGraphicFramePr>
                  <a:graphic>
                    <a:graphicData uri="http://schemas.openxmlformats.org/drawingml/2006/picture">
                      <pic:pic>
                        <pic:nvPicPr>
                          <pic:cNvPr id="48" name="image173.png"/>
                          <pic:cNvPicPr/>
                        </pic:nvPicPr>
                        <pic:blipFill>
                          <a:blip r:embed="rId198" cstate="print"/>
                          <a:stretch>
                            <a:fillRect/>
                          </a:stretch>
                        </pic:blipFill>
                        <pic:spPr>
                          <a:xfrm>
                            <a:off x="0" y="0"/>
                            <a:ext cx="112908" cy="1485900"/>
                          </a:xfrm>
                          <a:prstGeom prst="rect">
                            <a:avLst/>
                          </a:prstGeom>
                        </pic:spPr>
                      </pic:pic>
                    </a:graphicData>
                  </a:graphic>
                </wp:inline>
              </w:drawing>
            </w:r>
            <w:r>
              <w:rPr>
                <w:position w:val="145"/>
                <w:sz w:val="20"/>
              </w:rPr>
            </w:r>
            <w:r>
              <w:rPr>
                <w:spacing w:val="2"/>
                <w:position w:val="145"/>
                <w:sz w:val="20"/>
              </w:rPr>
              <w:t> </w:t>
            </w:r>
            <w:r>
              <w:rPr>
                <w:spacing w:val="2"/>
                <w:sz w:val="20"/>
              </w:rPr>
              <w:pict>
                <v:group style="width:439.35pt;height:245.55pt;mso-position-horizontal-relative:char;mso-position-vertical-relative:line" coordorigin="0,0" coordsize="8787,4911">
                  <v:line style="position:absolute" from="393,0" to="393,4732" stroked="true" strokeweight="1pt" strokecolor="#000000">
                    <v:stroke dashstyle="solid"/>
                  </v:line>
                  <v:line style="position:absolute" from="331,4667" to="8664,4667" stroked="true" strokeweight="0pt" strokecolor="#ffffff">
                    <v:stroke dashstyle="solid"/>
                  </v:line>
                  <v:line style="position:absolute" from="331,4667" to="8664,4667" stroked="true" strokeweight="1pt" strokecolor="#000000">
                    <v:stroke dashstyle="solid"/>
                  </v:line>
                  <v:shape style="position:absolute;left:1256;top:4667;width:2;height:64" coordorigin="1256,4668" coordsize="0,64" path="m1256,4731l1256,4668e" filled="true" fillcolor="#ffffff" stroked="false">
                    <v:path arrowok="t"/>
                    <v:fill type="solid"/>
                  </v:shape>
                  <v:line style="position:absolute" from="1256,4731" to="1256,4668" stroked="true" strokeweight=".5pt" strokecolor="#000000">
                    <v:stroke dashstyle="solid"/>
                  </v:line>
                  <v:shape style="position:absolute;left:341;top:3889;width:64;height:2" coordorigin="341,3889" coordsize="64,0" path="m405,3889l341,3889e" filled="true" fillcolor="#ffffff" stroked="false">
                    <v:path arrowok="t"/>
                    <v:fill type="solid"/>
                  </v:shape>
                  <v:line style="position:absolute" from="405,3889" to="341,3889" stroked="true" strokeweight=".5pt" strokecolor="#000000">
                    <v:stroke dashstyle="solid"/>
                  </v:line>
                  <v:shape style="position:absolute;left:341;top:3101;width:64;height:2" coordorigin="341,3102" coordsize="64,0" path="m405,3102l341,3102e" filled="true" fillcolor="#ffffff" stroked="false">
                    <v:path arrowok="t"/>
                    <v:fill type="solid"/>
                  </v:shape>
                  <v:line style="position:absolute" from="405,3102" to="341,3102" stroked="true" strokeweight=".5pt" strokecolor="#000000">
                    <v:stroke dashstyle="solid"/>
                  </v:line>
                  <v:shape style="position:absolute;left:341;top:2319;width:64;height:2" coordorigin="341,2320" coordsize="64,0" path="m405,2320l341,2320e" filled="true" fillcolor="#ffffff" stroked="false">
                    <v:path arrowok="t"/>
                    <v:fill type="solid"/>
                  </v:shape>
                  <v:line style="position:absolute" from="405,2320" to="341,2320" stroked="true" strokeweight=".5pt" strokecolor="#000000">
                    <v:stroke dashstyle="solid"/>
                  </v:line>
                  <v:shape style="position:absolute;left:341;top:1530;width:64;height:2" coordorigin="341,1530" coordsize="64,0" path="m405,1530l341,1530e" filled="true" fillcolor="#ffffff" stroked="false">
                    <v:path arrowok="t"/>
                    <v:fill type="solid"/>
                  </v:shape>
                  <v:line style="position:absolute" from="405,1530" to="341,1530" stroked="true" strokeweight=".5pt" strokecolor="#000000">
                    <v:stroke dashstyle="solid"/>
                  </v:line>
                  <v:shape style="position:absolute;left:341;top:742;width:64;height:2" coordorigin="341,743" coordsize="64,0" path="m405,743l341,743e" filled="true" fillcolor="#ffffff" stroked="false">
                    <v:path arrowok="t"/>
                    <v:fill type="solid"/>
                  </v:shape>
                  <v:line style="position:absolute" from="405,743" to="341,743" stroked="true" strokeweight=".5pt" strokecolor="#000000">
                    <v:stroke dashstyle="solid"/>
                  </v:line>
                  <v:shape style="position:absolute;left:2084;top:4667;width:2;height:64" coordorigin="2085,4668" coordsize="0,64" path="m2085,4731l2085,4668e" filled="true" fillcolor="#ffffff" stroked="false">
                    <v:path arrowok="t"/>
                    <v:fill type="solid"/>
                  </v:shape>
                  <v:line style="position:absolute" from="2085,4731" to="2085,4668" stroked="true" strokeweight=".5pt" strokecolor="#000000">
                    <v:stroke dashstyle="solid"/>
                  </v:line>
                  <v:shape style="position:absolute;left:2905;top:4667;width:2;height:64" coordorigin="2906,4668" coordsize="0,64" path="m2906,4731l2906,4668e" filled="true" fillcolor="#ffffff" stroked="false">
                    <v:path arrowok="t"/>
                    <v:fill type="solid"/>
                  </v:shape>
                  <v:line style="position:absolute" from="2906,4731" to="2906,4668" stroked="true" strokeweight=".5pt" strokecolor="#000000">
                    <v:stroke dashstyle="solid"/>
                  </v:line>
                  <v:shape style="position:absolute;left:3730;top:4667;width:2;height:64" coordorigin="3731,4668" coordsize="0,64" path="m3731,4731l3731,4668e" filled="true" fillcolor="#ffffff" stroked="false">
                    <v:path arrowok="t"/>
                    <v:fill type="solid"/>
                  </v:shape>
                  <v:line style="position:absolute" from="3731,4731" to="3731,4668" stroked="true" strokeweight=".5pt" strokecolor="#000000">
                    <v:stroke dashstyle="solid"/>
                  </v:line>
                  <v:shape style="position:absolute;left:4557;top:4667;width:2;height:64" coordorigin="4558,4668" coordsize="0,64" path="m4558,4731l4558,4668e" filled="true" fillcolor="#ffffff" stroked="false">
                    <v:path arrowok="t"/>
                    <v:fill type="solid"/>
                  </v:shape>
                  <v:line style="position:absolute" from="4558,4731" to="4558,4668" stroked="true" strokeweight=".5pt" strokecolor="#000000">
                    <v:stroke dashstyle="solid"/>
                  </v:line>
                  <v:shape style="position:absolute;left:5376;top:4667;width:2;height:64" coordorigin="5377,4668" coordsize="0,64" path="m5377,4731l5377,4668e" filled="true" fillcolor="#ffffff" stroked="false">
                    <v:path arrowok="t"/>
                    <v:fill type="solid"/>
                  </v:shape>
                  <v:line style="position:absolute" from="5377,4731" to="5377,4668" stroked="true" strokeweight=".5pt" strokecolor="#000000">
                    <v:stroke dashstyle="solid"/>
                  </v:line>
                  <v:shape style="position:absolute;left:6199;top:4667;width:2;height:64" coordorigin="6200,4668" coordsize="0,64" path="m6200,4731l6200,4668e" filled="true" fillcolor="#ffffff" stroked="false">
                    <v:path arrowok="t"/>
                    <v:fill type="solid"/>
                  </v:shape>
                  <v:line style="position:absolute" from="6200,4731" to="6200,4668" stroked="true" strokeweight=".5pt" strokecolor="#000000">
                    <v:stroke dashstyle="solid"/>
                  </v:line>
                  <v:shape style="position:absolute;left:7021;top:4667;width:2;height:64" coordorigin="7021,4668" coordsize="0,64" path="m7021,4731l7021,4668e" filled="true" fillcolor="#ffffff" stroked="false">
                    <v:path arrowok="t"/>
                    <v:fill type="solid"/>
                  </v:shape>
                  <v:line style="position:absolute" from="7021,4731" to="7021,4668" stroked="true" strokeweight=".5pt" strokecolor="#000000">
                    <v:stroke dashstyle="solid"/>
                  </v:line>
                  <v:shape style="position:absolute;left:7847;top:4667;width:2;height:64" coordorigin="7848,4668" coordsize="0,64" path="m7848,4731l7848,4668e" filled="true" fillcolor="#ffffff" stroked="false">
                    <v:path arrowok="t"/>
                    <v:fill type="solid"/>
                  </v:shape>
                  <v:line style="position:absolute" from="7848,4731" to="7848,4668" stroked="true" strokeweight=".5pt" strokecolor="#000000">
                    <v:stroke dashstyle="solid"/>
                  </v:line>
                  <v:line style="position:absolute" from="8671,4731" to="8671,4668" stroked="true" strokeweight=".5pt" strokecolor="#000000">
                    <v:stroke dashstyle="solid"/>
                  </v:line>
                  <v:shape style="position:absolute;left:1135;top:4780;width:87;height:130" coordorigin="1135,4781" coordsize="87,130" path="m1178,4781l1166,4783,1155,4788,1147,4797,1141,4809,1137,4820,1135,4831,1135,4846,1136,4858,1136,4860,1137,4871,1140,4881,1144,4890,1152,4904,1163,4910,1178,4910,1190,4909,1200,4904,1208,4897,1208,4896,1168,4896,1161,4890,1154,4870,1152,4860,1152,4830,1154,4817,1163,4799,1170,4795,1209,4795,1207,4792,1199,4786,1189,4782,1178,4781xm1209,4795l1189,4795,1196,4800,1203,4818,1205,4830,1204,4846,1204,4858,1203,4869,1200,4878,1197,4885,1192,4892,1186,4896,1208,4896,1214,4886,1217,4877,1220,4867,1221,4856,1222,4844,1221,4832,1221,4830,1220,4819,1217,4809,1213,4801,1209,4795xe" filled="true" fillcolor="#000000" stroked="false">
                    <v:path arrowok="t"/>
                    <v:fill type="solid"/>
                  </v:shape>
                  <v:line style="position:absolute" from="1245,4897" to="1263,4897" stroked="true" strokeweight=".938pt" strokecolor="#000000">
                    <v:stroke dashstyle="solid"/>
                  </v:line>
                  <v:shape style="position:absolute;left:1296;top:4781;width:47;height:126" coordorigin="1297,4781" coordsize="47,126" path="m1343,4781l1331,4781,1329,4791,1325,4797,1316,4802,1308,4804,1297,4805,1297,4818,1327,4818,1327,4907,1343,4907,1343,4781xe" filled="true" fillcolor="#000000" stroked="false">
                    <v:path arrowok="t"/>
                    <v:fill type="solid"/>
                  </v:shape>
                  <v:shape style="position:absolute;left:1963;top:4780;width:237;height:130" type="#_x0000_t75" stroked="false">
                    <v:imagedata r:id="rId199" o:title=""/>
                  </v:shape>
                  <v:shape style="position:absolute;left:2784;top:4780;width:237;height:130" type="#_x0000_t75" stroked="false">
                    <v:imagedata r:id="rId200" o:title=""/>
                  </v:shape>
                  <v:shape style="position:absolute;left:3609;top:4780;width:239;height:130" type="#_x0000_t75" stroked="false">
                    <v:imagedata r:id="rId201" o:title=""/>
                  </v:shape>
                  <v:shape style="position:absolute;left:4436;top:4780;width:237;height:130" type="#_x0000_t75" stroked="false">
                    <v:imagedata r:id="rId202" o:title=""/>
                  </v:shape>
                  <v:shape style="position:absolute;left:5255;top:4780;width:238;height:130" type="#_x0000_t75" stroked="false">
                    <v:imagedata r:id="rId203" o:title=""/>
                  </v:shape>
                  <v:shape style="position:absolute;left:6078;top:4780;width:239;height:130" type="#_x0000_t75" stroked="false">
                    <v:imagedata r:id="rId204" o:title=""/>
                  </v:shape>
                  <v:shape style="position:absolute;left:6900;top:4780;width:237;height:130" type="#_x0000_t75" stroked="false">
                    <v:imagedata r:id="rId205" o:title=""/>
                  </v:shape>
                  <v:shape style="position:absolute;left:7726;top:4780;width:237;height:130" type="#_x0000_t75" stroked="false">
                    <v:imagedata r:id="rId206" o:title=""/>
                  </v:shape>
                  <v:shape style="position:absolute;left:8561;top:4781;width:47;height:126" coordorigin="8562,4781" coordsize="47,126" path="m8608,4781l8596,4781,8593,4791,8590,4797,8581,4802,8573,4804,8562,4805,8562,4818,8591,4818,8591,4907,8608,4907,8608,4781xe" filled="true" fillcolor="#000000" stroked="false">
                    <v:path arrowok="t"/>
                    <v:fill type="solid"/>
                  </v:shape>
                  <v:line style="position:absolute" from="8660,4897" to="8678,4897" stroked="true" strokeweight=".938pt" strokecolor="#000000">
                    <v:stroke dashstyle="solid"/>
                  </v:line>
                  <v:shape style="position:absolute;left:8700;top:4780;width:87;height:130" coordorigin="8700,4781" coordsize="87,130" path="m8743,4781l8731,4783,8720,4788,8712,4797,8706,4809,8702,4820,8700,4831,8700,4846,8701,4858,8701,4860,8702,4871,8705,4881,8709,4890,8717,4904,8728,4910,8743,4910,8755,4909,8764,4904,8773,4897,8773,4896,8733,4896,8726,4890,8719,4870,8717,4860,8717,4830,8719,4817,8728,4799,8735,4795,8774,4795,8772,4792,8764,4786,8754,4782,8743,4781xm8774,4795l8754,4795,8761,4800,8768,4818,8769,4830,8769,4846,8769,4858,8768,4869,8765,4878,8762,4885,8757,4892,8751,4896,8773,4896,8779,4886,8782,4877,8785,4867,8786,4856,8787,4844,8786,4832,8786,4830,8785,4819,8782,4809,8778,4801,8774,4795xe" filled="true" fillcolor="#000000" stroked="false">
                    <v:path arrowok="t"/>
                    <v:fill type="solid"/>
                  </v:shape>
                  <v:shape style="position:absolute;left:342;top:4780;width:87;height:130" coordorigin="343,4781" coordsize="87,130" path="m386,4781l373,4783,363,4788,355,4797,348,4809,345,4820,343,4831,343,4846,343,4858,343,4860,345,4871,348,4881,352,4890,359,4904,371,4910,386,4910,397,4909,407,4904,415,4897,416,4896,375,4896,368,4890,361,4870,360,4860,360,4830,362,4817,371,4799,377,4795,417,4795,415,4792,407,4786,397,4782,386,4781xm417,4795l397,4795,404,4800,410,4818,412,4830,412,4846,412,4858,410,4869,408,4878,405,4885,400,4892,394,4896,416,4896,422,4886,425,4877,428,4867,429,4856,429,4844,429,4832,429,4830,427,4819,425,4809,421,4801,417,4795xe" filled="true" fillcolor="#000000" stroked="false">
                    <v:path arrowok="t"/>
                    <v:fill type="solid"/>
                  </v:shape>
                  <v:shape style="position:absolute;left:188;top:4607;width:87;height:130" coordorigin="189,4607" coordsize="87,130" path="m232,4607l219,4609,209,4614,200,4623,194,4636,190,4646,189,4657,189,4673,189,4684,189,4686,191,4697,194,4708,198,4717,205,4730,216,4736,232,4736,243,4735,253,4730,261,4723,262,4722,221,4722,214,4716,207,4696,206,4686,206,4656,208,4643,217,4626,223,4621,263,4621,261,4618,253,4612,243,4608,232,4607xm263,4621l243,4621,249,4626,256,4644,258,4656,258,4673,258,4684,256,4696,254,4705,251,4711,246,4718,240,4722,262,4722,268,4712,271,4703,273,4693,275,4682,275,4670,275,4658,275,4656,273,4646,270,4636,267,4627,263,4621xe" filled="true" fillcolor="#000000" stroked="false">
                    <v:path arrowok="t"/>
                    <v:fill type="solid"/>
                  </v:shape>
                  <v:shape style="position:absolute;left:88;top:3815;width:187;height:130" type="#_x0000_t75" stroked="false">
                    <v:imagedata r:id="rId207" o:title=""/>
                  </v:shape>
                  <v:shape style="position:absolute;left:87;top:3027;width:188;height:130" type="#_x0000_t75" stroked="false">
                    <v:imagedata r:id="rId208" o:title=""/>
                  </v:shape>
                  <v:shape style="position:absolute;left:90;top:2246;width:186;height:130" type="#_x0000_t75" stroked="false">
                    <v:imagedata r:id="rId209" o:title=""/>
                  </v:shape>
                  <v:shape style="position:absolute;left:88;top:1457;width:187;height:130" type="#_x0000_t75" stroked="false">
                    <v:imagedata r:id="rId210" o:title=""/>
                  </v:shape>
                  <v:shape style="position:absolute;left:0;top:670;width:47;height:126" coordorigin="0,670" coordsize="47,126" path="m47,670l34,670,32,680,28,686,19,691,11,693,0,694,0,706,30,706,30,795,47,795,47,670xe" filled="true" fillcolor="#000000" stroked="false">
                    <v:path arrowok="t"/>
                    <v:fill type="solid"/>
                  </v:shape>
                  <v:shape style="position:absolute;left:88;top:669;width:187;height:130" type="#_x0000_t75" stroked="false">
                    <v:imagedata r:id="rId211" o:title=""/>
                  </v:shape>
                  <v:rect style="position:absolute;left:3956;top:120;width:324;height:324" filled="true" fillcolor="#ffec00" stroked="false">
                    <v:fill type="solid"/>
                  </v:rect>
                  <v:rect style="position:absolute;left:3956;top:120;width:324;height:324" filled="false" stroked="true" strokeweight=".5pt" strokecolor="#000000">
                    <v:stroke dashstyle="solid"/>
                  </v:rect>
                  <v:rect style="position:absolute;left:3956;top:523;width:324;height:324" filled="true" fillcolor="#f29400" stroked="false">
                    <v:fill type="solid"/>
                  </v:rect>
                  <v:rect style="position:absolute;left:3956;top:523;width:324;height:324" filled="false" stroked="true" strokeweight=".5pt" strokecolor="#000000">
                    <v:stroke dashstyle="solid"/>
                  </v:rect>
                  <v:rect style="position:absolute;left:3956;top:926;width:324;height:324" filled="true" fillcolor="#e2001a" stroked="false">
                    <v:fill type="solid"/>
                  </v:rect>
                  <v:rect style="position:absolute;left:3956;top:926;width:324;height:324" filled="false" stroked="true" strokeweight=".5pt" strokecolor="#000000">
                    <v:stroke dashstyle="solid"/>
                  </v:rect>
                  <v:shape style="position:absolute;left:4388;top:220;width:1202;height:136" type="#_x0000_t75" stroked="false">
                    <v:imagedata r:id="rId212" o:title=""/>
                  </v:shape>
                  <v:shape style="position:absolute;left:5605;top:220;width:1446;height:170" type="#_x0000_t75" stroked="false">
                    <v:imagedata r:id="rId213" o:title=""/>
                  </v:shape>
                  <v:shape style="position:absolute;left:4390;top:620;width:4182;height:173" type="#_x0000_t75" stroked="false">
                    <v:imagedata r:id="rId214" o:title=""/>
                  </v:shape>
                  <v:shape style="position:absolute;left:4387;top:1024;width:102;height:130" coordorigin="4387,1024" coordsize="102,130" path="m4408,1024l4387,1024,4387,1153,4404,1153,4404,1049,4423,1049,4408,1024xm4423,1049l4404,1049,4469,1153,4488,1153,4488,1128,4472,1128,4423,1049xm4488,1024l4472,1024,4472,1128,4488,1128,4488,1024xe" filled="true" fillcolor="#000000" stroked="false">
                    <v:path arrowok="t"/>
                    <v:fill type="solid"/>
                  </v:shape>
                  <v:shape style="position:absolute;left:4510;top:1056;width:89;height:100" coordorigin="4510,1057" coordsize="89,100" path="m4587,1070l4558,1070,4564,1071,4571,1076,4573,1080,4573,1088,4573,1090,4572,1092,4571,1094,4569,1096,4531,1100,4524,1103,4513,1113,4510,1120,4510,1136,4513,1143,4524,1154,4531,1156,4547,1156,4554,1155,4566,1148,4570,1145,4572,1142,4539,1142,4535,1141,4528,1136,4527,1132,4527,1122,4529,1118,4537,1113,4541,1112,4556,1110,4559,1110,4562,1109,4568,1108,4571,1106,4573,1105,4589,1105,4589,1074,4587,1070xm4590,1140l4574,1140,4574,1144,4575,1147,4579,1153,4583,1155,4590,1155,4592,1155,4595,1154,4597,1154,4599,1153,4599,1142,4592,1142,4590,1142,4590,1140xm4589,1105l4573,1105,4573,1128,4568,1134,4554,1141,4549,1142,4572,1142,4574,1140,4590,1140,4589,1140,4589,1139,4589,1105xm4599,1142l4598,1142,4595,1142,4595,1142,4599,1142,4599,1142xm4563,1057l4542,1057,4534,1059,4519,1068,4516,1076,4515,1088,4530,1088,4531,1083,4532,1079,4537,1072,4543,1070,4587,1070,4585,1067,4572,1059,4563,1057xe" filled="true" fillcolor="#000000" stroked="false">
                    <v:path arrowok="t"/>
                    <v:fill type="solid"/>
                  </v:shape>
                  <v:shape style="position:absolute;left:4605;top:1033;width:44;height:122" coordorigin="4605,1033" coordsize="44,122" path="m4634,1072l4618,1072,4618,1141,4619,1145,4624,1153,4629,1155,4639,1155,4641,1154,4645,1154,4647,1154,4649,1153,4649,1141,4640,1141,4638,1140,4637,1140,4635,1138,4634,1136,4634,1072xm4649,1140l4647,1140,4646,1141,4640,1141,4649,1141,4649,1140xm4649,1059l4605,1059,4605,1072,4649,1072,4649,1059xm4634,1033l4618,1033,4618,1059,4634,1059,4634,1033xe" filled="true" fillcolor="#000000" stroked="false">
                    <v:path arrowok="t"/>
                    <v:fill type="solid"/>
                  </v:shape>
                  <v:shape style="position:absolute;left:4664;top:1059;width:75;height:97" coordorigin="4665,1059" coordsize="75,97" path="m4681,1059l4665,1059,4665,1131,4666,1137,4669,1142,4673,1151,4682,1156,4704,1156,4711,1153,4717,1148,4720,1146,4722,1143,4723,1142,4691,1142,4686,1139,4681,1130,4681,1127,4681,1059xm4739,1139l4724,1139,4724,1153,4739,1153,4739,1139xm4739,1059l4723,1059,4723,1115,4722,1122,4720,1127,4716,1137,4709,1142,4723,1142,4724,1139,4739,1139,4739,1059xe" filled="true" fillcolor="#000000" stroked="false">
                    <v:path arrowok="t"/>
                    <v:fill type="solid"/>
                  </v:shape>
                  <v:shape style="position:absolute;left:4765;top:1056;width:46;height:97" coordorigin="4766,1057" coordsize="46,97" path="m4781,1059l4766,1059,4766,1153,4781,1153,4781,1092,4784,1086,4792,1076,4795,1075,4781,1075,4781,1059xm4800,1057l4794,1059,4785,1068,4782,1072,4781,1075,4795,1075,4798,1073,4811,1073,4811,1057,4807,1057,4800,1057xm4811,1073l4807,1073,4810,1073,4811,1073,4811,1073xe" filled="true" fillcolor="#000000" stroked="false">
                    <v:path arrowok="t"/>
                    <v:fill type="solid"/>
                  </v:shape>
                  <v:shape style="position:absolute;left:4820;top:1056;width:89;height:100" coordorigin="4820,1057" coordsize="89,100" path="m4897,1070l4868,1070,4874,1071,4881,1076,4883,1080,4883,1088,4883,1090,4881,1094,4879,1096,4841,1100,4834,1103,4823,1113,4820,1120,4820,1136,4823,1143,4834,1154,4841,1156,4857,1156,4864,1155,4876,1148,4881,1145,4882,1142,4849,1142,4845,1141,4838,1136,4837,1132,4837,1122,4839,1118,4847,1113,4851,1112,4867,1110,4870,1110,4873,1109,4879,1108,4881,1106,4883,1105,4899,1105,4899,1074,4897,1070xm4900,1140l4884,1140,4884,1144,4885,1147,4889,1153,4893,1155,4901,1155,4902,1155,4905,1154,4907,1154,4909,1153,4909,1142,4902,1142,4901,1142,4900,1140xm4899,1105l4883,1105,4883,1128,4879,1134,4865,1141,4859,1142,4882,1142,4884,1140,4900,1140,4899,1140,4899,1139,4899,1105xm4909,1142l4908,1142,4906,1142,4905,1142,4909,1142,4909,1142xm4873,1057l4852,1057,4844,1059,4830,1068,4826,1076,4825,1088,4840,1088,4841,1083,4842,1079,4847,1072,4853,1070,4897,1070,4896,1067,4882,1059,4873,1057xe" filled="true" fillcolor="#000000" stroked="false">
                    <v:path arrowok="t"/>
                    <v:fill type="solid"/>
                  </v:shape>
                  <v:shape style="position:absolute;left:4925;top:1020;width:2466;height:171" type="#_x0000_t75" stroked="false">
                    <v:imagedata r:id="rId215" o:title=""/>
                  </v:shape>
                  <v:shape style="position:absolute;left:1021;top:1533;width:785;height:993" coordorigin="1021,1533" coordsize="785,993" path="m1413,1533l1350,1540,1289,1558,1233,1588,1182,1629,1136,1678,1097,1736,1065,1801,1041,1873,1026,1949,1021,2030,1026,2110,1041,2187,1065,2258,1097,2323,1136,2381,1182,2430,1233,2471,1289,2501,1350,2520,1413,2526,1477,2520,1537,2501,1594,2471,1645,2430,1691,2381,1730,2323,1762,2258,1786,2187,1800,2110,1806,2030,1800,1949,1786,1873,1762,1801,1730,1736,1691,1678,1645,1629,1594,1588,1537,1558,1477,1540,1413,1533xe" filled="true" fillcolor="#f29400" stroked="false">
                    <v:path arrowok="t"/>
                    <v:fill type="solid"/>
                  </v:shape>
                  <v:shape style="position:absolute;left:1021;top:1533;width:785;height:993" coordorigin="1021,1533" coordsize="785,993" path="m1806,2030l1800,2110,1786,2187,1762,2258,1730,2323,1691,2381,1645,2430,1594,2471,1537,2501,1477,2520,1413,2526,1350,2520,1289,2501,1233,2471,1182,2430,1136,2381,1097,2323,1065,2258,1041,2187,1026,2110,1021,2030,1026,1949,1041,1873,1065,1801,1097,1736,1136,1678,1182,1629,1233,1588,1289,1558,1350,1540,1413,1533,1477,1540,1537,1558,1594,1588,1645,1629,1691,1678,1730,1736,1762,1801,1786,1873,1800,1949,1806,2030xe" filled="false" stroked="true" strokeweight=".5pt" strokecolor="#000000">
                    <v:path arrowok="t"/>
                    <v:stroke dashstyle="solid"/>
                  </v:shape>
                  <v:shape style="position:absolute;left:1261;top:1170;width:479;height:1034" coordorigin="1261,1170" coordsize="479,1034" path="m1500,1170l1407,1207,1331,1310,1302,1383,1280,1468,1266,1564,1261,1670,1265,1766,1276,1856,1294,1939,1317,2014,1346,2078,1380,2131,1457,2195,1500,2203,1543,2195,1621,2131,1654,2078,1683,2014,1707,1939,1724,1856,1735,1766,1739,1670,1734,1564,1721,1468,1698,1383,1669,1310,1634,1251,1548,1180,1500,1170xe" filled="true" fillcolor="#ffec00" stroked="false">
                    <v:path arrowok="t"/>
                    <v:fill type="solid"/>
                  </v:shape>
                  <v:shape style="position:absolute;left:1261;top:1170;width:479;height:1034" coordorigin="1261,1170" coordsize="479,1034" path="m1739,1670l1735,1766,1724,1856,1707,1939,1683,2014,1654,2078,1621,2131,1543,2195,1500,2203,1457,2195,1380,2131,1346,2078,1317,2014,1294,1939,1276,1856,1265,1766,1261,1670,1266,1564,1280,1468,1302,1383,1331,1310,1367,1251,1452,1180,1500,1170,1548,1180,1634,1251,1669,1310,1698,1383,1721,1468,1734,1564,1739,1670xe" filled="false" stroked="true" strokeweight=".5pt" strokecolor="#000000">
                    <v:path arrowok="t"/>
                    <v:stroke dashstyle="solid"/>
                  </v:shape>
                  <v:shape style="position:absolute;left:789;top:1835;width:234;height:1155" coordorigin="790,1836" coordsize="234,1155" path="m907,1836l861,1881,824,2005,810,2091,799,2189,792,2297,790,2413,792,2530,799,2638,810,2736,824,2822,841,2892,883,2979,907,2991,930,2979,972,2892,989,2822,1003,2736,1014,2638,1021,2530,1023,2413,1021,2297,1014,2189,1003,2091,989,2005,972,1935,930,1848,907,1836xe" filled="true" fillcolor="#e2001a" stroked="false">
                    <v:path arrowok="t"/>
                    <v:fill type="solid"/>
                  </v:shape>
                  <v:shape style="position:absolute;left:789;top:1835;width:234;height:1155" coordorigin="790,1836" coordsize="234,1155" path="m1023,2413l1021,2530,1014,2638,1003,2736,989,2822,972,2892,930,2979,907,2991,883,2979,841,2892,824,2822,810,2736,799,2638,792,2530,790,2413,792,2297,799,2189,810,2091,824,2005,841,1935,883,1848,907,1836,930,1848,972,1935,989,2005,1003,2091,1014,2189,1021,2297,1023,2413xe" filled="false" stroked="true" strokeweight=".5pt" strokecolor="#000000">
                    <v:path arrowok="t"/>
                    <v:stroke dashstyle="solid"/>
                  </v:shape>
                  <v:shape style="position:absolute;left:947;top:286;width:961;height:387" type="#_x0000_t75" stroked="false">
                    <v:imagedata r:id="rId216" o:title=""/>
                  </v:shape>
                  <v:shape style="position:absolute;left:3550;top:2716;width:325;height:775" coordorigin="3550,2716" coordsize="325,775" path="m3713,2716l3631,2769,3598,2830,3573,2908,3556,3001,3550,3103,3556,3206,3573,3299,3598,3377,3631,3438,3713,3491,3756,3477,3828,3377,3853,3299,3869,3206,3875,3103,3869,3001,3853,2908,3828,2830,3795,2769,3713,2716xe" filled="true" fillcolor="#e2001a" stroked="false">
                    <v:path arrowok="t"/>
                    <v:fill type="solid"/>
                  </v:shape>
                  <v:shape style="position:absolute;left:3550;top:2716;width:325;height:775" coordorigin="3550,2716" coordsize="325,775" path="m3875,3103l3869,3206,3853,3299,3828,3377,3795,3438,3713,3491,3670,3477,3598,3377,3573,3299,3556,3206,3550,3103,3556,3001,3573,2908,3598,2830,3631,2769,3713,2716,3756,2730,3828,2830,3853,2908,3869,3001,3875,3103xe" filled="false" stroked="true" strokeweight=".5pt" strokecolor="#000000">
                    <v:path arrowok="t"/>
                    <v:stroke dashstyle="solid"/>
                  </v:shape>
                  <v:shape style="position:absolute;left:4058;top:3210;width:3210;height:170" type="#_x0000_t75" stroked="false">
                    <v:imagedata r:id="rId217" o:title=""/>
                  </v:shape>
                  <v:shape style="position:absolute;left:6611;top:2274;width:1503;height:796" coordorigin="6612,2275" coordsize="1503,796" path="m7363,2275l7269,2278,7178,2287,7092,2302,7010,2321,6934,2346,6864,2375,6801,2408,6746,2445,6700,2486,6635,2575,6612,2673,6618,2723,6662,2816,6746,2900,6801,2937,6864,2970,6934,2999,7010,3024,7092,3044,7178,3058,7269,3067,7363,3071,7457,3067,7548,3058,7635,3044,7716,3024,7792,2999,7862,2970,7925,2937,7980,2900,8027,2860,8092,2771,8115,2673,8109,2623,8064,2529,7980,2445,7925,2408,7862,2375,7792,2346,7716,2321,7635,2302,7548,2287,7457,2278,7363,2275xe" filled="true" fillcolor="#f29400" stroked="false">
                    <v:path arrowok="t"/>
                    <v:fill type="solid"/>
                  </v:shape>
                  <v:shape style="position:absolute;left:6611;top:2274;width:1503;height:796" coordorigin="6612,2275" coordsize="1503,796" path="m8115,2673l8092,2771,8027,2860,7980,2900,7925,2937,7862,2970,7792,2999,7716,3024,7635,3044,7548,3058,7457,3067,7363,3071,7269,3067,7178,3058,7092,3044,7010,3024,6934,2999,6864,2970,6801,2937,6746,2900,6700,2860,6635,2771,6612,2673,6618,2623,6662,2529,6746,2445,6801,2408,6864,2375,6934,2346,7010,2321,7092,2302,7178,2287,7269,2278,7363,2275,7457,2278,7548,2287,7635,2302,7716,2321,7792,2346,7862,2375,7925,2408,7980,2445,8027,2486,8092,2575,8115,2673xe" filled="false" stroked="true" strokeweight=".5pt" strokecolor="#000000">
                    <v:path arrowok="t"/>
                    <v:stroke dashstyle="solid"/>
                  </v:shape>
                  <v:shape style="position:absolute;left:7106;top:2618;width:685;height:366" coordorigin="7107,2619" coordsize="685,366" path="m7449,2619l7358,2625,7276,2644,7207,2672,7154,2709,7119,2753,7107,2802,7119,2850,7207,2931,7276,2959,7358,2978,7449,2984,7540,2978,7622,2959,7691,2931,7744,2894,7791,2802,7779,2753,7744,2709,7691,2672,7622,2644,7540,2625,7449,2619xe" filled="true" fillcolor="#ffec00" stroked="false">
                    <v:path arrowok="t"/>
                    <v:fill type="solid"/>
                  </v:shape>
                  <v:shape style="position:absolute;left:7106;top:2618;width:685;height:366" coordorigin="7107,2619" coordsize="685,366" path="m7791,2802l7744,2894,7691,2931,7622,2959,7540,2978,7449,2984,7358,2978,7276,2959,7207,2931,7154,2894,7107,2802,7119,2753,7207,2672,7276,2644,7358,2625,7449,2619,7540,2625,7622,2644,7691,2672,7744,2709,7791,2802xe" filled="false" stroked="true" strokeweight=".5pt" strokecolor="#000000">
                    <v:path arrowok="t"/>
                    <v:stroke dashstyle="solid"/>
                  </v:shape>
                  <v:line style="position:absolute" from="3182,2890" to="2215,2309" stroked="true" strokeweight="1.0pt" strokecolor="#000000">
                    <v:stroke dashstyle="solid"/>
                  </v:line>
                  <v:shape style="position:absolute;left:2111;top:2247;width:196;height:170" type="#_x0000_t75" stroked="false">
                    <v:imagedata r:id="rId218" o:title=""/>
                  </v:shape>
                  <v:line style="position:absolute" from="6084,2703" to="3841,2140" stroked="true" strokeweight="1pt" strokecolor="#000000">
                    <v:stroke dashstyle="solid"/>
                  </v:line>
                  <v:shape style="position:absolute;left:3723;top:2059;width:190;height:185" type="#_x0000_t75" stroked="false">
                    <v:imagedata r:id="rId219" o:title=""/>
                  </v:shape>
                </v:group>
              </w:pict>
            </w:r>
            <w:r>
              <w:rPr>
                <w:spacing w:val="2"/>
                <w:sz w:val="20"/>
              </w:rPr>
            </w:r>
          </w:p>
          <w:p>
            <w:pPr>
              <w:pStyle w:val="TableParagraph"/>
              <w:spacing w:before="5"/>
              <w:jc w:val="left"/>
              <w:rPr>
                <w:sz w:val="17"/>
              </w:rPr>
            </w:pPr>
          </w:p>
          <w:p>
            <w:pPr>
              <w:pStyle w:val="TableParagraph"/>
              <w:spacing w:line="191" w:lineRule="exact"/>
              <w:ind w:left="4069"/>
              <w:jc w:val="left"/>
              <w:rPr>
                <w:sz w:val="19"/>
              </w:rPr>
            </w:pPr>
            <w:r>
              <w:rPr>
                <w:position w:val="-3"/>
                <w:sz w:val="19"/>
              </w:rPr>
              <w:drawing>
                <wp:inline distT="0" distB="0" distL="0" distR="0">
                  <wp:extent cx="1655231" cy="121348"/>
                  <wp:effectExtent l="0" t="0" r="0" b="0"/>
                  <wp:docPr id="49" name="image195.png"/>
                  <wp:cNvGraphicFramePr>
                    <a:graphicFrameLocks noChangeAspect="1"/>
                  </wp:cNvGraphicFramePr>
                  <a:graphic>
                    <a:graphicData uri="http://schemas.openxmlformats.org/drawingml/2006/picture">
                      <pic:pic>
                        <pic:nvPicPr>
                          <pic:cNvPr id="50" name="image195.png"/>
                          <pic:cNvPicPr/>
                        </pic:nvPicPr>
                        <pic:blipFill>
                          <a:blip r:embed="rId220" cstate="print"/>
                          <a:stretch>
                            <a:fillRect/>
                          </a:stretch>
                        </pic:blipFill>
                        <pic:spPr>
                          <a:xfrm>
                            <a:off x="0" y="0"/>
                            <a:ext cx="1655231" cy="121348"/>
                          </a:xfrm>
                          <a:prstGeom prst="rect">
                            <a:avLst/>
                          </a:prstGeom>
                        </pic:spPr>
                      </pic:pic>
                    </a:graphicData>
                  </a:graphic>
                </wp:inline>
              </w:drawing>
            </w:r>
            <w:r>
              <w:rPr>
                <w:position w:val="-3"/>
                <w:sz w:val="19"/>
              </w:rPr>
            </w:r>
          </w:p>
        </w:tc>
      </w:tr>
    </w:tbl>
    <w:p>
      <w:pPr>
        <w:spacing w:line="220" w:lineRule="exact" w:before="79"/>
        <w:ind w:left="112" w:right="514" w:firstLine="0"/>
        <w:jc w:val="both"/>
        <w:rPr>
          <w:sz w:val="18"/>
        </w:rPr>
      </w:pPr>
      <w:bookmarkStart w:name="3.8 Gaps in knowledge" w:id="118"/>
      <w:bookmarkEnd w:id="118"/>
      <w:r>
        <w:rPr/>
      </w:r>
      <w:bookmarkStart w:name="_bookmark62" w:id="119"/>
      <w:bookmarkEnd w:id="119"/>
      <w:r>
        <w:rPr/>
      </w:r>
      <w:bookmarkStart w:name="_bookmark63" w:id="120"/>
      <w:bookmarkEnd w:id="120"/>
      <w:r>
        <w:rPr/>
      </w:r>
      <w:r>
        <w:rPr>
          <w:b/>
          <w:sz w:val="18"/>
        </w:rPr>
        <w:t>Figure 3.20 </w:t>
      </w:r>
      <w:r>
        <w:rPr>
          <w:sz w:val="18"/>
        </w:rPr>
        <w:t>Cost of electricity (excluding transport and storage costs) compared to CO</w:t>
      </w:r>
      <w:r>
        <w:rPr>
          <w:position w:val="-5"/>
          <w:sz w:val="10"/>
        </w:rPr>
        <w:t>2 </w:t>
      </w:r>
      <w:r>
        <w:rPr>
          <w:sz w:val="18"/>
        </w:rPr>
        <w:t>emission rate for different reference and capture plants based on current technology. The shaded areas show the </w:t>
      </w:r>
      <w:hyperlink w:history="true" w:anchor="_bookmark60">
        <w:r>
          <w:rPr>
            <w:spacing w:val="-3"/>
            <w:sz w:val="18"/>
          </w:rPr>
          <w:t>Table </w:t>
        </w:r>
        <w:r>
          <w:rPr>
            <w:sz w:val="18"/>
          </w:rPr>
          <w:t>3.15 </w:t>
        </w:r>
      </w:hyperlink>
      <w:r>
        <w:rPr>
          <w:sz w:val="18"/>
        </w:rPr>
        <w:t>ranges of CO</w:t>
      </w:r>
      <w:r>
        <w:rPr>
          <w:position w:val="-5"/>
          <w:sz w:val="10"/>
        </w:rPr>
        <w:t>2 </w:t>
      </w:r>
      <w:r>
        <w:rPr>
          <w:sz w:val="18"/>
        </w:rPr>
        <w:t>emission rates and levelized cost of electricity (COE) for</w:t>
      </w:r>
      <w:r>
        <w:rPr>
          <w:spacing w:val="-23"/>
          <w:sz w:val="18"/>
        </w:rPr>
        <w:t> </w:t>
      </w:r>
      <w:r>
        <w:rPr>
          <w:sz w:val="18"/>
        </w:rPr>
        <w:t>new PC,</w:t>
      </w:r>
      <w:r>
        <w:rPr>
          <w:spacing w:val="-9"/>
          <w:sz w:val="18"/>
        </w:rPr>
        <w:t> </w:t>
      </w:r>
      <w:r>
        <w:rPr>
          <w:sz w:val="18"/>
        </w:rPr>
        <w:t>IGCC</w:t>
      </w:r>
      <w:r>
        <w:rPr>
          <w:spacing w:val="-9"/>
          <w:sz w:val="18"/>
        </w:rPr>
        <w:t> </w:t>
      </w:r>
      <w:r>
        <w:rPr>
          <w:sz w:val="18"/>
        </w:rPr>
        <w:t>and</w:t>
      </w:r>
      <w:r>
        <w:rPr>
          <w:spacing w:val="-9"/>
          <w:sz w:val="18"/>
        </w:rPr>
        <w:t> </w:t>
      </w:r>
      <w:r>
        <w:rPr>
          <w:sz w:val="18"/>
        </w:rPr>
        <w:t>NGCC</w:t>
      </w:r>
      <w:r>
        <w:rPr>
          <w:spacing w:val="-9"/>
          <w:sz w:val="18"/>
        </w:rPr>
        <w:t> </w:t>
      </w:r>
      <w:r>
        <w:rPr>
          <w:sz w:val="18"/>
        </w:rPr>
        <w:t>plants</w:t>
      </w:r>
      <w:r>
        <w:rPr>
          <w:spacing w:val="-9"/>
          <w:sz w:val="18"/>
        </w:rPr>
        <w:t> </w:t>
      </w:r>
      <w:r>
        <w:rPr>
          <w:sz w:val="18"/>
        </w:rPr>
        <w:t>with</w:t>
      </w:r>
      <w:r>
        <w:rPr>
          <w:spacing w:val="-9"/>
          <w:sz w:val="18"/>
        </w:rPr>
        <w:t> </w:t>
      </w:r>
      <w:r>
        <w:rPr>
          <w:sz w:val="18"/>
        </w:rPr>
        <w:t>and</w:t>
      </w:r>
      <w:r>
        <w:rPr>
          <w:spacing w:val="-9"/>
          <w:sz w:val="18"/>
        </w:rPr>
        <w:t> </w:t>
      </w:r>
      <w:r>
        <w:rPr>
          <w:sz w:val="18"/>
        </w:rPr>
        <w:t>without</w:t>
      </w:r>
      <w:r>
        <w:rPr>
          <w:spacing w:val="-9"/>
          <w:sz w:val="18"/>
        </w:rPr>
        <w:t> </w:t>
      </w:r>
      <w:r>
        <w:rPr>
          <w:sz w:val="18"/>
        </w:rPr>
        <w:t>CO</w:t>
      </w:r>
      <w:r>
        <w:rPr>
          <w:position w:val="-5"/>
          <w:sz w:val="10"/>
        </w:rPr>
        <w:t>2</w:t>
      </w:r>
      <w:r>
        <w:rPr>
          <w:spacing w:val="11"/>
          <w:position w:val="-5"/>
          <w:sz w:val="10"/>
        </w:rPr>
        <w:t> </w:t>
      </w:r>
      <w:r>
        <w:rPr>
          <w:sz w:val="18"/>
        </w:rPr>
        <w:t>capture.</w:t>
      </w:r>
      <w:r>
        <w:rPr>
          <w:spacing w:val="-19"/>
          <w:sz w:val="18"/>
        </w:rPr>
        <w:t> </w:t>
      </w:r>
      <w:r>
        <w:rPr>
          <w:sz w:val="18"/>
        </w:rPr>
        <w:t>All</w:t>
      </w:r>
      <w:r>
        <w:rPr>
          <w:spacing w:val="-9"/>
          <w:sz w:val="18"/>
        </w:rPr>
        <w:t> </w:t>
      </w:r>
      <w:r>
        <w:rPr>
          <w:sz w:val="18"/>
        </w:rPr>
        <w:t>coal</w:t>
      </w:r>
      <w:r>
        <w:rPr>
          <w:spacing w:val="-9"/>
          <w:sz w:val="18"/>
        </w:rPr>
        <w:t> </w:t>
      </w:r>
      <w:r>
        <w:rPr>
          <w:sz w:val="18"/>
        </w:rPr>
        <w:t>plant</w:t>
      </w:r>
      <w:r>
        <w:rPr>
          <w:spacing w:val="-9"/>
          <w:sz w:val="18"/>
        </w:rPr>
        <w:t> </w:t>
      </w:r>
      <w:r>
        <w:rPr>
          <w:sz w:val="18"/>
        </w:rPr>
        <w:t>data</w:t>
      </w:r>
      <w:r>
        <w:rPr>
          <w:spacing w:val="-8"/>
          <w:sz w:val="18"/>
        </w:rPr>
        <w:t> </w:t>
      </w:r>
      <w:r>
        <w:rPr>
          <w:sz w:val="18"/>
        </w:rPr>
        <w:t>are</w:t>
      </w:r>
      <w:r>
        <w:rPr>
          <w:spacing w:val="-9"/>
          <w:sz w:val="18"/>
        </w:rPr>
        <w:t> </w:t>
      </w:r>
      <w:r>
        <w:rPr>
          <w:sz w:val="18"/>
        </w:rPr>
        <w:t>for</w:t>
      </w:r>
      <w:r>
        <w:rPr>
          <w:spacing w:val="-9"/>
          <w:sz w:val="18"/>
        </w:rPr>
        <w:t> </w:t>
      </w:r>
      <w:r>
        <w:rPr>
          <w:sz w:val="18"/>
        </w:rPr>
        <w:t>bituminous</w:t>
      </w:r>
      <w:r>
        <w:rPr>
          <w:spacing w:val="-9"/>
          <w:sz w:val="18"/>
        </w:rPr>
        <w:t> </w:t>
      </w:r>
      <w:r>
        <w:rPr>
          <w:sz w:val="18"/>
        </w:rPr>
        <w:t>coals</w:t>
      </w:r>
      <w:r>
        <w:rPr>
          <w:spacing w:val="-9"/>
          <w:sz w:val="18"/>
        </w:rPr>
        <w:t> </w:t>
      </w:r>
      <w:r>
        <w:rPr>
          <w:spacing w:val="-3"/>
          <w:sz w:val="18"/>
        </w:rPr>
        <w:t>only.</w:t>
      </w:r>
      <w:r>
        <w:rPr>
          <w:spacing w:val="-9"/>
          <w:sz w:val="18"/>
        </w:rPr>
        <w:t> </w:t>
      </w:r>
      <w:r>
        <w:rPr>
          <w:sz w:val="18"/>
        </w:rPr>
        <w:t>PC</w:t>
      </w:r>
      <w:r>
        <w:rPr>
          <w:spacing w:val="-9"/>
          <w:sz w:val="18"/>
        </w:rPr>
        <w:t> </w:t>
      </w:r>
      <w:r>
        <w:rPr>
          <w:sz w:val="18"/>
        </w:rPr>
        <w:t>plants</w:t>
      </w:r>
      <w:r>
        <w:rPr>
          <w:spacing w:val="-9"/>
          <w:sz w:val="18"/>
        </w:rPr>
        <w:t> </w:t>
      </w:r>
      <w:r>
        <w:rPr>
          <w:sz w:val="18"/>
        </w:rPr>
        <w:t>are</w:t>
      </w:r>
      <w:r>
        <w:rPr>
          <w:spacing w:val="-9"/>
          <w:sz w:val="18"/>
        </w:rPr>
        <w:t> </w:t>
      </w:r>
      <w:r>
        <w:rPr>
          <w:sz w:val="18"/>
        </w:rPr>
        <w:t>supercritical</w:t>
      </w:r>
      <w:r>
        <w:rPr>
          <w:spacing w:val="-9"/>
          <w:sz w:val="18"/>
        </w:rPr>
        <w:t> </w:t>
      </w:r>
      <w:r>
        <w:rPr>
          <w:sz w:val="18"/>
        </w:rPr>
        <w:t>units</w:t>
      </w:r>
      <w:r>
        <w:rPr>
          <w:spacing w:val="-9"/>
          <w:sz w:val="18"/>
        </w:rPr>
        <w:t> </w:t>
      </w:r>
      <w:r>
        <w:rPr>
          <w:sz w:val="18"/>
        </w:rPr>
        <w:t>only (see</w:t>
      </w:r>
      <w:r>
        <w:rPr>
          <w:spacing w:val="-9"/>
          <w:sz w:val="18"/>
        </w:rPr>
        <w:t> </w:t>
      </w:r>
      <w:r>
        <w:rPr>
          <w:spacing w:val="-3"/>
          <w:sz w:val="18"/>
        </w:rPr>
        <w:t>Tables</w:t>
      </w:r>
      <w:r>
        <w:rPr>
          <w:spacing w:val="-5"/>
          <w:sz w:val="18"/>
        </w:rPr>
        <w:t> </w:t>
      </w:r>
      <w:hyperlink w:history="true" w:anchor="_bookmark29">
        <w:r>
          <w:rPr>
            <w:sz w:val="18"/>
          </w:rPr>
          <w:t>3.7,</w:t>
        </w:r>
        <w:r>
          <w:rPr>
            <w:spacing w:val="-5"/>
            <w:sz w:val="18"/>
          </w:rPr>
          <w:t> </w:t>
        </w:r>
      </w:hyperlink>
      <w:hyperlink w:history="true" w:anchor="_bookmark40">
        <w:r>
          <w:rPr>
            <w:sz w:val="18"/>
          </w:rPr>
          <w:t>3.9,</w:t>
        </w:r>
        <w:r>
          <w:rPr>
            <w:spacing w:val="-5"/>
            <w:sz w:val="18"/>
          </w:rPr>
          <w:t> </w:t>
        </w:r>
      </w:hyperlink>
      <w:hyperlink w:history="true" w:anchor="_bookmark43">
        <w:r>
          <w:rPr>
            <w:sz w:val="18"/>
          </w:rPr>
          <w:t>3.10</w:t>
        </w:r>
        <w:r>
          <w:rPr>
            <w:spacing w:val="-5"/>
            <w:sz w:val="18"/>
          </w:rPr>
          <w:t> </w:t>
        </w:r>
      </w:hyperlink>
      <w:r>
        <w:rPr>
          <w:sz w:val="18"/>
        </w:rPr>
        <w:t>and</w:t>
      </w:r>
      <w:r>
        <w:rPr>
          <w:spacing w:val="-5"/>
          <w:sz w:val="18"/>
        </w:rPr>
        <w:t> </w:t>
      </w:r>
      <w:hyperlink w:history="true" w:anchor="_bookmark60">
        <w:r>
          <w:rPr>
            <w:sz w:val="18"/>
          </w:rPr>
          <w:t>3.15</w:t>
        </w:r>
        <w:r>
          <w:rPr>
            <w:spacing w:val="-5"/>
            <w:sz w:val="18"/>
          </w:rPr>
          <w:t> </w:t>
        </w:r>
      </w:hyperlink>
      <w:r>
        <w:rPr>
          <w:sz w:val="18"/>
        </w:rPr>
        <w:t>for</w:t>
      </w:r>
      <w:r>
        <w:rPr>
          <w:spacing w:val="-5"/>
          <w:sz w:val="18"/>
        </w:rPr>
        <w:t> </w:t>
      </w:r>
      <w:r>
        <w:rPr>
          <w:sz w:val="18"/>
        </w:rPr>
        <w:t>additional</w:t>
      </w:r>
      <w:r>
        <w:rPr>
          <w:spacing w:val="-5"/>
          <w:sz w:val="18"/>
        </w:rPr>
        <w:t> </w:t>
      </w:r>
      <w:r>
        <w:rPr>
          <w:sz w:val="18"/>
        </w:rPr>
        <w:t>assumptions).</w:t>
      </w:r>
      <w:r>
        <w:rPr>
          <w:spacing w:val="-9"/>
          <w:sz w:val="18"/>
        </w:rPr>
        <w:t> </w:t>
      </w:r>
      <w:r>
        <w:rPr>
          <w:sz w:val="18"/>
        </w:rPr>
        <w:t>The</w:t>
      </w:r>
      <w:r>
        <w:rPr>
          <w:spacing w:val="-5"/>
          <w:sz w:val="18"/>
        </w:rPr>
        <w:t> </w:t>
      </w:r>
      <w:r>
        <w:rPr>
          <w:sz w:val="18"/>
        </w:rPr>
        <w:t>cost</w:t>
      </w:r>
      <w:r>
        <w:rPr>
          <w:spacing w:val="-5"/>
          <w:sz w:val="18"/>
        </w:rPr>
        <w:t> </w:t>
      </w:r>
      <w:r>
        <w:rPr>
          <w:sz w:val="18"/>
        </w:rPr>
        <w:t>of</w:t>
      </w:r>
      <w:r>
        <w:rPr>
          <w:spacing w:val="-5"/>
          <w:sz w:val="18"/>
        </w:rPr>
        <w:t> </w:t>
      </w:r>
      <w:r>
        <w:rPr>
          <w:sz w:val="18"/>
        </w:rPr>
        <w:t>CO</w:t>
      </w:r>
      <w:r>
        <w:rPr>
          <w:position w:val="-5"/>
          <w:sz w:val="10"/>
        </w:rPr>
        <w:t>2</w:t>
      </w:r>
      <w:r>
        <w:rPr>
          <w:spacing w:val="15"/>
          <w:position w:val="-5"/>
          <w:sz w:val="10"/>
        </w:rPr>
        <w:t> </w:t>
      </w:r>
      <w:r>
        <w:rPr>
          <w:sz w:val="18"/>
        </w:rPr>
        <w:t>avoided</w:t>
      </w:r>
      <w:r>
        <w:rPr>
          <w:spacing w:val="-5"/>
          <w:sz w:val="18"/>
        </w:rPr>
        <w:t> </w:t>
      </w:r>
      <w:r>
        <w:rPr>
          <w:sz w:val="18"/>
        </w:rPr>
        <w:t>corresponds</w:t>
      </w:r>
      <w:r>
        <w:rPr>
          <w:spacing w:val="-5"/>
          <w:sz w:val="18"/>
        </w:rPr>
        <w:t> </w:t>
      </w:r>
      <w:r>
        <w:rPr>
          <w:sz w:val="18"/>
        </w:rPr>
        <w:t>to</w:t>
      </w:r>
      <w:r>
        <w:rPr>
          <w:spacing w:val="-5"/>
          <w:sz w:val="18"/>
        </w:rPr>
        <w:t> </w:t>
      </w:r>
      <w:r>
        <w:rPr>
          <w:sz w:val="18"/>
        </w:rPr>
        <w:t>the</w:t>
      </w:r>
      <w:r>
        <w:rPr>
          <w:spacing w:val="-5"/>
          <w:sz w:val="18"/>
        </w:rPr>
        <w:t> </w:t>
      </w:r>
      <w:r>
        <w:rPr>
          <w:sz w:val="18"/>
        </w:rPr>
        <w:t>slope</w:t>
      </w:r>
      <w:r>
        <w:rPr>
          <w:spacing w:val="-6"/>
          <w:sz w:val="18"/>
        </w:rPr>
        <w:t> </w:t>
      </w:r>
      <w:r>
        <w:rPr>
          <w:sz w:val="18"/>
        </w:rPr>
        <w:t>of</w:t>
      </w:r>
      <w:r>
        <w:rPr>
          <w:spacing w:val="-5"/>
          <w:sz w:val="18"/>
        </w:rPr>
        <w:t> </w:t>
      </w:r>
      <w:r>
        <w:rPr>
          <w:sz w:val="18"/>
        </w:rPr>
        <w:t>a</w:t>
      </w:r>
      <w:r>
        <w:rPr>
          <w:spacing w:val="-5"/>
          <w:sz w:val="18"/>
        </w:rPr>
        <w:t> </w:t>
      </w:r>
      <w:r>
        <w:rPr>
          <w:sz w:val="18"/>
        </w:rPr>
        <w:t>line</w:t>
      </w:r>
      <w:r>
        <w:rPr>
          <w:spacing w:val="-5"/>
          <w:sz w:val="18"/>
        </w:rPr>
        <w:t> </w:t>
      </w:r>
      <w:r>
        <w:rPr>
          <w:sz w:val="18"/>
        </w:rPr>
        <w:t>connecting</w:t>
      </w:r>
      <w:r>
        <w:rPr>
          <w:spacing w:val="-5"/>
          <w:sz w:val="18"/>
        </w:rPr>
        <w:t> </w:t>
      </w:r>
      <w:r>
        <w:rPr>
          <w:sz w:val="18"/>
        </w:rPr>
        <w:t>a</w:t>
      </w:r>
      <w:r>
        <w:rPr>
          <w:spacing w:val="-5"/>
          <w:sz w:val="18"/>
        </w:rPr>
        <w:t> </w:t>
      </w:r>
      <w:r>
        <w:rPr>
          <w:sz w:val="18"/>
        </w:rPr>
        <w:t>plant</w:t>
      </w:r>
      <w:r>
        <w:rPr>
          <w:spacing w:val="-5"/>
          <w:sz w:val="18"/>
        </w:rPr>
        <w:t> </w:t>
      </w:r>
      <w:r>
        <w:rPr>
          <w:sz w:val="18"/>
        </w:rPr>
        <w:t>with capture and a reference plant without capture (i.e., the change in electricity cost divided by the change in emission rate). Avoidance costs for</w:t>
      </w:r>
      <w:r>
        <w:rPr>
          <w:spacing w:val="-32"/>
          <w:sz w:val="18"/>
        </w:rPr>
        <w:t> </w:t>
      </w:r>
      <w:r>
        <w:rPr>
          <w:sz w:val="18"/>
        </w:rPr>
        <w:t>the same type of plant with and without capture plant are given in </w:t>
      </w:r>
      <w:hyperlink w:history="true" w:anchor="_bookmark60">
        <w:r>
          <w:rPr>
            <w:spacing w:val="-3"/>
            <w:sz w:val="18"/>
          </w:rPr>
          <w:t>Table </w:t>
        </w:r>
        <w:r>
          <w:rPr>
            <w:sz w:val="18"/>
          </w:rPr>
          <w:t>3.15</w:t>
        </w:r>
      </w:hyperlink>
      <w:r>
        <w:rPr>
          <w:color w:val="FF0000"/>
          <w:sz w:val="18"/>
        </w:rPr>
        <w:t>. </w:t>
      </w:r>
      <w:r>
        <w:rPr>
          <w:sz w:val="18"/>
        </w:rPr>
        <w:t>When comparing different plant types, the reference plant represents the</w:t>
      </w:r>
      <w:r>
        <w:rPr>
          <w:spacing w:val="-4"/>
          <w:sz w:val="18"/>
        </w:rPr>
        <w:t> </w:t>
      </w:r>
      <w:r>
        <w:rPr>
          <w:sz w:val="18"/>
        </w:rPr>
        <w:t>least-cost</w:t>
      </w:r>
      <w:r>
        <w:rPr>
          <w:spacing w:val="-4"/>
          <w:sz w:val="18"/>
        </w:rPr>
        <w:t> </w:t>
      </w:r>
      <w:r>
        <w:rPr>
          <w:sz w:val="18"/>
        </w:rPr>
        <w:t>plant</w:t>
      </w:r>
      <w:r>
        <w:rPr>
          <w:spacing w:val="-4"/>
          <w:sz w:val="18"/>
        </w:rPr>
        <w:t> </w:t>
      </w:r>
      <w:r>
        <w:rPr>
          <w:sz w:val="18"/>
        </w:rPr>
        <w:t>that</w:t>
      </w:r>
      <w:r>
        <w:rPr>
          <w:spacing w:val="-4"/>
          <w:sz w:val="18"/>
        </w:rPr>
        <w:t> </w:t>
      </w:r>
      <w:r>
        <w:rPr>
          <w:sz w:val="18"/>
        </w:rPr>
        <w:t>would</w:t>
      </w:r>
      <w:r>
        <w:rPr>
          <w:spacing w:val="-4"/>
          <w:sz w:val="18"/>
        </w:rPr>
        <w:t> </w:t>
      </w:r>
      <w:r>
        <w:rPr>
          <w:sz w:val="18"/>
        </w:rPr>
        <w:t>‘normally’</w:t>
      </w:r>
      <w:r>
        <w:rPr>
          <w:spacing w:val="-16"/>
          <w:sz w:val="18"/>
        </w:rPr>
        <w:t> </w:t>
      </w:r>
      <w:r>
        <w:rPr>
          <w:sz w:val="18"/>
        </w:rPr>
        <w:t>be</w:t>
      </w:r>
      <w:r>
        <w:rPr>
          <w:spacing w:val="-4"/>
          <w:sz w:val="18"/>
        </w:rPr>
        <w:t> </w:t>
      </w:r>
      <w:r>
        <w:rPr>
          <w:sz w:val="18"/>
        </w:rPr>
        <w:t>built</w:t>
      </w:r>
      <w:r>
        <w:rPr>
          <w:spacing w:val="-4"/>
          <w:sz w:val="18"/>
        </w:rPr>
        <w:t> </w:t>
      </w:r>
      <w:r>
        <w:rPr>
          <w:sz w:val="18"/>
        </w:rPr>
        <w:t>at</w:t>
      </w:r>
      <w:r>
        <w:rPr>
          <w:spacing w:val="-4"/>
          <w:sz w:val="18"/>
        </w:rPr>
        <w:t> </w:t>
      </w:r>
      <w:r>
        <w:rPr>
          <w:sz w:val="18"/>
        </w:rPr>
        <w:t>a</w:t>
      </w:r>
      <w:r>
        <w:rPr>
          <w:spacing w:val="-4"/>
          <w:sz w:val="18"/>
        </w:rPr>
        <w:t> </w:t>
      </w:r>
      <w:r>
        <w:rPr>
          <w:sz w:val="18"/>
        </w:rPr>
        <w:t>particular</w:t>
      </w:r>
      <w:r>
        <w:rPr>
          <w:spacing w:val="-4"/>
          <w:sz w:val="18"/>
        </w:rPr>
        <w:t> </w:t>
      </w:r>
      <w:r>
        <w:rPr>
          <w:sz w:val="18"/>
        </w:rPr>
        <w:t>location</w:t>
      </w:r>
      <w:r>
        <w:rPr>
          <w:spacing w:val="-4"/>
          <w:sz w:val="18"/>
        </w:rPr>
        <w:t> </w:t>
      </w:r>
      <w:r>
        <w:rPr>
          <w:sz w:val="18"/>
        </w:rPr>
        <w:t>in</w:t>
      </w:r>
      <w:r>
        <w:rPr>
          <w:spacing w:val="-3"/>
          <w:sz w:val="18"/>
        </w:rPr>
        <w:t> </w:t>
      </w:r>
      <w:r>
        <w:rPr>
          <w:sz w:val="18"/>
        </w:rPr>
        <w:t>the</w:t>
      </w:r>
      <w:r>
        <w:rPr>
          <w:spacing w:val="-4"/>
          <w:sz w:val="18"/>
        </w:rPr>
        <w:t> </w:t>
      </w:r>
      <w:r>
        <w:rPr>
          <w:sz w:val="18"/>
        </w:rPr>
        <w:t>absence</w:t>
      </w:r>
      <w:r>
        <w:rPr>
          <w:spacing w:val="-4"/>
          <w:sz w:val="18"/>
        </w:rPr>
        <w:t> </w:t>
      </w:r>
      <w:r>
        <w:rPr>
          <w:sz w:val="18"/>
        </w:rPr>
        <w:t>of</w:t>
      </w:r>
      <w:r>
        <w:rPr>
          <w:spacing w:val="-4"/>
          <w:sz w:val="18"/>
        </w:rPr>
        <w:t> </w:t>
      </w:r>
      <w:r>
        <w:rPr>
          <w:sz w:val="18"/>
        </w:rPr>
        <w:t>a</w:t>
      </w:r>
      <w:r>
        <w:rPr>
          <w:spacing w:val="-4"/>
          <w:sz w:val="18"/>
        </w:rPr>
        <w:t> </w:t>
      </w:r>
      <w:r>
        <w:rPr>
          <w:sz w:val="18"/>
        </w:rPr>
        <w:t>carbon</w:t>
      </w:r>
      <w:r>
        <w:rPr>
          <w:spacing w:val="-4"/>
          <w:sz w:val="18"/>
        </w:rPr>
        <w:t> </w:t>
      </w:r>
      <w:r>
        <w:rPr>
          <w:sz w:val="18"/>
        </w:rPr>
        <w:t>constraint.</w:t>
      </w:r>
      <w:r>
        <w:rPr>
          <w:spacing w:val="-4"/>
          <w:sz w:val="18"/>
        </w:rPr>
        <w:t> </w:t>
      </w:r>
      <w:r>
        <w:rPr>
          <w:sz w:val="18"/>
        </w:rPr>
        <w:t>In</w:t>
      </w:r>
      <w:r>
        <w:rPr>
          <w:spacing w:val="-3"/>
          <w:sz w:val="18"/>
        </w:rPr>
        <w:t> </w:t>
      </w:r>
      <w:r>
        <w:rPr>
          <w:sz w:val="18"/>
        </w:rPr>
        <w:t>many</w:t>
      </w:r>
      <w:r>
        <w:rPr>
          <w:spacing w:val="-4"/>
          <w:sz w:val="18"/>
        </w:rPr>
        <w:t> </w:t>
      </w:r>
      <w:r>
        <w:rPr>
          <w:sz w:val="18"/>
        </w:rPr>
        <w:t>regions</w:t>
      </w:r>
      <w:r>
        <w:rPr>
          <w:spacing w:val="-4"/>
          <w:sz w:val="18"/>
        </w:rPr>
        <w:t> </w:t>
      </w:r>
      <w:r>
        <w:rPr>
          <w:sz w:val="18"/>
        </w:rPr>
        <w:t>today,</w:t>
      </w:r>
      <w:r>
        <w:rPr>
          <w:spacing w:val="-4"/>
          <w:sz w:val="18"/>
        </w:rPr>
        <w:t> </w:t>
      </w:r>
      <w:r>
        <w:rPr>
          <w:sz w:val="18"/>
        </w:rPr>
        <w:t>this</w:t>
      </w:r>
      <w:r>
        <w:rPr>
          <w:spacing w:val="-4"/>
          <w:sz w:val="18"/>
        </w:rPr>
        <w:t> </w:t>
      </w:r>
      <w:r>
        <w:rPr>
          <w:sz w:val="18"/>
        </w:rPr>
        <w:t>would be</w:t>
      </w:r>
      <w:r>
        <w:rPr>
          <w:spacing w:val="-7"/>
          <w:sz w:val="18"/>
        </w:rPr>
        <w:t> </w:t>
      </w:r>
      <w:r>
        <w:rPr>
          <w:sz w:val="18"/>
        </w:rPr>
        <w:t>either</w:t>
      </w:r>
      <w:r>
        <w:rPr>
          <w:spacing w:val="-6"/>
          <w:sz w:val="18"/>
        </w:rPr>
        <w:t> </w:t>
      </w:r>
      <w:r>
        <w:rPr>
          <w:sz w:val="18"/>
        </w:rPr>
        <w:t>a</w:t>
      </w:r>
      <w:r>
        <w:rPr>
          <w:spacing w:val="-6"/>
          <w:sz w:val="18"/>
        </w:rPr>
        <w:t> </w:t>
      </w:r>
      <w:r>
        <w:rPr>
          <w:sz w:val="18"/>
        </w:rPr>
        <w:t>PC</w:t>
      </w:r>
      <w:r>
        <w:rPr>
          <w:spacing w:val="-7"/>
          <w:sz w:val="18"/>
        </w:rPr>
        <w:t> </w:t>
      </w:r>
      <w:r>
        <w:rPr>
          <w:sz w:val="18"/>
        </w:rPr>
        <w:t>plant</w:t>
      </w:r>
      <w:r>
        <w:rPr>
          <w:spacing w:val="-6"/>
          <w:sz w:val="18"/>
        </w:rPr>
        <w:t> </w:t>
      </w:r>
      <w:r>
        <w:rPr>
          <w:sz w:val="18"/>
        </w:rPr>
        <w:t>or</w:t>
      </w:r>
      <w:r>
        <w:rPr>
          <w:spacing w:val="-6"/>
          <w:sz w:val="18"/>
        </w:rPr>
        <w:t> </w:t>
      </w:r>
      <w:r>
        <w:rPr>
          <w:sz w:val="18"/>
        </w:rPr>
        <w:t>an</w:t>
      </w:r>
      <w:r>
        <w:rPr>
          <w:spacing w:val="-7"/>
          <w:sz w:val="18"/>
        </w:rPr>
        <w:t> </w:t>
      </w:r>
      <w:r>
        <w:rPr>
          <w:sz w:val="18"/>
        </w:rPr>
        <w:t>NGCC</w:t>
      </w:r>
      <w:r>
        <w:rPr>
          <w:spacing w:val="-6"/>
          <w:sz w:val="18"/>
        </w:rPr>
        <w:t> </w:t>
      </w:r>
      <w:r>
        <w:rPr>
          <w:sz w:val="18"/>
        </w:rPr>
        <w:t>plant.</w:t>
      </w:r>
      <w:r>
        <w:rPr>
          <w:spacing w:val="-10"/>
          <w:sz w:val="18"/>
        </w:rPr>
        <w:t> </w:t>
      </w:r>
      <w:r>
        <w:rPr>
          <w:sz w:val="18"/>
        </w:rPr>
        <w:t>The</w:t>
      </w:r>
      <w:r>
        <w:rPr>
          <w:spacing w:val="-7"/>
          <w:sz w:val="18"/>
        </w:rPr>
        <w:t> </w:t>
      </w:r>
      <w:r>
        <w:rPr>
          <w:sz w:val="18"/>
        </w:rPr>
        <w:t>cost</w:t>
      </w:r>
      <w:r>
        <w:rPr>
          <w:spacing w:val="-6"/>
          <w:sz w:val="18"/>
        </w:rPr>
        <w:t> </w:t>
      </w:r>
      <w:r>
        <w:rPr>
          <w:sz w:val="18"/>
        </w:rPr>
        <w:t>per</w:t>
      </w:r>
      <w:r>
        <w:rPr>
          <w:spacing w:val="-6"/>
          <w:sz w:val="18"/>
        </w:rPr>
        <w:t> </w:t>
      </w:r>
      <w:r>
        <w:rPr>
          <w:sz w:val="18"/>
        </w:rPr>
        <w:t>tonne</w:t>
      </w:r>
      <w:r>
        <w:rPr>
          <w:spacing w:val="-7"/>
          <w:sz w:val="18"/>
        </w:rPr>
        <w:t> </w:t>
      </w:r>
      <w:r>
        <w:rPr>
          <w:sz w:val="18"/>
        </w:rPr>
        <w:t>of</w:t>
      </w:r>
      <w:r>
        <w:rPr>
          <w:spacing w:val="-6"/>
          <w:sz w:val="18"/>
        </w:rPr>
        <w:t> </w:t>
      </w:r>
      <w:r>
        <w:rPr>
          <w:sz w:val="18"/>
        </w:rPr>
        <w:t>CO</w:t>
      </w:r>
      <w:r>
        <w:rPr>
          <w:position w:val="-5"/>
          <w:sz w:val="10"/>
        </w:rPr>
        <w:t>2</w:t>
      </w:r>
      <w:r>
        <w:rPr>
          <w:spacing w:val="14"/>
          <w:position w:val="-5"/>
          <w:sz w:val="10"/>
        </w:rPr>
        <w:t> </w:t>
      </w:r>
      <w:r>
        <w:rPr>
          <w:sz w:val="18"/>
        </w:rPr>
        <w:t>avoided</w:t>
      </w:r>
      <w:r>
        <w:rPr>
          <w:spacing w:val="-7"/>
          <w:sz w:val="18"/>
        </w:rPr>
        <w:t> </w:t>
      </w:r>
      <w:r>
        <w:rPr>
          <w:sz w:val="18"/>
        </w:rPr>
        <w:t>can</w:t>
      </w:r>
      <w:r>
        <w:rPr>
          <w:spacing w:val="-6"/>
          <w:sz w:val="18"/>
        </w:rPr>
        <w:t> </w:t>
      </w:r>
      <w:r>
        <w:rPr>
          <w:sz w:val="18"/>
        </w:rPr>
        <w:t>be</w:t>
      </w:r>
      <w:r>
        <w:rPr>
          <w:spacing w:val="-6"/>
          <w:sz w:val="18"/>
        </w:rPr>
        <w:t> </w:t>
      </w:r>
      <w:r>
        <w:rPr>
          <w:sz w:val="18"/>
        </w:rPr>
        <w:t>highly</w:t>
      </w:r>
      <w:r>
        <w:rPr>
          <w:spacing w:val="-7"/>
          <w:sz w:val="18"/>
        </w:rPr>
        <w:t> </w:t>
      </w:r>
      <w:r>
        <w:rPr>
          <w:sz w:val="18"/>
        </w:rPr>
        <w:t>variable</w:t>
      </w:r>
      <w:r>
        <w:rPr>
          <w:spacing w:val="-6"/>
          <w:sz w:val="18"/>
        </w:rPr>
        <w:t> </w:t>
      </w:r>
      <w:r>
        <w:rPr>
          <w:sz w:val="18"/>
        </w:rPr>
        <w:t>and</w:t>
      </w:r>
      <w:r>
        <w:rPr>
          <w:spacing w:val="-6"/>
          <w:sz w:val="18"/>
        </w:rPr>
        <w:t> </w:t>
      </w:r>
      <w:r>
        <w:rPr>
          <w:sz w:val="18"/>
        </w:rPr>
        <w:t>depends</w:t>
      </w:r>
      <w:r>
        <w:rPr>
          <w:spacing w:val="-7"/>
          <w:sz w:val="18"/>
        </w:rPr>
        <w:t> </w:t>
      </w:r>
      <w:r>
        <w:rPr>
          <w:sz w:val="18"/>
        </w:rPr>
        <w:t>strongly</w:t>
      </w:r>
      <w:r>
        <w:rPr>
          <w:spacing w:val="-6"/>
          <w:sz w:val="18"/>
        </w:rPr>
        <w:t> </w:t>
      </w:r>
      <w:r>
        <w:rPr>
          <w:sz w:val="18"/>
        </w:rPr>
        <w:t>on</w:t>
      </w:r>
      <w:r>
        <w:rPr>
          <w:spacing w:val="-6"/>
          <w:sz w:val="18"/>
        </w:rPr>
        <w:t> </w:t>
      </w:r>
      <w:r>
        <w:rPr>
          <w:sz w:val="18"/>
        </w:rPr>
        <w:t>the</w:t>
      </w:r>
      <w:r>
        <w:rPr>
          <w:spacing w:val="-6"/>
          <w:sz w:val="18"/>
        </w:rPr>
        <w:t> </w:t>
      </w:r>
      <w:r>
        <w:rPr>
          <w:sz w:val="18"/>
        </w:rPr>
        <w:t>costs</w:t>
      </w:r>
      <w:r>
        <w:rPr>
          <w:spacing w:val="-7"/>
          <w:sz w:val="18"/>
        </w:rPr>
        <w:t> </w:t>
      </w:r>
      <w:r>
        <w:rPr>
          <w:sz w:val="18"/>
        </w:rPr>
        <w:t>and</w:t>
      </w:r>
      <w:r>
        <w:rPr>
          <w:spacing w:val="-6"/>
          <w:sz w:val="18"/>
        </w:rPr>
        <w:t> </w:t>
      </w:r>
      <w:r>
        <w:rPr>
          <w:sz w:val="18"/>
        </w:rPr>
        <w:t>emissions of new plants being considered in a particular situation. See Chapter 8 for the full COE and full cost of CO</w:t>
      </w:r>
      <w:r>
        <w:rPr>
          <w:position w:val="-5"/>
          <w:sz w:val="10"/>
        </w:rPr>
        <w:t>2 </w:t>
      </w:r>
      <w:r>
        <w:rPr>
          <w:sz w:val="18"/>
        </w:rPr>
        <w:t>avoided for different plant</w:t>
      </w:r>
      <w:r>
        <w:rPr>
          <w:spacing w:val="-13"/>
          <w:sz w:val="18"/>
        </w:rPr>
        <w:t> </w:t>
      </w:r>
      <w:r>
        <w:rPr>
          <w:sz w:val="18"/>
        </w:rPr>
        <w:t>types.</w:t>
      </w:r>
    </w:p>
    <w:p>
      <w:pPr>
        <w:pStyle w:val="BodyText"/>
      </w:pPr>
    </w:p>
    <w:p>
      <w:pPr>
        <w:pStyle w:val="BodyText"/>
        <w:spacing w:before="3"/>
        <w:rPr>
          <w:sz w:val="17"/>
        </w:rPr>
      </w:pPr>
    </w:p>
    <w:p>
      <w:pPr>
        <w:spacing w:after="0"/>
        <w:rPr>
          <w:sz w:val="17"/>
        </w:rPr>
        <w:sectPr>
          <w:pgSz w:w="12240" w:h="15840"/>
          <w:pgMar w:header="567" w:footer="0" w:top="1120" w:bottom="280" w:left="620" w:right="620"/>
        </w:sectPr>
      </w:pPr>
    </w:p>
    <w:p>
      <w:pPr>
        <w:pStyle w:val="BodyText"/>
        <w:spacing w:line="240" w:lineRule="exact" w:before="58"/>
        <w:ind w:left="116" w:right="38"/>
        <w:jc w:val="both"/>
      </w:pPr>
      <w:r>
        <w:rPr/>
        <w:t>The other category  combines  CO</w:t>
      </w:r>
      <w:r>
        <w:rPr>
          <w:position w:val="-6"/>
          <w:sz w:val="11"/>
        </w:rPr>
        <w:t>2  </w:t>
      </w:r>
      <w:r>
        <w:rPr/>
        <w:t>capture  with  upgrading  or repowering the  existing  plant  to  significantly  improve  its efficiency and net power output (see Sections 3.7.4.2 and 3.7.5.2). In general, the latter option appears to be more </w:t>
      </w:r>
      <w:r>
        <w:rPr>
          <w:spacing w:val="-3"/>
        </w:rPr>
        <w:t>cost- </w:t>
      </w:r>
      <w:r>
        <w:rPr/>
        <w:t>effective. However, further site-specific studies are required  to systematically assess the feasibility and cost of alternative repowering</w:t>
      </w:r>
      <w:r>
        <w:rPr>
          <w:spacing w:val="-13"/>
        </w:rPr>
        <w:t> </w:t>
      </w:r>
      <w:r>
        <w:rPr/>
        <w:t>options</w:t>
      </w:r>
      <w:r>
        <w:rPr>
          <w:spacing w:val="-13"/>
        </w:rPr>
        <w:t> </w:t>
      </w:r>
      <w:r>
        <w:rPr/>
        <w:t>in</w:t>
      </w:r>
      <w:r>
        <w:rPr>
          <w:spacing w:val="-13"/>
        </w:rPr>
        <w:t> </w:t>
      </w:r>
      <w:r>
        <w:rPr/>
        <w:t>conjunction</w:t>
      </w:r>
      <w:r>
        <w:rPr>
          <w:spacing w:val="-13"/>
        </w:rPr>
        <w:t> </w:t>
      </w:r>
      <w:r>
        <w:rPr/>
        <w:t>with</w:t>
      </w:r>
      <w:r>
        <w:rPr>
          <w:spacing w:val="-14"/>
        </w:rPr>
        <w:t> </w:t>
      </w:r>
      <w:r>
        <w:rPr/>
        <w:t>CO</w:t>
      </w:r>
      <w:r>
        <w:rPr>
          <w:position w:val="-6"/>
          <w:sz w:val="11"/>
        </w:rPr>
        <w:t>2</w:t>
      </w:r>
      <w:r>
        <w:rPr>
          <w:spacing w:val="9"/>
          <w:position w:val="-6"/>
          <w:sz w:val="11"/>
        </w:rPr>
        <w:t> </w:t>
      </w:r>
      <w:r>
        <w:rPr/>
        <w:t>capture</w:t>
      </w:r>
      <w:r>
        <w:rPr>
          <w:spacing w:val="-13"/>
        </w:rPr>
        <w:t> </w:t>
      </w:r>
      <w:r>
        <w:rPr/>
        <w:t>for</w:t>
      </w:r>
      <w:r>
        <w:rPr>
          <w:spacing w:val="-13"/>
        </w:rPr>
        <w:t> </w:t>
      </w:r>
      <w:r>
        <w:rPr/>
        <w:t>existing power plants.</w:t>
      </w:r>
    </w:p>
    <w:p>
      <w:pPr>
        <w:pStyle w:val="BodyText"/>
        <w:spacing w:line="240" w:lineRule="exact"/>
        <w:ind w:left="117" w:right="38" w:firstLine="284"/>
        <w:jc w:val="both"/>
      </w:pPr>
      <w:r>
        <w:rPr/>
        <w:t>New or improved methods of CO</w:t>
      </w:r>
      <w:r>
        <w:rPr>
          <w:position w:val="-6"/>
          <w:sz w:val="11"/>
        </w:rPr>
        <w:t>2 </w:t>
      </w:r>
      <w:r>
        <w:rPr/>
        <w:t>capture, combined with advanced</w:t>
      </w:r>
      <w:r>
        <w:rPr>
          <w:spacing w:val="-21"/>
        </w:rPr>
        <w:t> </w:t>
      </w:r>
      <w:r>
        <w:rPr/>
        <w:t>power</w:t>
      </w:r>
      <w:r>
        <w:rPr>
          <w:spacing w:val="-21"/>
        </w:rPr>
        <w:t> </w:t>
      </w:r>
      <w:r>
        <w:rPr/>
        <w:t>systems</w:t>
      </w:r>
      <w:r>
        <w:rPr>
          <w:spacing w:val="-21"/>
        </w:rPr>
        <w:t> </w:t>
      </w:r>
      <w:r>
        <w:rPr/>
        <w:t>and</w:t>
      </w:r>
      <w:r>
        <w:rPr>
          <w:spacing w:val="-21"/>
        </w:rPr>
        <w:t> </w:t>
      </w:r>
      <w:r>
        <w:rPr/>
        <w:t>industrial</w:t>
      </w:r>
      <w:r>
        <w:rPr>
          <w:spacing w:val="-20"/>
        </w:rPr>
        <w:t> </w:t>
      </w:r>
      <w:r>
        <w:rPr/>
        <w:t>process</w:t>
      </w:r>
      <w:r>
        <w:rPr>
          <w:spacing w:val="-21"/>
        </w:rPr>
        <w:t> </w:t>
      </w:r>
      <w:r>
        <w:rPr/>
        <w:t>designs,</w:t>
      </w:r>
      <w:r>
        <w:rPr>
          <w:spacing w:val="-21"/>
        </w:rPr>
        <w:t> </w:t>
      </w:r>
      <w:r>
        <w:rPr/>
        <w:t>promise to significantly reduce CO</w:t>
      </w:r>
      <w:r>
        <w:rPr>
          <w:position w:val="-6"/>
          <w:sz w:val="11"/>
        </w:rPr>
        <w:t>2 </w:t>
      </w:r>
      <w:r>
        <w:rPr/>
        <w:t>capture costs and associated energy requirements. </w:t>
      </w:r>
      <w:r>
        <w:rPr>
          <w:spacing w:val="-3"/>
        </w:rPr>
        <w:t>Tables </w:t>
      </w:r>
      <w:hyperlink w:history="true" w:anchor="_bookmark52">
        <w:r>
          <w:rPr/>
          <w:t>3.12 </w:t>
        </w:r>
      </w:hyperlink>
      <w:r>
        <w:rPr/>
        <w:t>to </w:t>
      </w:r>
      <w:hyperlink w:history="true" w:anchor="_bookmark58">
        <w:r>
          <w:rPr/>
          <w:t>3.14 </w:t>
        </w:r>
      </w:hyperlink>
      <w:r>
        <w:rPr/>
        <w:t>summarize the results from recent</w:t>
      </w:r>
      <w:r>
        <w:rPr>
          <w:spacing w:val="-6"/>
        </w:rPr>
        <w:t> </w:t>
      </w:r>
      <w:r>
        <w:rPr/>
        <w:t>studies</w:t>
      </w:r>
      <w:r>
        <w:rPr>
          <w:spacing w:val="-6"/>
        </w:rPr>
        <w:t> </w:t>
      </w:r>
      <w:r>
        <w:rPr/>
        <w:t>that</w:t>
      </w:r>
      <w:r>
        <w:rPr>
          <w:spacing w:val="-6"/>
        </w:rPr>
        <w:t> </w:t>
      </w:r>
      <w:r>
        <w:rPr/>
        <w:t>examine</w:t>
      </w:r>
      <w:r>
        <w:rPr>
          <w:spacing w:val="-6"/>
        </w:rPr>
        <w:t> </w:t>
      </w:r>
      <w:r>
        <w:rPr/>
        <w:t>future</w:t>
      </w:r>
      <w:r>
        <w:rPr>
          <w:spacing w:val="-6"/>
        </w:rPr>
        <w:t> </w:t>
      </w:r>
      <w:r>
        <w:rPr/>
        <w:t>options.</w:t>
      </w:r>
      <w:r>
        <w:rPr>
          <w:spacing w:val="-16"/>
        </w:rPr>
        <w:t> </w:t>
      </w:r>
      <w:r>
        <w:rPr/>
        <w:t>As</w:t>
      </w:r>
      <w:r>
        <w:rPr>
          <w:spacing w:val="-6"/>
        </w:rPr>
        <w:t> </w:t>
      </w:r>
      <w:r>
        <w:rPr/>
        <w:t>discussed</w:t>
      </w:r>
      <w:r>
        <w:rPr>
          <w:spacing w:val="-6"/>
        </w:rPr>
        <w:t> </w:t>
      </w:r>
      <w:r>
        <w:rPr/>
        <w:t>earlier, there is considerable uncertainty about the magnitude </w:t>
      </w:r>
      <w:r>
        <w:rPr>
          <w:spacing w:val="-6"/>
        </w:rPr>
        <w:t>and </w:t>
      </w:r>
      <w:r>
        <w:rPr/>
        <w:t>timing</w:t>
      </w:r>
      <w:r>
        <w:rPr>
          <w:spacing w:val="-14"/>
        </w:rPr>
        <w:t> </w:t>
      </w:r>
      <w:r>
        <w:rPr/>
        <w:t>of</w:t>
      </w:r>
      <w:r>
        <w:rPr>
          <w:spacing w:val="-13"/>
        </w:rPr>
        <w:t> </w:t>
      </w:r>
      <w:r>
        <w:rPr/>
        <w:t>future</w:t>
      </w:r>
      <w:r>
        <w:rPr>
          <w:spacing w:val="-13"/>
        </w:rPr>
        <w:t> </w:t>
      </w:r>
      <w:r>
        <w:rPr/>
        <w:t>cost</w:t>
      </w:r>
      <w:r>
        <w:rPr>
          <w:spacing w:val="-14"/>
        </w:rPr>
        <w:t> </w:t>
      </w:r>
      <w:r>
        <w:rPr/>
        <w:t>reductions,</w:t>
      </w:r>
      <w:r>
        <w:rPr>
          <w:spacing w:val="-13"/>
        </w:rPr>
        <w:t> </w:t>
      </w:r>
      <w:r>
        <w:rPr/>
        <w:t>as</w:t>
      </w:r>
      <w:r>
        <w:rPr>
          <w:spacing w:val="-13"/>
        </w:rPr>
        <w:t> </w:t>
      </w:r>
      <w:r>
        <w:rPr/>
        <w:t>well</w:t>
      </w:r>
      <w:r>
        <w:rPr>
          <w:spacing w:val="-13"/>
        </w:rPr>
        <w:t> </w:t>
      </w:r>
      <w:r>
        <w:rPr/>
        <w:t>as</w:t>
      </w:r>
      <w:r>
        <w:rPr>
          <w:spacing w:val="-14"/>
        </w:rPr>
        <w:t> </w:t>
      </w:r>
      <w:r>
        <w:rPr/>
        <w:t>the</w:t>
      </w:r>
      <w:r>
        <w:rPr>
          <w:spacing w:val="-13"/>
        </w:rPr>
        <w:t> </w:t>
      </w:r>
      <w:r>
        <w:rPr/>
        <w:t>potential</w:t>
      </w:r>
      <w:r>
        <w:rPr>
          <w:spacing w:val="-13"/>
        </w:rPr>
        <w:t> </w:t>
      </w:r>
      <w:r>
        <w:rPr/>
        <w:t>for</w:t>
      </w:r>
      <w:r>
        <w:rPr>
          <w:spacing w:val="-13"/>
        </w:rPr>
        <w:t> </w:t>
      </w:r>
      <w:r>
        <w:rPr/>
        <w:t>costs to rise above current estimates, especially for technologies still in the early stages of research and development. The current assessment is based on studies of the specific technologies     in </w:t>
      </w:r>
      <w:r>
        <w:rPr>
          <w:spacing w:val="-3"/>
        </w:rPr>
        <w:t>Tables </w:t>
      </w:r>
      <w:hyperlink w:history="true" w:anchor="_bookmark52">
        <w:r>
          <w:rPr/>
          <w:t>3.12</w:t>
        </w:r>
      </w:hyperlink>
      <w:r>
        <w:rPr/>
        <w:t> to </w:t>
      </w:r>
      <w:hyperlink w:history="true" w:anchor="_bookmark58">
        <w:r>
          <w:rPr/>
          <w:t>3.14</w:t>
        </w:r>
      </w:hyperlink>
      <w:r>
        <w:rPr/>
        <w:t> (and the supporting discussions and literature cited in Sections 3.7.9 to 3.7.12), as well as analyses of</w:t>
      </w:r>
      <w:r>
        <w:rPr>
          <w:spacing w:val="18"/>
        </w:rPr>
        <w:t> </w:t>
      </w:r>
      <w:r>
        <w:rPr/>
        <w:t>historical</w:t>
      </w:r>
      <w:r>
        <w:rPr>
          <w:spacing w:val="19"/>
        </w:rPr>
        <w:t> </w:t>
      </w:r>
      <w:r>
        <w:rPr/>
        <w:t>cost</w:t>
      </w:r>
      <w:r>
        <w:rPr>
          <w:spacing w:val="18"/>
        </w:rPr>
        <w:t> </w:t>
      </w:r>
      <w:r>
        <w:rPr/>
        <w:t>trends</w:t>
      </w:r>
      <w:r>
        <w:rPr>
          <w:spacing w:val="19"/>
        </w:rPr>
        <w:t> </w:t>
      </w:r>
      <w:r>
        <w:rPr/>
        <w:t>for</w:t>
      </w:r>
      <w:r>
        <w:rPr>
          <w:spacing w:val="18"/>
        </w:rPr>
        <w:t> </w:t>
      </w:r>
      <w:r>
        <w:rPr/>
        <w:t>related</w:t>
      </w:r>
      <w:r>
        <w:rPr>
          <w:spacing w:val="19"/>
        </w:rPr>
        <w:t> </w:t>
      </w:r>
      <w:r>
        <w:rPr/>
        <w:t>energy</w:t>
      </w:r>
      <w:r>
        <w:rPr>
          <w:spacing w:val="18"/>
        </w:rPr>
        <w:t> </w:t>
      </w:r>
      <w:r>
        <w:rPr/>
        <w:t>and</w:t>
      </w:r>
      <w:r>
        <w:rPr>
          <w:spacing w:val="19"/>
        </w:rPr>
        <w:t> </w:t>
      </w:r>
      <w:r>
        <w:rPr/>
        <w:t>environmental</w:t>
      </w:r>
    </w:p>
    <w:p>
      <w:pPr>
        <w:pStyle w:val="BodyText"/>
        <w:spacing w:line="240" w:lineRule="exact" w:before="58"/>
        <w:ind w:left="116" w:right="510"/>
        <w:jc w:val="both"/>
      </w:pPr>
      <w:r>
        <w:rPr/>
        <w:br w:type="column"/>
      </w:r>
      <w:r>
        <w:rPr/>
        <w:t>technologies. This assessment suggests that improvements to current commercial technologies can reduce CO</w:t>
      </w:r>
      <w:r>
        <w:rPr>
          <w:position w:val="-6"/>
          <w:sz w:val="11"/>
        </w:rPr>
        <w:t>2 </w:t>
      </w:r>
      <w:r>
        <w:rPr/>
        <w:t>capture </w:t>
      </w:r>
      <w:r>
        <w:rPr>
          <w:spacing w:val="-3"/>
        </w:rPr>
        <w:t>costs </w:t>
      </w:r>
      <w:r>
        <w:rPr/>
        <w:t>by at least 20-30% over approximately the next decade, while new technologies under development promise more substantial cost</w:t>
      </w:r>
      <w:r>
        <w:rPr>
          <w:spacing w:val="-12"/>
        </w:rPr>
        <w:t> </w:t>
      </w:r>
      <w:r>
        <w:rPr/>
        <w:t>reductions.</w:t>
      </w:r>
      <w:r>
        <w:rPr>
          <w:spacing w:val="-22"/>
        </w:rPr>
        <w:t> </w:t>
      </w:r>
      <w:r>
        <w:rPr/>
        <w:t>Achieving</w:t>
      </w:r>
      <w:r>
        <w:rPr>
          <w:spacing w:val="-12"/>
        </w:rPr>
        <w:t> </w:t>
      </w:r>
      <w:r>
        <w:rPr/>
        <w:t>future</w:t>
      </w:r>
      <w:r>
        <w:rPr>
          <w:spacing w:val="-12"/>
        </w:rPr>
        <w:t> </w:t>
      </w:r>
      <w:r>
        <w:rPr/>
        <w:t>cost</w:t>
      </w:r>
      <w:r>
        <w:rPr>
          <w:spacing w:val="-12"/>
        </w:rPr>
        <w:t> </w:t>
      </w:r>
      <w:r>
        <w:rPr/>
        <w:t>reductions,</w:t>
      </w:r>
      <w:r>
        <w:rPr>
          <w:spacing w:val="-11"/>
        </w:rPr>
        <w:t> </w:t>
      </w:r>
      <w:r>
        <w:rPr/>
        <w:t>however,</w:t>
      </w:r>
      <w:r>
        <w:rPr>
          <w:spacing w:val="-12"/>
        </w:rPr>
        <w:t> </w:t>
      </w:r>
      <w:r>
        <w:rPr/>
        <w:t>will require deployment and adoption of commercial </w:t>
      </w:r>
      <w:r>
        <w:rPr>
          <w:spacing w:val="-2"/>
        </w:rPr>
        <w:t>technologies </w:t>
      </w:r>
      <w:r>
        <w:rPr/>
        <w:t>in the marketplace as well as sustained</w:t>
      </w:r>
      <w:r>
        <w:rPr>
          <w:spacing w:val="-5"/>
        </w:rPr>
        <w:t> </w:t>
      </w:r>
      <w:r>
        <w:rPr/>
        <w:t>R&amp;D.</w:t>
      </w:r>
    </w:p>
    <w:p>
      <w:pPr>
        <w:pStyle w:val="BodyText"/>
        <w:spacing w:before="4"/>
        <w:rPr>
          <w:sz w:val="21"/>
        </w:rPr>
      </w:pPr>
    </w:p>
    <w:p>
      <w:pPr>
        <w:pStyle w:val="Heading1"/>
        <w:tabs>
          <w:tab w:pos="825" w:val="left" w:leader="none"/>
        </w:tabs>
        <w:spacing w:line="240" w:lineRule="auto"/>
        <w:ind w:left="116"/>
      </w:pPr>
      <w:r>
        <w:rPr/>
        <w:t>3.8</w:t>
        <w:tab/>
        <w:t>Gaps in</w:t>
      </w:r>
      <w:r>
        <w:rPr>
          <w:spacing w:val="-1"/>
        </w:rPr>
        <w:t> </w:t>
      </w:r>
      <w:r>
        <w:rPr/>
        <w:t>knowledge</w:t>
      </w:r>
    </w:p>
    <w:p>
      <w:pPr>
        <w:pStyle w:val="BodyText"/>
        <w:spacing w:before="3"/>
        <w:rPr>
          <w:b/>
          <w:sz w:val="21"/>
        </w:rPr>
      </w:pPr>
    </w:p>
    <w:p>
      <w:pPr>
        <w:pStyle w:val="BodyText"/>
        <w:spacing w:line="240" w:lineRule="exact" w:before="1"/>
        <w:ind w:left="116" w:right="510"/>
        <w:jc w:val="both"/>
      </w:pPr>
      <w:r>
        <w:rPr/>
        <w:t>Gaps in knowledge are related to differences in the stages of development</w:t>
      </w:r>
      <w:r>
        <w:rPr>
          <w:spacing w:val="-17"/>
        </w:rPr>
        <w:t> </w:t>
      </w:r>
      <w:r>
        <w:rPr/>
        <w:t>of</w:t>
      </w:r>
      <w:r>
        <w:rPr>
          <w:spacing w:val="-17"/>
        </w:rPr>
        <w:t> </w:t>
      </w:r>
      <w:r>
        <w:rPr/>
        <w:t>component</w:t>
      </w:r>
      <w:r>
        <w:rPr>
          <w:spacing w:val="-17"/>
        </w:rPr>
        <w:t> </w:t>
      </w:r>
      <w:r>
        <w:rPr/>
        <w:t>technologies</w:t>
      </w:r>
      <w:r>
        <w:rPr>
          <w:spacing w:val="-17"/>
        </w:rPr>
        <w:t> </w:t>
      </w:r>
      <w:r>
        <w:rPr/>
        <w:t>for</w:t>
      </w:r>
      <w:r>
        <w:rPr>
          <w:spacing w:val="-17"/>
        </w:rPr>
        <w:t> </w:t>
      </w:r>
      <w:r>
        <w:rPr/>
        <w:t>the</w:t>
      </w:r>
      <w:r>
        <w:rPr>
          <w:spacing w:val="-17"/>
        </w:rPr>
        <w:t> </w:t>
      </w:r>
      <w:r>
        <w:rPr/>
        <w:t>capture</w:t>
      </w:r>
      <w:r>
        <w:rPr>
          <w:spacing w:val="-17"/>
        </w:rPr>
        <w:t> </w:t>
      </w:r>
      <w:r>
        <w:rPr/>
        <w:t>systems reviewed</w:t>
      </w:r>
      <w:r>
        <w:rPr>
          <w:spacing w:val="-9"/>
        </w:rPr>
        <w:t> </w:t>
      </w:r>
      <w:r>
        <w:rPr/>
        <w:t>in</w:t>
      </w:r>
      <w:r>
        <w:rPr>
          <w:spacing w:val="-9"/>
        </w:rPr>
        <w:t> </w:t>
      </w:r>
      <w:r>
        <w:rPr/>
        <w:t>Sections</w:t>
      </w:r>
      <w:r>
        <w:rPr>
          <w:spacing w:val="-8"/>
        </w:rPr>
        <w:t> </w:t>
      </w:r>
      <w:r>
        <w:rPr/>
        <w:t>3.2</w:t>
      </w:r>
      <w:r>
        <w:rPr>
          <w:spacing w:val="-9"/>
        </w:rPr>
        <w:t> </w:t>
      </w:r>
      <w:r>
        <w:rPr/>
        <w:t>to</w:t>
      </w:r>
      <w:r>
        <w:rPr>
          <w:spacing w:val="-8"/>
        </w:rPr>
        <w:t> </w:t>
      </w:r>
      <w:r>
        <w:rPr/>
        <w:t>3.5.</w:t>
      </w:r>
      <w:r>
        <w:rPr>
          <w:spacing w:val="-9"/>
        </w:rPr>
        <w:t> </w:t>
      </w:r>
      <w:r>
        <w:rPr/>
        <w:t>For</w:t>
      </w:r>
      <w:r>
        <w:rPr>
          <w:spacing w:val="-9"/>
        </w:rPr>
        <w:t> </w:t>
      </w:r>
      <w:r>
        <w:rPr/>
        <w:t>CO</w:t>
      </w:r>
      <w:r>
        <w:rPr>
          <w:position w:val="-6"/>
          <w:sz w:val="11"/>
        </w:rPr>
        <w:t>2</w:t>
      </w:r>
      <w:r>
        <w:rPr>
          <w:spacing w:val="14"/>
          <w:position w:val="-6"/>
          <w:sz w:val="11"/>
        </w:rPr>
        <w:t> </w:t>
      </w:r>
      <w:r>
        <w:rPr/>
        <w:t>capture</w:t>
      </w:r>
      <w:r>
        <w:rPr>
          <w:spacing w:val="-8"/>
        </w:rPr>
        <w:t> </w:t>
      </w:r>
      <w:r>
        <w:rPr/>
        <w:t>from</w:t>
      </w:r>
      <w:r>
        <w:rPr>
          <w:spacing w:val="-9"/>
        </w:rPr>
        <w:t> </w:t>
      </w:r>
      <w:r>
        <w:rPr/>
        <w:t>industrial processes, a number of technologies that are commonly used in natural gas sweetening and ammonia production are already used</w:t>
      </w:r>
      <w:r>
        <w:rPr>
          <w:spacing w:val="-20"/>
        </w:rPr>
        <w:t> </w:t>
      </w:r>
      <w:r>
        <w:rPr/>
        <w:t>on</w:t>
      </w:r>
      <w:r>
        <w:rPr>
          <w:spacing w:val="-19"/>
        </w:rPr>
        <w:t> </w:t>
      </w:r>
      <w:r>
        <w:rPr/>
        <w:t>a</w:t>
      </w:r>
      <w:r>
        <w:rPr>
          <w:spacing w:val="-19"/>
        </w:rPr>
        <w:t> </w:t>
      </w:r>
      <w:r>
        <w:rPr/>
        <w:t>commercial</w:t>
      </w:r>
      <w:r>
        <w:rPr>
          <w:spacing w:val="-20"/>
        </w:rPr>
        <w:t> </w:t>
      </w:r>
      <w:r>
        <w:rPr/>
        <w:t>scale.</w:t>
      </w:r>
      <w:r>
        <w:rPr>
          <w:spacing w:val="-19"/>
        </w:rPr>
        <w:t> </w:t>
      </w:r>
      <w:r>
        <w:rPr/>
        <w:t>For</w:t>
      </w:r>
      <w:r>
        <w:rPr>
          <w:spacing w:val="-19"/>
        </w:rPr>
        <w:t> </w:t>
      </w:r>
      <w:r>
        <w:rPr/>
        <w:t>other</w:t>
      </w:r>
      <w:r>
        <w:rPr>
          <w:spacing w:val="-20"/>
        </w:rPr>
        <w:t> </w:t>
      </w:r>
      <w:r>
        <w:rPr/>
        <w:t>types</w:t>
      </w:r>
      <w:r>
        <w:rPr>
          <w:spacing w:val="-19"/>
        </w:rPr>
        <w:t> </w:t>
      </w:r>
      <w:r>
        <w:rPr/>
        <w:t>of</w:t>
      </w:r>
      <w:r>
        <w:rPr>
          <w:spacing w:val="-19"/>
        </w:rPr>
        <w:t> </w:t>
      </w:r>
      <w:r>
        <w:rPr/>
        <w:t>industrial</w:t>
      </w:r>
      <w:r>
        <w:rPr>
          <w:spacing w:val="-19"/>
        </w:rPr>
        <w:t> </w:t>
      </w:r>
      <w:r>
        <w:rPr/>
        <w:t>systems capturing CO</w:t>
      </w:r>
      <w:r>
        <w:rPr>
          <w:position w:val="-6"/>
          <w:sz w:val="11"/>
        </w:rPr>
        <w:t>2 </w:t>
      </w:r>
      <w:r>
        <w:rPr/>
        <w:t>from steel and cement production, further work is still needed. For CO</w:t>
      </w:r>
      <w:r>
        <w:rPr>
          <w:position w:val="-6"/>
          <w:sz w:val="11"/>
        </w:rPr>
        <w:t>2 </w:t>
      </w:r>
      <w:r>
        <w:rPr/>
        <w:t>capture that might be reliant on post- combustion capture or oxy-fuel combustion, options are </w:t>
      </w:r>
      <w:r>
        <w:rPr>
          <w:spacing w:val="-4"/>
        </w:rPr>
        <w:t>less </w:t>
      </w:r>
      <w:r>
        <w:rPr/>
        <w:t>well developed, or are available at a smaller scale than those required</w:t>
      </w:r>
      <w:r>
        <w:rPr>
          <w:spacing w:val="24"/>
        </w:rPr>
        <w:t> </w:t>
      </w:r>
      <w:r>
        <w:rPr/>
        <w:t>for</w:t>
      </w:r>
      <w:r>
        <w:rPr>
          <w:spacing w:val="24"/>
        </w:rPr>
        <w:t> </w:t>
      </w:r>
      <w:r>
        <w:rPr/>
        <w:t>applications</w:t>
      </w:r>
      <w:r>
        <w:rPr>
          <w:spacing w:val="24"/>
        </w:rPr>
        <w:t> </w:t>
      </w:r>
      <w:r>
        <w:rPr/>
        <w:t>such</w:t>
      </w:r>
      <w:r>
        <w:rPr>
          <w:spacing w:val="24"/>
        </w:rPr>
        <w:t> </w:t>
      </w:r>
      <w:r>
        <w:rPr/>
        <w:t>as</w:t>
      </w:r>
      <w:r>
        <w:rPr>
          <w:spacing w:val="24"/>
        </w:rPr>
        <w:t> </w:t>
      </w:r>
      <w:r>
        <w:rPr/>
        <w:t>in</w:t>
      </w:r>
      <w:r>
        <w:rPr>
          <w:spacing w:val="24"/>
        </w:rPr>
        <w:t> </w:t>
      </w:r>
      <w:r>
        <w:rPr/>
        <w:t>power</w:t>
      </w:r>
      <w:r>
        <w:rPr>
          <w:spacing w:val="24"/>
        </w:rPr>
        <w:t> </w:t>
      </w:r>
      <w:r>
        <w:rPr/>
        <w:t>generation,</w:t>
      </w:r>
      <w:r>
        <w:rPr>
          <w:spacing w:val="24"/>
        </w:rPr>
        <w:t> </w:t>
      </w:r>
      <w:r>
        <w:rPr/>
        <w:t>where</w:t>
      </w:r>
    </w:p>
    <w:p>
      <w:pPr>
        <w:spacing w:after="0" w:line="240" w:lineRule="exact"/>
        <w:jc w:val="both"/>
        <w:sectPr>
          <w:type w:val="continuous"/>
          <w:pgSz w:w="12240" w:h="15840"/>
          <w:pgMar w:top="480" w:bottom="280" w:left="620" w:right="620"/>
          <w:cols w:num="2" w:equalWidth="0">
            <w:col w:w="5202" w:space="124"/>
            <w:col w:w="5674"/>
          </w:cols>
        </w:sectPr>
      </w:pPr>
    </w:p>
    <w:p>
      <w:pPr>
        <w:pStyle w:val="BodyText"/>
        <w:spacing w:line="249" w:lineRule="auto" w:before="129"/>
        <w:ind w:left="513"/>
        <w:jc w:val="both"/>
      </w:pPr>
      <w:bookmarkStart w:name="References" w:id="121"/>
      <w:bookmarkEnd w:id="121"/>
      <w:r>
        <w:rPr/>
      </w:r>
      <w:r>
        <w:rPr/>
        <w:t>much larger gas flows are handled. For pre-combustion</w:t>
      </w:r>
      <w:r>
        <w:rPr>
          <w:spacing w:val="-37"/>
        </w:rPr>
        <w:t> </w:t>
      </w:r>
      <w:r>
        <w:rPr/>
        <w:t>capture many of the required systems have been developed and</w:t>
      </w:r>
      <w:r>
        <w:rPr>
          <w:spacing w:val="-24"/>
        </w:rPr>
        <w:t> </w:t>
      </w:r>
      <w:r>
        <w:rPr/>
        <w:t>applied in industry</w:t>
      </w:r>
      <w:r>
        <w:rPr>
          <w:spacing w:val="-1"/>
        </w:rPr>
        <w:t> </w:t>
      </w:r>
      <w:r>
        <w:rPr/>
        <w:t>already.</w:t>
      </w:r>
    </w:p>
    <w:p>
      <w:pPr>
        <w:pStyle w:val="BodyText"/>
        <w:spacing w:line="225" w:lineRule="auto" w:before="14"/>
        <w:ind w:left="513" w:right="1" w:firstLine="283"/>
        <w:jc w:val="both"/>
      </w:pPr>
      <w:r>
        <w:rPr/>
        <w:t>Although many of the component and/or enabling technologies required for CO</w:t>
      </w:r>
      <w:r>
        <w:rPr>
          <w:position w:val="-6"/>
          <w:sz w:val="11"/>
        </w:rPr>
        <w:t>2 </w:t>
      </w:r>
      <w:r>
        <w:rPr/>
        <w:t>capture in post-combustion, pre-combustion and oxy-fuel combustion are well known,</w:t>
      </w:r>
    </w:p>
    <w:p>
      <w:pPr>
        <w:pStyle w:val="BodyText"/>
        <w:spacing w:line="240" w:lineRule="exact" w:before="4"/>
        <w:ind w:left="513"/>
        <w:jc w:val="both"/>
      </w:pPr>
      <w:r>
        <w:rPr/>
        <w:t>gaps in knowledge are in the practical and/or commercial demonstration of integrated systems. This demonstration is essential to prove the cost of CO</w:t>
      </w:r>
      <w:r>
        <w:rPr>
          <w:position w:val="-6"/>
          <w:sz w:val="11"/>
        </w:rPr>
        <w:t>2 </w:t>
      </w:r>
      <w:r>
        <w:rPr/>
        <w:t>capture and its use on a large scale,</w:t>
      </w:r>
      <w:r>
        <w:rPr>
          <w:spacing w:val="-9"/>
        </w:rPr>
        <w:t> </w:t>
      </w:r>
      <w:r>
        <w:rPr/>
        <w:t>particularly</w:t>
      </w:r>
      <w:r>
        <w:rPr>
          <w:spacing w:val="-9"/>
        </w:rPr>
        <w:t> </w:t>
      </w:r>
      <w:r>
        <w:rPr/>
        <w:t>in</w:t>
      </w:r>
      <w:r>
        <w:rPr>
          <w:spacing w:val="-7"/>
        </w:rPr>
        <w:t> </w:t>
      </w:r>
      <w:r>
        <w:rPr/>
        <w:t>power</w:t>
      </w:r>
      <w:r>
        <w:rPr>
          <w:spacing w:val="-8"/>
        </w:rPr>
        <w:t> </w:t>
      </w:r>
      <w:r>
        <w:rPr/>
        <w:t>generation</w:t>
      </w:r>
      <w:r>
        <w:rPr>
          <w:spacing w:val="-8"/>
        </w:rPr>
        <w:t> </w:t>
      </w:r>
      <w:r>
        <w:rPr/>
        <w:t>applications,</w:t>
      </w:r>
      <w:r>
        <w:rPr>
          <w:spacing w:val="-9"/>
        </w:rPr>
        <w:t> </w:t>
      </w:r>
      <w:r>
        <w:rPr/>
        <w:t>but</w:t>
      </w:r>
      <w:r>
        <w:rPr>
          <w:spacing w:val="-8"/>
        </w:rPr>
        <w:t> </w:t>
      </w:r>
      <w:r>
        <w:rPr/>
        <w:t>also</w:t>
      </w:r>
      <w:r>
        <w:rPr>
          <w:spacing w:val="-7"/>
        </w:rPr>
        <w:t> </w:t>
      </w:r>
      <w:r>
        <w:rPr/>
        <w:t>for cement, steel and other large industries. Operating experience is also needed to test system reliability, improved methods of system integration, methods to reduce the energy requirements for CO</w:t>
      </w:r>
      <w:r>
        <w:rPr>
          <w:position w:val="-6"/>
          <w:sz w:val="11"/>
        </w:rPr>
        <w:t>2 </w:t>
      </w:r>
      <w:r>
        <w:rPr/>
        <w:t>capture, improved process control strategies and the use of optimized functional materials for the implementation of capture processes with advanced, higher efficiency power cycles. As such developments are realized, environmental issues associated with the capture of CO</w:t>
      </w:r>
      <w:r>
        <w:rPr>
          <w:position w:val="-6"/>
          <w:sz w:val="11"/>
        </w:rPr>
        <w:t>2 </w:t>
      </w:r>
      <w:r>
        <w:rPr/>
        <w:t>and other deleterious pollutants in these systems should also be re-assessed from     a perspective involving the whole capture-transport-storage operation.</w:t>
      </w:r>
    </w:p>
    <w:p>
      <w:pPr>
        <w:pStyle w:val="BodyText"/>
        <w:spacing w:line="240" w:lineRule="exact"/>
        <w:ind w:left="513" w:firstLine="283"/>
        <w:jc w:val="both"/>
      </w:pPr>
      <w:r>
        <w:rPr/>
        <w:t>In</w:t>
      </w:r>
      <w:r>
        <w:rPr>
          <w:spacing w:val="-21"/>
        </w:rPr>
        <w:t> </w:t>
      </w:r>
      <w:r>
        <w:rPr/>
        <w:t>an</w:t>
      </w:r>
      <w:r>
        <w:rPr>
          <w:spacing w:val="-21"/>
        </w:rPr>
        <w:t> </w:t>
      </w:r>
      <w:r>
        <w:rPr/>
        <w:t>ongoing</w:t>
      </w:r>
      <w:r>
        <w:rPr>
          <w:spacing w:val="-20"/>
        </w:rPr>
        <w:t> </w:t>
      </w:r>
      <w:r>
        <w:rPr/>
        <w:t>search</w:t>
      </w:r>
      <w:r>
        <w:rPr>
          <w:spacing w:val="-21"/>
        </w:rPr>
        <w:t> </w:t>
      </w:r>
      <w:r>
        <w:rPr/>
        <w:t>to</w:t>
      </w:r>
      <w:r>
        <w:rPr>
          <w:spacing w:val="-20"/>
        </w:rPr>
        <w:t> </w:t>
      </w:r>
      <w:r>
        <w:rPr/>
        <w:t>implement</w:t>
      </w:r>
      <w:r>
        <w:rPr>
          <w:spacing w:val="-21"/>
        </w:rPr>
        <w:t> </w:t>
      </w:r>
      <w:r>
        <w:rPr/>
        <w:t>existing,</w:t>
      </w:r>
      <w:r>
        <w:rPr>
          <w:spacing w:val="-20"/>
        </w:rPr>
        <w:t> </w:t>
      </w:r>
      <w:r>
        <w:rPr/>
        <w:t>new</w:t>
      </w:r>
      <w:r>
        <w:rPr>
          <w:spacing w:val="-21"/>
        </w:rPr>
        <w:t> </w:t>
      </w:r>
      <w:r>
        <w:rPr/>
        <w:t>or</w:t>
      </w:r>
      <w:r>
        <w:rPr>
          <w:spacing w:val="-20"/>
        </w:rPr>
        <w:t> </w:t>
      </w:r>
      <w:r>
        <w:rPr/>
        <w:t>improved methods of CO</w:t>
      </w:r>
      <w:r>
        <w:rPr>
          <w:position w:val="-6"/>
          <w:sz w:val="11"/>
        </w:rPr>
        <w:t>2 </w:t>
      </w:r>
      <w:r>
        <w:rPr/>
        <w:t>capture, most capture systems also rely on the application</w:t>
      </w:r>
      <w:r>
        <w:rPr>
          <w:spacing w:val="-18"/>
        </w:rPr>
        <w:t> </w:t>
      </w:r>
      <w:r>
        <w:rPr/>
        <w:t>of</w:t>
      </w:r>
      <w:r>
        <w:rPr>
          <w:spacing w:val="-17"/>
        </w:rPr>
        <w:t> </w:t>
      </w:r>
      <w:r>
        <w:rPr/>
        <w:t>a</w:t>
      </w:r>
      <w:r>
        <w:rPr>
          <w:spacing w:val="-17"/>
        </w:rPr>
        <w:t> </w:t>
      </w:r>
      <w:r>
        <w:rPr/>
        <w:t>range</w:t>
      </w:r>
      <w:r>
        <w:rPr>
          <w:spacing w:val="-17"/>
        </w:rPr>
        <w:t> </w:t>
      </w:r>
      <w:r>
        <w:rPr/>
        <w:t>of</w:t>
      </w:r>
      <w:r>
        <w:rPr>
          <w:spacing w:val="-17"/>
        </w:rPr>
        <w:t> </w:t>
      </w:r>
      <w:r>
        <w:rPr/>
        <w:t>enabling</w:t>
      </w:r>
      <w:r>
        <w:rPr>
          <w:spacing w:val="-17"/>
        </w:rPr>
        <w:t> </w:t>
      </w:r>
      <w:r>
        <w:rPr/>
        <w:t>technologies</w:t>
      </w:r>
      <w:r>
        <w:rPr>
          <w:spacing w:val="-17"/>
        </w:rPr>
        <w:t> </w:t>
      </w:r>
      <w:r>
        <w:rPr/>
        <w:t>that</w:t>
      </w:r>
      <w:r>
        <w:rPr>
          <w:spacing w:val="-17"/>
        </w:rPr>
        <w:t> </w:t>
      </w:r>
      <w:r>
        <w:rPr/>
        <w:t>influence</w:t>
      </w:r>
      <w:r>
        <w:rPr>
          <w:spacing w:val="-17"/>
        </w:rPr>
        <w:t> </w:t>
      </w:r>
      <w:r>
        <w:rPr>
          <w:spacing w:val="-4"/>
        </w:rPr>
        <w:t>the </w:t>
      </w:r>
      <w:r>
        <w:rPr/>
        <w:t>attractiveness of a given system. These enabling technologies have their own critical gaps of knowledge. For example, improved processes for the effective removal of sulphur, nitrogen, chlorine, mercury and other pollutants are needed </w:t>
      </w:r>
      <w:r>
        <w:rPr>
          <w:spacing w:val="-4"/>
        </w:rPr>
        <w:t>for </w:t>
      </w:r>
      <w:r>
        <w:rPr/>
        <w:t>the effective performance of unit operations for CO</w:t>
      </w:r>
      <w:r>
        <w:rPr>
          <w:position w:val="-6"/>
          <w:sz w:val="11"/>
        </w:rPr>
        <w:t>2 </w:t>
      </w:r>
      <w:r>
        <w:rPr/>
        <w:t>separation in post- and pre-combustion capture systems, especially when coal is used as the primary fuel. Improved gasification reactors for coals and biomass, the availability of hydrogen-burning</w:t>
      </w:r>
      <w:r>
        <w:rPr>
          <w:spacing w:val="-24"/>
        </w:rPr>
        <w:t> </w:t>
      </w:r>
      <w:r>
        <w:rPr/>
        <w:t>gas turbines</w:t>
      </w:r>
      <w:r>
        <w:rPr>
          <w:spacing w:val="-11"/>
        </w:rPr>
        <w:t> </w:t>
      </w:r>
      <w:r>
        <w:rPr/>
        <w:t>and</w:t>
      </w:r>
      <w:r>
        <w:rPr>
          <w:spacing w:val="-11"/>
        </w:rPr>
        <w:t> </w:t>
      </w:r>
      <w:r>
        <w:rPr/>
        <w:t>fuel</w:t>
      </w:r>
      <w:r>
        <w:rPr>
          <w:spacing w:val="-11"/>
        </w:rPr>
        <w:t> </w:t>
      </w:r>
      <w:r>
        <w:rPr/>
        <w:t>cells</w:t>
      </w:r>
      <w:r>
        <w:rPr>
          <w:spacing w:val="-11"/>
        </w:rPr>
        <w:t> </w:t>
      </w:r>
      <w:r>
        <w:rPr/>
        <w:t>for</w:t>
      </w:r>
      <w:r>
        <w:rPr>
          <w:spacing w:val="-11"/>
        </w:rPr>
        <w:t> </w:t>
      </w:r>
      <w:r>
        <w:rPr/>
        <w:t>stationary</w:t>
      </w:r>
      <w:r>
        <w:rPr>
          <w:spacing w:val="-11"/>
        </w:rPr>
        <w:t> </w:t>
      </w:r>
      <w:r>
        <w:rPr/>
        <w:t>power</w:t>
      </w:r>
      <w:r>
        <w:rPr>
          <w:spacing w:val="-11"/>
        </w:rPr>
        <w:t> </w:t>
      </w:r>
      <w:r>
        <w:rPr/>
        <w:t>generation</w:t>
      </w:r>
      <w:r>
        <w:rPr>
          <w:spacing w:val="-11"/>
        </w:rPr>
        <w:t> </w:t>
      </w:r>
      <w:r>
        <w:rPr/>
        <w:t>also</w:t>
      </w:r>
      <w:r>
        <w:rPr>
          <w:spacing w:val="-11"/>
        </w:rPr>
        <w:t> </w:t>
      </w:r>
      <w:r>
        <w:rPr/>
        <w:t>need further development in the pre-combustion route. Combustors and boilers operating at higher temperatures, or a new class </w:t>
      </w:r>
      <w:r>
        <w:rPr>
          <w:spacing w:val="-8"/>
        </w:rPr>
        <w:t>of </w:t>
      </w:r>
      <w:r>
        <w:rPr/>
        <w:t>CO</w:t>
      </w:r>
      <w:r>
        <w:rPr>
          <w:position w:val="-6"/>
          <w:sz w:val="11"/>
        </w:rPr>
        <w:t>2 </w:t>
      </w:r>
      <w:r>
        <w:rPr/>
        <w:t>turbines and compressors, are important requirements </w:t>
      </w:r>
      <w:r>
        <w:rPr>
          <w:spacing w:val="-4"/>
        </w:rPr>
        <w:t>for </w:t>
      </w:r>
      <w:r>
        <w:rPr/>
        <w:t>oxy-fuel</w:t>
      </w:r>
      <w:r>
        <w:rPr>
          <w:spacing w:val="-1"/>
        </w:rPr>
        <w:t> </w:t>
      </w:r>
      <w:r>
        <w:rPr/>
        <w:t>systems.</w:t>
      </w:r>
    </w:p>
    <w:p>
      <w:pPr>
        <w:pStyle w:val="BodyText"/>
        <w:spacing w:line="240" w:lineRule="exact"/>
        <w:ind w:left="513" w:firstLine="284"/>
        <w:jc w:val="both"/>
      </w:pPr>
      <w:r>
        <w:rPr/>
        <w:t>With reference to the development of novel CO</w:t>
      </w:r>
      <w:r>
        <w:rPr>
          <w:position w:val="-6"/>
          <w:sz w:val="11"/>
        </w:rPr>
        <w:t>2 </w:t>
      </w:r>
      <w:r>
        <w:rPr/>
        <w:t>capture and/or other enabling technologies, a wide range of options  are currently being investigated worldwide. However, many technical details of the specific processes proposed or under development for these emerging technologies are still not well understood. This makes the assessment of their performance and</w:t>
      </w:r>
      <w:r>
        <w:rPr>
          <w:spacing w:val="-6"/>
        </w:rPr>
        <w:t> </w:t>
      </w:r>
      <w:r>
        <w:rPr/>
        <w:t>cost</w:t>
      </w:r>
      <w:r>
        <w:rPr>
          <w:spacing w:val="-5"/>
        </w:rPr>
        <w:t> </w:t>
      </w:r>
      <w:r>
        <w:rPr/>
        <w:t>highly</w:t>
      </w:r>
      <w:r>
        <w:rPr>
          <w:spacing w:val="-6"/>
        </w:rPr>
        <w:t> </w:t>
      </w:r>
      <w:r>
        <w:rPr/>
        <w:t>uncertain.</w:t>
      </w:r>
      <w:r>
        <w:rPr>
          <w:spacing w:val="-9"/>
        </w:rPr>
        <w:t> </w:t>
      </w:r>
      <w:r>
        <w:rPr/>
        <w:t>This</w:t>
      </w:r>
      <w:r>
        <w:rPr>
          <w:spacing w:val="-5"/>
        </w:rPr>
        <w:t> </w:t>
      </w:r>
      <w:r>
        <w:rPr/>
        <w:t>is</w:t>
      </w:r>
      <w:r>
        <w:rPr>
          <w:spacing w:val="-6"/>
        </w:rPr>
        <w:t> </w:t>
      </w:r>
      <w:r>
        <w:rPr/>
        <w:t>where</w:t>
      </w:r>
      <w:r>
        <w:rPr>
          <w:spacing w:val="-5"/>
        </w:rPr>
        <w:t> </w:t>
      </w:r>
      <w:r>
        <w:rPr/>
        <w:t>intense</w:t>
      </w:r>
      <w:r>
        <w:rPr>
          <w:spacing w:val="-6"/>
        </w:rPr>
        <w:t> </w:t>
      </w:r>
      <w:r>
        <w:rPr/>
        <w:t>R&amp;D</w:t>
      </w:r>
      <w:r>
        <w:rPr>
          <w:spacing w:val="-5"/>
        </w:rPr>
        <w:t> </w:t>
      </w:r>
      <w:r>
        <w:rPr/>
        <w:t>is</w:t>
      </w:r>
      <w:r>
        <w:rPr>
          <w:spacing w:val="-5"/>
        </w:rPr>
        <w:t> </w:t>
      </w:r>
      <w:r>
        <w:rPr/>
        <w:t>needed to develop and bring to pilot scale testing the most promising concepts for commercial application. Membranes for H</w:t>
      </w:r>
      <w:r>
        <w:rPr>
          <w:position w:val="-6"/>
          <w:sz w:val="11"/>
        </w:rPr>
        <w:t>2</w:t>
      </w:r>
      <w:r>
        <w:rPr/>
        <w:t>, CO</w:t>
      </w:r>
      <w:r>
        <w:rPr>
          <w:position w:val="-6"/>
          <w:sz w:val="11"/>
        </w:rPr>
        <w:t>2 </w:t>
      </w:r>
      <w:r>
        <w:rPr/>
        <w:t>or O</w:t>
      </w:r>
      <w:r>
        <w:rPr>
          <w:position w:val="-6"/>
          <w:sz w:val="11"/>
        </w:rPr>
        <w:t>2 </w:t>
      </w:r>
      <w:r>
        <w:rPr/>
        <w:t>separation, new sorbents, O</w:t>
      </w:r>
      <w:r>
        <w:rPr>
          <w:position w:val="-6"/>
          <w:sz w:val="11"/>
        </w:rPr>
        <w:t>2 </w:t>
      </w:r>
      <w:r>
        <w:rPr/>
        <w:t>or CO</w:t>
      </w:r>
      <w:r>
        <w:rPr>
          <w:position w:val="-6"/>
          <w:sz w:val="11"/>
        </w:rPr>
        <w:t>2 </w:t>
      </w:r>
      <w:r>
        <w:rPr/>
        <w:t>solid carriers and materials for advanced combustors, boilers and turbines </w:t>
      </w:r>
      <w:r>
        <w:rPr>
          <w:spacing w:val="-5"/>
        </w:rPr>
        <w:t>all </w:t>
      </w:r>
      <w:r>
        <w:rPr/>
        <w:t>require</w:t>
      </w:r>
      <w:r>
        <w:rPr>
          <w:spacing w:val="-15"/>
        </w:rPr>
        <w:t> </w:t>
      </w:r>
      <w:r>
        <w:rPr/>
        <w:t>extensive</w:t>
      </w:r>
      <w:r>
        <w:rPr>
          <w:spacing w:val="-15"/>
        </w:rPr>
        <w:t> </w:t>
      </w:r>
      <w:r>
        <w:rPr/>
        <w:t>performance</w:t>
      </w:r>
      <w:r>
        <w:rPr>
          <w:spacing w:val="-14"/>
        </w:rPr>
        <w:t> </w:t>
      </w:r>
      <w:r>
        <w:rPr/>
        <w:t>testing.</w:t>
      </w:r>
      <w:r>
        <w:rPr>
          <w:spacing w:val="-15"/>
        </w:rPr>
        <w:t> </w:t>
      </w:r>
      <w:r>
        <w:rPr/>
        <w:t>Multi-pollutant</w:t>
      </w:r>
      <w:r>
        <w:rPr>
          <w:spacing w:val="-14"/>
        </w:rPr>
        <w:t> </w:t>
      </w:r>
      <w:r>
        <w:rPr/>
        <w:t>emission controls</w:t>
      </w:r>
      <w:r>
        <w:rPr>
          <w:spacing w:val="-13"/>
        </w:rPr>
        <w:t> </w:t>
      </w:r>
      <w:r>
        <w:rPr/>
        <w:t>in</w:t>
      </w:r>
      <w:r>
        <w:rPr>
          <w:spacing w:val="-13"/>
        </w:rPr>
        <w:t> </w:t>
      </w:r>
      <w:r>
        <w:rPr/>
        <w:t>these</w:t>
      </w:r>
      <w:r>
        <w:rPr>
          <w:spacing w:val="-12"/>
        </w:rPr>
        <w:t> </w:t>
      </w:r>
      <w:r>
        <w:rPr/>
        <w:t>novel</w:t>
      </w:r>
      <w:r>
        <w:rPr>
          <w:spacing w:val="-13"/>
        </w:rPr>
        <w:t> </w:t>
      </w:r>
      <w:r>
        <w:rPr/>
        <w:t>systems</w:t>
      </w:r>
      <w:r>
        <w:rPr>
          <w:spacing w:val="-12"/>
        </w:rPr>
        <w:t> </w:t>
      </w:r>
      <w:r>
        <w:rPr/>
        <w:t>and</w:t>
      </w:r>
      <w:r>
        <w:rPr>
          <w:spacing w:val="-13"/>
        </w:rPr>
        <w:t> </w:t>
      </w:r>
      <w:r>
        <w:rPr/>
        <w:t>the</w:t>
      </w:r>
      <w:r>
        <w:rPr>
          <w:spacing w:val="-13"/>
        </w:rPr>
        <w:t> </w:t>
      </w:r>
      <w:r>
        <w:rPr/>
        <w:t>impact</w:t>
      </w:r>
      <w:r>
        <w:rPr>
          <w:spacing w:val="-12"/>
        </w:rPr>
        <w:t> </w:t>
      </w:r>
      <w:r>
        <w:rPr/>
        <w:t>of</w:t>
      </w:r>
      <w:r>
        <w:rPr>
          <w:spacing w:val="-13"/>
        </w:rPr>
        <w:t> </w:t>
      </w:r>
      <w:r>
        <w:rPr/>
        <w:t>fuel</w:t>
      </w:r>
      <w:r>
        <w:rPr>
          <w:spacing w:val="-12"/>
        </w:rPr>
        <w:t> </w:t>
      </w:r>
      <w:r>
        <w:rPr/>
        <w:t>impurities and temperature on the functional materials, should also be an area of future</w:t>
      </w:r>
      <w:r>
        <w:rPr>
          <w:spacing w:val="-1"/>
        </w:rPr>
        <w:t> </w:t>
      </w:r>
      <w:r>
        <w:rPr/>
        <w:t>work.</w:t>
      </w:r>
    </w:p>
    <w:p>
      <w:pPr>
        <w:spacing w:before="54"/>
        <w:ind w:left="241" w:right="0" w:firstLine="0"/>
        <w:jc w:val="left"/>
        <w:rPr>
          <w:b/>
          <w:sz w:val="28"/>
        </w:rPr>
      </w:pPr>
      <w:r>
        <w:rPr/>
        <w:br w:type="column"/>
      </w:r>
      <w:r>
        <w:rPr>
          <w:b/>
          <w:sz w:val="28"/>
        </w:rPr>
        <w:t>References</w:t>
      </w:r>
    </w:p>
    <w:p>
      <w:pPr>
        <w:spacing w:line="240" w:lineRule="exact" w:before="228"/>
        <w:ind w:left="581" w:right="115" w:hanging="341"/>
        <w:jc w:val="both"/>
        <w:rPr>
          <w:sz w:val="18"/>
        </w:rPr>
      </w:pPr>
      <w:r>
        <w:rPr>
          <w:b/>
          <w:sz w:val="18"/>
        </w:rPr>
        <w:t>Abanades, </w:t>
      </w:r>
      <w:r>
        <w:rPr>
          <w:sz w:val="18"/>
        </w:rPr>
        <w:t>J.C., E.J. Anthony, D. Alvarez, D.Y. Lu, and C. Salvador, 2004a: Capture of CO</w:t>
      </w:r>
      <w:r>
        <w:rPr>
          <w:position w:val="-5"/>
          <w:sz w:val="10"/>
        </w:rPr>
        <w:t>2 </w:t>
      </w:r>
      <w:r>
        <w:rPr>
          <w:sz w:val="18"/>
        </w:rPr>
        <w:t>from Combustion Gases in a Fluidised Bed of CaO. </w:t>
      </w:r>
      <w:r>
        <w:rPr>
          <w:i/>
          <w:sz w:val="18"/>
        </w:rPr>
        <w:t>AIChE J</w:t>
      </w:r>
      <w:r>
        <w:rPr>
          <w:sz w:val="18"/>
        </w:rPr>
        <w:t>, </w:t>
      </w:r>
      <w:r>
        <w:rPr>
          <w:b/>
          <w:sz w:val="18"/>
        </w:rPr>
        <w:t>50</w:t>
      </w:r>
      <w:r>
        <w:rPr>
          <w:sz w:val="18"/>
        </w:rPr>
        <w:t>, No. 7, 1614-1622.</w:t>
      </w:r>
    </w:p>
    <w:p>
      <w:pPr>
        <w:spacing w:line="240" w:lineRule="exact" w:before="0"/>
        <w:ind w:left="581" w:right="114" w:hanging="341"/>
        <w:jc w:val="both"/>
        <w:rPr>
          <w:sz w:val="18"/>
        </w:rPr>
      </w:pPr>
      <w:r>
        <w:rPr>
          <w:b/>
          <w:sz w:val="18"/>
        </w:rPr>
        <w:t>Abanades,</w:t>
      </w:r>
      <w:r>
        <w:rPr>
          <w:b/>
          <w:spacing w:val="-9"/>
          <w:sz w:val="18"/>
        </w:rPr>
        <w:t> </w:t>
      </w:r>
      <w:r>
        <w:rPr>
          <w:sz w:val="18"/>
        </w:rPr>
        <w:t>J.C.,</w:t>
      </w:r>
      <w:r>
        <w:rPr>
          <w:spacing w:val="-9"/>
          <w:sz w:val="18"/>
        </w:rPr>
        <w:t> </w:t>
      </w:r>
      <w:r>
        <w:rPr>
          <w:sz w:val="18"/>
        </w:rPr>
        <w:t>E.S.</w:t>
      </w:r>
      <w:r>
        <w:rPr>
          <w:spacing w:val="-8"/>
          <w:sz w:val="18"/>
        </w:rPr>
        <w:t> </w:t>
      </w:r>
      <w:r>
        <w:rPr>
          <w:sz w:val="18"/>
        </w:rPr>
        <w:t>Rubin</w:t>
      </w:r>
      <w:r>
        <w:rPr>
          <w:spacing w:val="-9"/>
          <w:sz w:val="18"/>
        </w:rPr>
        <w:t> </w:t>
      </w:r>
      <w:r>
        <w:rPr>
          <w:sz w:val="18"/>
        </w:rPr>
        <w:t>and</w:t>
      </w:r>
      <w:r>
        <w:rPr>
          <w:spacing w:val="-9"/>
          <w:sz w:val="18"/>
        </w:rPr>
        <w:t> </w:t>
      </w:r>
      <w:r>
        <w:rPr>
          <w:sz w:val="18"/>
        </w:rPr>
        <w:t>E.J.</w:t>
      </w:r>
      <w:r>
        <w:rPr>
          <w:spacing w:val="-18"/>
          <w:sz w:val="18"/>
        </w:rPr>
        <w:t> </w:t>
      </w:r>
      <w:r>
        <w:rPr>
          <w:spacing w:val="-3"/>
          <w:sz w:val="18"/>
        </w:rPr>
        <w:t>Anthony,</w:t>
      </w:r>
      <w:r>
        <w:rPr>
          <w:spacing w:val="-9"/>
          <w:sz w:val="18"/>
        </w:rPr>
        <w:t> </w:t>
      </w:r>
      <w:r>
        <w:rPr>
          <w:sz w:val="18"/>
        </w:rPr>
        <w:t>2004b:</w:t>
      </w:r>
      <w:r>
        <w:rPr>
          <w:spacing w:val="-9"/>
          <w:sz w:val="18"/>
        </w:rPr>
        <w:t> </w:t>
      </w:r>
      <w:r>
        <w:rPr>
          <w:sz w:val="18"/>
        </w:rPr>
        <w:t>Sorbent</w:t>
      </w:r>
      <w:r>
        <w:rPr>
          <w:spacing w:val="-9"/>
          <w:sz w:val="18"/>
        </w:rPr>
        <w:t> </w:t>
      </w:r>
      <w:r>
        <w:rPr>
          <w:sz w:val="18"/>
        </w:rPr>
        <w:t>cost</w:t>
      </w:r>
      <w:r>
        <w:rPr>
          <w:spacing w:val="-9"/>
          <w:sz w:val="18"/>
        </w:rPr>
        <w:t> </w:t>
      </w:r>
      <w:r>
        <w:rPr>
          <w:sz w:val="18"/>
        </w:rPr>
        <w:t>and performance in CO</w:t>
      </w:r>
      <w:r>
        <w:rPr>
          <w:position w:val="-5"/>
          <w:sz w:val="10"/>
        </w:rPr>
        <w:t>2 </w:t>
      </w:r>
      <w:r>
        <w:rPr>
          <w:sz w:val="18"/>
        </w:rPr>
        <w:t>capture systems. </w:t>
      </w:r>
      <w:r>
        <w:rPr>
          <w:i/>
          <w:sz w:val="18"/>
        </w:rPr>
        <w:t>Industrial and Engineering </w:t>
      </w:r>
      <w:r>
        <w:rPr>
          <w:i/>
          <w:sz w:val="18"/>
        </w:rPr>
        <w:t>Chemistry Research, </w:t>
      </w:r>
      <w:r>
        <w:rPr>
          <w:b/>
          <w:sz w:val="18"/>
        </w:rPr>
        <w:t>43</w:t>
      </w:r>
      <w:r>
        <w:rPr>
          <w:sz w:val="18"/>
        </w:rPr>
        <w:t>,</w:t>
      </w:r>
      <w:r>
        <w:rPr>
          <w:spacing w:val="-2"/>
          <w:sz w:val="18"/>
        </w:rPr>
        <w:t> </w:t>
      </w:r>
      <w:r>
        <w:rPr>
          <w:sz w:val="18"/>
        </w:rPr>
        <w:t>3462-3466.</w:t>
      </w:r>
    </w:p>
    <w:p>
      <w:pPr>
        <w:spacing w:line="278" w:lineRule="auto" w:before="24"/>
        <w:ind w:left="581" w:right="114" w:hanging="341"/>
        <w:jc w:val="both"/>
        <w:rPr>
          <w:sz w:val="18"/>
        </w:rPr>
      </w:pPr>
      <w:r>
        <w:rPr>
          <w:b/>
          <w:sz w:val="18"/>
        </w:rPr>
        <w:t>Abbot, </w:t>
      </w:r>
      <w:r>
        <w:rPr>
          <w:sz w:val="18"/>
        </w:rPr>
        <w:t>J., B. Crewdson, and K. Elhius, 2002: Efficient cost effective and environmentally friendly synthesis gas technology for gas to liquids production. IBC Gas to Liquids Conference, London.</w:t>
      </w:r>
    </w:p>
    <w:p>
      <w:pPr>
        <w:spacing w:line="278" w:lineRule="auto" w:before="0"/>
        <w:ind w:left="581" w:right="115" w:hanging="341"/>
        <w:jc w:val="both"/>
        <w:rPr>
          <w:sz w:val="18"/>
        </w:rPr>
      </w:pPr>
      <w:r>
        <w:rPr>
          <w:b/>
          <w:spacing w:val="-3"/>
          <w:sz w:val="18"/>
        </w:rPr>
        <w:t>Aboudheir,</w:t>
      </w:r>
      <w:r>
        <w:rPr>
          <w:b/>
          <w:spacing w:val="-17"/>
          <w:sz w:val="18"/>
        </w:rPr>
        <w:t> </w:t>
      </w:r>
      <w:r>
        <w:rPr>
          <w:sz w:val="18"/>
        </w:rPr>
        <w:t>A.,</w:t>
      </w:r>
      <w:r>
        <w:rPr>
          <w:spacing w:val="-9"/>
          <w:sz w:val="18"/>
        </w:rPr>
        <w:t> </w:t>
      </w:r>
      <w:r>
        <w:rPr>
          <w:spacing w:val="-10"/>
          <w:sz w:val="18"/>
        </w:rPr>
        <w:t>P.</w:t>
      </w:r>
      <w:r>
        <w:rPr>
          <w:spacing w:val="-11"/>
          <w:sz w:val="18"/>
        </w:rPr>
        <w:t> </w:t>
      </w:r>
      <w:r>
        <w:rPr>
          <w:sz w:val="18"/>
        </w:rPr>
        <w:t>Tontiwachwuthikul,</w:t>
      </w:r>
      <w:r>
        <w:rPr>
          <w:spacing w:val="-18"/>
          <w:sz w:val="18"/>
        </w:rPr>
        <w:t> </w:t>
      </w:r>
      <w:r>
        <w:rPr>
          <w:sz w:val="18"/>
        </w:rPr>
        <w:t>A.</w:t>
      </w:r>
      <w:r>
        <w:rPr>
          <w:spacing w:val="-8"/>
          <w:sz w:val="18"/>
        </w:rPr>
        <w:t> </w:t>
      </w:r>
      <w:r>
        <w:rPr>
          <w:sz w:val="18"/>
        </w:rPr>
        <w:t>Chakma,</w:t>
      </w:r>
      <w:r>
        <w:rPr>
          <w:spacing w:val="-8"/>
          <w:sz w:val="18"/>
        </w:rPr>
        <w:t> </w:t>
      </w:r>
      <w:r>
        <w:rPr>
          <w:sz w:val="18"/>
        </w:rPr>
        <w:t>and</w:t>
      </w:r>
      <w:r>
        <w:rPr>
          <w:spacing w:val="-8"/>
          <w:sz w:val="18"/>
        </w:rPr>
        <w:t> </w:t>
      </w:r>
      <w:r>
        <w:rPr>
          <w:sz w:val="18"/>
        </w:rPr>
        <w:t>R.</w:t>
      </w:r>
      <w:r>
        <w:rPr>
          <w:spacing w:val="-9"/>
          <w:sz w:val="18"/>
        </w:rPr>
        <w:t> </w:t>
      </w:r>
      <w:r>
        <w:rPr>
          <w:sz w:val="18"/>
        </w:rPr>
        <w:t>Idem,</w:t>
      </w:r>
      <w:r>
        <w:rPr>
          <w:spacing w:val="-8"/>
          <w:sz w:val="18"/>
        </w:rPr>
        <w:t> </w:t>
      </w:r>
      <w:r>
        <w:rPr>
          <w:sz w:val="18"/>
        </w:rPr>
        <w:t>2003: Kinetics</w:t>
      </w:r>
      <w:r>
        <w:rPr>
          <w:spacing w:val="-6"/>
          <w:sz w:val="18"/>
        </w:rPr>
        <w:t> </w:t>
      </w:r>
      <w:r>
        <w:rPr>
          <w:sz w:val="18"/>
        </w:rPr>
        <w:t>of</w:t>
      </w:r>
      <w:r>
        <w:rPr>
          <w:spacing w:val="-6"/>
          <w:sz w:val="18"/>
        </w:rPr>
        <w:t> </w:t>
      </w:r>
      <w:r>
        <w:rPr>
          <w:sz w:val="18"/>
        </w:rPr>
        <w:t>the</w:t>
      </w:r>
      <w:r>
        <w:rPr>
          <w:spacing w:val="-5"/>
          <w:sz w:val="18"/>
        </w:rPr>
        <w:t> </w:t>
      </w:r>
      <w:r>
        <w:rPr>
          <w:sz w:val="18"/>
        </w:rPr>
        <w:t>reactive</w:t>
      </w:r>
      <w:r>
        <w:rPr>
          <w:spacing w:val="-7"/>
          <w:sz w:val="18"/>
        </w:rPr>
        <w:t> </w:t>
      </w:r>
      <w:r>
        <w:rPr>
          <w:sz w:val="18"/>
        </w:rPr>
        <w:t>absorption</w:t>
      </w:r>
      <w:r>
        <w:rPr>
          <w:spacing w:val="-5"/>
          <w:sz w:val="18"/>
        </w:rPr>
        <w:t> </w:t>
      </w:r>
      <w:r>
        <w:rPr>
          <w:sz w:val="18"/>
        </w:rPr>
        <w:t>of</w:t>
      </w:r>
      <w:r>
        <w:rPr>
          <w:spacing w:val="-6"/>
          <w:sz w:val="18"/>
        </w:rPr>
        <w:t> </w:t>
      </w:r>
      <w:r>
        <w:rPr>
          <w:sz w:val="18"/>
        </w:rPr>
        <w:t>carbon</w:t>
      </w:r>
      <w:r>
        <w:rPr>
          <w:spacing w:val="-6"/>
          <w:sz w:val="18"/>
        </w:rPr>
        <w:t> </w:t>
      </w:r>
      <w:r>
        <w:rPr>
          <w:sz w:val="18"/>
        </w:rPr>
        <w:t>dioxide</w:t>
      </w:r>
      <w:r>
        <w:rPr>
          <w:spacing w:val="-5"/>
          <w:sz w:val="18"/>
        </w:rPr>
        <w:t> </w:t>
      </w:r>
      <w:r>
        <w:rPr>
          <w:sz w:val="18"/>
        </w:rPr>
        <w:t>in</w:t>
      </w:r>
      <w:r>
        <w:rPr>
          <w:spacing w:val="-6"/>
          <w:sz w:val="18"/>
        </w:rPr>
        <w:t> </w:t>
      </w:r>
      <w:r>
        <w:rPr>
          <w:sz w:val="18"/>
        </w:rPr>
        <w:t>high</w:t>
      </w:r>
      <w:r>
        <w:rPr>
          <w:spacing w:val="-5"/>
          <w:sz w:val="18"/>
        </w:rPr>
        <w:t> </w:t>
      </w:r>
      <w:r>
        <w:rPr>
          <w:sz w:val="18"/>
        </w:rPr>
        <w:t>CO</w:t>
      </w:r>
      <w:r>
        <w:rPr>
          <w:position w:val="-5"/>
          <w:sz w:val="10"/>
        </w:rPr>
        <w:t>2</w:t>
      </w:r>
      <w:r>
        <w:rPr>
          <w:sz w:val="18"/>
        </w:rPr>
        <w:t>-</w:t>
      </w:r>
    </w:p>
    <w:p>
      <w:pPr>
        <w:spacing w:line="164" w:lineRule="exact" w:before="0"/>
        <w:ind w:left="581" w:right="0" w:firstLine="0"/>
        <w:jc w:val="both"/>
        <w:rPr>
          <w:sz w:val="18"/>
        </w:rPr>
      </w:pPr>
      <w:r>
        <w:rPr>
          <w:sz w:val="18"/>
        </w:rPr>
        <w:t>loaded,   concentrated   aqueuous   monoethanolamine</w:t>
      </w:r>
      <w:r>
        <w:rPr>
          <w:spacing w:val="41"/>
          <w:sz w:val="18"/>
        </w:rPr>
        <w:t> </w:t>
      </w:r>
      <w:r>
        <w:rPr>
          <w:sz w:val="18"/>
        </w:rPr>
        <w:t>solutions.</w:t>
      </w:r>
    </w:p>
    <w:p>
      <w:pPr>
        <w:spacing w:before="33"/>
        <w:ind w:left="581" w:right="0" w:firstLine="0"/>
        <w:jc w:val="both"/>
        <w:rPr>
          <w:sz w:val="18"/>
        </w:rPr>
      </w:pPr>
      <w:r>
        <w:rPr>
          <w:i/>
          <w:sz w:val="18"/>
        </w:rPr>
        <w:t>Chemical Engineering Science </w:t>
      </w:r>
      <w:r>
        <w:rPr>
          <w:b/>
          <w:sz w:val="18"/>
        </w:rPr>
        <w:t>58</w:t>
      </w:r>
      <w:r>
        <w:rPr>
          <w:sz w:val="18"/>
        </w:rPr>
        <w:t>, 5195-5210.</w:t>
      </w:r>
    </w:p>
    <w:p>
      <w:pPr>
        <w:spacing w:line="278" w:lineRule="auto" w:before="33"/>
        <w:ind w:left="581" w:right="115" w:hanging="341"/>
        <w:jc w:val="both"/>
        <w:rPr>
          <w:sz w:val="18"/>
        </w:rPr>
      </w:pPr>
      <w:r>
        <w:rPr>
          <w:b/>
          <w:sz w:val="18"/>
        </w:rPr>
        <w:t>Alic, </w:t>
      </w:r>
      <w:r>
        <w:rPr>
          <w:sz w:val="18"/>
        </w:rPr>
        <w:t>J.A., D.C. Mowery, and E.S. Rubin, 2003: </w:t>
      </w:r>
      <w:r>
        <w:rPr>
          <w:i/>
          <w:sz w:val="18"/>
        </w:rPr>
        <w:t>U.S. Technology and </w:t>
      </w:r>
      <w:r>
        <w:rPr>
          <w:i/>
          <w:sz w:val="18"/>
        </w:rPr>
        <w:t>Innovation Policies: Lessons for Climate Change. </w:t>
      </w:r>
      <w:r>
        <w:rPr>
          <w:sz w:val="18"/>
        </w:rPr>
        <w:t>Pew Center on Global Climate Change, Arlington, VA, November.</w:t>
      </w:r>
    </w:p>
    <w:p>
      <w:pPr>
        <w:spacing w:line="278" w:lineRule="auto" w:before="0"/>
        <w:ind w:left="581" w:right="114" w:hanging="341"/>
        <w:jc w:val="both"/>
        <w:rPr>
          <w:sz w:val="18"/>
        </w:rPr>
      </w:pPr>
      <w:r>
        <w:rPr>
          <w:b/>
          <w:sz w:val="18"/>
        </w:rPr>
        <w:t>Allam, </w:t>
      </w:r>
      <w:r>
        <w:rPr>
          <w:sz w:val="18"/>
        </w:rPr>
        <w:t>R.J., </w:t>
      </w:r>
      <w:r>
        <w:rPr>
          <w:spacing w:val="-5"/>
          <w:sz w:val="18"/>
        </w:rPr>
        <w:t>E.P. </w:t>
      </w:r>
      <w:r>
        <w:rPr>
          <w:sz w:val="18"/>
        </w:rPr>
        <w:t>Foster, </w:t>
      </w:r>
      <w:r>
        <w:rPr>
          <w:spacing w:val="-6"/>
          <w:sz w:val="18"/>
        </w:rPr>
        <w:t>V.E. </w:t>
      </w:r>
      <w:r>
        <w:rPr>
          <w:sz w:val="18"/>
        </w:rPr>
        <w:t>Stein, 2002: Improving Gasification Economics through ITM Oxygen Integration.  Proceedings  of the Fifth Institution of Chemical Engineers (UK) European Gasification Conference, Noordwijk, The</w:t>
      </w:r>
      <w:r>
        <w:rPr>
          <w:spacing w:val="-12"/>
          <w:sz w:val="18"/>
        </w:rPr>
        <w:t> </w:t>
      </w:r>
      <w:r>
        <w:rPr>
          <w:sz w:val="18"/>
        </w:rPr>
        <w:t>Netherlands.</w:t>
      </w:r>
    </w:p>
    <w:p>
      <w:pPr>
        <w:spacing w:line="278" w:lineRule="auto" w:before="0"/>
        <w:ind w:left="581" w:right="116" w:hanging="341"/>
        <w:jc w:val="both"/>
        <w:rPr>
          <w:i/>
          <w:sz w:val="18"/>
        </w:rPr>
      </w:pPr>
      <w:r>
        <w:rPr>
          <w:b/>
          <w:sz w:val="18"/>
        </w:rPr>
        <w:t>Alstom Power inc., </w:t>
      </w:r>
      <w:r>
        <w:rPr>
          <w:sz w:val="18"/>
        </w:rPr>
        <w:t>ABB Lummus Global Inc., Alstom Power Environmental Systems and American Electric </w:t>
      </w:r>
      <w:r>
        <w:rPr>
          <w:spacing w:val="-2"/>
          <w:sz w:val="18"/>
        </w:rPr>
        <w:t>Power, </w:t>
      </w:r>
      <w:r>
        <w:rPr>
          <w:sz w:val="18"/>
        </w:rPr>
        <w:t>2001: </w:t>
      </w:r>
      <w:r>
        <w:rPr>
          <w:i/>
          <w:sz w:val="18"/>
        </w:rPr>
        <w:t>Engineering  feasibility  and  economics  of  CO</w:t>
      </w:r>
      <w:r>
        <w:rPr>
          <w:i/>
          <w:position w:val="-5"/>
          <w:sz w:val="10"/>
        </w:rPr>
        <w:t>2    </w:t>
      </w:r>
      <w:r>
        <w:rPr>
          <w:i/>
          <w:sz w:val="18"/>
        </w:rPr>
        <w:t>capture  on</w:t>
      </w:r>
      <w:r>
        <w:rPr>
          <w:i/>
          <w:spacing w:val="28"/>
          <w:sz w:val="18"/>
        </w:rPr>
        <w:t> </w:t>
      </w:r>
      <w:r>
        <w:rPr>
          <w:i/>
          <w:sz w:val="18"/>
        </w:rPr>
        <w:t>an</w:t>
      </w:r>
    </w:p>
    <w:p>
      <w:pPr>
        <w:spacing w:line="164" w:lineRule="exact" w:before="0"/>
        <w:ind w:left="581" w:right="0" w:firstLine="0"/>
        <w:jc w:val="both"/>
        <w:rPr>
          <w:sz w:val="18"/>
        </w:rPr>
      </w:pPr>
      <w:r>
        <w:rPr>
          <w:i/>
          <w:sz w:val="18"/>
        </w:rPr>
        <w:t>existing</w:t>
      </w:r>
      <w:r>
        <w:rPr>
          <w:i/>
          <w:spacing w:val="-9"/>
          <w:sz w:val="18"/>
        </w:rPr>
        <w:t> </w:t>
      </w:r>
      <w:r>
        <w:rPr>
          <w:i/>
          <w:sz w:val="18"/>
        </w:rPr>
        <w:t>coal-fired</w:t>
      </w:r>
      <w:r>
        <w:rPr>
          <w:i/>
          <w:spacing w:val="-8"/>
          <w:sz w:val="18"/>
        </w:rPr>
        <w:t> </w:t>
      </w:r>
      <w:r>
        <w:rPr>
          <w:i/>
          <w:sz w:val="18"/>
        </w:rPr>
        <w:t>power</w:t>
      </w:r>
      <w:r>
        <w:rPr>
          <w:i/>
          <w:spacing w:val="-8"/>
          <w:sz w:val="18"/>
        </w:rPr>
        <w:t> </w:t>
      </w:r>
      <w:r>
        <w:rPr>
          <w:i/>
          <w:sz w:val="18"/>
        </w:rPr>
        <w:t>plant.</w:t>
      </w:r>
      <w:r>
        <w:rPr>
          <w:i/>
          <w:spacing w:val="-9"/>
          <w:sz w:val="18"/>
        </w:rPr>
        <w:t> </w:t>
      </w:r>
      <w:r>
        <w:rPr>
          <w:sz w:val="18"/>
        </w:rPr>
        <w:t>Report</w:t>
      </w:r>
      <w:r>
        <w:rPr>
          <w:spacing w:val="-8"/>
          <w:sz w:val="18"/>
        </w:rPr>
        <w:t> </w:t>
      </w:r>
      <w:r>
        <w:rPr>
          <w:sz w:val="18"/>
        </w:rPr>
        <w:t>no.</w:t>
      </w:r>
      <w:r>
        <w:rPr>
          <w:spacing w:val="-8"/>
          <w:sz w:val="18"/>
        </w:rPr>
        <w:t> </w:t>
      </w:r>
      <w:r>
        <w:rPr>
          <w:spacing w:val="-3"/>
          <w:sz w:val="18"/>
        </w:rPr>
        <w:t>PPL-01-CT-09</w:t>
      </w:r>
      <w:r>
        <w:rPr>
          <w:spacing w:val="-8"/>
          <w:sz w:val="18"/>
        </w:rPr>
        <w:t> </w:t>
      </w:r>
      <w:r>
        <w:rPr>
          <w:sz w:val="18"/>
        </w:rPr>
        <w:t>to</w:t>
      </w:r>
      <w:r>
        <w:rPr>
          <w:spacing w:val="-9"/>
          <w:sz w:val="18"/>
        </w:rPr>
        <w:t> </w:t>
      </w:r>
      <w:r>
        <w:rPr>
          <w:sz w:val="18"/>
        </w:rPr>
        <w:t>Ohio</w:t>
      </w:r>
    </w:p>
    <w:p>
      <w:pPr>
        <w:spacing w:line="278" w:lineRule="auto" w:before="32"/>
        <w:ind w:left="581" w:right="117" w:firstLine="0"/>
        <w:jc w:val="both"/>
        <w:rPr>
          <w:sz w:val="18"/>
        </w:rPr>
      </w:pPr>
      <w:r>
        <w:rPr>
          <w:sz w:val="18"/>
        </w:rPr>
        <w:t>Department</w:t>
      </w:r>
      <w:r>
        <w:rPr>
          <w:spacing w:val="-7"/>
          <w:sz w:val="18"/>
        </w:rPr>
        <w:t> </w:t>
      </w:r>
      <w:r>
        <w:rPr>
          <w:sz w:val="18"/>
        </w:rPr>
        <w:t>of</w:t>
      </w:r>
      <w:r>
        <w:rPr>
          <w:spacing w:val="-6"/>
          <w:sz w:val="18"/>
        </w:rPr>
        <w:t> </w:t>
      </w:r>
      <w:r>
        <w:rPr>
          <w:sz w:val="18"/>
        </w:rPr>
        <w:t>Development,</w:t>
      </w:r>
      <w:r>
        <w:rPr>
          <w:spacing w:val="-6"/>
          <w:sz w:val="18"/>
        </w:rPr>
        <w:t> </w:t>
      </w:r>
      <w:r>
        <w:rPr>
          <w:sz w:val="18"/>
        </w:rPr>
        <w:t>Columbus,</w:t>
      </w:r>
      <w:r>
        <w:rPr>
          <w:spacing w:val="-6"/>
          <w:sz w:val="18"/>
        </w:rPr>
        <w:t> </w:t>
      </w:r>
      <w:r>
        <w:rPr>
          <w:sz w:val="18"/>
        </w:rPr>
        <w:t>OH</w:t>
      </w:r>
      <w:r>
        <w:rPr>
          <w:spacing w:val="-6"/>
          <w:sz w:val="18"/>
        </w:rPr>
        <w:t> </w:t>
      </w:r>
      <w:r>
        <w:rPr>
          <w:sz w:val="18"/>
        </w:rPr>
        <w:t>and</w:t>
      </w:r>
      <w:r>
        <w:rPr>
          <w:spacing w:val="-6"/>
          <w:sz w:val="18"/>
        </w:rPr>
        <w:t> </w:t>
      </w:r>
      <w:r>
        <w:rPr>
          <w:sz w:val="18"/>
        </w:rPr>
        <w:t>US</w:t>
      </w:r>
      <w:r>
        <w:rPr>
          <w:spacing w:val="-6"/>
          <w:sz w:val="18"/>
        </w:rPr>
        <w:t> </w:t>
      </w:r>
      <w:r>
        <w:rPr>
          <w:sz w:val="18"/>
        </w:rPr>
        <w:t>Department of Energy/NETL, Pittsburgh,</w:t>
      </w:r>
      <w:r>
        <w:rPr>
          <w:spacing w:val="-1"/>
          <w:sz w:val="18"/>
        </w:rPr>
        <w:t> </w:t>
      </w:r>
      <w:r>
        <w:rPr>
          <w:spacing w:val="-7"/>
          <w:sz w:val="18"/>
        </w:rPr>
        <w:t>PA.</w:t>
      </w:r>
    </w:p>
    <w:p>
      <w:pPr>
        <w:spacing w:line="278" w:lineRule="auto" w:before="0"/>
        <w:ind w:left="581" w:right="115" w:hanging="341"/>
        <w:jc w:val="both"/>
        <w:rPr>
          <w:sz w:val="18"/>
        </w:rPr>
      </w:pPr>
      <w:r>
        <w:rPr>
          <w:b/>
          <w:sz w:val="18"/>
        </w:rPr>
        <w:t>American institute of Chemical Engineers, </w:t>
      </w:r>
      <w:r>
        <w:rPr>
          <w:sz w:val="18"/>
        </w:rPr>
        <w:t>1995: Centre for Chemical Process Safety. Guidelines for Technical Planning for On-site Emergencies </w:t>
      </w:r>
      <w:r>
        <w:rPr>
          <w:i/>
          <w:sz w:val="18"/>
        </w:rPr>
        <w:t>Wiley</w:t>
      </w:r>
      <w:r>
        <w:rPr>
          <w:sz w:val="18"/>
        </w:rPr>
        <w:t>, New York.</w:t>
      </w:r>
    </w:p>
    <w:p>
      <w:pPr>
        <w:spacing w:line="278" w:lineRule="auto" w:before="0"/>
        <w:ind w:left="581" w:right="115" w:hanging="341"/>
        <w:jc w:val="both"/>
        <w:rPr>
          <w:sz w:val="18"/>
        </w:rPr>
      </w:pPr>
      <w:r>
        <w:rPr>
          <w:b/>
          <w:sz w:val="18"/>
        </w:rPr>
        <w:t>Anderson, </w:t>
      </w:r>
      <w:r>
        <w:rPr>
          <w:sz w:val="18"/>
        </w:rPr>
        <w:t>R., H. Brandt, S. Doyle, K. Pronske, and </w:t>
      </w:r>
      <w:r>
        <w:rPr>
          <w:spacing w:val="-8"/>
          <w:sz w:val="18"/>
        </w:rPr>
        <w:t>F. </w:t>
      </w:r>
      <w:r>
        <w:rPr>
          <w:sz w:val="18"/>
        </w:rPr>
        <w:t>Viteri, 2003: Power generation with 100% carbon capture and sequestration. Second</w:t>
      </w:r>
      <w:r>
        <w:rPr>
          <w:spacing w:val="-18"/>
          <w:sz w:val="18"/>
        </w:rPr>
        <w:t> </w:t>
      </w:r>
      <w:r>
        <w:rPr>
          <w:sz w:val="18"/>
        </w:rPr>
        <w:t>Annual</w:t>
      </w:r>
      <w:r>
        <w:rPr>
          <w:spacing w:val="-8"/>
          <w:sz w:val="18"/>
        </w:rPr>
        <w:t> </w:t>
      </w:r>
      <w:r>
        <w:rPr>
          <w:sz w:val="18"/>
        </w:rPr>
        <w:t>Conference</w:t>
      </w:r>
      <w:r>
        <w:rPr>
          <w:spacing w:val="-8"/>
          <w:sz w:val="18"/>
        </w:rPr>
        <w:t> </w:t>
      </w:r>
      <w:r>
        <w:rPr>
          <w:sz w:val="18"/>
        </w:rPr>
        <w:t>on</w:t>
      </w:r>
      <w:r>
        <w:rPr>
          <w:spacing w:val="-8"/>
          <w:sz w:val="18"/>
        </w:rPr>
        <w:t> </w:t>
      </w:r>
      <w:r>
        <w:rPr>
          <w:sz w:val="18"/>
        </w:rPr>
        <w:t>Carbon</w:t>
      </w:r>
      <w:r>
        <w:rPr>
          <w:spacing w:val="-9"/>
          <w:sz w:val="18"/>
        </w:rPr>
        <w:t> </w:t>
      </w:r>
      <w:r>
        <w:rPr>
          <w:sz w:val="18"/>
        </w:rPr>
        <w:t>Sequestration,</w:t>
      </w:r>
      <w:r>
        <w:rPr>
          <w:spacing w:val="-17"/>
          <w:sz w:val="18"/>
        </w:rPr>
        <w:t> </w:t>
      </w:r>
      <w:r>
        <w:rPr>
          <w:sz w:val="18"/>
        </w:rPr>
        <w:t>Alexandria, </w:t>
      </w:r>
      <w:r>
        <w:rPr>
          <w:spacing w:val="-9"/>
          <w:sz w:val="18"/>
        </w:rPr>
        <w:t>VA.</w:t>
      </w:r>
    </w:p>
    <w:p>
      <w:pPr>
        <w:spacing w:line="278" w:lineRule="auto" w:before="0"/>
        <w:ind w:left="581" w:right="115" w:hanging="341"/>
        <w:jc w:val="both"/>
        <w:rPr>
          <w:sz w:val="18"/>
        </w:rPr>
      </w:pPr>
      <w:r>
        <w:rPr>
          <w:b/>
          <w:sz w:val="18"/>
        </w:rPr>
        <w:t>Apple, </w:t>
      </w:r>
      <w:r>
        <w:rPr>
          <w:sz w:val="18"/>
        </w:rPr>
        <w:t>M. 1997: Ammonia. Methanol. Hydrogen. Carbon Monoxide. Modern Production Technologies. A Review. Published by </w:t>
      </w:r>
      <w:r>
        <w:rPr>
          <w:i/>
          <w:sz w:val="18"/>
        </w:rPr>
        <w:t>Nitrogen - The Journal of the World Nitrogen and Methanol </w:t>
      </w:r>
      <w:r>
        <w:rPr>
          <w:i/>
          <w:sz w:val="18"/>
        </w:rPr>
        <w:t>Industries. </w:t>
      </w:r>
      <w:r>
        <w:rPr>
          <w:sz w:val="18"/>
        </w:rPr>
        <w:t>CRU Publishing Ltd.</w:t>
      </w:r>
    </w:p>
    <w:p>
      <w:pPr>
        <w:spacing w:line="278" w:lineRule="auto" w:before="0"/>
        <w:ind w:left="581" w:right="114" w:hanging="341"/>
        <w:jc w:val="both"/>
        <w:rPr>
          <w:sz w:val="18"/>
        </w:rPr>
      </w:pPr>
      <w:r>
        <w:rPr>
          <w:b/>
          <w:sz w:val="18"/>
        </w:rPr>
        <w:t>Aresta,</w:t>
      </w:r>
      <w:r>
        <w:rPr>
          <w:b/>
          <w:spacing w:val="-16"/>
          <w:sz w:val="18"/>
        </w:rPr>
        <w:t> </w:t>
      </w:r>
      <w:r>
        <w:rPr>
          <w:sz w:val="18"/>
        </w:rPr>
        <w:t>M.A.</w:t>
      </w:r>
      <w:r>
        <w:rPr>
          <w:spacing w:val="-16"/>
          <w:sz w:val="18"/>
        </w:rPr>
        <w:t> </w:t>
      </w:r>
      <w:r>
        <w:rPr>
          <w:sz w:val="18"/>
        </w:rPr>
        <w:t>and</w:t>
      </w:r>
      <w:r>
        <w:rPr>
          <w:spacing w:val="-25"/>
          <w:sz w:val="18"/>
        </w:rPr>
        <w:t> </w:t>
      </w:r>
      <w:r>
        <w:rPr>
          <w:sz w:val="18"/>
        </w:rPr>
        <w:t>A.</w:t>
      </w:r>
      <w:r>
        <w:rPr>
          <w:spacing w:val="-15"/>
          <w:sz w:val="18"/>
        </w:rPr>
        <w:t> </w:t>
      </w:r>
      <w:r>
        <w:rPr>
          <w:sz w:val="18"/>
        </w:rPr>
        <w:t>Dibenedetto,</w:t>
      </w:r>
      <w:r>
        <w:rPr>
          <w:spacing w:val="-17"/>
          <w:sz w:val="18"/>
        </w:rPr>
        <w:t> </w:t>
      </w:r>
      <w:r>
        <w:rPr>
          <w:sz w:val="18"/>
        </w:rPr>
        <w:t>2003:</w:t>
      </w:r>
      <w:r>
        <w:rPr>
          <w:spacing w:val="-15"/>
          <w:sz w:val="18"/>
        </w:rPr>
        <w:t> </w:t>
      </w:r>
      <w:r>
        <w:rPr>
          <w:sz w:val="18"/>
        </w:rPr>
        <w:t>New</w:t>
      </w:r>
      <w:r>
        <w:rPr>
          <w:spacing w:val="-25"/>
          <w:sz w:val="18"/>
        </w:rPr>
        <w:t> </w:t>
      </w:r>
      <w:r>
        <w:rPr>
          <w:sz w:val="18"/>
        </w:rPr>
        <w:t>Amines</w:t>
      </w:r>
      <w:r>
        <w:rPr>
          <w:spacing w:val="-16"/>
          <w:sz w:val="18"/>
        </w:rPr>
        <w:t> </w:t>
      </w:r>
      <w:r>
        <w:rPr>
          <w:sz w:val="18"/>
        </w:rPr>
        <w:t>for</w:t>
      </w:r>
      <w:r>
        <w:rPr>
          <w:spacing w:val="-15"/>
          <w:sz w:val="18"/>
        </w:rPr>
        <w:t> </w:t>
      </w:r>
      <w:r>
        <w:rPr>
          <w:sz w:val="18"/>
        </w:rPr>
        <w:t>the</w:t>
      </w:r>
      <w:r>
        <w:rPr>
          <w:spacing w:val="-16"/>
          <w:sz w:val="18"/>
        </w:rPr>
        <w:t> </w:t>
      </w:r>
      <w:r>
        <w:rPr>
          <w:sz w:val="18"/>
        </w:rPr>
        <w:t>reversible absorption of carbon dioxide from gas mixtures</w:t>
      </w:r>
      <w:r>
        <w:rPr>
          <w:i/>
          <w:sz w:val="18"/>
        </w:rPr>
        <w:t>. Greenhouse </w:t>
      </w:r>
      <w:r>
        <w:rPr>
          <w:i/>
          <w:sz w:val="18"/>
        </w:rPr>
        <w:t>Gas Control Technologies</w:t>
      </w:r>
      <w:r>
        <w:rPr>
          <w:sz w:val="18"/>
        </w:rPr>
        <w:t>, Proceedings of the 6th International Conference</w:t>
      </w:r>
      <w:r>
        <w:rPr>
          <w:spacing w:val="-11"/>
          <w:sz w:val="18"/>
        </w:rPr>
        <w:t> </w:t>
      </w:r>
      <w:r>
        <w:rPr>
          <w:sz w:val="18"/>
        </w:rPr>
        <w:t>on</w:t>
      </w:r>
      <w:r>
        <w:rPr>
          <w:spacing w:val="-10"/>
          <w:sz w:val="18"/>
        </w:rPr>
        <w:t> </w:t>
      </w:r>
      <w:r>
        <w:rPr>
          <w:sz w:val="18"/>
        </w:rPr>
        <w:t>Greenhouse</w:t>
      </w:r>
      <w:r>
        <w:rPr>
          <w:spacing w:val="-11"/>
          <w:sz w:val="18"/>
        </w:rPr>
        <w:t> </w:t>
      </w:r>
      <w:r>
        <w:rPr>
          <w:sz w:val="18"/>
        </w:rPr>
        <w:t>Gas</w:t>
      </w:r>
      <w:r>
        <w:rPr>
          <w:spacing w:val="-10"/>
          <w:sz w:val="18"/>
        </w:rPr>
        <w:t> </w:t>
      </w:r>
      <w:r>
        <w:rPr>
          <w:sz w:val="18"/>
        </w:rPr>
        <w:t>Control</w:t>
      </w:r>
      <w:r>
        <w:rPr>
          <w:spacing w:val="-13"/>
          <w:sz w:val="18"/>
        </w:rPr>
        <w:t> </w:t>
      </w:r>
      <w:r>
        <w:rPr>
          <w:sz w:val="18"/>
        </w:rPr>
        <w:t>Technologies</w:t>
      </w:r>
      <w:r>
        <w:rPr>
          <w:spacing w:val="-10"/>
          <w:sz w:val="18"/>
        </w:rPr>
        <w:t> </w:t>
      </w:r>
      <w:r>
        <w:rPr>
          <w:sz w:val="18"/>
        </w:rPr>
        <w:t>(GHGT-6), 1-4 Oct. 2002, Kyoto, Japan, J. Gale and </w:t>
      </w:r>
      <w:r>
        <w:rPr>
          <w:spacing w:val="-12"/>
          <w:sz w:val="18"/>
        </w:rPr>
        <w:t>Y. </w:t>
      </w:r>
      <w:r>
        <w:rPr>
          <w:sz w:val="18"/>
        </w:rPr>
        <w:t>Kaya (eds.), Elsevier Science Ltd, Oxford, UK.</w:t>
      </w:r>
      <w:r>
        <w:rPr>
          <w:spacing w:val="-5"/>
          <w:sz w:val="18"/>
        </w:rPr>
        <w:t> </w:t>
      </w:r>
      <w:r>
        <w:rPr>
          <w:sz w:val="18"/>
        </w:rPr>
        <w:t>1599-1602.</w:t>
      </w:r>
    </w:p>
    <w:p>
      <w:pPr>
        <w:spacing w:line="278" w:lineRule="auto" w:before="0"/>
        <w:ind w:left="581" w:right="114" w:hanging="341"/>
        <w:jc w:val="both"/>
        <w:rPr>
          <w:sz w:val="18"/>
        </w:rPr>
      </w:pPr>
      <w:r>
        <w:rPr>
          <w:b/>
          <w:sz w:val="18"/>
        </w:rPr>
        <w:t>Armstrong, </w:t>
      </w:r>
      <w:r>
        <w:rPr>
          <w:spacing w:val="-4"/>
          <w:sz w:val="18"/>
        </w:rPr>
        <w:t>P.A., </w:t>
      </w:r>
      <w:r>
        <w:rPr>
          <w:sz w:val="18"/>
        </w:rPr>
        <w:t>D.L. Bennett, </w:t>
      </w:r>
      <w:r>
        <w:rPr>
          <w:spacing w:val="-5"/>
          <w:sz w:val="18"/>
        </w:rPr>
        <w:t>E.P. </w:t>
      </w:r>
      <w:r>
        <w:rPr>
          <w:sz w:val="18"/>
        </w:rPr>
        <w:t>Foster, and </w:t>
      </w:r>
      <w:r>
        <w:rPr>
          <w:spacing w:val="-6"/>
          <w:sz w:val="18"/>
        </w:rPr>
        <w:t>V.E. </w:t>
      </w:r>
      <w:r>
        <w:rPr>
          <w:sz w:val="18"/>
        </w:rPr>
        <w:t>Stein, 2002: Ceramic</w:t>
      </w:r>
      <w:r>
        <w:rPr>
          <w:spacing w:val="-17"/>
          <w:sz w:val="18"/>
        </w:rPr>
        <w:t> </w:t>
      </w:r>
      <w:r>
        <w:rPr>
          <w:sz w:val="18"/>
        </w:rPr>
        <w:t>membrane</w:t>
      </w:r>
      <w:r>
        <w:rPr>
          <w:spacing w:val="-17"/>
          <w:sz w:val="18"/>
        </w:rPr>
        <w:t> </w:t>
      </w:r>
      <w:r>
        <w:rPr>
          <w:sz w:val="18"/>
        </w:rPr>
        <w:t>development</w:t>
      </w:r>
      <w:r>
        <w:rPr>
          <w:spacing w:val="-18"/>
          <w:sz w:val="18"/>
        </w:rPr>
        <w:t> </w:t>
      </w:r>
      <w:r>
        <w:rPr>
          <w:sz w:val="18"/>
        </w:rPr>
        <w:t>for</w:t>
      </w:r>
      <w:r>
        <w:rPr>
          <w:spacing w:val="-17"/>
          <w:sz w:val="18"/>
        </w:rPr>
        <w:t> </w:t>
      </w:r>
      <w:r>
        <w:rPr>
          <w:sz w:val="18"/>
        </w:rPr>
        <w:t>oxygen</w:t>
      </w:r>
      <w:r>
        <w:rPr>
          <w:spacing w:val="-17"/>
          <w:sz w:val="18"/>
        </w:rPr>
        <w:t> </w:t>
      </w:r>
      <w:r>
        <w:rPr>
          <w:sz w:val="18"/>
        </w:rPr>
        <w:t>supply</w:t>
      </w:r>
      <w:r>
        <w:rPr>
          <w:spacing w:val="-17"/>
          <w:sz w:val="18"/>
        </w:rPr>
        <w:t> </w:t>
      </w:r>
      <w:r>
        <w:rPr>
          <w:sz w:val="18"/>
        </w:rPr>
        <w:t>to</w:t>
      </w:r>
      <w:r>
        <w:rPr>
          <w:spacing w:val="-17"/>
          <w:sz w:val="18"/>
        </w:rPr>
        <w:t> </w:t>
      </w:r>
      <w:r>
        <w:rPr>
          <w:sz w:val="18"/>
        </w:rPr>
        <w:t>gasification applications. Proceedings of the Gasification Technologies Conference, San Francisco, CA,</w:t>
      </w:r>
      <w:r>
        <w:rPr>
          <w:spacing w:val="-4"/>
          <w:sz w:val="18"/>
        </w:rPr>
        <w:t> </w:t>
      </w:r>
      <w:r>
        <w:rPr>
          <w:sz w:val="18"/>
        </w:rPr>
        <w:t>USA.</w:t>
      </w:r>
    </w:p>
    <w:p>
      <w:pPr>
        <w:spacing w:line="244" w:lineRule="exact" w:before="0"/>
        <w:ind w:left="241" w:right="0" w:firstLine="0"/>
        <w:jc w:val="left"/>
        <w:rPr>
          <w:sz w:val="18"/>
        </w:rPr>
      </w:pPr>
      <w:r>
        <w:rPr>
          <w:b/>
          <w:sz w:val="18"/>
        </w:rPr>
        <w:t>Arnold, </w:t>
      </w:r>
      <w:r>
        <w:rPr>
          <w:sz w:val="18"/>
        </w:rPr>
        <w:t>D.S., D.A. Barrett and R.H. Isom, 1982: CO</w:t>
      </w:r>
      <w:r>
        <w:rPr>
          <w:position w:val="-5"/>
          <w:sz w:val="10"/>
        </w:rPr>
        <w:t>2 </w:t>
      </w:r>
      <w:r>
        <w:rPr>
          <w:sz w:val="18"/>
        </w:rPr>
        <w:t>can be produced</w:t>
      </w:r>
    </w:p>
    <w:p>
      <w:pPr>
        <w:spacing w:line="202" w:lineRule="exact" w:before="0"/>
        <w:ind w:left="581" w:right="0" w:firstLine="0"/>
        <w:jc w:val="both"/>
        <w:rPr>
          <w:sz w:val="18"/>
        </w:rPr>
      </w:pPr>
      <w:r>
        <w:rPr>
          <w:sz w:val="18"/>
        </w:rPr>
        <w:t>from flue gas. </w:t>
      </w:r>
      <w:r>
        <w:rPr>
          <w:i/>
          <w:sz w:val="18"/>
        </w:rPr>
        <w:t>Oil &amp; Gas Journal</w:t>
      </w:r>
      <w:r>
        <w:rPr>
          <w:sz w:val="18"/>
        </w:rPr>
        <w:t>, November, 130-136.</w:t>
      </w:r>
    </w:p>
    <w:p>
      <w:pPr>
        <w:spacing w:line="240" w:lineRule="exact" w:before="7"/>
        <w:ind w:left="581" w:right="115" w:hanging="341"/>
        <w:jc w:val="both"/>
        <w:rPr>
          <w:sz w:val="18"/>
        </w:rPr>
      </w:pPr>
      <w:r>
        <w:rPr>
          <w:b/>
          <w:sz w:val="18"/>
        </w:rPr>
        <w:t>Aroonwilas, </w:t>
      </w:r>
      <w:r>
        <w:rPr>
          <w:sz w:val="18"/>
        </w:rPr>
        <w:t>A., A. Chakma, </w:t>
      </w:r>
      <w:r>
        <w:rPr>
          <w:spacing w:val="-10"/>
          <w:sz w:val="18"/>
        </w:rPr>
        <w:t>P. </w:t>
      </w:r>
      <w:r>
        <w:rPr>
          <w:sz w:val="18"/>
        </w:rPr>
        <w:t>Tontiwachwuthikul,  and  A.  </w:t>
      </w:r>
      <w:r>
        <w:rPr>
          <w:spacing w:val="-3"/>
          <w:sz w:val="18"/>
        </w:rPr>
        <w:t>Veawab, </w:t>
      </w:r>
      <w:r>
        <w:rPr>
          <w:sz w:val="18"/>
        </w:rPr>
        <w:t>2003: Mathematical Modeling of Mass-Transfer and Hydrodynamics in CO</w:t>
      </w:r>
      <w:r>
        <w:rPr>
          <w:position w:val="-5"/>
          <w:sz w:val="10"/>
        </w:rPr>
        <w:t>2 </w:t>
      </w:r>
      <w:r>
        <w:rPr>
          <w:sz w:val="18"/>
        </w:rPr>
        <w:t>Absorbers Packed with Structured Packings, </w:t>
      </w:r>
      <w:r>
        <w:rPr>
          <w:i/>
          <w:sz w:val="18"/>
        </w:rPr>
        <w:t>Chemical Engineering Science, </w:t>
      </w:r>
      <w:r>
        <w:rPr>
          <w:b/>
          <w:sz w:val="18"/>
        </w:rPr>
        <w:t>58</w:t>
      </w:r>
      <w:r>
        <w:rPr>
          <w:sz w:val="18"/>
        </w:rPr>
        <w:t>,</w:t>
      </w:r>
      <w:r>
        <w:rPr>
          <w:spacing w:val="-4"/>
          <w:sz w:val="18"/>
        </w:rPr>
        <w:t> </w:t>
      </w:r>
      <w:r>
        <w:rPr>
          <w:sz w:val="18"/>
        </w:rPr>
        <w:t>4037-4053.</w:t>
      </w:r>
    </w:p>
    <w:p>
      <w:pPr>
        <w:spacing w:after="0" w:line="240" w:lineRule="exact"/>
        <w:jc w:val="both"/>
        <w:rPr>
          <w:sz w:val="18"/>
        </w:rPr>
        <w:sectPr>
          <w:headerReference w:type="default" r:id="rId221"/>
          <w:headerReference w:type="even" r:id="rId222"/>
          <w:pgSz w:w="12240" w:h="15840"/>
          <w:pgMar w:header="567" w:footer="0" w:top="1120" w:bottom="280" w:left="620" w:right="620"/>
          <w:pgNumType w:start="171"/>
          <w:cols w:num="2" w:equalWidth="0">
            <w:col w:w="5559" w:space="40"/>
            <w:col w:w="5401"/>
          </w:cols>
        </w:sectPr>
      </w:pPr>
    </w:p>
    <w:p>
      <w:pPr>
        <w:spacing w:line="278" w:lineRule="auto" w:before="148"/>
        <w:ind w:left="457" w:right="38" w:hanging="341"/>
        <w:jc w:val="both"/>
        <w:rPr>
          <w:sz w:val="18"/>
        </w:rPr>
      </w:pPr>
      <w:r>
        <w:rPr>
          <w:b/>
          <w:sz w:val="18"/>
        </w:rPr>
        <w:t>Astarita, </w:t>
      </w:r>
      <w:r>
        <w:rPr>
          <w:sz w:val="18"/>
        </w:rPr>
        <w:t>G., </w:t>
      </w:r>
      <w:r>
        <w:rPr>
          <w:spacing w:val="-5"/>
          <w:sz w:val="18"/>
        </w:rPr>
        <w:t>D.W. </w:t>
      </w:r>
      <w:r>
        <w:rPr>
          <w:sz w:val="18"/>
        </w:rPr>
        <w:t>Savage, and A. Bisio, 1983: Gas Treating with Chemical</w:t>
      </w:r>
      <w:r>
        <w:rPr>
          <w:spacing w:val="-13"/>
          <w:sz w:val="18"/>
        </w:rPr>
        <w:t> </w:t>
      </w:r>
      <w:r>
        <w:rPr>
          <w:sz w:val="18"/>
        </w:rPr>
        <w:t>Solvents,</w:t>
      </w:r>
      <w:r>
        <w:rPr>
          <w:spacing w:val="-13"/>
          <w:sz w:val="18"/>
        </w:rPr>
        <w:t> </w:t>
      </w:r>
      <w:r>
        <w:rPr>
          <w:sz w:val="18"/>
        </w:rPr>
        <w:t>Chapter</w:t>
      </w:r>
      <w:r>
        <w:rPr>
          <w:spacing w:val="-12"/>
          <w:sz w:val="18"/>
        </w:rPr>
        <w:t> </w:t>
      </w:r>
      <w:r>
        <w:rPr>
          <w:sz w:val="18"/>
        </w:rPr>
        <w:t>9</w:t>
      </w:r>
      <w:r>
        <w:rPr>
          <w:spacing w:val="-12"/>
          <w:sz w:val="18"/>
        </w:rPr>
        <w:t> </w:t>
      </w:r>
      <w:r>
        <w:rPr>
          <w:sz w:val="18"/>
        </w:rPr>
        <w:t>Removal</w:t>
      </w:r>
      <w:r>
        <w:rPr>
          <w:spacing w:val="-13"/>
          <w:sz w:val="18"/>
        </w:rPr>
        <w:t> </w:t>
      </w:r>
      <w:r>
        <w:rPr>
          <w:sz w:val="18"/>
        </w:rPr>
        <w:t>of</w:t>
      </w:r>
      <w:r>
        <w:rPr>
          <w:spacing w:val="-12"/>
          <w:sz w:val="18"/>
        </w:rPr>
        <w:t> </w:t>
      </w:r>
      <w:r>
        <w:rPr>
          <w:sz w:val="18"/>
        </w:rPr>
        <w:t>Carbon</w:t>
      </w:r>
      <w:r>
        <w:rPr>
          <w:spacing w:val="-12"/>
          <w:sz w:val="18"/>
        </w:rPr>
        <w:t> </w:t>
      </w:r>
      <w:r>
        <w:rPr>
          <w:sz w:val="18"/>
        </w:rPr>
        <w:t>Dioxide.</w:t>
      </w:r>
      <w:r>
        <w:rPr>
          <w:spacing w:val="-11"/>
          <w:sz w:val="18"/>
        </w:rPr>
        <w:t> </w:t>
      </w:r>
      <w:r>
        <w:rPr>
          <w:i/>
          <w:sz w:val="18"/>
        </w:rPr>
        <w:t>Wiley</w:t>
      </w:r>
      <w:r>
        <w:rPr>
          <w:sz w:val="18"/>
        </w:rPr>
        <w:t>, New</w:t>
      </w:r>
      <w:r>
        <w:rPr>
          <w:spacing w:val="-7"/>
          <w:sz w:val="18"/>
        </w:rPr>
        <w:t> </w:t>
      </w:r>
      <w:r>
        <w:rPr>
          <w:spacing w:val="-4"/>
          <w:sz w:val="18"/>
        </w:rPr>
        <w:t>York.</w:t>
      </w:r>
    </w:p>
    <w:p>
      <w:pPr>
        <w:spacing w:line="207" w:lineRule="exact" w:before="0"/>
        <w:ind w:left="117" w:right="0" w:firstLine="0"/>
        <w:jc w:val="both"/>
        <w:rPr>
          <w:sz w:val="18"/>
        </w:rPr>
      </w:pPr>
      <w:r>
        <w:rPr>
          <w:b/>
          <w:sz w:val="18"/>
        </w:rPr>
        <w:t>Audus,</w:t>
      </w:r>
      <w:r>
        <w:rPr>
          <w:b/>
          <w:spacing w:val="-9"/>
          <w:sz w:val="18"/>
        </w:rPr>
        <w:t> </w:t>
      </w:r>
      <w:r>
        <w:rPr>
          <w:sz w:val="18"/>
        </w:rPr>
        <w:t>H.</w:t>
      </w:r>
      <w:r>
        <w:rPr>
          <w:spacing w:val="-8"/>
          <w:sz w:val="18"/>
        </w:rPr>
        <w:t> </w:t>
      </w:r>
      <w:r>
        <w:rPr>
          <w:sz w:val="18"/>
        </w:rPr>
        <w:t>and</w:t>
      </w:r>
      <w:r>
        <w:rPr>
          <w:spacing w:val="-8"/>
          <w:sz w:val="18"/>
        </w:rPr>
        <w:t> </w:t>
      </w:r>
      <w:r>
        <w:rPr>
          <w:spacing w:val="-10"/>
          <w:sz w:val="18"/>
        </w:rPr>
        <w:t>P.</w:t>
      </w:r>
      <w:r>
        <w:rPr>
          <w:spacing w:val="-8"/>
          <w:sz w:val="18"/>
        </w:rPr>
        <w:t> </w:t>
      </w:r>
      <w:r>
        <w:rPr>
          <w:sz w:val="18"/>
        </w:rPr>
        <w:t>Freund,</w:t>
      </w:r>
      <w:r>
        <w:rPr>
          <w:spacing w:val="-8"/>
          <w:sz w:val="18"/>
        </w:rPr>
        <w:t> </w:t>
      </w:r>
      <w:r>
        <w:rPr>
          <w:sz w:val="18"/>
        </w:rPr>
        <w:t>2005:</w:t>
      </w:r>
      <w:r>
        <w:rPr>
          <w:spacing w:val="-8"/>
          <w:sz w:val="18"/>
        </w:rPr>
        <w:t> </w:t>
      </w:r>
      <w:r>
        <w:rPr>
          <w:sz w:val="18"/>
        </w:rPr>
        <w:t>Climate</w:t>
      </w:r>
      <w:r>
        <w:rPr>
          <w:spacing w:val="-8"/>
          <w:sz w:val="18"/>
        </w:rPr>
        <w:t> </w:t>
      </w:r>
      <w:r>
        <w:rPr>
          <w:sz w:val="18"/>
        </w:rPr>
        <w:t>change</w:t>
      </w:r>
      <w:r>
        <w:rPr>
          <w:spacing w:val="-8"/>
          <w:sz w:val="18"/>
        </w:rPr>
        <w:t> </w:t>
      </w:r>
      <w:r>
        <w:rPr>
          <w:sz w:val="18"/>
        </w:rPr>
        <w:t>mitigation</w:t>
      </w:r>
      <w:r>
        <w:rPr>
          <w:spacing w:val="-8"/>
          <w:sz w:val="18"/>
        </w:rPr>
        <w:t> </w:t>
      </w:r>
      <w:r>
        <w:rPr>
          <w:sz w:val="18"/>
        </w:rPr>
        <w:t>by</w:t>
      </w:r>
      <w:r>
        <w:rPr>
          <w:spacing w:val="-8"/>
          <w:sz w:val="18"/>
        </w:rPr>
        <w:t> </w:t>
      </w:r>
      <w:r>
        <w:rPr>
          <w:sz w:val="18"/>
        </w:rPr>
        <w:t>biomass</w:t>
      </w:r>
    </w:p>
    <w:p>
      <w:pPr>
        <w:spacing w:line="240" w:lineRule="exact" w:before="9"/>
        <w:ind w:left="457" w:right="38" w:hanging="1"/>
        <w:jc w:val="both"/>
        <w:rPr>
          <w:sz w:val="18"/>
        </w:rPr>
      </w:pPr>
      <w:r>
        <w:rPr>
          <w:sz w:val="18"/>
        </w:rPr>
        <w:t>gasification combined with CO</w:t>
      </w:r>
      <w:r>
        <w:rPr>
          <w:position w:val="-5"/>
          <w:sz w:val="10"/>
        </w:rPr>
        <w:t>2 </w:t>
      </w:r>
      <w:r>
        <w:rPr>
          <w:sz w:val="18"/>
        </w:rPr>
        <w:t>capture and storage. Proceedings of 7</w:t>
      </w:r>
      <w:r>
        <w:rPr>
          <w:position w:val="6"/>
          <w:sz w:val="10"/>
        </w:rPr>
        <w:t>th </w:t>
      </w:r>
      <w:r>
        <w:rPr>
          <w:sz w:val="18"/>
        </w:rPr>
        <w:t>International Conference on Greenhouse Gas Control Technologies.</w:t>
      </w:r>
      <w:r>
        <w:rPr>
          <w:spacing w:val="-15"/>
          <w:sz w:val="18"/>
        </w:rPr>
        <w:t> </w:t>
      </w:r>
      <w:r>
        <w:rPr>
          <w:sz w:val="18"/>
        </w:rPr>
        <w:t>E.S.</w:t>
      </w:r>
      <w:r>
        <w:rPr>
          <w:spacing w:val="-14"/>
          <w:sz w:val="18"/>
        </w:rPr>
        <w:t> </w:t>
      </w:r>
      <w:r>
        <w:rPr>
          <w:sz w:val="18"/>
        </w:rPr>
        <w:t>Rubin,</w:t>
      </w:r>
      <w:r>
        <w:rPr>
          <w:spacing w:val="-14"/>
          <w:sz w:val="18"/>
        </w:rPr>
        <w:t> </w:t>
      </w:r>
      <w:r>
        <w:rPr>
          <w:spacing w:val="-5"/>
          <w:sz w:val="18"/>
        </w:rPr>
        <w:t>D.W.</w:t>
      </w:r>
      <w:r>
        <w:rPr>
          <w:spacing w:val="-14"/>
          <w:sz w:val="18"/>
        </w:rPr>
        <w:t> </w:t>
      </w:r>
      <w:r>
        <w:rPr>
          <w:sz w:val="18"/>
        </w:rPr>
        <w:t>Keith,</w:t>
      </w:r>
      <w:r>
        <w:rPr>
          <w:spacing w:val="-14"/>
          <w:sz w:val="18"/>
        </w:rPr>
        <w:t> </w:t>
      </w:r>
      <w:r>
        <w:rPr>
          <w:sz w:val="18"/>
        </w:rPr>
        <w:t>and</w:t>
      </w:r>
      <w:r>
        <w:rPr>
          <w:spacing w:val="-15"/>
          <w:sz w:val="18"/>
        </w:rPr>
        <w:t> </w:t>
      </w:r>
      <w:r>
        <w:rPr>
          <w:spacing w:val="-4"/>
          <w:sz w:val="18"/>
        </w:rPr>
        <w:t>C.F.</w:t>
      </w:r>
      <w:r>
        <w:rPr>
          <w:spacing w:val="-14"/>
          <w:sz w:val="18"/>
        </w:rPr>
        <w:t> </w:t>
      </w:r>
      <w:r>
        <w:rPr>
          <w:sz w:val="18"/>
        </w:rPr>
        <w:t>Gilboy</w:t>
      </w:r>
      <w:r>
        <w:rPr>
          <w:spacing w:val="-14"/>
          <w:sz w:val="18"/>
        </w:rPr>
        <w:t> </w:t>
      </w:r>
      <w:r>
        <w:rPr>
          <w:sz w:val="18"/>
        </w:rPr>
        <w:t>(eds.),</w:t>
      </w:r>
      <w:r>
        <w:rPr>
          <w:spacing w:val="-17"/>
          <w:sz w:val="18"/>
        </w:rPr>
        <w:t> </w:t>
      </w:r>
      <w:r>
        <w:rPr>
          <w:spacing w:val="-6"/>
          <w:sz w:val="18"/>
        </w:rPr>
        <w:t>Vol. </w:t>
      </w:r>
      <w:r>
        <w:rPr>
          <w:sz w:val="18"/>
        </w:rPr>
        <w:t>1:</w:t>
      </w:r>
      <w:r>
        <w:rPr>
          <w:spacing w:val="-6"/>
          <w:sz w:val="18"/>
        </w:rPr>
        <w:t> </w:t>
      </w:r>
      <w:r>
        <w:rPr>
          <w:sz w:val="18"/>
        </w:rPr>
        <w:t>Peer-Reviewed</w:t>
      </w:r>
      <w:r>
        <w:rPr>
          <w:spacing w:val="-6"/>
          <w:sz w:val="18"/>
        </w:rPr>
        <w:t> </w:t>
      </w:r>
      <w:r>
        <w:rPr>
          <w:sz w:val="18"/>
        </w:rPr>
        <w:t>Papers</w:t>
      </w:r>
      <w:r>
        <w:rPr>
          <w:spacing w:val="-6"/>
          <w:sz w:val="18"/>
        </w:rPr>
        <w:t> </w:t>
      </w:r>
      <w:r>
        <w:rPr>
          <w:sz w:val="18"/>
        </w:rPr>
        <w:t>and</w:t>
      </w:r>
      <w:r>
        <w:rPr>
          <w:spacing w:val="-5"/>
          <w:sz w:val="18"/>
        </w:rPr>
        <w:t> </w:t>
      </w:r>
      <w:r>
        <w:rPr>
          <w:sz w:val="18"/>
        </w:rPr>
        <w:t>Overviews,</w:t>
      </w:r>
      <w:r>
        <w:rPr>
          <w:spacing w:val="-6"/>
          <w:sz w:val="18"/>
        </w:rPr>
        <w:t> </w:t>
      </w:r>
      <w:r>
        <w:rPr>
          <w:sz w:val="18"/>
        </w:rPr>
        <w:t>E.S.</w:t>
      </w:r>
      <w:r>
        <w:rPr>
          <w:spacing w:val="-5"/>
          <w:sz w:val="18"/>
        </w:rPr>
        <w:t> </w:t>
      </w:r>
      <w:r>
        <w:rPr>
          <w:sz w:val="18"/>
        </w:rPr>
        <w:t>Rubin,</w:t>
      </w:r>
      <w:r>
        <w:rPr>
          <w:spacing w:val="-4"/>
          <w:sz w:val="18"/>
        </w:rPr>
        <w:t> </w:t>
      </w:r>
      <w:r>
        <w:rPr>
          <w:spacing w:val="-5"/>
          <w:sz w:val="18"/>
        </w:rPr>
        <w:t>D.W. </w:t>
      </w:r>
      <w:r>
        <w:rPr>
          <w:sz w:val="18"/>
        </w:rPr>
        <w:t>Keith and </w:t>
      </w:r>
      <w:r>
        <w:rPr>
          <w:spacing w:val="-4"/>
          <w:sz w:val="18"/>
        </w:rPr>
        <w:t>C.F. </w:t>
      </w:r>
      <w:r>
        <w:rPr>
          <w:sz w:val="18"/>
        </w:rPr>
        <w:t>Gilboy (eds.), Elsevier Science, Oxford, UK,</w:t>
      </w:r>
      <w:r>
        <w:rPr>
          <w:spacing w:val="-14"/>
          <w:sz w:val="18"/>
        </w:rPr>
        <w:t> </w:t>
      </w:r>
      <w:r>
        <w:rPr>
          <w:sz w:val="18"/>
        </w:rPr>
        <w:t>187-200.</w:t>
      </w:r>
    </w:p>
    <w:p>
      <w:pPr>
        <w:spacing w:line="240" w:lineRule="exact" w:before="0"/>
        <w:ind w:left="457" w:right="38" w:hanging="341"/>
        <w:jc w:val="both"/>
        <w:rPr>
          <w:sz w:val="18"/>
        </w:rPr>
      </w:pPr>
      <w:r>
        <w:rPr>
          <w:b/>
          <w:sz w:val="18"/>
        </w:rPr>
        <w:t>Babcock Energy Ltd, </w:t>
      </w:r>
      <w:r>
        <w:rPr>
          <w:sz w:val="18"/>
        </w:rPr>
        <w:t>Air Products Ltd, University of Naples and University</w:t>
      </w:r>
      <w:r>
        <w:rPr>
          <w:spacing w:val="-13"/>
          <w:sz w:val="18"/>
        </w:rPr>
        <w:t> </w:t>
      </w:r>
      <w:r>
        <w:rPr>
          <w:sz w:val="18"/>
        </w:rPr>
        <w:t>of</w:t>
      </w:r>
      <w:r>
        <w:rPr>
          <w:spacing w:val="-13"/>
          <w:sz w:val="18"/>
        </w:rPr>
        <w:t> </w:t>
      </w:r>
      <w:r>
        <w:rPr>
          <w:sz w:val="18"/>
        </w:rPr>
        <w:t>Ulster,</w:t>
      </w:r>
      <w:r>
        <w:rPr>
          <w:spacing w:val="-13"/>
          <w:sz w:val="18"/>
        </w:rPr>
        <w:t> </w:t>
      </w:r>
      <w:r>
        <w:rPr>
          <w:sz w:val="18"/>
        </w:rPr>
        <w:t>1995:</w:t>
      </w:r>
      <w:r>
        <w:rPr>
          <w:spacing w:val="-13"/>
          <w:sz w:val="18"/>
        </w:rPr>
        <w:t> </w:t>
      </w:r>
      <w:r>
        <w:rPr>
          <w:sz w:val="18"/>
        </w:rPr>
        <w:t>Pulverised</w:t>
      </w:r>
      <w:r>
        <w:rPr>
          <w:spacing w:val="-13"/>
          <w:sz w:val="18"/>
        </w:rPr>
        <w:t> </w:t>
      </w:r>
      <w:r>
        <w:rPr>
          <w:sz w:val="18"/>
        </w:rPr>
        <w:t>coal</w:t>
      </w:r>
      <w:r>
        <w:rPr>
          <w:spacing w:val="-13"/>
          <w:sz w:val="18"/>
        </w:rPr>
        <w:t> </w:t>
      </w:r>
      <w:r>
        <w:rPr>
          <w:sz w:val="18"/>
        </w:rPr>
        <w:t>combustion</w:t>
      </w:r>
      <w:r>
        <w:rPr>
          <w:spacing w:val="-13"/>
          <w:sz w:val="18"/>
        </w:rPr>
        <w:t> </w:t>
      </w:r>
      <w:r>
        <w:rPr>
          <w:sz w:val="18"/>
        </w:rPr>
        <w:t>system</w:t>
      </w:r>
      <w:r>
        <w:rPr>
          <w:spacing w:val="-13"/>
          <w:sz w:val="18"/>
        </w:rPr>
        <w:t> </w:t>
      </w:r>
      <w:r>
        <w:rPr>
          <w:sz w:val="18"/>
        </w:rPr>
        <w:t>for CO</w:t>
      </w:r>
      <w:r>
        <w:rPr>
          <w:position w:val="-5"/>
          <w:sz w:val="10"/>
        </w:rPr>
        <w:t>2 </w:t>
      </w:r>
      <w:r>
        <w:rPr>
          <w:sz w:val="18"/>
        </w:rPr>
        <w:t>capture. Final report 2.1.1, European Commission JOULE II Clean</w:t>
      </w:r>
      <w:r>
        <w:rPr>
          <w:spacing w:val="-13"/>
          <w:sz w:val="18"/>
        </w:rPr>
        <w:t> </w:t>
      </w:r>
      <w:r>
        <w:rPr>
          <w:sz w:val="18"/>
        </w:rPr>
        <w:t>Coal</w:t>
      </w:r>
      <w:r>
        <w:rPr>
          <w:spacing w:val="-16"/>
          <w:sz w:val="18"/>
        </w:rPr>
        <w:t> </w:t>
      </w:r>
      <w:r>
        <w:rPr>
          <w:sz w:val="18"/>
        </w:rPr>
        <w:t>Technology</w:t>
      </w:r>
      <w:r>
        <w:rPr>
          <w:spacing w:val="-12"/>
          <w:sz w:val="18"/>
        </w:rPr>
        <w:t> </w:t>
      </w:r>
      <w:r>
        <w:rPr>
          <w:sz w:val="18"/>
        </w:rPr>
        <w:t>Programme</w:t>
      </w:r>
      <w:r>
        <w:rPr>
          <w:spacing w:val="-13"/>
          <w:sz w:val="18"/>
        </w:rPr>
        <w:t> </w:t>
      </w:r>
      <w:r>
        <w:rPr>
          <w:sz w:val="18"/>
        </w:rPr>
        <w:t>-</w:t>
      </w:r>
      <w:r>
        <w:rPr>
          <w:spacing w:val="-12"/>
          <w:sz w:val="18"/>
        </w:rPr>
        <w:t> </w:t>
      </w:r>
      <w:r>
        <w:rPr>
          <w:sz w:val="18"/>
        </w:rPr>
        <w:t>Powdered</w:t>
      </w:r>
      <w:r>
        <w:rPr>
          <w:spacing w:val="-11"/>
          <w:sz w:val="18"/>
        </w:rPr>
        <w:t> </w:t>
      </w:r>
      <w:r>
        <w:rPr>
          <w:sz w:val="18"/>
        </w:rPr>
        <w:t>Coal</w:t>
      </w:r>
      <w:r>
        <w:rPr>
          <w:spacing w:val="-13"/>
          <w:sz w:val="18"/>
        </w:rPr>
        <w:t> </w:t>
      </w:r>
      <w:r>
        <w:rPr>
          <w:sz w:val="18"/>
        </w:rPr>
        <w:t>Combustion Project.</w:t>
      </w:r>
    </w:p>
    <w:p>
      <w:pPr>
        <w:spacing w:line="278" w:lineRule="auto" w:before="24"/>
        <w:ind w:left="457" w:right="38" w:hanging="341"/>
        <w:jc w:val="both"/>
        <w:rPr>
          <w:sz w:val="18"/>
        </w:rPr>
      </w:pPr>
      <w:r>
        <w:rPr>
          <w:b/>
          <w:sz w:val="18"/>
        </w:rPr>
        <w:t>Babovic, </w:t>
      </w:r>
      <w:r>
        <w:rPr>
          <w:sz w:val="18"/>
        </w:rPr>
        <w:t>M., A. Gough, </w:t>
      </w:r>
      <w:r>
        <w:rPr>
          <w:spacing w:val="-10"/>
          <w:sz w:val="18"/>
        </w:rPr>
        <w:t>P. </w:t>
      </w:r>
      <w:r>
        <w:rPr>
          <w:sz w:val="18"/>
        </w:rPr>
        <w:t>Leveson, and C. Ramshaw, 2001: Catalytic Plate Reactors for Endo- and Exothermic Reactions. 4th International Conference on Process Intensification for the Chemical Industry, Brugge, Belgium, 10-12</w:t>
      </w:r>
      <w:r>
        <w:rPr>
          <w:spacing w:val="-8"/>
          <w:sz w:val="18"/>
        </w:rPr>
        <w:t> </w:t>
      </w:r>
      <w:r>
        <w:rPr>
          <w:sz w:val="18"/>
        </w:rPr>
        <w:t>September.</w:t>
      </w:r>
    </w:p>
    <w:p>
      <w:pPr>
        <w:spacing w:line="278" w:lineRule="auto" w:before="0"/>
        <w:ind w:left="457" w:right="38" w:hanging="341"/>
        <w:jc w:val="both"/>
        <w:rPr>
          <w:sz w:val="18"/>
        </w:rPr>
      </w:pPr>
      <w:r>
        <w:rPr>
          <w:b/>
          <w:sz w:val="18"/>
        </w:rPr>
        <w:t>Bachu, </w:t>
      </w:r>
      <w:r>
        <w:rPr>
          <w:sz w:val="18"/>
        </w:rPr>
        <w:t>S., and </w:t>
      </w:r>
      <w:r>
        <w:rPr>
          <w:spacing w:val="-9"/>
          <w:sz w:val="18"/>
        </w:rPr>
        <w:t>W.  </w:t>
      </w:r>
      <w:r>
        <w:rPr>
          <w:sz w:val="18"/>
        </w:rPr>
        <w:t>Gunter, 2005: Overview of Acid Gas Injection    in </w:t>
      </w:r>
      <w:r>
        <w:rPr>
          <w:spacing w:val="-3"/>
          <w:sz w:val="18"/>
        </w:rPr>
        <w:t>Western </w:t>
      </w:r>
      <w:r>
        <w:rPr>
          <w:sz w:val="18"/>
        </w:rPr>
        <w:t>Canada. In E.S.Rubin, </w:t>
      </w:r>
      <w:r>
        <w:rPr>
          <w:spacing w:val="-5"/>
          <w:sz w:val="18"/>
        </w:rPr>
        <w:t>D.W. </w:t>
      </w:r>
      <w:r>
        <w:rPr>
          <w:sz w:val="18"/>
        </w:rPr>
        <w:t>Keith, and </w:t>
      </w:r>
      <w:r>
        <w:rPr>
          <w:spacing w:val="-4"/>
          <w:sz w:val="18"/>
        </w:rPr>
        <w:t>C.F. </w:t>
      </w:r>
      <w:r>
        <w:rPr>
          <w:sz w:val="18"/>
        </w:rPr>
        <w:t>Gilboy (eds.),</w:t>
      </w:r>
      <w:r>
        <w:rPr>
          <w:spacing w:val="-11"/>
          <w:sz w:val="18"/>
        </w:rPr>
        <w:t> </w:t>
      </w:r>
      <w:r>
        <w:rPr>
          <w:sz w:val="18"/>
        </w:rPr>
        <w:t>Proceedings</w:t>
      </w:r>
      <w:r>
        <w:rPr>
          <w:spacing w:val="-10"/>
          <w:sz w:val="18"/>
        </w:rPr>
        <w:t> </w:t>
      </w:r>
      <w:r>
        <w:rPr>
          <w:sz w:val="18"/>
        </w:rPr>
        <w:t>of</w:t>
      </w:r>
      <w:r>
        <w:rPr>
          <w:spacing w:val="-10"/>
          <w:sz w:val="18"/>
        </w:rPr>
        <w:t> </w:t>
      </w:r>
      <w:r>
        <w:rPr>
          <w:sz w:val="18"/>
        </w:rPr>
        <w:t>7</w:t>
      </w:r>
      <w:r>
        <w:rPr>
          <w:position w:val="6"/>
          <w:sz w:val="10"/>
        </w:rPr>
        <w:t>th</w:t>
      </w:r>
      <w:r>
        <w:rPr>
          <w:spacing w:val="10"/>
          <w:position w:val="6"/>
          <w:sz w:val="10"/>
        </w:rPr>
        <w:t> </w:t>
      </w:r>
      <w:r>
        <w:rPr>
          <w:sz w:val="18"/>
        </w:rPr>
        <w:t>International</w:t>
      </w:r>
      <w:r>
        <w:rPr>
          <w:spacing w:val="-10"/>
          <w:sz w:val="18"/>
        </w:rPr>
        <w:t> </w:t>
      </w:r>
      <w:r>
        <w:rPr>
          <w:sz w:val="18"/>
        </w:rPr>
        <w:t>Conference</w:t>
      </w:r>
      <w:r>
        <w:rPr>
          <w:spacing w:val="-10"/>
          <w:sz w:val="18"/>
        </w:rPr>
        <w:t> </w:t>
      </w:r>
      <w:r>
        <w:rPr>
          <w:sz w:val="18"/>
        </w:rPr>
        <w:t>on</w:t>
      </w:r>
      <w:r>
        <w:rPr>
          <w:spacing w:val="-10"/>
          <w:sz w:val="18"/>
        </w:rPr>
        <w:t> </w:t>
      </w:r>
      <w:r>
        <w:rPr>
          <w:sz w:val="18"/>
        </w:rPr>
        <w:t>Greenhouse Gas Control Technologies. </w:t>
      </w:r>
      <w:r>
        <w:rPr>
          <w:spacing w:val="-4"/>
          <w:sz w:val="18"/>
        </w:rPr>
        <w:t>Volume </w:t>
      </w:r>
      <w:r>
        <w:rPr>
          <w:sz w:val="18"/>
        </w:rPr>
        <w:t>I: Peer Reviewed Papers and Overviews, </w:t>
      </w:r>
      <w:r>
        <w:rPr>
          <w:i/>
          <w:sz w:val="18"/>
        </w:rPr>
        <w:t>Elsevier Science</w:t>
      </w:r>
      <w:r>
        <w:rPr>
          <w:sz w:val="18"/>
        </w:rPr>
        <w:t>, Oxford, UK,</w:t>
      </w:r>
      <w:r>
        <w:rPr>
          <w:spacing w:val="-6"/>
          <w:sz w:val="18"/>
        </w:rPr>
        <w:t> </w:t>
      </w:r>
      <w:r>
        <w:rPr>
          <w:sz w:val="18"/>
        </w:rPr>
        <w:t>443-448.</w:t>
      </w:r>
    </w:p>
    <w:p>
      <w:pPr>
        <w:spacing w:line="230" w:lineRule="auto" w:before="4"/>
        <w:ind w:left="457" w:right="39" w:hanging="341"/>
        <w:jc w:val="both"/>
        <w:rPr>
          <w:sz w:val="18"/>
        </w:rPr>
      </w:pPr>
      <w:r>
        <w:rPr>
          <w:b/>
          <w:sz w:val="18"/>
        </w:rPr>
        <w:t>Bai,</w:t>
      </w:r>
      <w:r>
        <w:rPr>
          <w:b/>
          <w:spacing w:val="-18"/>
          <w:sz w:val="18"/>
        </w:rPr>
        <w:t> </w:t>
      </w:r>
      <w:r>
        <w:rPr>
          <w:sz w:val="18"/>
        </w:rPr>
        <w:t>H.,</w:t>
      </w:r>
      <w:r>
        <w:rPr>
          <w:spacing w:val="-27"/>
          <w:sz w:val="18"/>
        </w:rPr>
        <w:t> </w:t>
      </w:r>
      <w:r>
        <w:rPr>
          <w:sz w:val="18"/>
        </w:rPr>
        <w:t>A.C.</w:t>
      </w:r>
      <w:r>
        <w:rPr>
          <w:spacing w:val="-25"/>
          <w:sz w:val="18"/>
        </w:rPr>
        <w:t> </w:t>
      </w:r>
      <w:r>
        <w:rPr>
          <w:spacing w:val="-5"/>
          <w:sz w:val="18"/>
        </w:rPr>
        <w:t>Yeh,</w:t>
      </w:r>
      <w:r>
        <w:rPr>
          <w:spacing w:val="-17"/>
          <w:sz w:val="18"/>
        </w:rPr>
        <w:t> </w:t>
      </w:r>
      <w:r>
        <w:rPr>
          <w:sz w:val="18"/>
        </w:rPr>
        <w:t>1997:</w:t>
      </w:r>
      <w:r>
        <w:rPr>
          <w:spacing w:val="-18"/>
          <w:sz w:val="18"/>
        </w:rPr>
        <w:t> </w:t>
      </w:r>
      <w:r>
        <w:rPr>
          <w:sz w:val="18"/>
        </w:rPr>
        <w:t>Removal</w:t>
      </w:r>
      <w:r>
        <w:rPr>
          <w:spacing w:val="-18"/>
          <w:sz w:val="18"/>
        </w:rPr>
        <w:t> </w:t>
      </w:r>
      <w:r>
        <w:rPr>
          <w:sz w:val="18"/>
        </w:rPr>
        <w:t>of</w:t>
      </w:r>
      <w:r>
        <w:rPr>
          <w:spacing w:val="-18"/>
          <w:sz w:val="18"/>
        </w:rPr>
        <w:t> </w:t>
      </w:r>
      <w:r>
        <w:rPr>
          <w:sz w:val="18"/>
        </w:rPr>
        <w:t>CO</w:t>
      </w:r>
      <w:r>
        <w:rPr>
          <w:position w:val="-5"/>
          <w:sz w:val="10"/>
        </w:rPr>
        <w:t>2</w:t>
      </w:r>
      <w:r>
        <w:rPr>
          <w:spacing w:val="2"/>
          <w:position w:val="-5"/>
          <w:sz w:val="10"/>
        </w:rPr>
        <w:t> </w:t>
      </w:r>
      <w:r>
        <w:rPr>
          <w:sz w:val="18"/>
        </w:rPr>
        <w:t>Greenhouse</w:t>
      </w:r>
      <w:r>
        <w:rPr>
          <w:spacing w:val="-17"/>
          <w:sz w:val="18"/>
        </w:rPr>
        <w:t> </w:t>
      </w:r>
      <w:r>
        <w:rPr>
          <w:sz w:val="18"/>
        </w:rPr>
        <w:t>Gas</w:t>
      </w:r>
      <w:r>
        <w:rPr>
          <w:spacing w:val="-18"/>
          <w:sz w:val="18"/>
        </w:rPr>
        <w:t> </w:t>
      </w:r>
      <w:r>
        <w:rPr>
          <w:sz w:val="18"/>
        </w:rPr>
        <w:t>by</w:t>
      </w:r>
      <w:r>
        <w:rPr>
          <w:spacing w:val="-27"/>
          <w:sz w:val="18"/>
        </w:rPr>
        <w:t> </w:t>
      </w:r>
      <w:r>
        <w:rPr>
          <w:sz w:val="18"/>
        </w:rPr>
        <w:t>Ammonia Scrubbing. Ind. Eng. Chem. Res, </w:t>
      </w:r>
      <w:r>
        <w:rPr>
          <w:b/>
          <w:sz w:val="18"/>
        </w:rPr>
        <w:t>36 </w:t>
      </w:r>
      <w:r>
        <w:rPr>
          <w:sz w:val="18"/>
        </w:rPr>
        <w:t>(6),</w:t>
      </w:r>
      <w:r>
        <w:rPr>
          <w:spacing w:val="-4"/>
          <w:sz w:val="18"/>
        </w:rPr>
        <w:t> </w:t>
      </w:r>
      <w:r>
        <w:rPr>
          <w:sz w:val="18"/>
        </w:rPr>
        <w:t>2490-2493.</w:t>
      </w:r>
    </w:p>
    <w:p>
      <w:pPr>
        <w:spacing w:line="278" w:lineRule="auto" w:before="35"/>
        <w:ind w:left="457" w:right="39" w:hanging="341"/>
        <w:jc w:val="both"/>
        <w:rPr>
          <w:sz w:val="18"/>
        </w:rPr>
      </w:pPr>
      <w:r>
        <w:rPr>
          <w:b/>
          <w:sz w:val="18"/>
        </w:rPr>
        <w:t>Bandi, </w:t>
      </w:r>
      <w:r>
        <w:rPr>
          <w:sz w:val="18"/>
        </w:rPr>
        <w:t>A., M. Specht, P. Sichler, and N. Nicoloso, 2002: In situ Gas Conditioning in Fuel Reforming for Hydrogen Generation. 5th International Symposium on Gas Cleaning at High Temperature.</w:t>
      </w:r>
    </w:p>
    <w:p>
      <w:pPr>
        <w:spacing w:line="278" w:lineRule="auto" w:before="0"/>
        <w:ind w:left="457" w:right="39" w:firstLine="0"/>
        <w:jc w:val="both"/>
        <w:rPr>
          <w:sz w:val="18"/>
        </w:rPr>
      </w:pPr>
      <w:r>
        <w:rPr>
          <w:sz w:val="18"/>
        </w:rPr>
        <w:t>U.S.</w:t>
      </w:r>
      <w:r>
        <w:rPr>
          <w:spacing w:val="-16"/>
          <w:sz w:val="18"/>
        </w:rPr>
        <w:t> </w:t>
      </w:r>
      <w:r>
        <w:rPr>
          <w:sz w:val="18"/>
        </w:rPr>
        <w:t>DOE</w:t>
      </w:r>
      <w:r>
        <w:rPr>
          <w:spacing w:val="-15"/>
          <w:sz w:val="18"/>
        </w:rPr>
        <w:t> </w:t>
      </w:r>
      <w:r>
        <w:rPr>
          <w:sz w:val="18"/>
        </w:rPr>
        <w:t>National</w:t>
      </w:r>
      <w:r>
        <w:rPr>
          <w:spacing w:val="-15"/>
          <w:sz w:val="18"/>
        </w:rPr>
        <w:t> </w:t>
      </w:r>
      <w:r>
        <w:rPr>
          <w:sz w:val="18"/>
        </w:rPr>
        <w:t>Energy</w:t>
      </w:r>
      <w:r>
        <w:rPr>
          <w:spacing w:val="-18"/>
          <w:sz w:val="18"/>
        </w:rPr>
        <w:t> </w:t>
      </w:r>
      <w:r>
        <w:rPr>
          <w:sz w:val="18"/>
        </w:rPr>
        <w:t>Technology</w:t>
      </w:r>
      <w:r>
        <w:rPr>
          <w:spacing w:val="-15"/>
          <w:sz w:val="18"/>
        </w:rPr>
        <w:t> </w:t>
      </w:r>
      <w:r>
        <w:rPr>
          <w:sz w:val="18"/>
        </w:rPr>
        <w:t>Laboratory,</w:t>
      </w:r>
      <w:r>
        <w:rPr>
          <w:spacing w:val="-15"/>
          <w:sz w:val="18"/>
        </w:rPr>
        <w:t> </w:t>
      </w:r>
      <w:r>
        <w:rPr>
          <w:sz w:val="18"/>
        </w:rPr>
        <w:t>Morgantown, USA.</w:t>
      </w:r>
    </w:p>
    <w:p>
      <w:pPr>
        <w:spacing w:line="278" w:lineRule="auto" w:before="0"/>
        <w:ind w:left="457" w:right="38" w:hanging="341"/>
        <w:jc w:val="both"/>
        <w:rPr>
          <w:i/>
          <w:sz w:val="18"/>
        </w:rPr>
      </w:pPr>
      <w:r>
        <w:rPr>
          <w:b/>
          <w:sz w:val="18"/>
        </w:rPr>
        <w:t>Barchas, </w:t>
      </w:r>
      <w:r>
        <w:rPr>
          <w:sz w:val="18"/>
        </w:rPr>
        <w:t>R., R. Davis, 1992: The Kerr-McGee / ABB Lummus Crest Technology for the Recovery of CO</w:t>
      </w:r>
      <w:r>
        <w:rPr>
          <w:position w:val="-5"/>
          <w:sz w:val="10"/>
        </w:rPr>
        <w:t>2 </w:t>
      </w:r>
      <w:r>
        <w:rPr>
          <w:sz w:val="18"/>
        </w:rPr>
        <w:t>from Stack Gases. </w:t>
      </w:r>
      <w:r>
        <w:rPr>
          <w:i/>
          <w:sz w:val="18"/>
        </w:rPr>
        <w:t>Energy</w:t>
      </w:r>
    </w:p>
    <w:p>
      <w:pPr>
        <w:spacing w:line="164" w:lineRule="exact" w:before="0"/>
        <w:ind w:left="457" w:right="0" w:firstLine="0"/>
        <w:jc w:val="both"/>
        <w:rPr>
          <w:sz w:val="18"/>
        </w:rPr>
      </w:pPr>
      <w:r>
        <w:rPr>
          <w:i/>
          <w:sz w:val="18"/>
        </w:rPr>
        <w:t>Conversion and Management</w:t>
      </w:r>
      <w:r>
        <w:rPr>
          <w:sz w:val="18"/>
        </w:rPr>
        <w:t>, </w:t>
      </w:r>
      <w:r>
        <w:rPr>
          <w:b/>
          <w:sz w:val="18"/>
        </w:rPr>
        <w:t>33</w:t>
      </w:r>
      <w:r>
        <w:rPr>
          <w:sz w:val="18"/>
        </w:rPr>
        <w:t>(5-8), 333-340.</w:t>
      </w:r>
    </w:p>
    <w:p>
      <w:pPr>
        <w:spacing w:line="240" w:lineRule="exact" w:before="8"/>
        <w:ind w:left="457" w:right="38" w:hanging="341"/>
        <w:jc w:val="both"/>
        <w:rPr>
          <w:sz w:val="18"/>
        </w:rPr>
      </w:pPr>
      <w:r>
        <w:rPr>
          <w:b/>
          <w:sz w:val="18"/>
        </w:rPr>
        <w:t>Beecy, </w:t>
      </w:r>
      <w:r>
        <w:rPr>
          <w:sz w:val="18"/>
        </w:rPr>
        <w:t>D.J. and Kuuskraa, </w:t>
      </w:r>
      <w:r>
        <w:rPr>
          <w:spacing w:val="-5"/>
          <w:sz w:val="18"/>
        </w:rPr>
        <w:t>V.A., </w:t>
      </w:r>
      <w:r>
        <w:rPr>
          <w:sz w:val="18"/>
        </w:rPr>
        <w:t>2005: Basic Strategies for Linking CO</w:t>
      </w:r>
      <w:r>
        <w:rPr>
          <w:position w:val="-5"/>
          <w:sz w:val="10"/>
        </w:rPr>
        <w:t>2 </w:t>
      </w:r>
      <w:r>
        <w:rPr>
          <w:sz w:val="18"/>
        </w:rPr>
        <w:t>enhanced oil recovery and storage of CO</w:t>
      </w:r>
      <w:r>
        <w:rPr>
          <w:position w:val="-5"/>
          <w:sz w:val="10"/>
        </w:rPr>
        <w:t>2 </w:t>
      </w:r>
      <w:r>
        <w:rPr>
          <w:sz w:val="18"/>
        </w:rPr>
        <w:t>emissions. In E.S.Rubin, </w:t>
      </w:r>
      <w:r>
        <w:rPr>
          <w:spacing w:val="-5"/>
          <w:sz w:val="18"/>
        </w:rPr>
        <w:t>D.W. </w:t>
      </w:r>
      <w:r>
        <w:rPr>
          <w:sz w:val="18"/>
        </w:rPr>
        <w:t>Keith and </w:t>
      </w:r>
      <w:r>
        <w:rPr>
          <w:spacing w:val="-4"/>
          <w:sz w:val="18"/>
        </w:rPr>
        <w:t>C.F. </w:t>
      </w:r>
      <w:r>
        <w:rPr>
          <w:sz w:val="18"/>
        </w:rPr>
        <w:t>Gilboy (eds.), Proceedings of  the 7</w:t>
      </w:r>
      <w:r>
        <w:rPr>
          <w:position w:val="6"/>
          <w:sz w:val="10"/>
        </w:rPr>
        <w:t>th </w:t>
      </w:r>
      <w:r>
        <w:rPr>
          <w:sz w:val="18"/>
        </w:rPr>
        <w:t>International Conference on Greenhouse Gas Control Technologies (GHGT-7), September 5-9, 2004, </w:t>
      </w:r>
      <w:r>
        <w:rPr>
          <w:spacing w:val="-3"/>
          <w:sz w:val="18"/>
        </w:rPr>
        <w:t>Vancouver, </w:t>
      </w:r>
      <w:r>
        <w:rPr>
          <w:sz w:val="18"/>
        </w:rPr>
        <w:t>Canada.</w:t>
      </w:r>
      <w:r>
        <w:rPr>
          <w:spacing w:val="-18"/>
          <w:sz w:val="18"/>
        </w:rPr>
        <w:t> </w:t>
      </w:r>
      <w:r>
        <w:rPr>
          <w:spacing w:val="-4"/>
          <w:sz w:val="18"/>
        </w:rPr>
        <w:t>Volume</w:t>
      </w:r>
      <w:r>
        <w:rPr>
          <w:spacing w:val="-15"/>
          <w:sz w:val="18"/>
        </w:rPr>
        <w:t> </w:t>
      </w:r>
      <w:r>
        <w:rPr>
          <w:sz w:val="18"/>
        </w:rPr>
        <w:t>I:</w:t>
      </w:r>
      <w:r>
        <w:rPr>
          <w:spacing w:val="-15"/>
          <w:sz w:val="18"/>
        </w:rPr>
        <w:t> </w:t>
      </w:r>
      <w:r>
        <w:rPr>
          <w:sz w:val="18"/>
        </w:rPr>
        <w:t>Peer</w:t>
      </w:r>
      <w:r>
        <w:rPr>
          <w:spacing w:val="-15"/>
          <w:sz w:val="18"/>
        </w:rPr>
        <w:t> </w:t>
      </w:r>
      <w:r>
        <w:rPr>
          <w:sz w:val="18"/>
        </w:rPr>
        <w:t>Reviewed</w:t>
      </w:r>
      <w:r>
        <w:rPr>
          <w:spacing w:val="-15"/>
          <w:sz w:val="18"/>
        </w:rPr>
        <w:t> </w:t>
      </w:r>
      <w:r>
        <w:rPr>
          <w:sz w:val="18"/>
        </w:rPr>
        <w:t>Papers</w:t>
      </w:r>
      <w:r>
        <w:rPr>
          <w:spacing w:val="-15"/>
          <w:sz w:val="18"/>
        </w:rPr>
        <w:t> </w:t>
      </w:r>
      <w:r>
        <w:rPr>
          <w:sz w:val="18"/>
        </w:rPr>
        <w:t>and</w:t>
      </w:r>
      <w:r>
        <w:rPr>
          <w:spacing w:val="-15"/>
          <w:sz w:val="18"/>
        </w:rPr>
        <w:t> </w:t>
      </w:r>
      <w:r>
        <w:rPr>
          <w:sz w:val="18"/>
        </w:rPr>
        <w:t>Overviews,</w:t>
      </w:r>
      <w:r>
        <w:rPr>
          <w:spacing w:val="-14"/>
          <w:sz w:val="18"/>
        </w:rPr>
        <w:t> </w:t>
      </w:r>
      <w:r>
        <w:rPr>
          <w:i/>
          <w:sz w:val="18"/>
        </w:rPr>
        <w:t>Elsevier </w:t>
      </w:r>
      <w:r>
        <w:rPr>
          <w:i/>
          <w:sz w:val="18"/>
        </w:rPr>
        <w:t>Science</w:t>
      </w:r>
      <w:r>
        <w:rPr>
          <w:sz w:val="18"/>
        </w:rPr>
        <w:t>, Oxford, UK,</w:t>
      </w:r>
      <w:r>
        <w:rPr>
          <w:spacing w:val="-3"/>
          <w:sz w:val="18"/>
        </w:rPr>
        <w:t> </w:t>
      </w:r>
      <w:r>
        <w:rPr>
          <w:sz w:val="18"/>
        </w:rPr>
        <w:t>351-360.</w:t>
      </w:r>
    </w:p>
    <w:p>
      <w:pPr>
        <w:spacing w:line="278" w:lineRule="auto" w:before="24"/>
        <w:ind w:left="457" w:right="40" w:hanging="341"/>
        <w:jc w:val="both"/>
        <w:rPr>
          <w:sz w:val="18"/>
        </w:rPr>
      </w:pPr>
      <w:r>
        <w:rPr>
          <w:b/>
          <w:sz w:val="18"/>
        </w:rPr>
        <w:t>Blomen,</w:t>
      </w:r>
      <w:r>
        <w:rPr>
          <w:b/>
          <w:spacing w:val="-18"/>
          <w:sz w:val="18"/>
        </w:rPr>
        <w:t> </w:t>
      </w:r>
      <w:r>
        <w:rPr>
          <w:sz w:val="18"/>
        </w:rPr>
        <w:t>L.J.N.J.</w:t>
      </w:r>
      <w:r>
        <w:rPr>
          <w:spacing w:val="-17"/>
          <w:sz w:val="18"/>
        </w:rPr>
        <w:t> </w:t>
      </w:r>
      <w:r>
        <w:rPr>
          <w:sz w:val="18"/>
        </w:rPr>
        <w:t>and</w:t>
      </w:r>
      <w:r>
        <w:rPr>
          <w:spacing w:val="-17"/>
          <w:sz w:val="18"/>
        </w:rPr>
        <w:t> </w:t>
      </w:r>
      <w:r>
        <w:rPr>
          <w:sz w:val="18"/>
        </w:rPr>
        <w:t>M.N</w:t>
      </w:r>
      <w:r>
        <w:rPr>
          <w:b/>
          <w:sz w:val="18"/>
        </w:rPr>
        <w:t>.</w:t>
      </w:r>
      <w:r>
        <w:rPr>
          <w:b/>
          <w:spacing w:val="-18"/>
          <w:sz w:val="18"/>
        </w:rPr>
        <w:t> </w:t>
      </w:r>
      <w:r>
        <w:rPr>
          <w:sz w:val="18"/>
        </w:rPr>
        <w:t>Mugerwa,</w:t>
      </w:r>
      <w:r>
        <w:rPr>
          <w:spacing w:val="-17"/>
          <w:sz w:val="18"/>
        </w:rPr>
        <w:t> </w:t>
      </w:r>
      <w:r>
        <w:rPr>
          <w:sz w:val="18"/>
        </w:rPr>
        <w:t>1993:</w:t>
      </w:r>
      <w:r>
        <w:rPr>
          <w:spacing w:val="-18"/>
          <w:sz w:val="18"/>
        </w:rPr>
        <w:t> </w:t>
      </w:r>
      <w:r>
        <w:rPr>
          <w:sz w:val="18"/>
        </w:rPr>
        <w:t>Fuel</w:t>
      </w:r>
      <w:r>
        <w:rPr>
          <w:spacing w:val="-17"/>
          <w:sz w:val="18"/>
        </w:rPr>
        <w:t> </w:t>
      </w:r>
      <w:r>
        <w:rPr>
          <w:sz w:val="18"/>
        </w:rPr>
        <w:t>Cell</w:t>
      </w:r>
      <w:r>
        <w:rPr>
          <w:spacing w:val="-18"/>
          <w:sz w:val="18"/>
        </w:rPr>
        <w:t> </w:t>
      </w:r>
      <w:r>
        <w:rPr>
          <w:sz w:val="18"/>
        </w:rPr>
        <w:t>systems,</w:t>
      </w:r>
      <w:r>
        <w:rPr>
          <w:spacing w:val="-18"/>
          <w:sz w:val="18"/>
        </w:rPr>
        <w:t> </w:t>
      </w:r>
      <w:r>
        <w:rPr>
          <w:sz w:val="18"/>
        </w:rPr>
        <w:t>Plenum Press, New </w:t>
      </w:r>
      <w:r>
        <w:rPr>
          <w:spacing w:val="-4"/>
          <w:sz w:val="18"/>
        </w:rPr>
        <w:t>York, </w:t>
      </w:r>
      <w:r>
        <w:rPr>
          <w:sz w:val="18"/>
        </w:rPr>
        <w:t>1993, ISBN</w:t>
      </w:r>
      <w:r>
        <w:rPr>
          <w:spacing w:val="-5"/>
          <w:sz w:val="18"/>
        </w:rPr>
        <w:t> </w:t>
      </w:r>
      <w:r>
        <w:rPr>
          <w:sz w:val="18"/>
        </w:rPr>
        <w:t>0-36-44158-6.</w:t>
      </w:r>
    </w:p>
    <w:p>
      <w:pPr>
        <w:spacing w:line="278" w:lineRule="auto" w:before="0"/>
        <w:ind w:left="457" w:right="38" w:hanging="341"/>
        <w:jc w:val="both"/>
        <w:rPr>
          <w:sz w:val="10"/>
        </w:rPr>
      </w:pPr>
      <w:r>
        <w:rPr>
          <w:b/>
          <w:sz w:val="18"/>
        </w:rPr>
        <w:t>Bock, </w:t>
      </w:r>
      <w:r>
        <w:rPr>
          <w:sz w:val="18"/>
        </w:rPr>
        <w:t>B., R. Rhudy, H. Herzog, M. Klett, J. Davison, D. De la </w:t>
      </w:r>
      <w:r>
        <w:rPr>
          <w:spacing w:val="-3"/>
          <w:sz w:val="18"/>
        </w:rPr>
        <w:t>Torre </w:t>
      </w:r>
      <w:r>
        <w:rPr>
          <w:sz w:val="18"/>
        </w:rPr>
        <w:t>Ugarte,  and  D.Simbeck,  2003:  Economic  Evaluation  of </w:t>
      </w:r>
      <w:r>
        <w:rPr>
          <w:spacing w:val="39"/>
          <w:sz w:val="18"/>
        </w:rPr>
        <w:t> </w:t>
      </w:r>
      <w:r>
        <w:rPr>
          <w:sz w:val="18"/>
        </w:rPr>
        <w:t>CO</w:t>
      </w:r>
      <w:r>
        <w:rPr>
          <w:position w:val="-5"/>
          <w:sz w:val="10"/>
        </w:rPr>
        <w:t>2</w:t>
      </w:r>
    </w:p>
    <w:p>
      <w:pPr>
        <w:spacing w:line="164" w:lineRule="exact" w:before="0"/>
        <w:ind w:left="457" w:right="0" w:firstLine="0"/>
        <w:jc w:val="both"/>
        <w:rPr>
          <w:sz w:val="18"/>
        </w:rPr>
      </w:pPr>
      <w:r>
        <w:rPr>
          <w:sz w:val="18"/>
        </w:rPr>
        <w:t>Storage  and  Sink  Options,  DOE  Research  Report </w:t>
      </w:r>
      <w:r>
        <w:rPr>
          <w:spacing w:val="9"/>
          <w:sz w:val="18"/>
        </w:rPr>
        <w:t> </w:t>
      </w:r>
      <w:r>
        <w:rPr>
          <w:sz w:val="18"/>
        </w:rPr>
        <w:t>DE-FC26-</w:t>
      </w:r>
    </w:p>
    <w:p>
      <w:pPr>
        <w:spacing w:line="278" w:lineRule="auto" w:before="33"/>
        <w:ind w:left="457" w:right="39" w:firstLine="0"/>
        <w:jc w:val="both"/>
        <w:rPr>
          <w:sz w:val="18"/>
        </w:rPr>
      </w:pPr>
      <w:r>
        <w:rPr>
          <w:sz w:val="18"/>
        </w:rPr>
        <w:t>00NT40937, U.S. Department of Energy, Pittsburgh Energy Technology Center, Pittsburgh, PA.</w:t>
      </w:r>
    </w:p>
    <w:p>
      <w:pPr>
        <w:spacing w:line="278" w:lineRule="auto" w:before="0"/>
        <w:ind w:left="457" w:right="38" w:hanging="341"/>
        <w:jc w:val="both"/>
        <w:rPr>
          <w:sz w:val="18"/>
        </w:rPr>
      </w:pPr>
      <w:r>
        <w:rPr>
          <w:b/>
          <w:sz w:val="18"/>
        </w:rPr>
        <w:t>Bouwmeester, </w:t>
      </w:r>
      <w:r>
        <w:rPr>
          <w:sz w:val="18"/>
        </w:rPr>
        <w:t>H.J.M., </w:t>
      </w:r>
      <w:r>
        <w:rPr>
          <w:spacing w:val="-3"/>
          <w:sz w:val="18"/>
        </w:rPr>
        <w:t>L.M.Van </w:t>
      </w:r>
      <w:r>
        <w:rPr>
          <w:sz w:val="18"/>
        </w:rPr>
        <w:t>Der </w:t>
      </w:r>
      <w:r>
        <w:rPr>
          <w:spacing w:val="-3"/>
          <w:sz w:val="18"/>
        </w:rPr>
        <w:t>Haar, </w:t>
      </w:r>
      <w:r>
        <w:rPr>
          <w:sz w:val="18"/>
        </w:rPr>
        <w:t>2002: Oxygen permeation through</w:t>
      </w:r>
      <w:r>
        <w:rPr>
          <w:spacing w:val="-11"/>
          <w:sz w:val="18"/>
        </w:rPr>
        <w:t> </w:t>
      </w:r>
      <w:r>
        <w:rPr>
          <w:sz w:val="18"/>
        </w:rPr>
        <w:t>mixed-conducting</w:t>
      </w:r>
      <w:r>
        <w:rPr>
          <w:spacing w:val="-10"/>
          <w:sz w:val="18"/>
        </w:rPr>
        <w:t> </w:t>
      </w:r>
      <w:r>
        <w:rPr>
          <w:sz w:val="18"/>
        </w:rPr>
        <w:t>perovskite</w:t>
      </w:r>
      <w:r>
        <w:rPr>
          <w:spacing w:val="-10"/>
          <w:sz w:val="18"/>
        </w:rPr>
        <w:t> </w:t>
      </w:r>
      <w:r>
        <w:rPr>
          <w:sz w:val="18"/>
        </w:rPr>
        <w:t>oxide</w:t>
      </w:r>
      <w:r>
        <w:rPr>
          <w:spacing w:val="-11"/>
          <w:sz w:val="18"/>
        </w:rPr>
        <w:t> </w:t>
      </w:r>
      <w:r>
        <w:rPr>
          <w:sz w:val="18"/>
        </w:rPr>
        <w:t>membranes.</w:t>
      </w:r>
      <w:r>
        <w:rPr>
          <w:spacing w:val="-11"/>
          <w:sz w:val="18"/>
        </w:rPr>
        <w:t> </w:t>
      </w:r>
      <w:r>
        <w:rPr>
          <w:i/>
          <w:sz w:val="18"/>
        </w:rPr>
        <w:t>Ceramic </w:t>
      </w:r>
      <w:r>
        <w:rPr>
          <w:i/>
          <w:sz w:val="18"/>
        </w:rPr>
        <w:t>Transactions</w:t>
      </w:r>
      <w:r>
        <w:rPr>
          <w:sz w:val="18"/>
        </w:rPr>
        <w:t>, </w:t>
      </w:r>
      <w:r>
        <w:rPr>
          <w:b/>
          <w:sz w:val="18"/>
        </w:rPr>
        <w:t>127</w:t>
      </w:r>
      <w:r>
        <w:rPr>
          <w:sz w:val="18"/>
        </w:rPr>
        <w:t>, Materials for Electrochemical Energy Conversion and Storage,</w:t>
      </w:r>
      <w:r>
        <w:rPr>
          <w:spacing w:val="-2"/>
          <w:sz w:val="18"/>
        </w:rPr>
        <w:t> </w:t>
      </w:r>
      <w:r>
        <w:rPr>
          <w:sz w:val="18"/>
        </w:rPr>
        <w:t>49-57.</w:t>
      </w:r>
    </w:p>
    <w:p>
      <w:pPr>
        <w:spacing w:line="207" w:lineRule="exact" w:before="0"/>
        <w:ind w:left="117" w:right="0" w:firstLine="0"/>
        <w:jc w:val="both"/>
        <w:rPr>
          <w:sz w:val="18"/>
        </w:rPr>
      </w:pPr>
      <w:r>
        <w:rPr>
          <w:b/>
          <w:sz w:val="18"/>
        </w:rPr>
        <w:t>BP, </w:t>
      </w:r>
      <w:r>
        <w:rPr>
          <w:sz w:val="18"/>
        </w:rPr>
        <w:t>2004: </w:t>
      </w:r>
      <w:r>
        <w:rPr>
          <w:i/>
          <w:sz w:val="18"/>
        </w:rPr>
        <w:t>Statistical Review of World Energy. </w:t>
      </w:r>
      <w:hyperlink r:id="rId223">
        <w:r>
          <w:rPr>
            <w:sz w:val="18"/>
          </w:rPr>
          <w:t>Http:\www.bp.com.</w:t>
        </w:r>
      </w:hyperlink>
    </w:p>
    <w:p>
      <w:pPr>
        <w:spacing w:line="240" w:lineRule="exact" w:before="9"/>
        <w:ind w:left="457" w:right="38" w:hanging="341"/>
        <w:jc w:val="both"/>
        <w:rPr>
          <w:i/>
          <w:sz w:val="18"/>
        </w:rPr>
      </w:pPr>
      <w:r>
        <w:rPr>
          <w:b/>
          <w:sz w:val="18"/>
        </w:rPr>
        <w:t>Bracht, </w:t>
      </w:r>
      <w:r>
        <w:rPr>
          <w:sz w:val="18"/>
        </w:rPr>
        <w:t>M, Alderliesten P.T., R. Kloster, R. Pruschek, G. Haupt, E. Xue, J.R.H. Ross, M.K. Koukou, and N. Papayannakos, 1997: Water gas shift membrane reactor for CO</w:t>
      </w:r>
      <w:r>
        <w:rPr>
          <w:position w:val="-5"/>
          <w:sz w:val="10"/>
        </w:rPr>
        <w:t>2 </w:t>
      </w:r>
      <w:r>
        <w:rPr>
          <w:sz w:val="18"/>
        </w:rPr>
        <w:t>control in IGCC systems: techno-economic feasibility study, </w:t>
      </w:r>
      <w:r>
        <w:rPr>
          <w:i/>
          <w:sz w:val="18"/>
        </w:rPr>
        <w:t>Energy Conversion</w:t>
      </w:r>
    </w:p>
    <w:p>
      <w:pPr>
        <w:spacing w:before="148"/>
        <w:ind w:left="457" w:right="0" w:firstLine="0"/>
        <w:jc w:val="both"/>
        <w:rPr>
          <w:sz w:val="18"/>
        </w:rPr>
      </w:pPr>
      <w:r>
        <w:rPr/>
        <w:br w:type="column"/>
      </w:r>
      <w:r>
        <w:rPr>
          <w:i/>
          <w:sz w:val="18"/>
        </w:rPr>
        <w:t>and Management, </w:t>
      </w:r>
      <w:r>
        <w:rPr>
          <w:b/>
          <w:sz w:val="18"/>
        </w:rPr>
        <w:t>38 </w:t>
      </w:r>
      <w:r>
        <w:rPr>
          <w:sz w:val="18"/>
        </w:rPr>
        <w:t>(Suppl.), S159-S164, 1997.</w:t>
      </w:r>
    </w:p>
    <w:p>
      <w:pPr>
        <w:spacing w:line="240" w:lineRule="exact" w:before="9"/>
        <w:ind w:left="457" w:right="510" w:hanging="341"/>
        <w:jc w:val="both"/>
        <w:rPr>
          <w:sz w:val="18"/>
        </w:rPr>
      </w:pPr>
      <w:r>
        <w:rPr>
          <w:b/>
          <w:sz w:val="18"/>
        </w:rPr>
        <w:t>Brandvoll, </w:t>
      </w:r>
      <w:r>
        <w:rPr>
          <w:sz w:val="18"/>
        </w:rPr>
        <w:t>Ø. and O. Bolland, 2004: Inherent CO</w:t>
      </w:r>
      <w:r>
        <w:rPr>
          <w:position w:val="-5"/>
          <w:sz w:val="10"/>
        </w:rPr>
        <w:t>2 </w:t>
      </w:r>
      <w:r>
        <w:rPr>
          <w:sz w:val="18"/>
        </w:rPr>
        <w:t>capture using chemical looping combustion in a natural gas fired power cycle. ASME</w:t>
      </w:r>
      <w:r>
        <w:rPr>
          <w:spacing w:val="-10"/>
          <w:sz w:val="18"/>
        </w:rPr>
        <w:t> </w:t>
      </w:r>
      <w:r>
        <w:rPr>
          <w:sz w:val="18"/>
        </w:rPr>
        <w:t>Paper</w:t>
      </w:r>
      <w:r>
        <w:rPr>
          <w:spacing w:val="-10"/>
          <w:sz w:val="18"/>
        </w:rPr>
        <w:t> </w:t>
      </w:r>
      <w:r>
        <w:rPr>
          <w:sz w:val="18"/>
        </w:rPr>
        <w:t>No.</w:t>
      </w:r>
      <w:r>
        <w:rPr>
          <w:spacing w:val="-9"/>
          <w:sz w:val="18"/>
        </w:rPr>
        <w:t> </w:t>
      </w:r>
      <w:r>
        <w:rPr>
          <w:sz w:val="18"/>
        </w:rPr>
        <w:t>GT-2002-30129,</w:t>
      </w:r>
      <w:r>
        <w:rPr>
          <w:spacing w:val="-9"/>
          <w:sz w:val="18"/>
        </w:rPr>
        <w:t> </w:t>
      </w:r>
      <w:r>
        <w:rPr>
          <w:i/>
          <w:sz w:val="18"/>
        </w:rPr>
        <w:t>ASME</w:t>
      </w:r>
      <w:r>
        <w:rPr>
          <w:i/>
          <w:spacing w:val="-9"/>
          <w:sz w:val="18"/>
        </w:rPr>
        <w:t> </w:t>
      </w:r>
      <w:r>
        <w:rPr>
          <w:i/>
          <w:sz w:val="18"/>
        </w:rPr>
        <w:t>Journal</w:t>
      </w:r>
      <w:r>
        <w:rPr>
          <w:i/>
          <w:spacing w:val="-8"/>
          <w:sz w:val="18"/>
        </w:rPr>
        <w:t> </w:t>
      </w:r>
      <w:r>
        <w:rPr>
          <w:i/>
          <w:sz w:val="18"/>
        </w:rPr>
        <w:t>of</w:t>
      </w:r>
      <w:r>
        <w:rPr>
          <w:i/>
          <w:spacing w:val="-10"/>
          <w:sz w:val="18"/>
        </w:rPr>
        <w:t> </w:t>
      </w:r>
      <w:r>
        <w:rPr>
          <w:i/>
          <w:sz w:val="18"/>
        </w:rPr>
        <w:t>Engineering </w:t>
      </w:r>
      <w:r>
        <w:rPr>
          <w:i/>
          <w:sz w:val="18"/>
        </w:rPr>
        <w:t>for Gas Turbines and Power</w:t>
      </w:r>
      <w:r>
        <w:rPr>
          <w:sz w:val="18"/>
        </w:rPr>
        <w:t>, </w:t>
      </w:r>
      <w:r>
        <w:rPr>
          <w:b/>
          <w:sz w:val="18"/>
        </w:rPr>
        <w:t>126</w:t>
      </w:r>
      <w:r>
        <w:rPr>
          <w:sz w:val="18"/>
        </w:rPr>
        <w:t>,</w:t>
      </w:r>
      <w:r>
        <w:rPr>
          <w:spacing w:val="-3"/>
          <w:sz w:val="18"/>
        </w:rPr>
        <w:t> </w:t>
      </w:r>
      <w:r>
        <w:rPr>
          <w:sz w:val="18"/>
        </w:rPr>
        <w:t>316-321.</w:t>
      </w:r>
    </w:p>
    <w:p>
      <w:pPr>
        <w:spacing w:line="240" w:lineRule="exact" w:before="0"/>
        <w:ind w:left="457" w:right="511" w:hanging="341"/>
        <w:jc w:val="both"/>
        <w:rPr>
          <w:sz w:val="18"/>
        </w:rPr>
      </w:pPr>
      <w:r>
        <w:rPr>
          <w:b/>
          <w:sz w:val="18"/>
        </w:rPr>
        <w:t>Bredesen, </w:t>
      </w:r>
      <w:r>
        <w:rPr>
          <w:sz w:val="18"/>
        </w:rPr>
        <w:t>R., K. Jordal and O. Bolland, 2004: High-Temperature Membranes in Power Generation with CO</w:t>
      </w:r>
      <w:r>
        <w:rPr>
          <w:position w:val="-5"/>
          <w:sz w:val="10"/>
        </w:rPr>
        <w:t>2 </w:t>
      </w:r>
      <w:r>
        <w:rPr>
          <w:sz w:val="18"/>
        </w:rPr>
        <w:t>capture. </w:t>
      </w:r>
      <w:r>
        <w:rPr>
          <w:i/>
          <w:sz w:val="18"/>
        </w:rPr>
        <w:t>Journal of </w:t>
      </w:r>
      <w:r>
        <w:rPr>
          <w:i/>
          <w:sz w:val="18"/>
        </w:rPr>
        <w:t>Chemical Engineering and Processing</w:t>
      </w:r>
      <w:r>
        <w:rPr>
          <w:sz w:val="18"/>
        </w:rPr>
        <w:t>, </w:t>
      </w:r>
      <w:r>
        <w:rPr>
          <w:b/>
          <w:sz w:val="18"/>
        </w:rPr>
        <w:t>43</w:t>
      </w:r>
      <w:r>
        <w:rPr>
          <w:sz w:val="18"/>
        </w:rPr>
        <w:t>, 1129-1158.</w:t>
      </w:r>
    </w:p>
    <w:p>
      <w:pPr>
        <w:spacing w:line="278" w:lineRule="auto" w:before="24"/>
        <w:ind w:left="457" w:right="512" w:hanging="341"/>
        <w:jc w:val="both"/>
        <w:rPr>
          <w:sz w:val="18"/>
        </w:rPr>
      </w:pPr>
      <w:r>
        <w:rPr>
          <w:b/>
          <w:sz w:val="18"/>
        </w:rPr>
        <w:t>Breton, </w:t>
      </w:r>
      <w:r>
        <w:rPr>
          <w:sz w:val="18"/>
        </w:rPr>
        <w:t>D.L. and P. Amick, 2002: Comparative IGCC Cost and Performance for Domestic Coals, Preceedings of the 2002 Gasification Technology Conference, San Francisco, October.</w:t>
      </w:r>
    </w:p>
    <w:p>
      <w:pPr>
        <w:spacing w:line="278" w:lineRule="auto" w:before="0"/>
        <w:ind w:left="457" w:right="511" w:hanging="341"/>
        <w:jc w:val="both"/>
        <w:rPr>
          <w:sz w:val="18"/>
        </w:rPr>
      </w:pPr>
      <w:r>
        <w:rPr>
          <w:b/>
          <w:sz w:val="18"/>
        </w:rPr>
        <w:t>Campanari, </w:t>
      </w:r>
      <w:r>
        <w:rPr>
          <w:sz w:val="18"/>
        </w:rPr>
        <w:t>S., 2002: Carbon dioxide separation from high temperature fuel cell power plants. </w:t>
      </w:r>
      <w:r>
        <w:rPr>
          <w:i/>
          <w:sz w:val="18"/>
        </w:rPr>
        <w:t>Journal of Power </w:t>
      </w:r>
      <w:r>
        <w:rPr>
          <w:i/>
          <w:spacing w:val="-3"/>
          <w:sz w:val="18"/>
        </w:rPr>
        <w:t>Sources, </w:t>
      </w:r>
      <w:r>
        <w:rPr>
          <w:b/>
          <w:spacing w:val="-4"/>
          <w:sz w:val="18"/>
        </w:rPr>
        <w:t>112 </w:t>
      </w:r>
      <w:r>
        <w:rPr>
          <w:sz w:val="18"/>
        </w:rPr>
        <w:t>(2002),</w:t>
      </w:r>
      <w:r>
        <w:rPr>
          <w:spacing w:val="4"/>
          <w:sz w:val="18"/>
        </w:rPr>
        <w:t> </w:t>
      </w:r>
      <w:r>
        <w:rPr>
          <w:sz w:val="18"/>
        </w:rPr>
        <w:t>273-289.</w:t>
      </w:r>
    </w:p>
    <w:p>
      <w:pPr>
        <w:spacing w:line="207" w:lineRule="exact" w:before="0"/>
        <w:ind w:left="117" w:right="0" w:firstLine="0"/>
        <w:jc w:val="both"/>
        <w:rPr>
          <w:sz w:val="18"/>
        </w:rPr>
      </w:pPr>
      <w:r>
        <w:rPr>
          <w:b/>
          <w:sz w:val="18"/>
        </w:rPr>
        <w:t>Carolan, </w:t>
      </w:r>
      <w:r>
        <w:rPr>
          <w:sz w:val="18"/>
        </w:rPr>
        <w:t>M.F., P.N. Dyer, E. Minford, T.F. Barton, D.R. Peterson,</w:t>
      </w:r>
    </w:p>
    <w:p>
      <w:pPr>
        <w:pStyle w:val="ListParagraph"/>
        <w:numPr>
          <w:ilvl w:val="1"/>
          <w:numId w:val="31"/>
        </w:numPr>
        <w:tabs>
          <w:tab w:pos="887" w:val="left" w:leader="none"/>
        </w:tabs>
        <w:spacing w:line="278" w:lineRule="auto" w:before="33" w:after="0"/>
        <w:ind w:left="457" w:right="512" w:firstLine="0"/>
        <w:jc w:val="both"/>
        <w:rPr>
          <w:sz w:val="18"/>
        </w:rPr>
      </w:pPr>
      <w:r>
        <w:rPr>
          <w:sz w:val="18"/>
        </w:rPr>
        <w:t>Sammells, D.L. Butt, R.A. Cutler, and  D.M.  </w:t>
      </w:r>
      <w:r>
        <w:rPr>
          <w:spacing w:val="-3"/>
          <w:sz w:val="18"/>
        </w:rPr>
        <w:t>Taylor,  </w:t>
      </w:r>
      <w:r>
        <w:rPr>
          <w:sz w:val="18"/>
        </w:rPr>
        <w:t>2001: Development of the High Pressure ITM Syngas Process, Proceedings of the 6th Natural Gas Conversion Symposium, Alaska, 17-22</w:t>
      </w:r>
      <w:r>
        <w:rPr>
          <w:spacing w:val="-2"/>
          <w:sz w:val="18"/>
        </w:rPr>
        <w:t> </w:t>
      </w:r>
      <w:r>
        <w:rPr>
          <w:sz w:val="18"/>
        </w:rPr>
        <w:t>June.</w:t>
      </w:r>
    </w:p>
    <w:p>
      <w:pPr>
        <w:spacing w:line="278" w:lineRule="auto" w:before="0"/>
        <w:ind w:left="457" w:right="511" w:hanging="341"/>
        <w:jc w:val="both"/>
        <w:rPr>
          <w:sz w:val="18"/>
        </w:rPr>
      </w:pPr>
      <w:r>
        <w:rPr>
          <w:b/>
          <w:sz w:val="18"/>
        </w:rPr>
        <w:t>Castle, </w:t>
      </w:r>
      <w:r>
        <w:rPr>
          <w:sz w:val="18"/>
        </w:rPr>
        <w:t>W.F., 1991: Modern liquid pump oxygen plants: Equipment and performance, Cryogenic Processes and Machinery, AIChE Series No: 294; 89:14-17, 8</w:t>
      </w:r>
      <w:r>
        <w:rPr>
          <w:position w:val="6"/>
          <w:sz w:val="10"/>
        </w:rPr>
        <w:t>th </w:t>
      </w:r>
      <w:r>
        <w:rPr>
          <w:sz w:val="18"/>
        </w:rPr>
        <w:t>Intersociety Cryogenic Symposium, Houston, Texas, USA.</w:t>
      </w:r>
    </w:p>
    <w:p>
      <w:pPr>
        <w:spacing w:line="230" w:lineRule="auto" w:before="4"/>
        <w:ind w:left="457" w:right="511" w:hanging="341"/>
        <w:jc w:val="both"/>
        <w:rPr>
          <w:sz w:val="18"/>
        </w:rPr>
      </w:pPr>
      <w:r>
        <w:rPr>
          <w:b/>
          <w:spacing w:val="-5"/>
          <w:sz w:val="18"/>
        </w:rPr>
        <w:t>CCP, </w:t>
      </w:r>
      <w:r>
        <w:rPr>
          <w:sz w:val="18"/>
        </w:rPr>
        <w:t>2005: Economic and Cost Analysis for CO</w:t>
      </w:r>
      <w:r>
        <w:rPr>
          <w:position w:val="-5"/>
          <w:sz w:val="10"/>
        </w:rPr>
        <w:t>2 </w:t>
      </w:r>
      <w:r>
        <w:rPr>
          <w:sz w:val="18"/>
        </w:rPr>
        <w:t>Capture Costs in</w:t>
      </w:r>
      <w:r>
        <w:rPr>
          <w:spacing w:val="-33"/>
          <w:sz w:val="18"/>
        </w:rPr>
        <w:t> </w:t>
      </w:r>
      <w:r>
        <w:rPr>
          <w:sz w:val="18"/>
        </w:rPr>
        <w:t>the CO</w:t>
      </w:r>
      <w:r>
        <w:rPr>
          <w:position w:val="-5"/>
          <w:sz w:val="10"/>
        </w:rPr>
        <w:t>2 </w:t>
      </w:r>
      <w:r>
        <w:rPr>
          <w:sz w:val="18"/>
        </w:rPr>
        <w:t>Capture Project, Scenarios. In D</w:t>
      </w:r>
      <w:r>
        <w:rPr>
          <w:b/>
          <w:sz w:val="18"/>
        </w:rPr>
        <w:t>.</w:t>
      </w:r>
      <w:r>
        <w:rPr>
          <w:sz w:val="18"/>
        </w:rPr>
        <w:t>C. Thomas (Ed.), </w:t>
      </w:r>
      <w:r>
        <w:rPr>
          <w:spacing w:val="-4"/>
          <w:sz w:val="18"/>
        </w:rPr>
        <w:t>Volume  </w:t>
      </w:r>
      <w:r>
        <w:rPr>
          <w:sz w:val="18"/>
        </w:rPr>
        <w:t>1 - Capture and Separation of Carbon Dioxide from</w:t>
      </w:r>
      <w:r>
        <w:rPr>
          <w:spacing w:val="39"/>
          <w:sz w:val="18"/>
        </w:rPr>
        <w:t> </w:t>
      </w:r>
      <w:r>
        <w:rPr>
          <w:sz w:val="18"/>
        </w:rPr>
        <w:t>Combustion</w:t>
      </w:r>
    </w:p>
    <w:p>
      <w:pPr>
        <w:spacing w:before="33"/>
        <w:ind w:left="457" w:right="0" w:firstLine="0"/>
        <w:jc w:val="both"/>
        <w:rPr>
          <w:sz w:val="18"/>
        </w:rPr>
      </w:pPr>
      <w:r>
        <w:rPr>
          <w:sz w:val="18"/>
        </w:rPr>
        <w:t>Sources, Elsevier Science, Oxford, UK.</w:t>
      </w:r>
    </w:p>
    <w:p>
      <w:pPr>
        <w:spacing w:line="240" w:lineRule="exact" w:before="9"/>
        <w:ind w:left="457" w:right="511" w:hanging="341"/>
        <w:jc w:val="both"/>
        <w:rPr>
          <w:sz w:val="18"/>
        </w:rPr>
      </w:pPr>
      <w:r>
        <w:rPr>
          <w:b/>
          <w:sz w:val="18"/>
        </w:rPr>
        <w:t>Celik, </w:t>
      </w:r>
      <w:r>
        <w:rPr>
          <w:spacing w:val="-5"/>
          <w:sz w:val="18"/>
        </w:rPr>
        <w:t>F., </w:t>
      </w:r>
      <w:r>
        <w:rPr>
          <w:sz w:val="18"/>
        </w:rPr>
        <w:t>E.D. Larson, and R.H. Williams, 2005: Transportation Fuel from Coal with Low CO</w:t>
      </w:r>
      <w:r>
        <w:rPr>
          <w:position w:val="-5"/>
          <w:sz w:val="10"/>
        </w:rPr>
        <w:t>2 </w:t>
      </w:r>
      <w:r>
        <w:rPr>
          <w:sz w:val="18"/>
        </w:rPr>
        <w:t>Emissions, Wilson, M., </w:t>
      </w:r>
      <w:r>
        <w:rPr>
          <w:spacing w:val="-7"/>
          <w:sz w:val="18"/>
        </w:rPr>
        <w:t>T. </w:t>
      </w:r>
      <w:r>
        <w:rPr>
          <w:sz w:val="18"/>
        </w:rPr>
        <w:t>Morris, J. Gale</w:t>
      </w:r>
      <w:r>
        <w:rPr>
          <w:spacing w:val="-12"/>
          <w:sz w:val="18"/>
        </w:rPr>
        <w:t> </w:t>
      </w:r>
      <w:r>
        <w:rPr>
          <w:sz w:val="18"/>
        </w:rPr>
        <w:t>and</w:t>
      </w:r>
      <w:r>
        <w:rPr>
          <w:spacing w:val="-12"/>
          <w:sz w:val="18"/>
        </w:rPr>
        <w:t> </w:t>
      </w:r>
      <w:r>
        <w:rPr>
          <w:sz w:val="18"/>
        </w:rPr>
        <w:t>K.</w:t>
      </w:r>
      <w:r>
        <w:rPr>
          <w:spacing w:val="-15"/>
          <w:sz w:val="18"/>
        </w:rPr>
        <w:t> </w:t>
      </w:r>
      <w:r>
        <w:rPr>
          <w:sz w:val="18"/>
        </w:rPr>
        <w:t>Thambimuthu</w:t>
      </w:r>
      <w:r>
        <w:rPr>
          <w:spacing w:val="-12"/>
          <w:sz w:val="18"/>
        </w:rPr>
        <w:t> </w:t>
      </w:r>
      <w:r>
        <w:rPr>
          <w:sz w:val="18"/>
        </w:rPr>
        <w:t>(eds.),</w:t>
      </w:r>
      <w:r>
        <w:rPr>
          <w:spacing w:val="-12"/>
          <w:sz w:val="18"/>
        </w:rPr>
        <w:t> </w:t>
      </w:r>
      <w:r>
        <w:rPr>
          <w:sz w:val="18"/>
        </w:rPr>
        <w:t>Proceedings</w:t>
      </w:r>
      <w:r>
        <w:rPr>
          <w:spacing w:val="-11"/>
          <w:sz w:val="18"/>
        </w:rPr>
        <w:t> </w:t>
      </w:r>
      <w:r>
        <w:rPr>
          <w:sz w:val="18"/>
        </w:rPr>
        <w:t>of</w:t>
      </w:r>
      <w:r>
        <w:rPr>
          <w:spacing w:val="-12"/>
          <w:sz w:val="18"/>
        </w:rPr>
        <w:t> </w:t>
      </w:r>
      <w:r>
        <w:rPr>
          <w:sz w:val="18"/>
        </w:rPr>
        <w:t>7th</w:t>
      </w:r>
      <w:r>
        <w:rPr>
          <w:spacing w:val="-12"/>
          <w:sz w:val="18"/>
        </w:rPr>
        <w:t> </w:t>
      </w:r>
      <w:r>
        <w:rPr>
          <w:sz w:val="18"/>
        </w:rPr>
        <w:t>International Conference</w:t>
      </w:r>
      <w:r>
        <w:rPr>
          <w:spacing w:val="-9"/>
          <w:sz w:val="18"/>
        </w:rPr>
        <w:t> </w:t>
      </w:r>
      <w:r>
        <w:rPr>
          <w:sz w:val="18"/>
        </w:rPr>
        <w:t>on</w:t>
      </w:r>
      <w:r>
        <w:rPr>
          <w:spacing w:val="-8"/>
          <w:sz w:val="18"/>
        </w:rPr>
        <w:t> </w:t>
      </w:r>
      <w:r>
        <w:rPr>
          <w:sz w:val="18"/>
        </w:rPr>
        <w:t>Greenhouse</w:t>
      </w:r>
      <w:r>
        <w:rPr>
          <w:spacing w:val="-8"/>
          <w:sz w:val="18"/>
        </w:rPr>
        <w:t> </w:t>
      </w:r>
      <w:r>
        <w:rPr>
          <w:sz w:val="18"/>
        </w:rPr>
        <w:t>Gas</w:t>
      </w:r>
      <w:r>
        <w:rPr>
          <w:spacing w:val="-9"/>
          <w:sz w:val="18"/>
        </w:rPr>
        <w:t> </w:t>
      </w:r>
      <w:r>
        <w:rPr>
          <w:sz w:val="18"/>
        </w:rPr>
        <w:t>Control</w:t>
      </w:r>
      <w:r>
        <w:rPr>
          <w:spacing w:val="-12"/>
          <w:sz w:val="18"/>
        </w:rPr>
        <w:t> </w:t>
      </w:r>
      <w:r>
        <w:rPr>
          <w:sz w:val="18"/>
        </w:rPr>
        <w:t>Technologies.</w:t>
      </w:r>
      <w:r>
        <w:rPr>
          <w:spacing w:val="-12"/>
          <w:sz w:val="18"/>
        </w:rPr>
        <w:t> </w:t>
      </w:r>
      <w:r>
        <w:rPr>
          <w:spacing w:val="-4"/>
          <w:sz w:val="18"/>
        </w:rPr>
        <w:t>Volume</w:t>
      </w:r>
      <w:r>
        <w:rPr>
          <w:spacing w:val="-8"/>
          <w:sz w:val="18"/>
        </w:rPr>
        <w:t> </w:t>
      </w:r>
      <w:r>
        <w:rPr>
          <w:sz w:val="18"/>
        </w:rPr>
        <w:t>II: Papers, Posters and Panel Discussion, </w:t>
      </w:r>
      <w:r>
        <w:rPr>
          <w:i/>
          <w:sz w:val="18"/>
        </w:rPr>
        <w:t>Elsevier Science</w:t>
      </w:r>
      <w:r>
        <w:rPr>
          <w:sz w:val="18"/>
        </w:rPr>
        <w:t>, Oxford UK,</w:t>
      </w:r>
      <w:r>
        <w:rPr>
          <w:spacing w:val="-2"/>
          <w:sz w:val="18"/>
        </w:rPr>
        <w:t> </w:t>
      </w:r>
      <w:r>
        <w:rPr>
          <w:sz w:val="18"/>
        </w:rPr>
        <w:t>1053-1058.</w:t>
      </w:r>
    </w:p>
    <w:p>
      <w:pPr>
        <w:spacing w:line="240" w:lineRule="exact" w:before="0"/>
        <w:ind w:left="457" w:right="512" w:hanging="341"/>
        <w:jc w:val="both"/>
        <w:rPr>
          <w:sz w:val="18"/>
        </w:rPr>
      </w:pPr>
      <w:r>
        <w:rPr>
          <w:b/>
          <w:sz w:val="18"/>
        </w:rPr>
        <w:t>Chakma, </w:t>
      </w:r>
      <w:r>
        <w:rPr>
          <w:sz w:val="18"/>
        </w:rPr>
        <w:t>A., </w:t>
      </w:r>
      <w:r>
        <w:rPr>
          <w:spacing w:val="-10"/>
          <w:sz w:val="18"/>
        </w:rPr>
        <w:t>P. </w:t>
      </w:r>
      <w:r>
        <w:rPr>
          <w:sz w:val="18"/>
        </w:rPr>
        <w:t>Tontiwachwuthikul, 1999: Designer Solvents for Energy Efficient CO</w:t>
      </w:r>
      <w:r>
        <w:rPr>
          <w:position w:val="-5"/>
          <w:sz w:val="10"/>
        </w:rPr>
        <w:t>2 </w:t>
      </w:r>
      <w:r>
        <w:rPr>
          <w:sz w:val="18"/>
        </w:rPr>
        <w:t>Separation from Flue Gas Streams. Greenhouse</w:t>
      </w:r>
      <w:r>
        <w:rPr>
          <w:spacing w:val="-14"/>
          <w:sz w:val="18"/>
        </w:rPr>
        <w:t> </w:t>
      </w:r>
      <w:r>
        <w:rPr>
          <w:sz w:val="18"/>
        </w:rPr>
        <w:t>Gas</w:t>
      </w:r>
      <w:r>
        <w:rPr>
          <w:spacing w:val="-13"/>
          <w:sz w:val="18"/>
        </w:rPr>
        <w:t> </w:t>
      </w:r>
      <w:r>
        <w:rPr>
          <w:sz w:val="18"/>
        </w:rPr>
        <w:t>Control</w:t>
      </w:r>
      <w:r>
        <w:rPr>
          <w:spacing w:val="-15"/>
          <w:sz w:val="18"/>
        </w:rPr>
        <w:t> </w:t>
      </w:r>
      <w:r>
        <w:rPr>
          <w:sz w:val="18"/>
        </w:rPr>
        <w:t>Technologies.</w:t>
      </w:r>
      <w:r>
        <w:rPr>
          <w:spacing w:val="-13"/>
          <w:sz w:val="18"/>
        </w:rPr>
        <w:t> </w:t>
      </w:r>
      <w:r>
        <w:rPr>
          <w:sz w:val="18"/>
        </w:rPr>
        <w:t>Riemer,</w:t>
      </w:r>
      <w:r>
        <w:rPr>
          <w:spacing w:val="-13"/>
          <w:sz w:val="18"/>
        </w:rPr>
        <w:t> </w:t>
      </w:r>
      <w:r>
        <w:rPr>
          <w:spacing w:val="-7"/>
          <w:sz w:val="18"/>
        </w:rPr>
        <w:t>P.,</w:t>
      </w:r>
      <w:r>
        <w:rPr>
          <w:spacing w:val="-13"/>
          <w:sz w:val="18"/>
        </w:rPr>
        <w:t> </w:t>
      </w:r>
      <w:r>
        <w:rPr>
          <w:sz w:val="18"/>
        </w:rPr>
        <w:t>B.</w:t>
      </w:r>
      <w:r>
        <w:rPr>
          <w:spacing w:val="-13"/>
          <w:sz w:val="18"/>
        </w:rPr>
        <w:t> </w:t>
      </w:r>
      <w:r>
        <w:rPr>
          <w:sz w:val="18"/>
        </w:rPr>
        <w:t>Eliasson,</w:t>
      </w:r>
      <w:r>
        <w:rPr>
          <w:spacing w:val="-22"/>
          <w:sz w:val="18"/>
        </w:rPr>
        <w:t> </w:t>
      </w:r>
      <w:r>
        <w:rPr>
          <w:sz w:val="18"/>
        </w:rPr>
        <w:t>A. </w:t>
      </w:r>
      <w:r>
        <w:rPr>
          <w:spacing w:val="-3"/>
          <w:sz w:val="18"/>
        </w:rPr>
        <w:t>Wokaun </w:t>
      </w:r>
      <w:r>
        <w:rPr>
          <w:sz w:val="18"/>
        </w:rPr>
        <w:t>(eds.), </w:t>
      </w:r>
      <w:r>
        <w:rPr>
          <w:i/>
          <w:sz w:val="18"/>
        </w:rPr>
        <w:t>Elsevier Science, Ltd.</w:t>
      </w:r>
      <w:r>
        <w:rPr>
          <w:sz w:val="18"/>
        </w:rPr>
        <w:t>, United Kingdom,</w:t>
      </w:r>
      <w:r>
        <w:rPr>
          <w:spacing w:val="-8"/>
          <w:sz w:val="18"/>
        </w:rPr>
        <w:t> </w:t>
      </w:r>
      <w:r>
        <w:rPr>
          <w:sz w:val="18"/>
        </w:rPr>
        <w:t>35-42.</w:t>
      </w:r>
    </w:p>
    <w:p>
      <w:pPr>
        <w:spacing w:line="240" w:lineRule="exact" w:before="0"/>
        <w:ind w:left="457" w:right="511" w:hanging="341"/>
        <w:jc w:val="both"/>
        <w:rPr>
          <w:sz w:val="18"/>
        </w:rPr>
      </w:pPr>
      <w:r>
        <w:rPr>
          <w:b/>
          <w:sz w:val="18"/>
        </w:rPr>
        <w:t>Chakma, </w:t>
      </w:r>
      <w:r>
        <w:rPr>
          <w:sz w:val="18"/>
        </w:rPr>
        <w:t>A., 1995: An Energy Efficient Mixed Solvent for the Separation of CO</w:t>
      </w:r>
      <w:r>
        <w:rPr>
          <w:position w:val="-5"/>
          <w:sz w:val="10"/>
        </w:rPr>
        <w:t>2</w:t>
      </w:r>
      <w:r>
        <w:rPr>
          <w:sz w:val="18"/>
        </w:rPr>
        <w:t>. </w:t>
      </w:r>
      <w:r>
        <w:rPr>
          <w:i/>
          <w:sz w:val="18"/>
        </w:rPr>
        <w:t>Energy Conversion and Management</w:t>
      </w:r>
      <w:r>
        <w:rPr>
          <w:sz w:val="18"/>
        </w:rPr>
        <w:t>, </w:t>
      </w:r>
      <w:r>
        <w:rPr>
          <w:b/>
          <w:sz w:val="18"/>
        </w:rPr>
        <w:t>36</w:t>
      </w:r>
      <w:r>
        <w:rPr>
          <w:sz w:val="18"/>
        </w:rPr>
        <w:t>(6- 9), 427-430.</w:t>
      </w:r>
    </w:p>
    <w:p>
      <w:pPr>
        <w:spacing w:line="278" w:lineRule="auto" w:before="24"/>
        <w:ind w:left="457" w:right="512" w:hanging="341"/>
        <w:jc w:val="both"/>
        <w:rPr>
          <w:sz w:val="18"/>
        </w:rPr>
      </w:pPr>
      <w:r>
        <w:rPr>
          <w:b/>
          <w:sz w:val="18"/>
        </w:rPr>
        <w:t>Chakravarty,</w:t>
      </w:r>
      <w:r>
        <w:rPr>
          <w:b/>
          <w:spacing w:val="-12"/>
          <w:sz w:val="18"/>
        </w:rPr>
        <w:t> </w:t>
      </w:r>
      <w:r>
        <w:rPr>
          <w:sz w:val="18"/>
        </w:rPr>
        <w:t>S.,</w:t>
      </w:r>
      <w:r>
        <w:rPr>
          <w:spacing w:val="-21"/>
          <w:sz w:val="18"/>
        </w:rPr>
        <w:t> </w:t>
      </w:r>
      <w:r>
        <w:rPr>
          <w:sz w:val="18"/>
        </w:rPr>
        <w:t>A.</w:t>
      </w:r>
      <w:r>
        <w:rPr>
          <w:spacing w:val="-12"/>
          <w:sz w:val="18"/>
        </w:rPr>
        <w:t> </w:t>
      </w:r>
      <w:r>
        <w:rPr>
          <w:sz w:val="18"/>
        </w:rPr>
        <w:t>Gupta,</w:t>
      </w:r>
      <w:r>
        <w:rPr>
          <w:spacing w:val="-12"/>
          <w:sz w:val="18"/>
        </w:rPr>
        <w:t> </w:t>
      </w:r>
      <w:r>
        <w:rPr>
          <w:sz w:val="18"/>
        </w:rPr>
        <w:t>B.</w:t>
      </w:r>
      <w:r>
        <w:rPr>
          <w:spacing w:val="-13"/>
          <w:sz w:val="18"/>
        </w:rPr>
        <w:t> </w:t>
      </w:r>
      <w:r>
        <w:rPr>
          <w:sz w:val="18"/>
        </w:rPr>
        <w:t>Hunek,</w:t>
      </w:r>
      <w:r>
        <w:rPr>
          <w:spacing w:val="-12"/>
          <w:sz w:val="18"/>
        </w:rPr>
        <w:t> </w:t>
      </w:r>
      <w:r>
        <w:rPr>
          <w:sz w:val="18"/>
        </w:rPr>
        <w:t>2001:</w:t>
      </w:r>
      <w:r>
        <w:rPr>
          <w:spacing w:val="-21"/>
          <w:sz w:val="18"/>
        </w:rPr>
        <w:t> </w:t>
      </w:r>
      <w:r>
        <w:rPr>
          <w:sz w:val="18"/>
        </w:rPr>
        <w:t>Advanced</w:t>
      </w:r>
      <w:r>
        <w:rPr>
          <w:spacing w:val="-12"/>
          <w:sz w:val="18"/>
        </w:rPr>
        <w:t> </w:t>
      </w:r>
      <w:r>
        <w:rPr>
          <w:sz w:val="18"/>
        </w:rPr>
        <w:t>technology</w:t>
      </w:r>
      <w:r>
        <w:rPr>
          <w:spacing w:val="-12"/>
          <w:sz w:val="18"/>
        </w:rPr>
        <w:t> </w:t>
      </w:r>
      <w:r>
        <w:rPr>
          <w:sz w:val="18"/>
        </w:rPr>
        <w:t>for the capture of carbon dioxide from flue gases, Presented at First National Conference on Carbon Sequestration,</w:t>
      </w:r>
      <w:r>
        <w:rPr>
          <w:spacing w:val="-34"/>
          <w:sz w:val="18"/>
        </w:rPr>
        <w:t> </w:t>
      </w:r>
      <w:r>
        <w:rPr>
          <w:sz w:val="18"/>
        </w:rPr>
        <w:t>Washington, DC.</w:t>
      </w:r>
    </w:p>
    <w:p>
      <w:pPr>
        <w:spacing w:line="245" w:lineRule="exact" w:before="0"/>
        <w:ind w:left="117" w:right="0" w:firstLine="0"/>
        <w:jc w:val="both"/>
        <w:rPr>
          <w:sz w:val="10"/>
        </w:rPr>
      </w:pPr>
      <w:r>
        <w:rPr>
          <w:b/>
          <w:sz w:val="18"/>
        </w:rPr>
        <w:t>Chapel, </w:t>
      </w:r>
      <w:r>
        <w:rPr>
          <w:sz w:val="18"/>
        </w:rPr>
        <w:t>D.G., C.L. Mariz, and J. Ernest, 1999: Recovery of CO</w:t>
      </w:r>
      <w:r>
        <w:rPr>
          <w:position w:val="-5"/>
          <w:sz w:val="10"/>
        </w:rPr>
        <w:t>2</w:t>
      </w:r>
    </w:p>
    <w:p>
      <w:pPr>
        <w:spacing w:line="278" w:lineRule="auto" w:before="0"/>
        <w:ind w:left="457" w:right="511" w:firstLine="0"/>
        <w:jc w:val="both"/>
        <w:rPr>
          <w:sz w:val="18"/>
        </w:rPr>
      </w:pPr>
      <w:r>
        <w:rPr>
          <w:sz w:val="18"/>
        </w:rPr>
        <w:t>from flue gases: commercial trends, paper No. 340 at the Annual Meeting of the Canadian Society of Chemical Engineering, Saskatoon, Canada, October.</w:t>
      </w:r>
    </w:p>
    <w:p>
      <w:pPr>
        <w:spacing w:line="278" w:lineRule="auto" w:before="0"/>
        <w:ind w:left="457" w:right="512" w:hanging="341"/>
        <w:jc w:val="both"/>
        <w:rPr>
          <w:sz w:val="18"/>
        </w:rPr>
      </w:pPr>
      <w:r>
        <w:rPr>
          <w:b/>
          <w:sz w:val="18"/>
        </w:rPr>
        <w:t>Chatel-Pelage, </w:t>
      </w:r>
      <w:r>
        <w:rPr>
          <w:spacing w:val="-5"/>
          <w:sz w:val="18"/>
        </w:rPr>
        <w:t>F., </w:t>
      </w:r>
      <w:r>
        <w:rPr>
          <w:sz w:val="18"/>
        </w:rPr>
        <w:t>M. Ovidiu, R. Carty, G. Philo, H. Farzan, S. </w:t>
      </w:r>
      <w:r>
        <w:rPr>
          <w:spacing w:val="-4"/>
          <w:sz w:val="18"/>
        </w:rPr>
        <w:t>Vecci, </w:t>
      </w:r>
      <w:r>
        <w:rPr>
          <w:sz w:val="18"/>
        </w:rPr>
        <w:t>2003: A pilot scale demonstration of oxy-fuel combustion with flue</w:t>
      </w:r>
      <w:r>
        <w:rPr>
          <w:spacing w:val="-15"/>
          <w:sz w:val="18"/>
        </w:rPr>
        <w:t> </w:t>
      </w:r>
      <w:r>
        <w:rPr>
          <w:sz w:val="18"/>
        </w:rPr>
        <w:t>gas</w:t>
      </w:r>
      <w:r>
        <w:rPr>
          <w:spacing w:val="-15"/>
          <w:sz w:val="18"/>
        </w:rPr>
        <w:t> </w:t>
      </w:r>
      <w:r>
        <w:rPr>
          <w:sz w:val="18"/>
        </w:rPr>
        <w:t>recirculation</w:t>
      </w:r>
      <w:r>
        <w:rPr>
          <w:spacing w:val="-15"/>
          <w:sz w:val="18"/>
        </w:rPr>
        <w:t> </w:t>
      </w:r>
      <w:r>
        <w:rPr>
          <w:sz w:val="18"/>
        </w:rPr>
        <w:t>in</w:t>
      </w:r>
      <w:r>
        <w:rPr>
          <w:spacing w:val="-15"/>
          <w:sz w:val="18"/>
        </w:rPr>
        <w:t> </w:t>
      </w:r>
      <w:r>
        <w:rPr>
          <w:sz w:val="18"/>
        </w:rPr>
        <w:t>a</w:t>
      </w:r>
      <w:r>
        <w:rPr>
          <w:spacing w:val="-15"/>
          <w:sz w:val="18"/>
        </w:rPr>
        <w:t> </w:t>
      </w:r>
      <w:r>
        <w:rPr>
          <w:sz w:val="18"/>
        </w:rPr>
        <w:t>pulverised</w:t>
      </w:r>
      <w:r>
        <w:rPr>
          <w:spacing w:val="-14"/>
          <w:sz w:val="18"/>
        </w:rPr>
        <w:t> </w:t>
      </w:r>
      <w:r>
        <w:rPr>
          <w:sz w:val="18"/>
        </w:rPr>
        <w:t>coal-fired</w:t>
      </w:r>
      <w:r>
        <w:rPr>
          <w:spacing w:val="-15"/>
          <w:sz w:val="18"/>
        </w:rPr>
        <w:t> </w:t>
      </w:r>
      <w:r>
        <w:rPr>
          <w:sz w:val="18"/>
        </w:rPr>
        <w:t>boiler,</w:t>
      </w:r>
      <w:r>
        <w:rPr>
          <w:spacing w:val="-15"/>
          <w:sz w:val="18"/>
        </w:rPr>
        <w:t> </w:t>
      </w:r>
      <w:r>
        <w:rPr>
          <w:sz w:val="18"/>
        </w:rPr>
        <w:t>Proceedings 28</w:t>
      </w:r>
      <w:r>
        <w:rPr>
          <w:position w:val="6"/>
          <w:sz w:val="10"/>
        </w:rPr>
        <w:t>th </w:t>
      </w:r>
      <w:r>
        <w:rPr>
          <w:sz w:val="18"/>
        </w:rPr>
        <w:t>International Technical Conference on Coal Utilization &amp; Fuel Systems, Clearwater, Florida, March</w:t>
      </w:r>
      <w:r>
        <w:rPr>
          <w:spacing w:val="-9"/>
          <w:sz w:val="18"/>
        </w:rPr>
        <w:t> </w:t>
      </w:r>
      <w:r>
        <w:rPr>
          <w:sz w:val="18"/>
        </w:rPr>
        <w:t>10-13.</w:t>
      </w:r>
    </w:p>
    <w:p>
      <w:pPr>
        <w:spacing w:line="278" w:lineRule="auto" w:before="0"/>
        <w:ind w:left="457" w:right="511" w:hanging="341"/>
        <w:jc w:val="both"/>
        <w:rPr>
          <w:sz w:val="18"/>
        </w:rPr>
      </w:pPr>
      <w:r>
        <w:rPr>
          <w:b/>
          <w:sz w:val="18"/>
        </w:rPr>
        <w:t>Cheeley, </w:t>
      </w:r>
      <w:r>
        <w:rPr>
          <w:sz w:val="18"/>
        </w:rPr>
        <w:t>R., 2000: Combining gasifiers with the MIDREX® direct reduction process, Gasification 4 Conference, Amsterdam, Netherlands, 11-13 April.</w:t>
      </w:r>
    </w:p>
    <w:p>
      <w:pPr>
        <w:spacing w:line="207" w:lineRule="exact" w:before="0"/>
        <w:ind w:left="117" w:right="0" w:firstLine="0"/>
        <w:jc w:val="both"/>
        <w:rPr>
          <w:sz w:val="18"/>
        </w:rPr>
      </w:pPr>
      <w:r>
        <w:rPr>
          <w:b/>
          <w:sz w:val="18"/>
        </w:rPr>
        <w:t>Chen, </w:t>
      </w:r>
      <w:r>
        <w:rPr>
          <w:sz w:val="18"/>
        </w:rPr>
        <w:t>C., A.B. Rao, and E.S. Rubin, 2003: Comparative assessment of</w:t>
      </w:r>
    </w:p>
    <w:p>
      <w:pPr>
        <w:spacing w:after="0" w:line="207" w:lineRule="exact"/>
        <w:jc w:val="both"/>
        <w:rPr>
          <w:sz w:val="18"/>
        </w:rPr>
        <w:sectPr>
          <w:pgSz w:w="12240" w:h="15840"/>
          <w:pgMar w:header="567" w:footer="0" w:top="1120" w:bottom="280" w:left="620" w:right="620"/>
          <w:cols w:num="2" w:equalWidth="0">
            <w:col w:w="5201" w:space="125"/>
            <w:col w:w="5674"/>
          </w:cols>
        </w:sectPr>
      </w:pPr>
    </w:p>
    <w:p>
      <w:pPr>
        <w:spacing w:line="240" w:lineRule="exact" w:before="124"/>
        <w:ind w:left="854" w:right="1" w:firstLine="0"/>
        <w:jc w:val="both"/>
        <w:rPr>
          <w:sz w:val="18"/>
        </w:rPr>
      </w:pPr>
      <w:r>
        <w:rPr>
          <w:sz w:val="18"/>
        </w:rPr>
        <w:t>CO</w:t>
      </w:r>
      <w:r>
        <w:rPr>
          <w:position w:val="-5"/>
          <w:sz w:val="10"/>
        </w:rPr>
        <w:t>2</w:t>
      </w:r>
      <w:r>
        <w:rPr>
          <w:spacing w:val="4"/>
          <w:position w:val="-5"/>
          <w:sz w:val="10"/>
        </w:rPr>
        <w:t> </w:t>
      </w:r>
      <w:r>
        <w:rPr>
          <w:sz w:val="18"/>
        </w:rPr>
        <w:t>capture</w:t>
      </w:r>
      <w:r>
        <w:rPr>
          <w:spacing w:val="-17"/>
          <w:sz w:val="18"/>
        </w:rPr>
        <w:t> </w:t>
      </w:r>
      <w:r>
        <w:rPr>
          <w:sz w:val="18"/>
        </w:rPr>
        <w:t>options</w:t>
      </w:r>
      <w:r>
        <w:rPr>
          <w:spacing w:val="-16"/>
          <w:sz w:val="18"/>
        </w:rPr>
        <w:t> </w:t>
      </w:r>
      <w:r>
        <w:rPr>
          <w:sz w:val="18"/>
        </w:rPr>
        <w:t>for</w:t>
      </w:r>
      <w:r>
        <w:rPr>
          <w:spacing w:val="-15"/>
          <w:sz w:val="18"/>
        </w:rPr>
        <w:t> </w:t>
      </w:r>
      <w:r>
        <w:rPr>
          <w:sz w:val="18"/>
        </w:rPr>
        <w:t>existing</w:t>
      </w:r>
      <w:r>
        <w:rPr>
          <w:spacing w:val="-17"/>
          <w:sz w:val="18"/>
        </w:rPr>
        <w:t> </w:t>
      </w:r>
      <w:r>
        <w:rPr>
          <w:sz w:val="18"/>
        </w:rPr>
        <w:t>coal-fired</w:t>
      </w:r>
      <w:r>
        <w:rPr>
          <w:spacing w:val="-17"/>
          <w:sz w:val="18"/>
        </w:rPr>
        <w:t> </w:t>
      </w:r>
      <w:r>
        <w:rPr>
          <w:sz w:val="18"/>
        </w:rPr>
        <w:t>power</w:t>
      </w:r>
      <w:r>
        <w:rPr>
          <w:spacing w:val="-16"/>
          <w:sz w:val="18"/>
        </w:rPr>
        <w:t> </w:t>
      </w:r>
      <w:r>
        <w:rPr>
          <w:sz w:val="18"/>
        </w:rPr>
        <w:t>plants,</w:t>
      </w:r>
      <w:r>
        <w:rPr>
          <w:spacing w:val="-15"/>
          <w:sz w:val="18"/>
        </w:rPr>
        <w:t> </w:t>
      </w:r>
      <w:r>
        <w:rPr>
          <w:sz w:val="18"/>
        </w:rPr>
        <w:t>presented at the Second National Conference on Carbon Sequestration, Alexandria, </w:t>
      </w:r>
      <w:r>
        <w:rPr>
          <w:spacing w:val="-9"/>
          <w:sz w:val="18"/>
        </w:rPr>
        <w:t>VA, </w:t>
      </w:r>
      <w:r>
        <w:rPr>
          <w:sz w:val="18"/>
        </w:rPr>
        <w:t>USA, 5-8</w:t>
      </w:r>
      <w:r>
        <w:rPr>
          <w:spacing w:val="2"/>
          <w:sz w:val="18"/>
        </w:rPr>
        <w:t> </w:t>
      </w:r>
      <w:r>
        <w:rPr>
          <w:spacing w:val="-4"/>
          <w:sz w:val="18"/>
        </w:rPr>
        <w:t>May.</w:t>
      </w:r>
    </w:p>
    <w:p>
      <w:pPr>
        <w:spacing w:line="240" w:lineRule="exact" w:before="0"/>
        <w:ind w:left="854" w:right="0" w:hanging="341"/>
        <w:jc w:val="both"/>
        <w:rPr>
          <w:sz w:val="18"/>
        </w:rPr>
      </w:pPr>
      <w:r>
        <w:rPr>
          <w:b/>
          <w:sz w:val="18"/>
        </w:rPr>
        <w:t>Chen, </w:t>
      </w:r>
      <w:r>
        <w:rPr>
          <w:sz w:val="18"/>
        </w:rPr>
        <w:t>H., A.S. Kovvali, S. Majumdar, K.K. Sirkar, 1999: Selective CO</w:t>
      </w:r>
      <w:r>
        <w:rPr>
          <w:position w:val="-5"/>
          <w:sz w:val="10"/>
        </w:rPr>
        <w:t>2 </w:t>
      </w:r>
      <w:r>
        <w:rPr>
          <w:sz w:val="18"/>
        </w:rPr>
        <w:t>separation from CO</w:t>
      </w:r>
      <w:r>
        <w:rPr>
          <w:position w:val="-5"/>
          <w:sz w:val="10"/>
        </w:rPr>
        <w:t>2</w:t>
      </w:r>
      <w:r>
        <w:rPr>
          <w:sz w:val="18"/>
        </w:rPr>
        <w:t>-N</w:t>
      </w:r>
      <w:r>
        <w:rPr>
          <w:position w:val="-5"/>
          <w:sz w:val="10"/>
        </w:rPr>
        <w:t>2 </w:t>
      </w:r>
      <w:r>
        <w:rPr>
          <w:sz w:val="18"/>
        </w:rPr>
        <w:t>mixtures by immobilised carbonate- glycerol membranes</w:t>
      </w:r>
      <w:r>
        <w:rPr>
          <w:i/>
          <w:sz w:val="18"/>
        </w:rPr>
        <w:t>, Ind. Eng. Chem., </w:t>
      </w:r>
      <w:r>
        <w:rPr>
          <w:b/>
          <w:sz w:val="18"/>
        </w:rPr>
        <w:t>38</w:t>
      </w:r>
      <w:r>
        <w:rPr>
          <w:sz w:val="18"/>
        </w:rPr>
        <w:t>, 3489-3498.</w:t>
      </w:r>
    </w:p>
    <w:p>
      <w:pPr>
        <w:spacing w:line="240" w:lineRule="exact" w:before="0"/>
        <w:ind w:left="854" w:right="1" w:hanging="341"/>
        <w:jc w:val="both"/>
        <w:rPr>
          <w:sz w:val="18"/>
        </w:rPr>
      </w:pPr>
      <w:r>
        <w:rPr>
          <w:b/>
          <w:sz w:val="18"/>
        </w:rPr>
        <w:t>Chiesa, </w:t>
      </w:r>
      <w:r>
        <w:rPr>
          <w:sz w:val="18"/>
        </w:rPr>
        <w:t>P., S. Consonni, T. Kreutz, and R. Williams, 2005: Co- production of hydrogen, electricity and CO</w:t>
      </w:r>
      <w:r>
        <w:rPr>
          <w:position w:val="-5"/>
          <w:sz w:val="10"/>
        </w:rPr>
        <w:t>2 </w:t>
      </w:r>
      <w:r>
        <w:rPr>
          <w:sz w:val="18"/>
        </w:rPr>
        <w:t>from coal with commercially ready technology. Part A: Performance and emissions, </w:t>
      </w:r>
      <w:r>
        <w:rPr>
          <w:i/>
          <w:sz w:val="18"/>
        </w:rPr>
        <w:t>International Journal of Hydrogen Energy, </w:t>
      </w:r>
      <w:r>
        <w:rPr>
          <w:b/>
          <w:sz w:val="18"/>
        </w:rPr>
        <w:t>30 </w:t>
      </w:r>
      <w:r>
        <w:rPr>
          <w:sz w:val="18"/>
        </w:rPr>
        <w:t>(7): 747-767.</w:t>
      </w:r>
    </w:p>
    <w:p>
      <w:pPr>
        <w:spacing w:line="278" w:lineRule="auto" w:before="24"/>
        <w:ind w:left="854" w:right="0" w:hanging="341"/>
        <w:jc w:val="both"/>
        <w:rPr>
          <w:sz w:val="18"/>
        </w:rPr>
      </w:pPr>
      <w:r>
        <w:rPr>
          <w:b/>
          <w:sz w:val="18"/>
        </w:rPr>
        <w:t>Cho, </w:t>
      </w:r>
      <w:r>
        <w:rPr>
          <w:spacing w:val="-7"/>
          <w:sz w:val="18"/>
        </w:rPr>
        <w:t>P., T.</w:t>
      </w:r>
      <w:r>
        <w:rPr>
          <w:spacing w:val="31"/>
          <w:sz w:val="18"/>
        </w:rPr>
        <w:t> </w:t>
      </w:r>
      <w:r>
        <w:rPr>
          <w:sz w:val="18"/>
        </w:rPr>
        <w:t>Mattisson, and A. Lyngfelt, 2002: Reactivity of</w:t>
      </w:r>
      <w:r>
        <w:rPr>
          <w:spacing w:val="45"/>
          <w:sz w:val="18"/>
        </w:rPr>
        <w:t> </w:t>
      </w:r>
      <w:r>
        <w:rPr>
          <w:sz w:val="18"/>
        </w:rPr>
        <w:t>iron oxide with methane in a laboratory fluidised bed - application   of chemical-looping combustion, 7th International Conference on Circulating Fluidised Beds, Niagara Falls, Ontario, May 5-7, 2002, 599-606.</w:t>
      </w:r>
    </w:p>
    <w:p>
      <w:pPr>
        <w:spacing w:line="230" w:lineRule="auto" w:before="4"/>
        <w:ind w:left="854" w:right="0" w:hanging="341"/>
        <w:jc w:val="both"/>
        <w:rPr>
          <w:sz w:val="18"/>
        </w:rPr>
      </w:pPr>
      <w:r>
        <w:rPr>
          <w:b/>
          <w:sz w:val="18"/>
        </w:rPr>
        <w:t>Croiset, </w:t>
      </w:r>
      <w:r>
        <w:rPr>
          <w:sz w:val="18"/>
        </w:rPr>
        <w:t>E. and K.V. Thambimuthu, 2000: Coal combustion in O</w:t>
      </w:r>
      <w:r>
        <w:rPr>
          <w:position w:val="-5"/>
          <w:sz w:val="10"/>
        </w:rPr>
        <w:t>2</w:t>
      </w:r>
      <w:r>
        <w:rPr>
          <w:sz w:val="18"/>
        </w:rPr>
        <w:t>/ CO</w:t>
      </w:r>
      <w:r>
        <w:rPr>
          <w:position w:val="-5"/>
          <w:sz w:val="10"/>
        </w:rPr>
        <w:t>2 </w:t>
      </w:r>
      <w:r>
        <w:rPr>
          <w:sz w:val="18"/>
        </w:rPr>
        <w:t>Mixtures Compared to Air. </w:t>
      </w:r>
      <w:r>
        <w:rPr>
          <w:i/>
          <w:sz w:val="18"/>
        </w:rPr>
        <w:t>Canadian Journal of Chemical </w:t>
      </w:r>
      <w:r>
        <w:rPr>
          <w:i/>
          <w:sz w:val="18"/>
        </w:rPr>
        <w:t>Engineering</w:t>
      </w:r>
      <w:r>
        <w:rPr>
          <w:sz w:val="18"/>
        </w:rPr>
        <w:t>, </w:t>
      </w:r>
      <w:r>
        <w:rPr>
          <w:b/>
          <w:sz w:val="18"/>
        </w:rPr>
        <w:t>78</w:t>
      </w:r>
      <w:r>
        <w:rPr>
          <w:sz w:val="18"/>
        </w:rPr>
        <w:t>, 402-407.</w:t>
      </w:r>
    </w:p>
    <w:p>
      <w:pPr>
        <w:spacing w:line="278" w:lineRule="auto" w:before="34"/>
        <w:ind w:left="854" w:right="0" w:hanging="341"/>
        <w:jc w:val="both"/>
        <w:rPr>
          <w:sz w:val="18"/>
        </w:rPr>
      </w:pPr>
      <w:r>
        <w:rPr>
          <w:b/>
          <w:sz w:val="18"/>
        </w:rPr>
        <w:t>Cullinane, </w:t>
      </w:r>
      <w:r>
        <w:rPr>
          <w:spacing w:val="-4"/>
          <w:sz w:val="18"/>
        </w:rPr>
        <w:t>J.T. </w:t>
      </w:r>
      <w:r>
        <w:rPr>
          <w:sz w:val="18"/>
        </w:rPr>
        <w:t>and G. </w:t>
      </w:r>
      <w:r>
        <w:rPr>
          <w:spacing w:val="-7"/>
          <w:sz w:val="18"/>
        </w:rPr>
        <w:t>T. </w:t>
      </w:r>
      <w:r>
        <w:rPr>
          <w:sz w:val="18"/>
        </w:rPr>
        <w:t>Rochelle, 2003: Carbon Dioxide Absorption with Aqueous Potassium Carbonate Promoted by Piperazine, Greenhouse Gas Control Technologies, </w:t>
      </w:r>
      <w:r>
        <w:rPr>
          <w:spacing w:val="-6"/>
          <w:sz w:val="18"/>
        </w:rPr>
        <w:t>Vol. </w:t>
      </w:r>
      <w:r>
        <w:rPr>
          <w:sz w:val="18"/>
        </w:rPr>
        <w:t>II, J. Gale, </w:t>
      </w:r>
      <w:r>
        <w:rPr>
          <w:spacing w:val="-12"/>
          <w:sz w:val="18"/>
        </w:rPr>
        <w:t>Y. </w:t>
      </w:r>
      <w:r>
        <w:rPr>
          <w:sz w:val="18"/>
        </w:rPr>
        <w:t>Kaya, </w:t>
      </w:r>
      <w:r>
        <w:rPr>
          <w:i/>
          <w:sz w:val="18"/>
        </w:rPr>
        <w:t>Elsevier Science, Ltd.</w:t>
      </w:r>
      <w:r>
        <w:rPr>
          <w:sz w:val="18"/>
        </w:rPr>
        <w:t>, United Kingdom, 1603-1606.</w:t>
      </w:r>
    </w:p>
    <w:p>
      <w:pPr>
        <w:spacing w:line="278" w:lineRule="auto" w:before="0"/>
        <w:ind w:left="854" w:right="1" w:hanging="341"/>
        <w:jc w:val="both"/>
        <w:rPr>
          <w:sz w:val="18"/>
        </w:rPr>
      </w:pPr>
      <w:r>
        <w:rPr>
          <w:b/>
          <w:sz w:val="18"/>
        </w:rPr>
        <w:t>Curran,</w:t>
      </w:r>
      <w:r>
        <w:rPr>
          <w:b/>
          <w:spacing w:val="-8"/>
          <w:sz w:val="18"/>
        </w:rPr>
        <w:t> </w:t>
      </w:r>
      <w:r>
        <w:rPr>
          <w:sz w:val="18"/>
        </w:rPr>
        <w:t>G</w:t>
      </w:r>
      <w:r>
        <w:rPr>
          <w:spacing w:val="-7"/>
          <w:sz w:val="18"/>
        </w:rPr>
        <w:t> P., </w:t>
      </w:r>
      <w:r>
        <w:rPr>
          <w:sz w:val="18"/>
        </w:rPr>
        <w:t>C.E.</w:t>
      </w:r>
      <w:r>
        <w:rPr>
          <w:spacing w:val="-8"/>
          <w:sz w:val="18"/>
        </w:rPr>
        <w:t> </w:t>
      </w:r>
      <w:r>
        <w:rPr>
          <w:sz w:val="18"/>
        </w:rPr>
        <w:t>Fink,</w:t>
      </w:r>
      <w:r>
        <w:rPr>
          <w:spacing w:val="-7"/>
          <w:sz w:val="18"/>
        </w:rPr>
        <w:t> </w:t>
      </w:r>
      <w:r>
        <w:rPr>
          <w:sz w:val="18"/>
        </w:rPr>
        <w:t>and</w:t>
      </w:r>
      <w:r>
        <w:rPr>
          <w:spacing w:val="-7"/>
          <w:sz w:val="18"/>
        </w:rPr>
        <w:t> </w:t>
      </w:r>
      <w:r>
        <w:rPr>
          <w:sz w:val="18"/>
        </w:rPr>
        <w:t>E.</w:t>
      </w:r>
      <w:r>
        <w:rPr>
          <w:spacing w:val="-8"/>
          <w:sz w:val="18"/>
        </w:rPr>
        <w:t> </w:t>
      </w:r>
      <w:r>
        <w:rPr>
          <w:sz w:val="18"/>
        </w:rPr>
        <w:t>Gorin,</w:t>
      </w:r>
      <w:r>
        <w:rPr>
          <w:spacing w:val="-7"/>
          <w:sz w:val="18"/>
        </w:rPr>
        <w:t> </w:t>
      </w:r>
      <w:r>
        <w:rPr>
          <w:sz w:val="18"/>
        </w:rPr>
        <w:t>1967:</w:t>
      </w:r>
      <w:r>
        <w:rPr>
          <w:spacing w:val="-7"/>
          <w:sz w:val="18"/>
        </w:rPr>
        <w:t> </w:t>
      </w:r>
      <w:r>
        <w:rPr>
          <w:sz w:val="18"/>
        </w:rPr>
        <w:t>Carbon</w:t>
      </w:r>
      <w:r>
        <w:rPr>
          <w:spacing w:val="-8"/>
          <w:sz w:val="18"/>
        </w:rPr>
        <w:t> </w:t>
      </w:r>
      <w:r>
        <w:rPr>
          <w:sz w:val="18"/>
        </w:rPr>
        <w:t>dioxide-acceptor gasification process. Studies of acceptor properties. </w:t>
      </w:r>
      <w:r>
        <w:rPr>
          <w:i/>
          <w:spacing w:val="-4"/>
          <w:sz w:val="18"/>
        </w:rPr>
        <w:t>Adv. </w:t>
      </w:r>
      <w:r>
        <w:rPr>
          <w:i/>
          <w:spacing w:val="-3"/>
          <w:sz w:val="18"/>
        </w:rPr>
        <w:t>Chem. </w:t>
      </w:r>
      <w:r>
        <w:rPr>
          <w:i/>
          <w:spacing w:val="-4"/>
          <w:sz w:val="18"/>
        </w:rPr>
        <w:t>Ser., </w:t>
      </w:r>
      <w:r>
        <w:rPr>
          <w:b/>
          <w:sz w:val="18"/>
        </w:rPr>
        <w:t>69</w:t>
      </w:r>
      <w:r>
        <w:rPr>
          <w:sz w:val="18"/>
        </w:rPr>
        <w:t>,</w:t>
      </w:r>
      <w:r>
        <w:rPr>
          <w:spacing w:val="4"/>
          <w:sz w:val="18"/>
        </w:rPr>
        <w:t> </w:t>
      </w:r>
      <w:r>
        <w:rPr>
          <w:sz w:val="18"/>
        </w:rPr>
        <w:t>141-165.</w:t>
      </w:r>
    </w:p>
    <w:p>
      <w:pPr>
        <w:spacing w:line="278" w:lineRule="auto" w:before="0"/>
        <w:ind w:left="854" w:right="0" w:hanging="341"/>
        <w:jc w:val="both"/>
        <w:rPr>
          <w:sz w:val="18"/>
        </w:rPr>
      </w:pPr>
      <w:r>
        <w:rPr>
          <w:b/>
          <w:sz w:val="18"/>
        </w:rPr>
        <w:t>Damle, </w:t>
      </w:r>
      <w:r>
        <w:rPr>
          <w:sz w:val="18"/>
        </w:rPr>
        <w:t>A.S. and </w:t>
      </w:r>
      <w:r>
        <w:rPr>
          <w:spacing w:val="-9"/>
          <w:sz w:val="18"/>
        </w:rPr>
        <w:t>T.P. </w:t>
      </w:r>
      <w:r>
        <w:rPr>
          <w:sz w:val="18"/>
        </w:rPr>
        <w:t>Dorchak, 2001: Recovery of Carbon Dioxide in Advanced</w:t>
      </w:r>
      <w:r>
        <w:rPr>
          <w:spacing w:val="-21"/>
          <w:sz w:val="18"/>
        </w:rPr>
        <w:t> </w:t>
      </w:r>
      <w:r>
        <w:rPr>
          <w:sz w:val="18"/>
        </w:rPr>
        <w:t>Fossil</w:t>
      </w:r>
      <w:r>
        <w:rPr>
          <w:spacing w:val="-20"/>
          <w:sz w:val="18"/>
        </w:rPr>
        <w:t> </w:t>
      </w:r>
      <w:r>
        <w:rPr>
          <w:sz w:val="18"/>
        </w:rPr>
        <w:t>Energy</w:t>
      </w:r>
      <w:r>
        <w:rPr>
          <w:spacing w:val="-20"/>
          <w:sz w:val="18"/>
        </w:rPr>
        <w:t> </w:t>
      </w:r>
      <w:r>
        <w:rPr>
          <w:sz w:val="18"/>
        </w:rPr>
        <w:t>Conversion</w:t>
      </w:r>
      <w:r>
        <w:rPr>
          <w:spacing w:val="-21"/>
          <w:sz w:val="18"/>
        </w:rPr>
        <w:t> </w:t>
      </w:r>
      <w:r>
        <w:rPr>
          <w:sz w:val="18"/>
        </w:rPr>
        <w:t>Processes</w:t>
      </w:r>
      <w:r>
        <w:rPr>
          <w:spacing w:val="-20"/>
          <w:sz w:val="18"/>
        </w:rPr>
        <w:t> </w:t>
      </w:r>
      <w:r>
        <w:rPr>
          <w:sz w:val="18"/>
        </w:rPr>
        <w:t>Using</w:t>
      </w:r>
      <w:r>
        <w:rPr>
          <w:spacing w:val="-20"/>
          <w:sz w:val="18"/>
        </w:rPr>
        <w:t> </w:t>
      </w:r>
      <w:r>
        <w:rPr>
          <w:sz w:val="18"/>
        </w:rPr>
        <w:t>a</w:t>
      </w:r>
      <w:r>
        <w:rPr>
          <w:spacing w:val="-21"/>
          <w:sz w:val="18"/>
        </w:rPr>
        <w:t> </w:t>
      </w:r>
      <w:r>
        <w:rPr>
          <w:sz w:val="18"/>
        </w:rPr>
        <w:t>Membrane Reactor, First National Conference on Carbon Sequestration, Washington,</w:t>
      </w:r>
      <w:r>
        <w:rPr>
          <w:spacing w:val="-1"/>
          <w:sz w:val="18"/>
        </w:rPr>
        <w:t> </w:t>
      </w:r>
      <w:r>
        <w:rPr>
          <w:sz w:val="18"/>
        </w:rPr>
        <w:t>DC.</w:t>
      </w:r>
    </w:p>
    <w:p>
      <w:pPr>
        <w:spacing w:line="230" w:lineRule="auto" w:before="4"/>
        <w:ind w:left="854" w:right="1" w:hanging="341"/>
        <w:jc w:val="both"/>
        <w:rPr>
          <w:sz w:val="18"/>
        </w:rPr>
      </w:pPr>
      <w:r>
        <w:rPr>
          <w:b/>
          <w:sz w:val="18"/>
        </w:rPr>
        <w:t>Davison,</w:t>
      </w:r>
      <w:r>
        <w:rPr>
          <w:b/>
          <w:spacing w:val="-7"/>
          <w:sz w:val="18"/>
        </w:rPr>
        <w:t> </w:t>
      </w:r>
      <w:r>
        <w:rPr>
          <w:sz w:val="18"/>
        </w:rPr>
        <w:t>J.E.,</w:t>
      </w:r>
      <w:r>
        <w:rPr>
          <w:spacing w:val="-6"/>
          <w:sz w:val="18"/>
        </w:rPr>
        <w:t> </w:t>
      </w:r>
      <w:r>
        <w:rPr>
          <w:sz w:val="18"/>
        </w:rPr>
        <w:t>2005:</w:t>
      </w:r>
      <w:r>
        <w:rPr>
          <w:spacing w:val="-7"/>
          <w:sz w:val="18"/>
        </w:rPr>
        <w:t> </w:t>
      </w:r>
      <w:r>
        <w:rPr>
          <w:sz w:val="18"/>
        </w:rPr>
        <w:t>CO</w:t>
      </w:r>
      <w:r>
        <w:rPr>
          <w:position w:val="-5"/>
          <w:sz w:val="10"/>
        </w:rPr>
        <w:t>2</w:t>
      </w:r>
      <w:r>
        <w:rPr>
          <w:spacing w:val="14"/>
          <w:position w:val="-5"/>
          <w:sz w:val="10"/>
        </w:rPr>
        <w:t> </w:t>
      </w:r>
      <w:r>
        <w:rPr>
          <w:sz w:val="18"/>
        </w:rPr>
        <w:t>capture</w:t>
      </w:r>
      <w:r>
        <w:rPr>
          <w:spacing w:val="-6"/>
          <w:sz w:val="18"/>
        </w:rPr>
        <w:t> </w:t>
      </w:r>
      <w:r>
        <w:rPr>
          <w:sz w:val="18"/>
        </w:rPr>
        <w:t>and</w:t>
      </w:r>
      <w:r>
        <w:rPr>
          <w:spacing w:val="-7"/>
          <w:sz w:val="18"/>
        </w:rPr>
        <w:t> </w:t>
      </w:r>
      <w:r>
        <w:rPr>
          <w:sz w:val="18"/>
        </w:rPr>
        <w:t>storage</w:t>
      </w:r>
      <w:r>
        <w:rPr>
          <w:spacing w:val="-7"/>
          <w:sz w:val="18"/>
        </w:rPr>
        <w:t> </w:t>
      </w:r>
      <w:r>
        <w:rPr>
          <w:sz w:val="18"/>
        </w:rPr>
        <w:t>and</w:t>
      </w:r>
      <w:r>
        <w:rPr>
          <w:spacing w:val="-6"/>
          <w:sz w:val="18"/>
        </w:rPr>
        <w:t> </w:t>
      </w:r>
      <w:r>
        <w:rPr>
          <w:sz w:val="18"/>
        </w:rPr>
        <w:t>the</w:t>
      </w:r>
      <w:r>
        <w:rPr>
          <w:spacing w:val="-7"/>
          <w:sz w:val="18"/>
        </w:rPr>
        <w:t> </w:t>
      </w:r>
      <w:r>
        <w:rPr>
          <w:sz w:val="18"/>
        </w:rPr>
        <w:t>IEA</w:t>
      </w:r>
      <w:r>
        <w:rPr>
          <w:spacing w:val="-16"/>
          <w:sz w:val="18"/>
        </w:rPr>
        <w:t> </w:t>
      </w:r>
      <w:r>
        <w:rPr>
          <w:sz w:val="18"/>
        </w:rPr>
        <w:t>Greenhouse Gas R&amp;D Programme. Workshop on CO</w:t>
      </w:r>
      <w:r>
        <w:rPr>
          <w:position w:val="-5"/>
          <w:sz w:val="10"/>
        </w:rPr>
        <w:t>2 </w:t>
      </w:r>
      <w:r>
        <w:rPr>
          <w:sz w:val="18"/>
        </w:rPr>
        <w:t>issues, Middelfart, Denmark, 24 </w:t>
      </w:r>
      <w:r>
        <w:rPr>
          <w:spacing w:val="-4"/>
          <w:sz w:val="18"/>
        </w:rPr>
        <w:t>May, </w:t>
      </w:r>
      <w:r>
        <w:rPr>
          <w:sz w:val="18"/>
        </w:rPr>
        <w:t>IEA Greenhouse Gas R&amp;D</w:t>
      </w:r>
      <w:r>
        <w:rPr>
          <w:spacing w:val="37"/>
          <w:sz w:val="18"/>
        </w:rPr>
        <w:t> </w:t>
      </w:r>
      <w:r>
        <w:rPr>
          <w:sz w:val="18"/>
        </w:rPr>
        <w:t>Programme,</w:t>
      </w:r>
    </w:p>
    <w:p>
      <w:pPr>
        <w:spacing w:before="33"/>
        <w:ind w:left="854" w:right="0" w:firstLine="0"/>
        <w:jc w:val="both"/>
        <w:rPr>
          <w:sz w:val="18"/>
        </w:rPr>
      </w:pPr>
      <w:r>
        <w:rPr>
          <w:sz w:val="18"/>
        </w:rPr>
        <w:t>Cheltenham, UK.</w:t>
      </w:r>
    </w:p>
    <w:p>
      <w:pPr>
        <w:spacing w:line="240" w:lineRule="exact" w:before="9"/>
        <w:ind w:left="854" w:right="0" w:hanging="341"/>
        <w:jc w:val="both"/>
        <w:rPr>
          <w:sz w:val="18"/>
        </w:rPr>
      </w:pPr>
      <w:r>
        <w:rPr>
          <w:b/>
          <w:sz w:val="18"/>
        </w:rPr>
        <w:t>Dijkstra, </w:t>
      </w:r>
      <w:r>
        <w:rPr>
          <w:spacing w:val="-5"/>
          <w:sz w:val="18"/>
        </w:rPr>
        <w:t>J.W. </w:t>
      </w:r>
      <w:r>
        <w:rPr>
          <w:sz w:val="18"/>
        </w:rPr>
        <w:t>and D. Jansen, 2003: Novel Concepts for CO</w:t>
      </w:r>
      <w:r>
        <w:rPr>
          <w:position w:val="-5"/>
          <w:sz w:val="10"/>
        </w:rPr>
        <w:t>2 </w:t>
      </w:r>
      <w:r>
        <w:rPr>
          <w:sz w:val="18"/>
        </w:rPr>
        <w:t>capture with SOFC, Proceedings of the 6th International Conference on Greenhouse</w:t>
      </w:r>
      <w:r>
        <w:rPr>
          <w:spacing w:val="-6"/>
          <w:sz w:val="18"/>
        </w:rPr>
        <w:t> </w:t>
      </w:r>
      <w:r>
        <w:rPr>
          <w:sz w:val="18"/>
        </w:rPr>
        <w:t>Gas</w:t>
      </w:r>
      <w:r>
        <w:rPr>
          <w:spacing w:val="-6"/>
          <w:sz w:val="18"/>
        </w:rPr>
        <w:t> </w:t>
      </w:r>
      <w:r>
        <w:rPr>
          <w:sz w:val="18"/>
        </w:rPr>
        <w:t>Control</w:t>
      </w:r>
      <w:r>
        <w:rPr>
          <w:spacing w:val="-9"/>
          <w:sz w:val="18"/>
        </w:rPr>
        <w:t> </w:t>
      </w:r>
      <w:r>
        <w:rPr>
          <w:sz w:val="18"/>
        </w:rPr>
        <w:t>Technologies</w:t>
      </w:r>
      <w:r>
        <w:rPr>
          <w:spacing w:val="-6"/>
          <w:sz w:val="18"/>
        </w:rPr>
        <w:t> </w:t>
      </w:r>
      <w:r>
        <w:rPr>
          <w:spacing w:val="-3"/>
          <w:sz w:val="18"/>
        </w:rPr>
        <w:t>(GHGT-6)</w:t>
      </w:r>
      <w:r>
        <w:rPr>
          <w:spacing w:val="-8"/>
          <w:sz w:val="18"/>
        </w:rPr>
        <w:t> </w:t>
      </w:r>
      <w:r>
        <w:rPr>
          <w:spacing w:val="-4"/>
          <w:sz w:val="18"/>
        </w:rPr>
        <w:t>Volume</w:t>
      </w:r>
      <w:r>
        <w:rPr>
          <w:spacing w:val="-6"/>
          <w:sz w:val="18"/>
        </w:rPr>
        <w:t> </w:t>
      </w:r>
      <w:r>
        <w:rPr>
          <w:sz w:val="18"/>
        </w:rPr>
        <w:t>I,</w:t>
      </w:r>
      <w:r>
        <w:rPr>
          <w:spacing w:val="-6"/>
          <w:sz w:val="18"/>
        </w:rPr>
        <w:t> </w:t>
      </w:r>
      <w:r>
        <w:rPr>
          <w:sz w:val="18"/>
        </w:rPr>
        <w:t>Page 161-166,</w:t>
      </w:r>
      <w:r>
        <w:rPr>
          <w:spacing w:val="-5"/>
          <w:sz w:val="18"/>
        </w:rPr>
        <w:t> </w:t>
      </w:r>
      <w:r>
        <w:rPr>
          <w:sz w:val="18"/>
        </w:rPr>
        <w:t>1-4</w:t>
      </w:r>
      <w:r>
        <w:rPr>
          <w:spacing w:val="-5"/>
          <w:sz w:val="18"/>
        </w:rPr>
        <w:t> </w:t>
      </w:r>
      <w:r>
        <w:rPr>
          <w:sz w:val="18"/>
        </w:rPr>
        <w:t>Oct.</w:t>
      </w:r>
      <w:r>
        <w:rPr>
          <w:spacing w:val="-5"/>
          <w:sz w:val="18"/>
        </w:rPr>
        <w:t> </w:t>
      </w:r>
      <w:r>
        <w:rPr>
          <w:sz w:val="18"/>
        </w:rPr>
        <w:t>2002,</w:t>
      </w:r>
      <w:r>
        <w:rPr>
          <w:spacing w:val="-4"/>
          <w:sz w:val="18"/>
        </w:rPr>
        <w:t> </w:t>
      </w:r>
      <w:r>
        <w:rPr>
          <w:sz w:val="18"/>
        </w:rPr>
        <w:t>Kyoto,</w:t>
      </w:r>
      <w:r>
        <w:rPr>
          <w:spacing w:val="-5"/>
          <w:sz w:val="18"/>
        </w:rPr>
        <w:t> </w:t>
      </w:r>
      <w:r>
        <w:rPr>
          <w:sz w:val="18"/>
        </w:rPr>
        <w:t>Japan,</w:t>
      </w:r>
      <w:r>
        <w:rPr>
          <w:spacing w:val="-5"/>
          <w:sz w:val="18"/>
        </w:rPr>
        <w:t> </w:t>
      </w:r>
      <w:r>
        <w:rPr>
          <w:sz w:val="18"/>
        </w:rPr>
        <w:t>Gale</w:t>
      </w:r>
      <w:r>
        <w:rPr>
          <w:spacing w:val="-5"/>
          <w:sz w:val="18"/>
        </w:rPr>
        <w:t> </w:t>
      </w:r>
      <w:r>
        <w:rPr>
          <w:sz w:val="18"/>
        </w:rPr>
        <w:t>J.</w:t>
      </w:r>
      <w:r>
        <w:rPr>
          <w:spacing w:val="-4"/>
          <w:sz w:val="18"/>
        </w:rPr>
        <w:t> </w:t>
      </w:r>
      <w:r>
        <w:rPr>
          <w:sz w:val="18"/>
        </w:rPr>
        <w:t>and</w:t>
      </w:r>
      <w:r>
        <w:rPr>
          <w:spacing w:val="-11"/>
          <w:sz w:val="18"/>
        </w:rPr>
        <w:t> </w:t>
      </w:r>
      <w:r>
        <w:rPr>
          <w:spacing w:val="-12"/>
          <w:sz w:val="18"/>
        </w:rPr>
        <w:t>Y.</w:t>
      </w:r>
      <w:r>
        <w:rPr>
          <w:spacing w:val="-5"/>
          <w:sz w:val="18"/>
        </w:rPr>
        <w:t> </w:t>
      </w:r>
      <w:r>
        <w:rPr>
          <w:sz w:val="18"/>
        </w:rPr>
        <w:t>Kaya</w:t>
      </w:r>
      <w:r>
        <w:rPr>
          <w:spacing w:val="-4"/>
          <w:sz w:val="18"/>
        </w:rPr>
        <w:t> </w:t>
      </w:r>
      <w:r>
        <w:rPr>
          <w:sz w:val="18"/>
        </w:rPr>
        <w:t>(eds.), </w:t>
      </w:r>
      <w:r>
        <w:rPr>
          <w:i/>
          <w:sz w:val="18"/>
        </w:rPr>
        <w:t>Elsevier Science Ltd</w:t>
      </w:r>
      <w:r>
        <w:rPr>
          <w:sz w:val="18"/>
        </w:rPr>
        <w:t>, Kidlington, Oxford,</w:t>
      </w:r>
      <w:r>
        <w:rPr>
          <w:spacing w:val="-6"/>
          <w:sz w:val="18"/>
        </w:rPr>
        <w:t> </w:t>
      </w:r>
      <w:r>
        <w:rPr>
          <w:sz w:val="18"/>
        </w:rPr>
        <w:t>UK.</w:t>
      </w:r>
    </w:p>
    <w:p>
      <w:pPr>
        <w:spacing w:line="240" w:lineRule="exact" w:before="0"/>
        <w:ind w:left="854" w:right="1" w:hanging="341"/>
        <w:jc w:val="both"/>
        <w:rPr>
          <w:sz w:val="18"/>
        </w:rPr>
      </w:pPr>
      <w:r>
        <w:rPr>
          <w:b/>
          <w:sz w:val="18"/>
        </w:rPr>
        <w:t>Dillon,</w:t>
      </w:r>
      <w:r>
        <w:rPr>
          <w:b/>
          <w:spacing w:val="-7"/>
          <w:sz w:val="18"/>
        </w:rPr>
        <w:t> </w:t>
      </w:r>
      <w:r>
        <w:rPr>
          <w:sz w:val="18"/>
        </w:rPr>
        <w:t>D.J.,</w:t>
      </w:r>
      <w:r>
        <w:rPr>
          <w:spacing w:val="-7"/>
          <w:sz w:val="18"/>
        </w:rPr>
        <w:t> </w:t>
      </w:r>
      <w:r>
        <w:rPr>
          <w:sz w:val="18"/>
        </w:rPr>
        <w:t>R.S.</w:t>
      </w:r>
      <w:r>
        <w:rPr>
          <w:spacing w:val="-7"/>
          <w:sz w:val="18"/>
        </w:rPr>
        <w:t> </w:t>
      </w:r>
      <w:r>
        <w:rPr>
          <w:sz w:val="18"/>
        </w:rPr>
        <w:t>Panesar,</w:t>
      </w:r>
      <w:r>
        <w:rPr>
          <w:spacing w:val="-7"/>
          <w:sz w:val="18"/>
        </w:rPr>
        <w:t> </w:t>
      </w:r>
      <w:r>
        <w:rPr>
          <w:sz w:val="18"/>
        </w:rPr>
        <w:t>R.A.Wall,</w:t>
      </w:r>
      <w:r>
        <w:rPr>
          <w:spacing w:val="-7"/>
          <w:sz w:val="18"/>
        </w:rPr>
        <w:t> </w:t>
      </w:r>
      <w:r>
        <w:rPr>
          <w:sz w:val="18"/>
        </w:rPr>
        <w:t>R.J.</w:t>
      </w:r>
      <w:r>
        <w:rPr>
          <w:spacing w:val="-15"/>
          <w:sz w:val="18"/>
        </w:rPr>
        <w:t> </w:t>
      </w:r>
      <w:r>
        <w:rPr>
          <w:sz w:val="18"/>
        </w:rPr>
        <w:t>Allam,</w:t>
      </w:r>
      <w:r>
        <w:rPr>
          <w:spacing w:val="-9"/>
          <w:sz w:val="18"/>
        </w:rPr>
        <w:t> </w:t>
      </w:r>
      <w:r>
        <w:rPr>
          <w:spacing w:val="-12"/>
          <w:sz w:val="18"/>
        </w:rPr>
        <w:t>V.</w:t>
      </w:r>
      <w:r>
        <w:rPr>
          <w:spacing w:val="-10"/>
          <w:sz w:val="18"/>
        </w:rPr>
        <w:t> </w:t>
      </w:r>
      <w:r>
        <w:rPr>
          <w:sz w:val="18"/>
        </w:rPr>
        <w:t>White,</w:t>
      </w:r>
      <w:r>
        <w:rPr>
          <w:spacing w:val="-7"/>
          <w:sz w:val="18"/>
        </w:rPr>
        <w:t> </w:t>
      </w:r>
      <w:r>
        <w:rPr>
          <w:sz w:val="18"/>
        </w:rPr>
        <w:t>J.</w:t>
      </w:r>
      <w:r>
        <w:rPr>
          <w:spacing w:val="-7"/>
          <w:sz w:val="18"/>
        </w:rPr>
        <w:t> </w:t>
      </w:r>
      <w:r>
        <w:rPr>
          <w:sz w:val="18"/>
        </w:rPr>
        <w:t>Gibbins, and M.R. Haines, 2005: Oxy-combustion processes for CO</w:t>
      </w:r>
      <w:r>
        <w:rPr>
          <w:position w:val="-5"/>
          <w:sz w:val="10"/>
        </w:rPr>
        <w:t>2 </w:t>
      </w:r>
      <w:r>
        <w:rPr>
          <w:sz w:val="18"/>
        </w:rPr>
        <w:t>capture from advanced supercritical PF and NGCC power plant, In: Rubin, E.S., </w:t>
      </w:r>
      <w:r>
        <w:rPr>
          <w:spacing w:val="-5"/>
          <w:sz w:val="18"/>
        </w:rPr>
        <w:t>D.W. </w:t>
      </w:r>
      <w:r>
        <w:rPr>
          <w:sz w:val="18"/>
        </w:rPr>
        <w:t>Keith, and </w:t>
      </w:r>
      <w:r>
        <w:rPr>
          <w:spacing w:val="-4"/>
          <w:sz w:val="18"/>
        </w:rPr>
        <w:t>C.F. </w:t>
      </w:r>
      <w:r>
        <w:rPr>
          <w:sz w:val="18"/>
        </w:rPr>
        <w:t>Gilboy (eds.), Proceedings of 7</w:t>
      </w:r>
      <w:r>
        <w:rPr>
          <w:position w:val="6"/>
          <w:sz w:val="10"/>
        </w:rPr>
        <w:t>th </w:t>
      </w:r>
      <w:r>
        <w:rPr>
          <w:sz w:val="18"/>
        </w:rPr>
        <w:t>International Conference on Greenhouse Gas Control Technologies. </w:t>
      </w:r>
      <w:r>
        <w:rPr>
          <w:spacing w:val="-4"/>
          <w:sz w:val="18"/>
        </w:rPr>
        <w:t>Volume </w:t>
      </w:r>
      <w:r>
        <w:rPr>
          <w:sz w:val="18"/>
        </w:rPr>
        <w:t>I: Peer Reviewed Papers and Overviews, Elsevier Science, Oxford, UK,</w:t>
      </w:r>
      <w:r>
        <w:rPr>
          <w:spacing w:val="-5"/>
          <w:sz w:val="18"/>
        </w:rPr>
        <w:t> </w:t>
      </w:r>
      <w:r>
        <w:rPr>
          <w:sz w:val="18"/>
        </w:rPr>
        <w:t>211-220.</w:t>
      </w:r>
    </w:p>
    <w:p>
      <w:pPr>
        <w:spacing w:line="278" w:lineRule="auto" w:before="24"/>
        <w:ind w:left="854" w:right="1" w:hanging="341"/>
        <w:jc w:val="both"/>
        <w:rPr>
          <w:sz w:val="18"/>
        </w:rPr>
      </w:pPr>
      <w:r>
        <w:rPr>
          <w:b/>
          <w:sz w:val="18"/>
        </w:rPr>
        <w:t>Dongke,</w:t>
      </w:r>
      <w:r>
        <w:rPr>
          <w:b/>
          <w:spacing w:val="-11"/>
          <w:sz w:val="18"/>
        </w:rPr>
        <w:t> </w:t>
      </w:r>
      <w:r>
        <w:rPr>
          <w:sz w:val="18"/>
        </w:rPr>
        <w:t>M.A.,</w:t>
      </w:r>
      <w:r>
        <w:rPr>
          <w:spacing w:val="-10"/>
          <w:sz w:val="18"/>
        </w:rPr>
        <w:t> </w:t>
      </w:r>
      <w:r>
        <w:rPr>
          <w:sz w:val="18"/>
        </w:rPr>
        <w:t>L.</w:t>
      </w:r>
      <w:r>
        <w:rPr>
          <w:spacing w:val="-10"/>
          <w:sz w:val="18"/>
        </w:rPr>
        <w:t> </w:t>
      </w:r>
      <w:r>
        <w:rPr>
          <w:sz w:val="18"/>
        </w:rPr>
        <w:t>Kong,</w:t>
      </w:r>
      <w:r>
        <w:rPr>
          <w:spacing w:val="-10"/>
          <w:sz w:val="18"/>
        </w:rPr>
        <w:t> </w:t>
      </w:r>
      <w:r>
        <w:rPr>
          <w:sz w:val="18"/>
        </w:rPr>
        <w:t>and</w:t>
      </w:r>
      <w:r>
        <w:rPr>
          <w:spacing w:val="-13"/>
          <w:sz w:val="18"/>
        </w:rPr>
        <w:t> </w:t>
      </w:r>
      <w:r>
        <w:rPr>
          <w:spacing w:val="-5"/>
          <w:sz w:val="18"/>
        </w:rPr>
        <w:t>W.K.</w:t>
      </w:r>
      <w:r>
        <w:rPr>
          <w:spacing w:val="-10"/>
          <w:sz w:val="18"/>
        </w:rPr>
        <w:t> </w:t>
      </w:r>
      <w:r>
        <w:rPr>
          <w:sz w:val="18"/>
        </w:rPr>
        <w:t>Lu,</w:t>
      </w:r>
      <w:r>
        <w:rPr>
          <w:spacing w:val="-10"/>
          <w:sz w:val="18"/>
        </w:rPr>
        <w:t> </w:t>
      </w:r>
      <w:r>
        <w:rPr>
          <w:sz w:val="18"/>
        </w:rPr>
        <w:t>1988:</w:t>
      </w:r>
      <w:r>
        <w:rPr>
          <w:spacing w:val="-10"/>
          <w:sz w:val="18"/>
        </w:rPr>
        <w:t> </w:t>
      </w:r>
      <w:r>
        <w:rPr>
          <w:sz w:val="18"/>
        </w:rPr>
        <w:t>Heat</w:t>
      </w:r>
      <w:r>
        <w:rPr>
          <w:spacing w:val="-10"/>
          <w:sz w:val="18"/>
        </w:rPr>
        <w:t> </w:t>
      </w:r>
      <w:r>
        <w:rPr>
          <w:sz w:val="18"/>
        </w:rPr>
        <w:t>and</w:t>
      </w:r>
      <w:r>
        <w:rPr>
          <w:spacing w:val="-10"/>
          <w:sz w:val="18"/>
        </w:rPr>
        <w:t> </w:t>
      </w:r>
      <w:r>
        <w:rPr>
          <w:sz w:val="18"/>
        </w:rPr>
        <w:t>mass</w:t>
      </w:r>
      <w:r>
        <w:rPr>
          <w:spacing w:val="-11"/>
          <w:sz w:val="18"/>
        </w:rPr>
        <w:t> </w:t>
      </w:r>
      <w:r>
        <w:rPr>
          <w:sz w:val="18"/>
        </w:rPr>
        <w:t>balance</w:t>
      </w:r>
      <w:r>
        <w:rPr>
          <w:spacing w:val="-10"/>
          <w:sz w:val="18"/>
        </w:rPr>
        <w:t> </w:t>
      </w:r>
      <w:r>
        <w:rPr>
          <w:sz w:val="18"/>
        </w:rPr>
        <w:t>of oxygen enriched and nitrogen free blast furnace operations with coal injection. I.C.S.T.I. Iron Making Conference</w:t>
      </w:r>
      <w:r>
        <w:rPr>
          <w:spacing w:val="-19"/>
          <w:sz w:val="18"/>
        </w:rPr>
        <w:t> </w:t>
      </w:r>
      <w:r>
        <w:rPr>
          <w:sz w:val="18"/>
        </w:rPr>
        <w:t>Proceedings.</w:t>
      </w:r>
    </w:p>
    <w:p>
      <w:pPr>
        <w:spacing w:line="278" w:lineRule="auto" w:before="0"/>
        <w:ind w:left="854" w:right="1" w:hanging="341"/>
        <w:jc w:val="both"/>
        <w:rPr>
          <w:sz w:val="18"/>
        </w:rPr>
      </w:pPr>
      <w:r>
        <w:rPr>
          <w:b/>
          <w:sz w:val="18"/>
        </w:rPr>
        <w:t>Duarte, </w:t>
      </w:r>
      <w:r>
        <w:rPr>
          <w:sz w:val="18"/>
        </w:rPr>
        <w:t>P.E. and E. Reich, 1998: A reliable and economic route for coal based D.R.I. production. I.C.S.T.I Ironmaking Conference Proceedings 1998.</w:t>
      </w:r>
    </w:p>
    <w:p>
      <w:pPr>
        <w:spacing w:line="278" w:lineRule="auto" w:before="0"/>
        <w:ind w:left="854" w:right="0" w:hanging="341"/>
        <w:jc w:val="both"/>
        <w:rPr>
          <w:sz w:val="18"/>
        </w:rPr>
      </w:pPr>
      <w:r>
        <w:rPr>
          <w:b/>
          <w:spacing w:val="-4"/>
          <w:sz w:val="18"/>
        </w:rPr>
        <w:t>Dyer, </w:t>
      </w:r>
      <w:r>
        <w:rPr>
          <w:spacing w:val="-4"/>
          <w:sz w:val="18"/>
        </w:rPr>
        <w:t>P.N., </w:t>
      </w:r>
      <w:r>
        <w:rPr>
          <w:sz w:val="18"/>
        </w:rPr>
        <w:t>C.M. Chen, </w:t>
      </w:r>
      <w:r>
        <w:rPr>
          <w:spacing w:val="-5"/>
          <w:sz w:val="18"/>
        </w:rPr>
        <w:t>K.F. </w:t>
      </w:r>
      <w:r>
        <w:rPr>
          <w:sz w:val="18"/>
        </w:rPr>
        <w:t>Gerdes, C.M. Lowe, S.R. Akhave, D.R. Rowley, K.I. Åsen and E.H. Eriksen, 2001: An Integrated </w:t>
      </w:r>
      <w:r>
        <w:rPr>
          <w:spacing w:val="-4"/>
          <w:sz w:val="18"/>
        </w:rPr>
        <w:t>ITM </w:t>
      </w:r>
      <w:r>
        <w:rPr>
          <w:sz w:val="18"/>
        </w:rPr>
        <w:t>Syngas/Fischer-Tropsch</w:t>
      </w:r>
      <w:r>
        <w:rPr>
          <w:spacing w:val="-16"/>
          <w:sz w:val="18"/>
        </w:rPr>
        <w:t> </w:t>
      </w:r>
      <w:r>
        <w:rPr>
          <w:sz w:val="18"/>
        </w:rPr>
        <w:t>Process</w:t>
      </w:r>
      <w:r>
        <w:rPr>
          <w:spacing w:val="-16"/>
          <w:sz w:val="18"/>
        </w:rPr>
        <w:t> </w:t>
      </w:r>
      <w:r>
        <w:rPr>
          <w:sz w:val="18"/>
        </w:rPr>
        <w:t>for</w:t>
      </w:r>
      <w:r>
        <w:rPr>
          <w:spacing w:val="-16"/>
          <w:sz w:val="18"/>
        </w:rPr>
        <w:t> </w:t>
      </w:r>
      <w:r>
        <w:rPr>
          <w:sz w:val="18"/>
        </w:rPr>
        <w:t>GTL</w:t>
      </w:r>
      <w:r>
        <w:rPr>
          <w:spacing w:val="-20"/>
          <w:sz w:val="18"/>
        </w:rPr>
        <w:t> </w:t>
      </w:r>
      <w:r>
        <w:rPr>
          <w:sz w:val="18"/>
        </w:rPr>
        <w:t>Conversion,</w:t>
      </w:r>
      <w:r>
        <w:rPr>
          <w:spacing w:val="-16"/>
          <w:sz w:val="18"/>
        </w:rPr>
        <w:t> </w:t>
      </w:r>
      <w:r>
        <w:rPr>
          <w:sz w:val="18"/>
        </w:rPr>
        <w:t>6th</w:t>
      </w:r>
      <w:r>
        <w:rPr>
          <w:spacing w:val="-16"/>
          <w:sz w:val="18"/>
        </w:rPr>
        <w:t> </w:t>
      </w:r>
      <w:r>
        <w:rPr>
          <w:sz w:val="18"/>
        </w:rPr>
        <w:t>Natural Gas Conversion Symposium, Alaska, 17-22 June</w:t>
      </w:r>
      <w:r>
        <w:rPr>
          <w:spacing w:val="-19"/>
          <w:sz w:val="18"/>
        </w:rPr>
        <w:t> </w:t>
      </w:r>
      <w:r>
        <w:rPr>
          <w:sz w:val="18"/>
        </w:rPr>
        <w:t>2001.</w:t>
      </w:r>
    </w:p>
    <w:p>
      <w:pPr>
        <w:spacing w:line="278" w:lineRule="auto" w:before="148"/>
        <w:ind w:left="582" w:right="114" w:hanging="341"/>
        <w:jc w:val="both"/>
        <w:rPr>
          <w:sz w:val="18"/>
        </w:rPr>
      </w:pPr>
      <w:r>
        <w:rPr/>
        <w:br w:type="column"/>
      </w:r>
      <w:r>
        <w:rPr>
          <w:b/>
          <w:spacing w:val="-4"/>
          <w:sz w:val="18"/>
        </w:rPr>
        <w:t>Dyer, </w:t>
      </w:r>
      <w:r>
        <w:rPr>
          <w:spacing w:val="-4"/>
          <w:sz w:val="18"/>
        </w:rPr>
        <w:t>P.N., </w:t>
      </w:r>
      <w:r>
        <w:rPr>
          <w:sz w:val="18"/>
        </w:rPr>
        <w:t>R.E. Richards, S.L. Russek, D.M. </w:t>
      </w:r>
      <w:r>
        <w:rPr>
          <w:spacing w:val="-3"/>
          <w:sz w:val="18"/>
        </w:rPr>
        <w:t>Taylor, </w:t>
      </w:r>
      <w:r>
        <w:rPr>
          <w:sz w:val="18"/>
        </w:rPr>
        <w:t>2000: Ion transport</w:t>
      </w:r>
      <w:r>
        <w:rPr>
          <w:spacing w:val="-8"/>
          <w:sz w:val="18"/>
        </w:rPr>
        <w:t> </w:t>
      </w:r>
      <w:r>
        <w:rPr>
          <w:sz w:val="18"/>
        </w:rPr>
        <w:t>membrane</w:t>
      </w:r>
      <w:r>
        <w:rPr>
          <w:spacing w:val="-8"/>
          <w:sz w:val="18"/>
        </w:rPr>
        <w:t> </w:t>
      </w:r>
      <w:r>
        <w:rPr>
          <w:sz w:val="18"/>
        </w:rPr>
        <w:t>technology</w:t>
      </w:r>
      <w:r>
        <w:rPr>
          <w:spacing w:val="-8"/>
          <w:sz w:val="18"/>
        </w:rPr>
        <w:t> </w:t>
      </w:r>
      <w:r>
        <w:rPr>
          <w:sz w:val="18"/>
        </w:rPr>
        <w:t>for</w:t>
      </w:r>
      <w:r>
        <w:rPr>
          <w:spacing w:val="-8"/>
          <w:sz w:val="18"/>
        </w:rPr>
        <w:t> </w:t>
      </w:r>
      <w:r>
        <w:rPr>
          <w:sz w:val="18"/>
        </w:rPr>
        <w:t>oxygen</w:t>
      </w:r>
      <w:r>
        <w:rPr>
          <w:spacing w:val="-8"/>
          <w:sz w:val="18"/>
        </w:rPr>
        <w:t> </w:t>
      </w:r>
      <w:r>
        <w:rPr>
          <w:sz w:val="18"/>
        </w:rPr>
        <w:t>separation</w:t>
      </w:r>
      <w:r>
        <w:rPr>
          <w:spacing w:val="-8"/>
          <w:sz w:val="18"/>
        </w:rPr>
        <w:t> </w:t>
      </w:r>
      <w:r>
        <w:rPr>
          <w:sz w:val="18"/>
        </w:rPr>
        <w:t>and</w:t>
      </w:r>
      <w:r>
        <w:rPr>
          <w:spacing w:val="-8"/>
          <w:sz w:val="18"/>
        </w:rPr>
        <w:t> </w:t>
      </w:r>
      <w:r>
        <w:rPr>
          <w:sz w:val="18"/>
        </w:rPr>
        <w:t>syngas production, </w:t>
      </w:r>
      <w:r>
        <w:rPr>
          <w:i/>
          <w:sz w:val="18"/>
        </w:rPr>
        <w:t>Solid State Ionics</w:t>
      </w:r>
      <w:r>
        <w:rPr>
          <w:sz w:val="18"/>
        </w:rPr>
        <w:t>, </w:t>
      </w:r>
      <w:r>
        <w:rPr>
          <w:b/>
          <w:sz w:val="18"/>
        </w:rPr>
        <w:t>134 </w:t>
      </w:r>
      <w:r>
        <w:rPr>
          <w:sz w:val="18"/>
        </w:rPr>
        <w:t>(2000) 21-33.</w:t>
      </w:r>
    </w:p>
    <w:p>
      <w:pPr>
        <w:spacing w:line="278" w:lineRule="auto" w:before="0"/>
        <w:ind w:left="582" w:right="115" w:hanging="341"/>
        <w:jc w:val="both"/>
        <w:rPr>
          <w:sz w:val="18"/>
        </w:rPr>
      </w:pPr>
      <w:r>
        <w:rPr>
          <w:b/>
          <w:sz w:val="18"/>
        </w:rPr>
        <w:t>EPRi, </w:t>
      </w:r>
      <w:r>
        <w:rPr>
          <w:sz w:val="18"/>
        </w:rPr>
        <w:t>1993: Technical Assessment Guide, Volume 1: Electricity Supply-1993 (Revision 7), Electric Power Research Institute, Palo Alto, CA, June.</w:t>
      </w:r>
    </w:p>
    <w:p>
      <w:pPr>
        <w:spacing w:line="278" w:lineRule="auto" w:before="0"/>
        <w:ind w:left="582" w:right="114" w:hanging="341"/>
        <w:jc w:val="both"/>
        <w:rPr>
          <w:sz w:val="18"/>
        </w:rPr>
      </w:pPr>
      <w:r>
        <w:rPr>
          <w:b/>
          <w:sz w:val="18"/>
        </w:rPr>
        <w:t>Erga, </w:t>
      </w:r>
      <w:r>
        <w:rPr>
          <w:sz w:val="18"/>
        </w:rPr>
        <w:t>O., O. Juliussen, H. Lidal, 1995: Carbon dioxide recovery by means of aqueous amines, </w:t>
      </w:r>
      <w:r>
        <w:rPr>
          <w:i/>
          <w:sz w:val="18"/>
        </w:rPr>
        <w:t>Energy Conversion and Management, </w:t>
      </w:r>
      <w:r>
        <w:rPr>
          <w:b/>
          <w:sz w:val="18"/>
        </w:rPr>
        <w:t>36</w:t>
      </w:r>
      <w:r>
        <w:rPr>
          <w:sz w:val="18"/>
        </w:rPr>
        <w:t>(6-9), 387-392.</w:t>
      </w:r>
    </w:p>
    <w:p>
      <w:pPr>
        <w:spacing w:line="278" w:lineRule="auto" w:before="0"/>
        <w:ind w:left="582" w:right="115" w:hanging="341"/>
        <w:jc w:val="both"/>
        <w:rPr>
          <w:sz w:val="18"/>
        </w:rPr>
      </w:pPr>
      <w:r>
        <w:rPr>
          <w:b/>
          <w:sz w:val="18"/>
        </w:rPr>
        <w:t>European Chemicals Bureau, </w:t>
      </w:r>
      <w:r>
        <w:rPr>
          <w:sz w:val="18"/>
        </w:rPr>
        <w:t>2003: Technical Guidance Document on Risk Assessment. European Communities. EUR 20418,</w:t>
      </w:r>
      <w:r>
        <w:rPr>
          <w:spacing w:val="-20"/>
          <w:sz w:val="18"/>
        </w:rPr>
        <w:t> </w:t>
      </w:r>
      <w:r>
        <w:rPr>
          <w:sz w:val="18"/>
        </w:rPr>
        <w:t>http:// ecb.jrc.it/.</w:t>
      </w:r>
    </w:p>
    <w:p>
      <w:pPr>
        <w:spacing w:line="207" w:lineRule="exact" w:before="0"/>
        <w:ind w:left="242" w:right="0" w:firstLine="0"/>
        <w:jc w:val="both"/>
        <w:rPr>
          <w:sz w:val="18"/>
        </w:rPr>
      </w:pPr>
      <w:r>
        <w:rPr>
          <w:b/>
          <w:sz w:val="18"/>
        </w:rPr>
        <w:t>Falk-Pedersen, </w:t>
      </w:r>
      <w:r>
        <w:rPr>
          <w:sz w:val="18"/>
        </w:rPr>
        <w:t>O., H. Dannström, M. Grønvold, D.-B. Stuksrud, and</w:t>
      </w:r>
    </w:p>
    <w:p>
      <w:pPr>
        <w:pStyle w:val="ListParagraph"/>
        <w:numPr>
          <w:ilvl w:val="2"/>
          <w:numId w:val="31"/>
        </w:numPr>
        <w:tabs>
          <w:tab w:pos="818" w:val="left" w:leader="none"/>
        </w:tabs>
        <w:spacing w:line="278" w:lineRule="auto" w:before="32" w:after="0"/>
        <w:ind w:left="582" w:right="115" w:firstLine="0"/>
        <w:jc w:val="both"/>
        <w:rPr>
          <w:sz w:val="18"/>
        </w:rPr>
      </w:pPr>
      <w:r>
        <w:rPr>
          <w:sz w:val="18"/>
        </w:rPr>
        <w:t>Rønning, 1999: Gas Treatment Using Membrane Gas/Liquid Contractors, Greenhouse Gas Control Technologies. B.</w:t>
      </w:r>
      <w:r>
        <w:rPr>
          <w:spacing w:val="10"/>
          <w:sz w:val="18"/>
        </w:rPr>
        <w:t> </w:t>
      </w:r>
      <w:r>
        <w:rPr>
          <w:sz w:val="18"/>
        </w:rPr>
        <w:t>Eliasson,</w:t>
      </w:r>
    </w:p>
    <w:p>
      <w:pPr>
        <w:pStyle w:val="ListParagraph"/>
        <w:numPr>
          <w:ilvl w:val="2"/>
          <w:numId w:val="31"/>
        </w:numPr>
        <w:tabs>
          <w:tab w:pos="770" w:val="left" w:leader="none"/>
        </w:tabs>
        <w:spacing w:line="278" w:lineRule="auto" w:before="0" w:after="0"/>
        <w:ind w:left="582" w:right="115" w:firstLine="0"/>
        <w:jc w:val="both"/>
        <w:rPr>
          <w:sz w:val="18"/>
        </w:rPr>
      </w:pPr>
      <w:r>
        <w:rPr>
          <w:sz w:val="18"/>
        </w:rPr>
        <w:t>Riemer and A. </w:t>
      </w:r>
      <w:r>
        <w:rPr>
          <w:spacing w:val="-3"/>
          <w:sz w:val="18"/>
        </w:rPr>
        <w:t>Wokaun </w:t>
      </w:r>
      <w:r>
        <w:rPr>
          <w:sz w:val="18"/>
        </w:rPr>
        <w:t>(eds.), Elsevier Science, Ltd., United Kingdom</w:t>
      </w:r>
      <w:r>
        <w:rPr>
          <w:spacing w:val="-2"/>
          <w:sz w:val="18"/>
        </w:rPr>
        <w:t> </w:t>
      </w:r>
      <w:r>
        <w:rPr>
          <w:sz w:val="18"/>
        </w:rPr>
        <w:t>115-120.</w:t>
      </w:r>
    </w:p>
    <w:p>
      <w:pPr>
        <w:spacing w:line="278" w:lineRule="auto" w:before="0"/>
        <w:ind w:left="582" w:right="115" w:hanging="341"/>
        <w:jc w:val="both"/>
        <w:rPr>
          <w:sz w:val="18"/>
        </w:rPr>
      </w:pPr>
      <w:r>
        <w:rPr>
          <w:b/>
          <w:sz w:val="18"/>
        </w:rPr>
        <w:t>Farla, </w:t>
      </w:r>
      <w:r>
        <w:rPr>
          <w:sz w:val="18"/>
        </w:rPr>
        <w:t>J.C., C.A. Hendriks, and K. Blok, 1995: Carbon dioxide recovery from industrial processes, </w:t>
      </w:r>
      <w:r>
        <w:rPr>
          <w:i/>
          <w:sz w:val="18"/>
        </w:rPr>
        <w:t>Climate Change, </w:t>
      </w:r>
      <w:r>
        <w:rPr>
          <w:b/>
          <w:sz w:val="18"/>
        </w:rPr>
        <w:t>29</w:t>
      </w:r>
      <w:r>
        <w:rPr>
          <w:sz w:val="18"/>
        </w:rPr>
        <w:t>, (1995), 439-61.</w:t>
      </w:r>
    </w:p>
    <w:p>
      <w:pPr>
        <w:spacing w:line="245" w:lineRule="exact" w:before="0"/>
        <w:ind w:left="242" w:right="0" w:firstLine="0"/>
        <w:jc w:val="both"/>
        <w:rPr>
          <w:sz w:val="18"/>
        </w:rPr>
      </w:pPr>
      <w:r>
        <w:rPr>
          <w:b/>
          <w:sz w:val="18"/>
        </w:rPr>
        <w:t>Feron, </w:t>
      </w:r>
      <w:r>
        <w:rPr>
          <w:sz w:val="18"/>
        </w:rPr>
        <w:t>P.H.M and A.E. Jansen, 2002: CO</w:t>
      </w:r>
      <w:r>
        <w:rPr>
          <w:position w:val="-5"/>
          <w:sz w:val="10"/>
        </w:rPr>
        <w:t>2 </w:t>
      </w:r>
      <w:r>
        <w:rPr>
          <w:sz w:val="18"/>
        </w:rPr>
        <w:t>Separation with polyolefin</w:t>
      </w:r>
    </w:p>
    <w:p>
      <w:pPr>
        <w:spacing w:line="278" w:lineRule="auto" w:before="0"/>
        <w:ind w:left="582" w:right="113" w:firstLine="0"/>
        <w:jc w:val="both"/>
        <w:rPr>
          <w:sz w:val="18"/>
        </w:rPr>
      </w:pPr>
      <w:r>
        <w:rPr>
          <w:sz w:val="18"/>
        </w:rPr>
        <w:t>membrane contactors and dedicated absorption liquids: Performances and prospects, </w:t>
      </w:r>
      <w:r>
        <w:rPr>
          <w:i/>
          <w:sz w:val="18"/>
        </w:rPr>
        <w:t>Separation and Purification </w:t>
      </w:r>
      <w:r>
        <w:rPr>
          <w:i/>
          <w:sz w:val="18"/>
        </w:rPr>
        <w:t>Technology, </w:t>
      </w:r>
      <w:r>
        <w:rPr>
          <w:b/>
          <w:sz w:val="18"/>
        </w:rPr>
        <w:t>27</w:t>
      </w:r>
      <w:r>
        <w:rPr>
          <w:sz w:val="18"/>
        </w:rPr>
        <w:t>(3), 231-242.</w:t>
      </w:r>
    </w:p>
    <w:p>
      <w:pPr>
        <w:spacing w:line="278" w:lineRule="auto" w:before="0"/>
        <w:ind w:left="582" w:right="113" w:hanging="341"/>
        <w:jc w:val="both"/>
        <w:rPr>
          <w:sz w:val="18"/>
        </w:rPr>
      </w:pPr>
      <w:r>
        <w:rPr>
          <w:b/>
          <w:sz w:val="18"/>
        </w:rPr>
        <w:t>Feron, </w:t>
      </w:r>
      <w:r>
        <w:rPr>
          <w:spacing w:val="-3"/>
          <w:sz w:val="18"/>
        </w:rPr>
        <w:t>P.H.M., </w:t>
      </w:r>
      <w:r>
        <w:rPr>
          <w:sz w:val="18"/>
        </w:rPr>
        <w:t>1992: Carbon dioxide capture: The characterisation  of gas separation/removal membrane systems applied to the treatment of flue gases arising from power plant generation using fossiel fuel. IEA/92/08, IEA Greenhouse Gas R&amp;D programme, Cheltenham,</w:t>
      </w:r>
      <w:r>
        <w:rPr>
          <w:spacing w:val="-1"/>
          <w:sz w:val="18"/>
        </w:rPr>
        <w:t> </w:t>
      </w:r>
      <w:r>
        <w:rPr>
          <w:sz w:val="18"/>
        </w:rPr>
        <w:t>UK.</w:t>
      </w:r>
    </w:p>
    <w:p>
      <w:pPr>
        <w:spacing w:line="278" w:lineRule="auto" w:before="0"/>
        <w:ind w:left="582" w:right="115" w:hanging="341"/>
        <w:jc w:val="both"/>
        <w:rPr>
          <w:sz w:val="18"/>
        </w:rPr>
      </w:pPr>
      <w:r>
        <w:rPr>
          <w:b/>
          <w:sz w:val="18"/>
        </w:rPr>
        <w:t>Feron, </w:t>
      </w:r>
      <w:r>
        <w:rPr>
          <w:sz w:val="18"/>
        </w:rPr>
        <w:t>P.H.M., 1994: Membranes for carbon dioxide recovery from power plants. In Carbon Dioxide Chemistry: Environmental Issues. J. Paul, C.M. Pradier (eds.), The Royal Society of Chemistry, Cambridge, United Kingdom, 236-249.</w:t>
      </w:r>
    </w:p>
    <w:p>
      <w:pPr>
        <w:spacing w:line="207" w:lineRule="exact" w:before="0"/>
        <w:ind w:left="242" w:right="0" w:firstLine="0"/>
        <w:jc w:val="both"/>
        <w:rPr>
          <w:sz w:val="18"/>
        </w:rPr>
      </w:pPr>
      <w:r>
        <w:rPr>
          <w:b/>
          <w:sz w:val="18"/>
        </w:rPr>
        <w:t>Gibbins, </w:t>
      </w:r>
      <w:r>
        <w:rPr>
          <w:sz w:val="18"/>
        </w:rPr>
        <w:t>J., R.I. Crane, D. Lambropoulos, C. Booth, C.A. Roberts, and</w:t>
      </w:r>
    </w:p>
    <w:p>
      <w:pPr>
        <w:spacing w:line="278" w:lineRule="auto" w:before="27"/>
        <w:ind w:left="582" w:right="115" w:firstLine="0"/>
        <w:jc w:val="both"/>
        <w:rPr>
          <w:sz w:val="18"/>
        </w:rPr>
      </w:pPr>
      <w:r>
        <w:rPr/>
        <w:pict>
          <v:shape style="position:absolute;margin-left:352.518188pt;margin-top:20.807344pt;width:2.65pt;height:5.25pt;mso-position-horizontal-relative:page;mso-position-vertical-relative:paragraph;z-index:-272339968"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sz w:val="18"/>
        </w:rPr>
        <w:t>M. Lord, 2005: Maximising the effectiveness of post-combustion CO capture systems. Proceedings of the 7</w:t>
      </w:r>
      <w:r>
        <w:rPr>
          <w:position w:val="6"/>
          <w:sz w:val="10"/>
        </w:rPr>
        <w:t>th </w:t>
      </w:r>
      <w:r>
        <w:rPr>
          <w:sz w:val="18"/>
        </w:rPr>
        <w:t>International Conference on Greenhouse Gas Control Technologies. </w:t>
      </w:r>
      <w:r>
        <w:rPr>
          <w:spacing w:val="-4"/>
          <w:sz w:val="18"/>
        </w:rPr>
        <w:t>Volume </w:t>
      </w:r>
      <w:r>
        <w:rPr>
          <w:sz w:val="18"/>
        </w:rPr>
        <w:t>I: Peer Reviewed Papers and Overviews, E.S. Rubin, </w:t>
      </w:r>
      <w:r>
        <w:rPr>
          <w:spacing w:val="-5"/>
          <w:sz w:val="18"/>
        </w:rPr>
        <w:t>D.W. </w:t>
      </w:r>
      <w:r>
        <w:rPr>
          <w:sz w:val="18"/>
        </w:rPr>
        <w:t>Keith, and C.F.Gilboy (eds.), Elsevier Science, Oxford, UK, 139-146.</w:t>
      </w:r>
    </w:p>
    <w:p>
      <w:pPr>
        <w:spacing w:line="230" w:lineRule="auto" w:before="4"/>
        <w:ind w:left="582" w:right="114" w:hanging="341"/>
        <w:jc w:val="both"/>
        <w:rPr>
          <w:sz w:val="18"/>
        </w:rPr>
      </w:pPr>
      <w:r>
        <w:rPr>
          <w:b/>
          <w:sz w:val="18"/>
        </w:rPr>
        <w:t>Gielen, </w:t>
      </w:r>
      <w:r>
        <w:rPr>
          <w:sz w:val="18"/>
        </w:rPr>
        <w:t>D.J., 2003: CO</w:t>
      </w:r>
      <w:r>
        <w:rPr>
          <w:position w:val="-5"/>
          <w:sz w:val="10"/>
        </w:rPr>
        <w:t>2 </w:t>
      </w:r>
      <w:r>
        <w:rPr>
          <w:sz w:val="18"/>
        </w:rPr>
        <w:t>removal in the iron and steel industry,</w:t>
      </w:r>
      <w:r>
        <w:rPr>
          <w:spacing w:val="-21"/>
          <w:sz w:val="18"/>
        </w:rPr>
        <w:t> </w:t>
      </w:r>
      <w:r>
        <w:rPr>
          <w:i/>
          <w:sz w:val="18"/>
        </w:rPr>
        <w:t>Energy </w:t>
      </w:r>
      <w:r>
        <w:rPr>
          <w:i/>
          <w:sz w:val="18"/>
        </w:rPr>
        <w:t>Conversion and Management</w:t>
      </w:r>
      <w:r>
        <w:rPr>
          <w:sz w:val="18"/>
        </w:rPr>
        <w:t>, </w:t>
      </w:r>
      <w:r>
        <w:rPr>
          <w:b/>
          <w:sz w:val="18"/>
        </w:rPr>
        <w:t>44 </w:t>
      </w:r>
      <w:r>
        <w:rPr>
          <w:sz w:val="18"/>
        </w:rPr>
        <w:t>(7),</w:t>
      </w:r>
      <w:r>
        <w:rPr>
          <w:spacing w:val="-1"/>
          <w:sz w:val="18"/>
        </w:rPr>
        <w:t> </w:t>
      </w:r>
      <w:r>
        <w:rPr>
          <w:sz w:val="18"/>
        </w:rPr>
        <w:t>1027-1037.</w:t>
      </w:r>
    </w:p>
    <w:p>
      <w:pPr>
        <w:spacing w:line="278" w:lineRule="auto" w:before="35"/>
        <w:ind w:left="582" w:right="116" w:hanging="341"/>
        <w:jc w:val="both"/>
        <w:rPr>
          <w:sz w:val="18"/>
        </w:rPr>
      </w:pPr>
      <w:r>
        <w:rPr>
          <w:b/>
          <w:sz w:val="18"/>
        </w:rPr>
        <w:t>Göttlicher, </w:t>
      </w:r>
      <w:r>
        <w:rPr>
          <w:sz w:val="18"/>
        </w:rPr>
        <w:t>G., 1999: Energetik der Kohlendioxidrückhaltung in Kraftwerken, Fortschritt-Berichte VDI, Reihe 6: Energietechnik Nr. 421, VDI Düsseldorf, Dissertation Universität Essen 1999, ISBN 3-18-342106-2.</w:t>
      </w:r>
    </w:p>
    <w:p>
      <w:pPr>
        <w:spacing w:line="278" w:lineRule="auto" w:before="0"/>
        <w:ind w:left="582" w:right="115" w:hanging="341"/>
        <w:jc w:val="both"/>
        <w:rPr>
          <w:sz w:val="18"/>
        </w:rPr>
      </w:pPr>
      <w:r>
        <w:rPr>
          <w:b/>
          <w:sz w:val="18"/>
        </w:rPr>
        <w:t>Gray, </w:t>
      </w:r>
      <w:r>
        <w:rPr>
          <w:sz w:val="18"/>
        </w:rPr>
        <w:t>D. and G. Tomlinson, 2001: Coproduction of Ultra Clean Transportation Fuels, Hydrogen, and Electric Power from Coal, Mitretek Technical Report MTR 2001-43, prepared for the National Energy Technology Laboratory, US DOE, July.</w:t>
      </w:r>
    </w:p>
    <w:p>
      <w:pPr>
        <w:spacing w:line="278" w:lineRule="auto" w:before="0"/>
        <w:ind w:left="582" w:right="116" w:hanging="341"/>
        <w:jc w:val="both"/>
        <w:rPr>
          <w:sz w:val="18"/>
        </w:rPr>
      </w:pPr>
      <w:r>
        <w:rPr>
          <w:b/>
          <w:sz w:val="18"/>
        </w:rPr>
        <w:t>Gray, </w:t>
      </w:r>
      <w:r>
        <w:rPr>
          <w:sz w:val="18"/>
        </w:rPr>
        <w:t>D. and G. Tomlinson, 2003: Hydrogen from Coal. Mitretek Technical</w:t>
      </w:r>
      <w:r>
        <w:rPr>
          <w:spacing w:val="-8"/>
          <w:sz w:val="18"/>
        </w:rPr>
        <w:t> </w:t>
      </w:r>
      <w:r>
        <w:rPr>
          <w:sz w:val="18"/>
        </w:rPr>
        <w:t>Paper</w:t>
      </w:r>
      <w:r>
        <w:rPr>
          <w:spacing w:val="-7"/>
          <w:sz w:val="18"/>
        </w:rPr>
        <w:t> </w:t>
      </w:r>
      <w:r>
        <w:rPr>
          <w:sz w:val="18"/>
        </w:rPr>
        <w:t>MTR-2003-13,</w:t>
      </w:r>
      <w:r>
        <w:rPr>
          <w:spacing w:val="-7"/>
          <w:sz w:val="18"/>
        </w:rPr>
        <w:t> </w:t>
      </w:r>
      <w:r>
        <w:rPr>
          <w:sz w:val="18"/>
        </w:rPr>
        <w:t>prepared</w:t>
      </w:r>
      <w:r>
        <w:rPr>
          <w:spacing w:val="-7"/>
          <w:sz w:val="18"/>
        </w:rPr>
        <w:t> </w:t>
      </w:r>
      <w:r>
        <w:rPr>
          <w:sz w:val="18"/>
        </w:rPr>
        <w:t>for</w:t>
      </w:r>
      <w:r>
        <w:rPr>
          <w:spacing w:val="-7"/>
          <w:sz w:val="18"/>
        </w:rPr>
        <w:t> </w:t>
      </w:r>
      <w:r>
        <w:rPr>
          <w:sz w:val="18"/>
        </w:rPr>
        <w:t>the</w:t>
      </w:r>
      <w:r>
        <w:rPr>
          <w:spacing w:val="-7"/>
          <w:sz w:val="18"/>
        </w:rPr>
        <w:t> </w:t>
      </w:r>
      <w:r>
        <w:rPr>
          <w:sz w:val="18"/>
        </w:rPr>
        <w:t>National</w:t>
      </w:r>
      <w:r>
        <w:rPr>
          <w:spacing w:val="-7"/>
          <w:sz w:val="18"/>
        </w:rPr>
        <w:t> </w:t>
      </w:r>
      <w:r>
        <w:rPr>
          <w:sz w:val="18"/>
        </w:rPr>
        <w:t>Energy Technology Laboratory, US DOE,</w:t>
      </w:r>
      <w:r>
        <w:rPr>
          <w:spacing w:val="-15"/>
          <w:sz w:val="18"/>
        </w:rPr>
        <w:t> </w:t>
      </w:r>
      <w:r>
        <w:rPr>
          <w:sz w:val="18"/>
        </w:rPr>
        <w:t>April.</w:t>
      </w:r>
    </w:p>
    <w:p>
      <w:pPr>
        <w:spacing w:line="278" w:lineRule="auto" w:before="0"/>
        <w:ind w:left="582" w:right="114" w:hanging="341"/>
        <w:jc w:val="both"/>
        <w:rPr>
          <w:sz w:val="18"/>
        </w:rPr>
      </w:pPr>
      <w:r>
        <w:rPr>
          <w:b/>
          <w:sz w:val="18"/>
        </w:rPr>
        <w:t>Green, </w:t>
      </w:r>
      <w:r>
        <w:rPr>
          <w:sz w:val="18"/>
        </w:rPr>
        <w:t>D.A., B.S. Turk, </w:t>
      </w:r>
      <w:r>
        <w:rPr>
          <w:spacing w:val="-5"/>
          <w:sz w:val="18"/>
        </w:rPr>
        <w:t>R.P. </w:t>
      </w:r>
      <w:r>
        <w:rPr>
          <w:sz w:val="18"/>
        </w:rPr>
        <w:t>Gupta, </w:t>
      </w:r>
      <w:r>
        <w:rPr>
          <w:spacing w:val="-5"/>
          <w:sz w:val="18"/>
        </w:rPr>
        <w:t>J.W. </w:t>
      </w:r>
      <w:r>
        <w:rPr>
          <w:sz w:val="18"/>
        </w:rPr>
        <w:t>Portzer, </w:t>
      </w:r>
      <w:r>
        <w:rPr>
          <w:spacing w:val="-5"/>
          <w:sz w:val="18"/>
        </w:rPr>
        <w:t>W.J. </w:t>
      </w:r>
      <w:r>
        <w:rPr>
          <w:sz w:val="18"/>
        </w:rPr>
        <w:t>McMichael, and</w:t>
      </w:r>
      <w:r>
        <w:rPr>
          <w:spacing w:val="-12"/>
          <w:sz w:val="18"/>
        </w:rPr>
        <w:t> </w:t>
      </w:r>
      <w:r>
        <w:rPr>
          <w:spacing w:val="-6"/>
          <w:sz w:val="18"/>
        </w:rPr>
        <w:t>D.P.</w:t>
      </w:r>
      <w:r>
        <w:rPr>
          <w:spacing w:val="-11"/>
          <w:sz w:val="18"/>
        </w:rPr>
        <w:t> </w:t>
      </w:r>
      <w:r>
        <w:rPr>
          <w:sz w:val="18"/>
        </w:rPr>
        <w:t>Harrison,</w:t>
      </w:r>
      <w:r>
        <w:rPr>
          <w:spacing w:val="-11"/>
          <w:sz w:val="18"/>
        </w:rPr>
        <w:t> </w:t>
      </w:r>
      <w:r>
        <w:rPr>
          <w:sz w:val="18"/>
        </w:rPr>
        <w:t>2002:</w:t>
      </w:r>
      <w:r>
        <w:rPr>
          <w:spacing w:val="-11"/>
          <w:sz w:val="18"/>
        </w:rPr>
        <w:t> </w:t>
      </w:r>
      <w:r>
        <w:rPr>
          <w:sz w:val="18"/>
        </w:rPr>
        <w:t>Capture</w:t>
      </w:r>
      <w:r>
        <w:rPr>
          <w:spacing w:val="-11"/>
          <w:sz w:val="18"/>
        </w:rPr>
        <w:t> </w:t>
      </w:r>
      <w:r>
        <w:rPr>
          <w:sz w:val="18"/>
        </w:rPr>
        <w:t>of</w:t>
      </w:r>
      <w:r>
        <w:rPr>
          <w:spacing w:val="-12"/>
          <w:sz w:val="18"/>
        </w:rPr>
        <w:t> </w:t>
      </w:r>
      <w:r>
        <w:rPr>
          <w:sz w:val="18"/>
        </w:rPr>
        <w:t>Carbon</w:t>
      </w:r>
      <w:r>
        <w:rPr>
          <w:spacing w:val="-11"/>
          <w:sz w:val="18"/>
        </w:rPr>
        <w:t> </w:t>
      </w:r>
      <w:r>
        <w:rPr>
          <w:sz w:val="18"/>
        </w:rPr>
        <w:t>Dioxide</w:t>
      </w:r>
      <w:r>
        <w:rPr>
          <w:spacing w:val="-12"/>
          <w:sz w:val="18"/>
        </w:rPr>
        <w:t> </w:t>
      </w:r>
      <w:r>
        <w:rPr>
          <w:sz w:val="18"/>
        </w:rPr>
        <w:t>from</w:t>
      </w:r>
      <w:r>
        <w:rPr>
          <w:spacing w:val="-11"/>
          <w:sz w:val="18"/>
        </w:rPr>
        <w:t> </w:t>
      </w:r>
      <w:r>
        <w:rPr>
          <w:sz w:val="18"/>
        </w:rPr>
        <w:t>flue</w:t>
      </w:r>
      <w:r>
        <w:rPr>
          <w:spacing w:val="-11"/>
          <w:sz w:val="18"/>
        </w:rPr>
        <w:t> </w:t>
      </w:r>
      <w:r>
        <w:rPr>
          <w:sz w:val="18"/>
        </w:rPr>
        <w:t>gas using regenerable sorbents. 19th Annual International Pittsburgh Coal Conference. September 23-27, Pittsburgh,</w:t>
      </w:r>
      <w:r>
        <w:rPr>
          <w:spacing w:val="30"/>
          <w:sz w:val="18"/>
        </w:rPr>
        <w:t> </w:t>
      </w:r>
      <w:r>
        <w:rPr>
          <w:sz w:val="18"/>
        </w:rPr>
        <w:t>Pennsylvania,</w:t>
      </w:r>
    </w:p>
    <w:p>
      <w:pPr>
        <w:spacing w:after="0" w:line="278" w:lineRule="auto"/>
        <w:jc w:val="both"/>
        <w:rPr>
          <w:sz w:val="18"/>
        </w:rPr>
        <w:sectPr>
          <w:pgSz w:w="12240" w:h="15840"/>
          <w:pgMar w:header="567" w:footer="0" w:top="1120" w:bottom="280" w:left="620" w:right="620"/>
          <w:cols w:num="2" w:equalWidth="0">
            <w:col w:w="5558" w:space="40"/>
            <w:col w:w="5402"/>
          </w:cols>
        </w:sectPr>
      </w:pPr>
    </w:p>
    <w:p>
      <w:pPr>
        <w:spacing w:before="148"/>
        <w:ind w:left="457" w:right="0" w:firstLine="0"/>
        <w:jc w:val="left"/>
        <w:rPr>
          <w:sz w:val="18"/>
        </w:rPr>
      </w:pPr>
      <w:r>
        <w:rPr>
          <w:sz w:val="18"/>
        </w:rPr>
        <w:t>USA.</w:t>
      </w:r>
    </w:p>
    <w:p>
      <w:pPr>
        <w:spacing w:line="278" w:lineRule="auto" w:before="33"/>
        <w:ind w:left="457" w:right="46" w:hanging="341"/>
        <w:jc w:val="both"/>
        <w:rPr>
          <w:sz w:val="18"/>
        </w:rPr>
      </w:pPr>
      <w:r>
        <w:rPr>
          <w:b/>
          <w:sz w:val="18"/>
        </w:rPr>
        <w:t>Griffin, </w:t>
      </w:r>
      <w:r>
        <w:rPr>
          <w:sz w:val="18"/>
        </w:rPr>
        <w:t>T., S.G. Sundkvist, K. Aasen, and T. Bruun, 2003: Advanced Zero Emissions Gas Turbine Power Plant, ASME Turbo Expo Conference, paper# GT-2003-38120, Atlanta, USA.</w:t>
      </w:r>
    </w:p>
    <w:p>
      <w:pPr>
        <w:spacing w:line="278" w:lineRule="auto" w:before="0"/>
        <w:ind w:left="457" w:right="47" w:hanging="341"/>
        <w:jc w:val="both"/>
        <w:rPr>
          <w:sz w:val="18"/>
        </w:rPr>
      </w:pPr>
      <w:r>
        <w:rPr>
          <w:b/>
          <w:sz w:val="18"/>
        </w:rPr>
        <w:t>Haines, </w:t>
      </w:r>
      <w:r>
        <w:rPr>
          <w:sz w:val="18"/>
        </w:rPr>
        <w:t>M.R., 1999: Producing Electrical Energy from Natural Gas using a Solid Oxide Fuel Cell. Patent WO 99/10945, 1-14.</w:t>
      </w:r>
    </w:p>
    <w:p>
      <w:pPr>
        <w:spacing w:line="278" w:lineRule="auto" w:before="0"/>
        <w:ind w:left="457" w:right="46" w:hanging="341"/>
        <w:jc w:val="both"/>
        <w:rPr>
          <w:sz w:val="18"/>
        </w:rPr>
      </w:pPr>
      <w:r>
        <w:rPr>
          <w:b/>
          <w:sz w:val="18"/>
        </w:rPr>
        <w:t>Hazardous Substances Data Bank,  </w:t>
      </w:r>
      <w:r>
        <w:rPr>
          <w:sz w:val="18"/>
        </w:rPr>
        <w:t>2002:  US  National  Library  of Medicine, Specialized Information Services: Hazardous Substances Data Bank. Carbon dioxide. 55</w:t>
      </w:r>
      <w:r>
        <w:rPr>
          <w:spacing w:val="-4"/>
          <w:sz w:val="18"/>
        </w:rPr>
        <w:t> </w:t>
      </w:r>
      <w:r>
        <w:rPr>
          <w:sz w:val="18"/>
        </w:rPr>
        <w:t>pp.</w:t>
      </w:r>
    </w:p>
    <w:p>
      <w:pPr>
        <w:spacing w:line="207" w:lineRule="exact" w:before="0"/>
        <w:ind w:left="117" w:right="0" w:firstLine="0"/>
        <w:jc w:val="both"/>
        <w:rPr>
          <w:sz w:val="18"/>
        </w:rPr>
      </w:pPr>
      <w:r>
        <w:rPr>
          <w:b/>
          <w:sz w:val="18"/>
        </w:rPr>
        <w:t>Hendriks, </w:t>
      </w:r>
      <w:r>
        <w:rPr>
          <w:sz w:val="18"/>
        </w:rPr>
        <w:t>C., 1994: Carbon dioxide removal from coal-fired power</w:t>
      </w:r>
    </w:p>
    <w:p>
      <w:pPr>
        <w:spacing w:before="32"/>
        <w:ind w:left="457" w:right="0" w:firstLine="0"/>
        <w:jc w:val="both"/>
        <w:rPr>
          <w:sz w:val="18"/>
        </w:rPr>
      </w:pPr>
      <w:r>
        <w:rPr>
          <w:sz w:val="18"/>
        </w:rPr>
        <w:t>plants, Dissertation, Utrecht University, Netherlands, 259 pp.</w:t>
      </w:r>
    </w:p>
    <w:p>
      <w:pPr>
        <w:spacing w:line="240" w:lineRule="exact" w:before="9"/>
        <w:ind w:left="457" w:right="45" w:hanging="341"/>
        <w:jc w:val="both"/>
        <w:rPr>
          <w:sz w:val="18"/>
        </w:rPr>
      </w:pPr>
      <w:r>
        <w:rPr>
          <w:b/>
          <w:sz w:val="18"/>
        </w:rPr>
        <w:t>Herzog, </w:t>
      </w:r>
      <w:r>
        <w:rPr>
          <w:sz w:val="18"/>
        </w:rPr>
        <w:t>H.J., 1999: The economics of CO</w:t>
      </w:r>
      <w:r>
        <w:rPr>
          <w:position w:val="-5"/>
          <w:sz w:val="10"/>
        </w:rPr>
        <w:t>2 </w:t>
      </w:r>
      <w:r>
        <w:rPr>
          <w:sz w:val="18"/>
        </w:rPr>
        <w:t>capture. Proceedings of the Fourth International Conference on Greenhouse Gas Control Technologies, B. Eliasson, P. Riemer, and A. Wokaun (eds.), 30 August-2 September 1998, Interlaken, Switzerland, Elsevier Science Ltd., Oxford, UK, 101-106.</w:t>
      </w:r>
    </w:p>
    <w:p>
      <w:pPr>
        <w:spacing w:line="240" w:lineRule="exact" w:before="0"/>
        <w:ind w:left="457" w:right="45" w:hanging="341"/>
        <w:jc w:val="both"/>
        <w:rPr>
          <w:sz w:val="18"/>
        </w:rPr>
      </w:pPr>
      <w:r>
        <w:rPr>
          <w:b/>
          <w:sz w:val="18"/>
        </w:rPr>
        <w:t>Herzog, </w:t>
      </w:r>
      <w:r>
        <w:rPr>
          <w:sz w:val="18"/>
        </w:rPr>
        <w:t>H., D. Golomb, S. Zemba, 1991: Feasibility, modeling and economics</w:t>
      </w:r>
      <w:r>
        <w:rPr>
          <w:spacing w:val="-6"/>
          <w:sz w:val="18"/>
        </w:rPr>
        <w:t> </w:t>
      </w:r>
      <w:r>
        <w:rPr>
          <w:sz w:val="18"/>
        </w:rPr>
        <w:t>of</w:t>
      </w:r>
      <w:r>
        <w:rPr>
          <w:spacing w:val="-6"/>
          <w:sz w:val="18"/>
        </w:rPr>
        <w:t> </w:t>
      </w:r>
      <w:r>
        <w:rPr>
          <w:sz w:val="18"/>
        </w:rPr>
        <w:t>sequestering</w:t>
      </w:r>
      <w:r>
        <w:rPr>
          <w:spacing w:val="-6"/>
          <w:sz w:val="18"/>
        </w:rPr>
        <w:t> </w:t>
      </w:r>
      <w:r>
        <w:rPr>
          <w:sz w:val="18"/>
        </w:rPr>
        <w:t>power</w:t>
      </w:r>
      <w:r>
        <w:rPr>
          <w:spacing w:val="-6"/>
          <w:sz w:val="18"/>
        </w:rPr>
        <w:t> </w:t>
      </w:r>
      <w:r>
        <w:rPr>
          <w:sz w:val="18"/>
        </w:rPr>
        <w:t>plant</w:t>
      </w:r>
      <w:r>
        <w:rPr>
          <w:spacing w:val="-6"/>
          <w:sz w:val="18"/>
        </w:rPr>
        <w:t> </w:t>
      </w:r>
      <w:r>
        <w:rPr>
          <w:sz w:val="18"/>
        </w:rPr>
        <w:t>CO</w:t>
      </w:r>
      <w:r>
        <w:rPr>
          <w:position w:val="-5"/>
          <w:sz w:val="10"/>
        </w:rPr>
        <w:t>2</w:t>
      </w:r>
      <w:r>
        <w:rPr>
          <w:spacing w:val="14"/>
          <w:position w:val="-5"/>
          <w:sz w:val="10"/>
        </w:rPr>
        <w:t> </w:t>
      </w:r>
      <w:r>
        <w:rPr>
          <w:sz w:val="18"/>
        </w:rPr>
        <w:t>emissions</w:t>
      </w:r>
      <w:r>
        <w:rPr>
          <w:spacing w:val="-6"/>
          <w:sz w:val="18"/>
        </w:rPr>
        <w:t> </w:t>
      </w:r>
      <w:r>
        <w:rPr>
          <w:sz w:val="18"/>
        </w:rPr>
        <w:t>in</w:t>
      </w:r>
      <w:r>
        <w:rPr>
          <w:spacing w:val="-6"/>
          <w:sz w:val="18"/>
        </w:rPr>
        <w:t> </w:t>
      </w:r>
      <w:r>
        <w:rPr>
          <w:sz w:val="18"/>
        </w:rPr>
        <w:t>the</w:t>
      </w:r>
      <w:r>
        <w:rPr>
          <w:spacing w:val="-6"/>
          <w:sz w:val="18"/>
        </w:rPr>
        <w:t> </w:t>
      </w:r>
      <w:r>
        <w:rPr>
          <w:sz w:val="18"/>
        </w:rPr>
        <w:t>deep ocean, </w:t>
      </w:r>
      <w:r>
        <w:rPr>
          <w:i/>
          <w:sz w:val="18"/>
        </w:rPr>
        <w:t>Environmental Progress</w:t>
      </w:r>
      <w:r>
        <w:rPr>
          <w:sz w:val="18"/>
        </w:rPr>
        <w:t>, </w:t>
      </w:r>
      <w:r>
        <w:rPr>
          <w:b/>
          <w:sz w:val="18"/>
        </w:rPr>
        <w:t>10</w:t>
      </w:r>
      <w:r>
        <w:rPr>
          <w:sz w:val="18"/>
        </w:rPr>
        <w:t>(1),</w:t>
      </w:r>
      <w:r>
        <w:rPr>
          <w:spacing w:val="-3"/>
          <w:sz w:val="18"/>
        </w:rPr>
        <w:t> </w:t>
      </w:r>
      <w:r>
        <w:rPr>
          <w:sz w:val="18"/>
        </w:rPr>
        <w:t>64-74.</w:t>
      </w:r>
    </w:p>
    <w:p>
      <w:pPr>
        <w:spacing w:line="240" w:lineRule="exact" w:before="0"/>
        <w:ind w:left="457" w:right="46" w:hanging="341"/>
        <w:jc w:val="both"/>
        <w:rPr>
          <w:sz w:val="18"/>
        </w:rPr>
      </w:pPr>
      <w:r>
        <w:rPr>
          <w:b/>
          <w:sz w:val="18"/>
        </w:rPr>
        <w:t>Hoffman, </w:t>
      </w:r>
      <w:r>
        <w:rPr>
          <w:sz w:val="18"/>
        </w:rPr>
        <w:t>J.S., D.J. Fauth., and </w:t>
      </w:r>
      <w:r>
        <w:rPr>
          <w:spacing w:val="-5"/>
          <w:sz w:val="18"/>
        </w:rPr>
        <w:t>H.W. </w:t>
      </w:r>
      <w:r>
        <w:rPr>
          <w:sz w:val="18"/>
        </w:rPr>
        <w:t>Pennline, 2002: Development of novel dry regenerable sorbents for CO</w:t>
      </w:r>
      <w:r>
        <w:rPr>
          <w:position w:val="-5"/>
          <w:sz w:val="10"/>
        </w:rPr>
        <w:t>2 </w:t>
      </w:r>
      <w:r>
        <w:rPr>
          <w:sz w:val="18"/>
        </w:rPr>
        <w:t>capture. 19th Annual International</w:t>
      </w:r>
      <w:r>
        <w:rPr>
          <w:spacing w:val="-9"/>
          <w:sz w:val="18"/>
        </w:rPr>
        <w:t> </w:t>
      </w:r>
      <w:r>
        <w:rPr>
          <w:sz w:val="18"/>
        </w:rPr>
        <w:t>Pittsburgh</w:t>
      </w:r>
      <w:r>
        <w:rPr>
          <w:spacing w:val="-9"/>
          <w:sz w:val="18"/>
        </w:rPr>
        <w:t> </w:t>
      </w:r>
      <w:r>
        <w:rPr>
          <w:sz w:val="18"/>
        </w:rPr>
        <w:t>Coal</w:t>
      </w:r>
      <w:r>
        <w:rPr>
          <w:spacing w:val="-9"/>
          <w:sz w:val="18"/>
        </w:rPr>
        <w:t> </w:t>
      </w:r>
      <w:r>
        <w:rPr>
          <w:sz w:val="18"/>
        </w:rPr>
        <w:t>Conference.</w:t>
      </w:r>
      <w:r>
        <w:rPr>
          <w:spacing w:val="-9"/>
          <w:sz w:val="18"/>
        </w:rPr>
        <w:t> </w:t>
      </w:r>
      <w:r>
        <w:rPr>
          <w:sz w:val="18"/>
        </w:rPr>
        <w:t>September</w:t>
      </w:r>
      <w:r>
        <w:rPr>
          <w:spacing w:val="-9"/>
          <w:sz w:val="18"/>
        </w:rPr>
        <w:t> </w:t>
      </w:r>
      <w:r>
        <w:rPr>
          <w:sz w:val="18"/>
        </w:rPr>
        <w:t>23-27,</w:t>
      </w:r>
      <w:r>
        <w:rPr>
          <w:spacing w:val="-9"/>
          <w:sz w:val="18"/>
        </w:rPr>
        <w:t> </w:t>
      </w:r>
      <w:r>
        <w:rPr>
          <w:sz w:val="18"/>
        </w:rPr>
        <w:t>2002 Pittsburgh, Pennsylvania,</w:t>
      </w:r>
      <w:r>
        <w:rPr>
          <w:spacing w:val="-2"/>
          <w:sz w:val="18"/>
        </w:rPr>
        <w:t> </w:t>
      </w:r>
      <w:r>
        <w:rPr>
          <w:sz w:val="18"/>
        </w:rPr>
        <w:t>USA.</w:t>
      </w:r>
    </w:p>
    <w:p>
      <w:pPr>
        <w:spacing w:line="240" w:lineRule="exact" w:before="0"/>
        <w:ind w:left="457" w:right="46" w:hanging="341"/>
        <w:jc w:val="both"/>
        <w:rPr>
          <w:sz w:val="18"/>
        </w:rPr>
      </w:pPr>
      <w:r>
        <w:rPr>
          <w:b/>
          <w:sz w:val="18"/>
        </w:rPr>
        <w:t>Holt, </w:t>
      </w:r>
      <w:r>
        <w:rPr>
          <w:sz w:val="18"/>
        </w:rPr>
        <w:t>N., G. Booras, and D. Todd, 2003: Summary of recent IGCC studies of CO</w:t>
      </w:r>
      <w:r>
        <w:rPr>
          <w:position w:val="-5"/>
          <w:sz w:val="10"/>
        </w:rPr>
        <w:t>2 </w:t>
      </w:r>
      <w:r>
        <w:rPr>
          <w:sz w:val="18"/>
        </w:rPr>
        <w:t>for sequestration, Proceedings of Gasification Technologies Conference, October 12-15, San Francisco.</w:t>
      </w:r>
    </w:p>
    <w:p>
      <w:pPr>
        <w:spacing w:line="240" w:lineRule="exact" w:before="0"/>
        <w:ind w:left="457" w:right="46" w:hanging="341"/>
        <w:jc w:val="both"/>
        <w:rPr>
          <w:sz w:val="18"/>
        </w:rPr>
      </w:pPr>
      <w:r>
        <w:rPr>
          <w:b/>
          <w:sz w:val="18"/>
        </w:rPr>
        <w:t>Hufton, </w:t>
      </w:r>
      <w:r>
        <w:rPr>
          <w:sz w:val="18"/>
        </w:rPr>
        <w:t>J.R., R.J. Allam, R. Chiang, </w:t>
      </w:r>
      <w:r>
        <w:rPr>
          <w:spacing w:val="-5"/>
          <w:sz w:val="18"/>
        </w:rPr>
        <w:t>R.P. </w:t>
      </w:r>
      <w:r>
        <w:rPr>
          <w:sz w:val="18"/>
        </w:rPr>
        <w:t>Middleton,  E.L.  </w:t>
      </w:r>
      <w:r>
        <w:rPr>
          <w:spacing w:val="-3"/>
          <w:sz w:val="18"/>
        </w:rPr>
        <w:t>Weist, </w:t>
      </w:r>
      <w:r>
        <w:rPr>
          <w:sz w:val="18"/>
        </w:rPr>
        <w:t>and </w:t>
      </w:r>
      <w:r>
        <w:rPr>
          <w:spacing w:val="-12"/>
          <w:sz w:val="18"/>
        </w:rPr>
        <w:t>V. </w:t>
      </w:r>
      <w:r>
        <w:rPr>
          <w:sz w:val="18"/>
        </w:rPr>
        <w:t>White, 2005: Development of a Process for CO</w:t>
      </w:r>
      <w:r>
        <w:rPr>
          <w:position w:val="-5"/>
          <w:sz w:val="10"/>
        </w:rPr>
        <w:t>2 </w:t>
      </w:r>
      <w:r>
        <w:rPr>
          <w:sz w:val="18"/>
        </w:rPr>
        <w:t>Capture from Gas Turbines using a Sorption Enhanced </w:t>
      </w:r>
      <w:r>
        <w:rPr>
          <w:spacing w:val="-3"/>
          <w:sz w:val="18"/>
        </w:rPr>
        <w:t>Water </w:t>
      </w:r>
      <w:r>
        <w:rPr>
          <w:sz w:val="18"/>
        </w:rPr>
        <w:t>Gas Shift Reactor System. Proceedings of 7</w:t>
      </w:r>
      <w:r>
        <w:rPr>
          <w:position w:val="6"/>
          <w:sz w:val="10"/>
        </w:rPr>
        <w:t>th </w:t>
      </w:r>
      <w:r>
        <w:rPr>
          <w:sz w:val="18"/>
        </w:rPr>
        <w:t>International Conference on Greenhouse</w:t>
      </w:r>
      <w:r>
        <w:rPr>
          <w:spacing w:val="-5"/>
          <w:sz w:val="18"/>
        </w:rPr>
        <w:t> </w:t>
      </w:r>
      <w:r>
        <w:rPr>
          <w:sz w:val="18"/>
        </w:rPr>
        <w:t>Gas</w:t>
      </w:r>
      <w:r>
        <w:rPr>
          <w:spacing w:val="-5"/>
          <w:sz w:val="18"/>
        </w:rPr>
        <w:t> </w:t>
      </w:r>
      <w:r>
        <w:rPr>
          <w:sz w:val="18"/>
        </w:rPr>
        <w:t>Control</w:t>
      </w:r>
      <w:r>
        <w:rPr>
          <w:spacing w:val="-7"/>
          <w:sz w:val="18"/>
        </w:rPr>
        <w:t> </w:t>
      </w:r>
      <w:r>
        <w:rPr>
          <w:sz w:val="18"/>
        </w:rPr>
        <w:t>Technologies.</w:t>
      </w:r>
      <w:r>
        <w:rPr>
          <w:spacing w:val="-8"/>
          <w:sz w:val="18"/>
        </w:rPr>
        <w:t> </w:t>
      </w:r>
      <w:r>
        <w:rPr>
          <w:spacing w:val="-4"/>
          <w:sz w:val="18"/>
        </w:rPr>
        <w:t>Volume </w:t>
      </w:r>
      <w:r>
        <w:rPr>
          <w:sz w:val="18"/>
        </w:rPr>
        <w:t>I:</w:t>
      </w:r>
      <w:r>
        <w:rPr>
          <w:spacing w:val="-5"/>
          <w:sz w:val="18"/>
        </w:rPr>
        <w:t> </w:t>
      </w:r>
      <w:r>
        <w:rPr>
          <w:sz w:val="18"/>
        </w:rPr>
        <w:t>Peer</w:t>
      </w:r>
      <w:r>
        <w:rPr>
          <w:spacing w:val="-5"/>
          <w:sz w:val="18"/>
        </w:rPr>
        <w:t> </w:t>
      </w:r>
      <w:r>
        <w:rPr>
          <w:sz w:val="18"/>
        </w:rPr>
        <w:t>Reviewed Papers and Overviews, E.S. Rubin, </w:t>
      </w:r>
      <w:r>
        <w:rPr>
          <w:spacing w:val="-5"/>
          <w:sz w:val="18"/>
        </w:rPr>
        <w:t>D.W. </w:t>
      </w:r>
      <w:r>
        <w:rPr>
          <w:sz w:val="18"/>
        </w:rPr>
        <w:t>Keith, and </w:t>
      </w:r>
      <w:r>
        <w:rPr>
          <w:spacing w:val="-4"/>
          <w:sz w:val="18"/>
        </w:rPr>
        <w:t>C.F. </w:t>
      </w:r>
      <w:r>
        <w:rPr>
          <w:sz w:val="18"/>
        </w:rPr>
        <w:t>Gilboy (eds.), Elsevier Science, Oxford, UK, 2005,</w:t>
      </w:r>
      <w:r>
        <w:rPr>
          <w:spacing w:val="-7"/>
          <w:sz w:val="18"/>
        </w:rPr>
        <w:t> </w:t>
      </w:r>
      <w:r>
        <w:rPr>
          <w:sz w:val="18"/>
        </w:rPr>
        <w:t>253-262.</w:t>
      </w:r>
    </w:p>
    <w:p>
      <w:pPr>
        <w:spacing w:line="278" w:lineRule="auto" w:before="24"/>
        <w:ind w:left="457" w:right="0" w:hanging="341"/>
        <w:jc w:val="left"/>
        <w:rPr>
          <w:sz w:val="18"/>
        </w:rPr>
      </w:pPr>
      <w:r>
        <w:rPr>
          <w:b/>
          <w:sz w:val="18"/>
        </w:rPr>
        <w:t>Hufton,</w:t>
      </w:r>
      <w:r>
        <w:rPr>
          <w:b/>
          <w:spacing w:val="-17"/>
          <w:sz w:val="18"/>
        </w:rPr>
        <w:t> </w:t>
      </w:r>
      <w:r>
        <w:rPr>
          <w:sz w:val="18"/>
        </w:rPr>
        <w:t>J.R.,</w:t>
      </w:r>
      <w:r>
        <w:rPr>
          <w:spacing w:val="-16"/>
          <w:sz w:val="18"/>
        </w:rPr>
        <w:t> </w:t>
      </w:r>
      <w:r>
        <w:rPr>
          <w:sz w:val="18"/>
        </w:rPr>
        <w:t>S.</w:t>
      </w:r>
      <w:r>
        <w:rPr>
          <w:spacing w:val="-17"/>
          <w:sz w:val="18"/>
        </w:rPr>
        <w:t> </w:t>
      </w:r>
      <w:r>
        <w:rPr>
          <w:sz w:val="18"/>
        </w:rPr>
        <w:t>Mayorga,</w:t>
      </w:r>
      <w:r>
        <w:rPr>
          <w:spacing w:val="-16"/>
          <w:sz w:val="18"/>
        </w:rPr>
        <w:t> </w:t>
      </w:r>
      <w:r>
        <w:rPr>
          <w:sz w:val="18"/>
        </w:rPr>
        <w:t>S.</w:t>
      </w:r>
      <w:r>
        <w:rPr>
          <w:spacing w:val="-17"/>
          <w:sz w:val="18"/>
        </w:rPr>
        <w:t> </w:t>
      </w:r>
      <w:r>
        <w:rPr>
          <w:sz w:val="18"/>
        </w:rPr>
        <w:t>Sircar,</w:t>
      </w:r>
      <w:r>
        <w:rPr>
          <w:spacing w:val="-16"/>
          <w:sz w:val="18"/>
        </w:rPr>
        <w:t> </w:t>
      </w:r>
      <w:r>
        <w:rPr>
          <w:sz w:val="18"/>
        </w:rPr>
        <w:t>1999:</w:t>
      </w:r>
      <w:r>
        <w:rPr>
          <w:spacing w:val="-16"/>
          <w:sz w:val="18"/>
        </w:rPr>
        <w:t> </w:t>
      </w:r>
      <w:r>
        <w:rPr>
          <w:sz w:val="18"/>
        </w:rPr>
        <w:t>Sorption</w:t>
      </w:r>
      <w:r>
        <w:rPr>
          <w:spacing w:val="-17"/>
          <w:sz w:val="18"/>
        </w:rPr>
        <w:t> </w:t>
      </w:r>
      <w:r>
        <w:rPr>
          <w:sz w:val="18"/>
        </w:rPr>
        <w:t>Enhanced</w:t>
      </w:r>
      <w:r>
        <w:rPr>
          <w:spacing w:val="-16"/>
          <w:sz w:val="18"/>
        </w:rPr>
        <w:t> </w:t>
      </w:r>
      <w:r>
        <w:rPr>
          <w:sz w:val="18"/>
        </w:rPr>
        <w:t>Reaction Process for Hydrogen Production </w:t>
      </w:r>
      <w:r>
        <w:rPr>
          <w:i/>
          <w:sz w:val="18"/>
        </w:rPr>
        <w:t>AIChE J</w:t>
      </w:r>
      <w:r>
        <w:rPr>
          <w:sz w:val="18"/>
        </w:rPr>
        <w:t>, </w:t>
      </w:r>
      <w:r>
        <w:rPr>
          <w:b/>
          <w:sz w:val="18"/>
        </w:rPr>
        <w:t>45</w:t>
      </w:r>
      <w:r>
        <w:rPr>
          <w:sz w:val="18"/>
        </w:rPr>
        <w:t>,</w:t>
      </w:r>
      <w:r>
        <w:rPr>
          <w:spacing w:val="-9"/>
          <w:sz w:val="18"/>
        </w:rPr>
        <w:t> </w:t>
      </w:r>
      <w:r>
        <w:rPr>
          <w:sz w:val="18"/>
        </w:rPr>
        <w:t>248-254.</w:t>
      </w:r>
    </w:p>
    <w:p>
      <w:pPr>
        <w:spacing w:line="278" w:lineRule="auto" w:before="0"/>
        <w:ind w:left="457" w:right="0" w:hanging="341"/>
        <w:jc w:val="left"/>
        <w:rPr>
          <w:sz w:val="18"/>
        </w:rPr>
      </w:pPr>
      <w:r>
        <w:rPr>
          <w:b/>
          <w:sz w:val="18"/>
        </w:rPr>
        <w:t>iEA WEO, </w:t>
      </w:r>
      <w:r>
        <w:rPr>
          <w:sz w:val="18"/>
        </w:rPr>
        <w:t>2004: IEA World Energy Outlook 2004, International Energy Agency, Paris France.</w:t>
      </w:r>
    </w:p>
    <w:p>
      <w:pPr>
        <w:spacing w:line="230" w:lineRule="auto" w:before="5"/>
        <w:ind w:left="457" w:right="46" w:hanging="341"/>
        <w:jc w:val="left"/>
        <w:rPr>
          <w:sz w:val="18"/>
        </w:rPr>
      </w:pPr>
      <w:r>
        <w:rPr>
          <w:b/>
          <w:sz w:val="18"/>
        </w:rPr>
        <w:t>iEA, </w:t>
      </w:r>
      <w:r>
        <w:rPr>
          <w:sz w:val="18"/>
        </w:rPr>
        <w:t>2004: Prospects for CO</w:t>
      </w:r>
      <w:r>
        <w:rPr>
          <w:position w:val="-5"/>
          <w:sz w:val="10"/>
        </w:rPr>
        <w:t>2 </w:t>
      </w:r>
      <w:r>
        <w:rPr>
          <w:sz w:val="18"/>
        </w:rPr>
        <w:t>capture and storage, ISBN 92-64-10881-5.</w:t>
      </w:r>
    </w:p>
    <w:p>
      <w:pPr>
        <w:spacing w:line="278" w:lineRule="auto" w:before="35"/>
        <w:ind w:left="457" w:right="46" w:hanging="341"/>
        <w:jc w:val="both"/>
        <w:rPr>
          <w:sz w:val="18"/>
        </w:rPr>
      </w:pPr>
      <w:r>
        <w:rPr>
          <w:b/>
          <w:sz w:val="18"/>
        </w:rPr>
        <w:t>iEA</w:t>
      </w:r>
      <w:r>
        <w:rPr>
          <w:b/>
          <w:spacing w:val="-12"/>
          <w:sz w:val="18"/>
        </w:rPr>
        <w:t> </w:t>
      </w:r>
      <w:r>
        <w:rPr>
          <w:b/>
          <w:sz w:val="18"/>
        </w:rPr>
        <w:t>CCC,</w:t>
      </w:r>
      <w:r>
        <w:rPr>
          <w:b/>
          <w:spacing w:val="-2"/>
          <w:sz w:val="18"/>
        </w:rPr>
        <w:t> </w:t>
      </w:r>
      <w:r>
        <w:rPr>
          <w:sz w:val="18"/>
        </w:rPr>
        <w:t>2005:</w:t>
      </w:r>
      <w:r>
        <w:rPr>
          <w:spacing w:val="-1"/>
          <w:sz w:val="18"/>
        </w:rPr>
        <w:t> </w:t>
      </w:r>
      <w:r>
        <w:rPr>
          <w:sz w:val="18"/>
        </w:rPr>
        <w:t>IEA</w:t>
      </w:r>
      <w:r>
        <w:rPr>
          <w:spacing w:val="-12"/>
          <w:sz w:val="18"/>
        </w:rPr>
        <w:t> </w:t>
      </w:r>
      <w:r>
        <w:rPr>
          <w:sz w:val="18"/>
        </w:rPr>
        <w:t>CCC</w:t>
      </w:r>
      <w:r>
        <w:rPr>
          <w:spacing w:val="-2"/>
          <w:sz w:val="18"/>
        </w:rPr>
        <w:t> </w:t>
      </w:r>
      <w:r>
        <w:rPr>
          <w:sz w:val="18"/>
        </w:rPr>
        <w:t>(IEA</w:t>
      </w:r>
      <w:r>
        <w:rPr>
          <w:spacing w:val="-11"/>
          <w:sz w:val="18"/>
        </w:rPr>
        <w:t> </w:t>
      </w:r>
      <w:r>
        <w:rPr>
          <w:sz w:val="18"/>
        </w:rPr>
        <w:t>Clean</w:t>
      </w:r>
      <w:r>
        <w:rPr>
          <w:spacing w:val="-2"/>
          <w:sz w:val="18"/>
        </w:rPr>
        <w:t> </w:t>
      </w:r>
      <w:r>
        <w:rPr>
          <w:sz w:val="18"/>
        </w:rPr>
        <w:t>Coal</w:t>
      </w:r>
      <w:r>
        <w:rPr>
          <w:spacing w:val="-1"/>
          <w:sz w:val="18"/>
        </w:rPr>
        <w:t> </w:t>
      </w:r>
      <w:r>
        <w:rPr>
          <w:sz w:val="18"/>
        </w:rPr>
        <w:t>Centre)</w:t>
      </w:r>
      <w:r>
        <w:rPr>
          <w:spacing w:val="-5"/>
          <w:sz w:val="18"/>
        </w:rPr>
        <w:t> </w:t>
      </w:r>
      <w:r>
        <w:rPr>
          <w:sz w:val="18"/>
        </w:rPr>
        <w:t>The</w:t>
      </w:r>
      <w:r>
        <w:rPr>
          <w:spacing w:val="-5"/>
          <w:sz w:val="18"/>
        </w:rPr>
        <w:t> </w:t>
      </w:r>
      <w:r>
        <w:rPr>
          <w:spacing w:val="-3"/>
          <w:sz w:val="18"/>
        </w:rPr>
        <w:t>World</w:t>
      </w:r>
      <w:r>
        <w:rPr>
          <w:spacing w:val="-1"/>
          <w:sz w:val="18"/>
        </w:rPr>
        <w:t> </w:t>
      </w:r>
      <w:r>
        <w:rPr>
          <w:sz w:val="18"/>
        </w:rPr>
        <w:t>Coal- fired Power Plants Database, Gemini House, </w:t>
      </w:r>
      <w:r>
        <w:rPr>
          <w:spacing w:val="-3"/>
          <w:sz w:val="18"/>
        </w:rPr>
        <w:t>Putney, </w:t>
      </w:r>
      <w:r>
        <w:rPr>
          <w:sz w:val="18"/>
        </w:rPr>
        <w:t>London, United</w:t>
      </w:r>
      <w:r>
        <w:rPr>
          <w:spacing w:val="-2"/>
          <w:sz w:val="18"/>
        </w:rPr>
        <w:t> </w:t>
      </w:r>
      <w:r>
        <w:rPr>
          <w:sz w:val="18"/>
        </w:rPr>
        <w:t>Kingdom.</w:t>
      </w:r>
    </w:p>
    <w:p>
      <w:pPr>
        <w:spacing w:line="278" w:lineRule="auto" w:before="0"/>
        <w:ind w:left="457" w:right="47" w:hanging="341"/>
        <w:jc w:val="both"/>
        <w:rPr>
          <w:sz w:val="18"/>
        </w:rPr>
      </w:pPr>
      <w:r>
        <w:rPr>
          <w:b/>
          <w:sz w:val="18"/>
        </w:rPr>
        <w:t>iEA GHG, </w:t>
      </w:r>
      <w:r>
        <w:rPr>
          <w:sz w:val="18"/>
        </w:rPr>
        <w:t>1996: De-carbonisation of fossil fuels, Report PH2/2, March</w:t>
      </w:r>
      <w:r>
        <w:rPr>
          <w:spacing w:val="-20"/>
          <w:sz w:val="18"/>
        </w:rPr>
        <w:t> </w:t>
      </w:r>
      <w:r>
        <w:rPr>
          <w:sz w:val="18"/>
        </w:rPr>
        <w:t>1996,</w:t>
      </w:r>
      <w:r>
        <w:rPr>
          <w:spacing w:val="-19"/>
          <w:sz w:val="18"/>
        </w:rPr>
        <w:t> </w:t>
      </w:r>
      <w:r>
        <w:rPr>
          <w:sz w:val="18"/>
        </w:rPr>
        <w:t>IEA</w:t>
      </w:r>
      <w:r>
        <w:rPr>
          <w:spacing w:val="-28"/>
          <w:sz w:val="18"/>
        </w:rPr>
        <w:t> </w:t>
      </w:r>
      <w:r>
        <w:rPr>
          <w:sz w:val="18"/>
        </w:rPr>
        <w:t>Greenhouse</w:t>
      </w:r>
      <w:r>
        <w:rPr>
          <w:spacing w:val="-19"/>
          <w:sz w:val="18"/>
        </w:rPr>
        <w:t> </w:t>
      </w:r>
      <w:r>
        <w:rPr>
          <w:sz w:val="18"/>
        </w:rPr>
        <w:t>Gas</w:t>
      </w:r>
      <w:r>
        <w:rPr>
          <w:spacing w:val="-19"/>
          <w:sz w:val="18"/>
        </w:rPr>
        <w:t> </w:t>
      </w:r>
      <w:r>
        <w:rPr>
          <w:sz w:val="18"/>
        </w:rPr>
        <w:t>R&amp;D</w:t>
      </w:r>
      <w:r>
        <w:rPr>
          <w:spacing w:val="-19"/>
          <w:sz w:val="18"/>
        </w:rPr>
        <w:t> </w:t>
      </w:r>
      <w:r>
        <w:rPr>
          <w:sz w:val="18"/>
        </w:rPr>
        <w:t>Programme,</w:t>
      </w:r>
      <w:r>
        <w:rPr>
          <w:spacing w:val="-19"/>
          <w:sz w:val="18"/>
        </w:rPr>
        <w:t> </w:t>
      </w:r>
      <w:r>
        <w:rPr>
          <w:sz w:val="18"/>
        </w:rPr>
        <w:t>Cheltenham, UK.</w:t>
      </w:r>
    </w:p>
    <w:p>
      <w:pPr>
        <w:spacing w:line="278" w:lineRule="auto" w:before="0"/>
        <w:ind w:left="457" w:right="45" w:hanging="341"/>
        <w:jc w:val="both"/>
        <w:rPr>
          <w:sz w:val="18"/>
        </w:rPr>
      </w:pPr>
      <w:r>
        <w:rPr>
          <w:b/>
          <w:sz w:val="18"/>
        </w:rPr>
        <w:t>iEA GHG, </w:t>
      </w:r>
      <w:r>
        <w:rPr>
          <w:sz w:val="18"/>
        </w:rPr>
        <w:t>1999:</w:t>
      </w:r>
      <w:r>
        <w:rPr>
          <w:spacing w:val="-34"/>
          <w:sz w:val="18"/>
        </w:rPr>
        <w:t> </w:t>
      </w:r>
      <w:r>
        <w:rPr>
          <w:sz w:val="18"/>
        </w:rPr>
        <w:t>The reduction of greenhouse gas emissions from </w:t>
      </w:r>
      <w:r>
        <w:rPr>
          <w:spacing w:val="-5"/>
          <w:sz w:val="18"/>
        </w:rPr>
        <w:t>the </w:t>
      </w:r>
      <w:r>
        <w:rPr>
          <w:sz w:val="18"/>
        </w:rPr>
        <w:t>cement industry. Report PH3/7, May 1999, IEA Greenhouse Gas R&amp;D Programme, Cheltenham,</w:t>
      </w:r>
      <w:r>
        <w:rPr>
          <w:spacing w:val="-2"/>
          <w:sz w:val="18"/>
        </w:rPr>
        <w:t> </w:t>
      </w:r>
      <w:r>
        <w:rPr>
          <w:sz w:val="18"/>
        </w:rPr>
        <w:t>UK.</w:t>
      </w:r>
    </w:p>
    <w:p>
      <w:pPr>
        <w:spacing w:line="278" w:lineRule="auto" w:before="0"/>
        <w:ind w:left="457" w:right="38" w:hanging="341"/>
        <w:jc w:val="both"/>
        <w:rPr>
          <w:sz w:val="18"/>
        </w:rPr>
      </w:pPr>
      <w:r>
        <w:rPr>
          <w:b/>
          <w:sz w:val="18"/>
        </w:rPr>
        <w:t>iEA GHG, </w:t>
      </w:r>
      <w:r>
        <w:rPr>
          <w:sz w:val="18"/>
        </w:rPr>
        <w:t>2000a: Greenhouse gas emissions from major industrial sources III - Iron and Steel Production Report PH3/30, IEA Greenhouse Gas R&amp;D Programme, Cheltenham, UK.</w:t>
      </w:r>
    </w:p>
    <w:p>
      <w:pPr>
        <w:spacing w:line="245" w:lineRule="exact" w:before="0"/>
        <w:ind w:left="457" w:right="0" w:hanging="341"/>
        <w:jc w:val="both"/>
        <w:rPr>
          <w:sz w:val="18"/>
        </w:rPr>
      </w:pPr>
      <w:r>
        <w:rPr>
          <w:b/>
          <w:sz w:val="18"/>
        </w:rPr>
        <w:t>iEA GHG, </w:t>
      </w:r>
      <w:r>
        <w:rPr>
          <w:sz w:val="18"/>
        </w:rPr>
        <w:t>2000b: Leading options for the capture of CO</w:t>
      </w:r>
      <w:r>
        <w:rPr>
          <w:position w:val="-5"/>
          <w:sz w:val="10"/>
        </w:rPr>
        <w:t>2 </w:t>
      </w:r>
      <w:r>
        <w:rPr>
          <w:sz w:val="18"/>
        </w:rPr>
        <w:t>emissions</w:t>
      </w:r>
    </w:p>
    <w:p>
      <w:pPr>
        <w:spacing w:line="278" w:lineRule="auto" w:before="0"/>
        <w:ind w:left="457" w:right="48" w:firstLine="0"/>
        <w:jc w:val="both"/>
        <w:rPr>
          <w:sz w:val="18"/>
        </w:rPr>
      </w:pPr>
      <w:r>
        <w:rPr>
          <w:sz w:val="18"/>
        </w:rPr>
        <w:t>at</w:t>
      </w:r>
      <w:r>
        <w:rPr>
          <w:spacing w:val="-10"/>
          <w:sz w:val="18"/>
        </w:rPr>
        <w:t> </w:t>
      </w:r>
      <w:r>
        <w:rPr>
          <w:sz w:val="18"/>
        </w:rPr>
        <w:t>power</w:t>
      </w:r>
      <w:r>
        <w:rPr>
          <w:spacing w:val="-9"/>
          <w:sz w:val="18"/>
        </w:rPr>
        <w:t> </w:t>
      </w:r>
      <w:r>
        <w:rPr>
          <w:sz w:val="18"/>
        </w:rPr>
        <w:t>stations,</w:t>
      </w:r>
      <w:r>
        <w:rPr>
          <w:spacing w:val="-9"/>
          <w:sz w:val="18"/>
        </w:rPr>
        <w:t> </w:t>
      </w:r>
      <w:r>
        <w:rPr>
          <w:sz w:val="18"/>
        </w:rPr>
        <w:t>report</w:t>
      </w:r>
      <w:r>
        <w:rPr>
          <w:spacing w:val="-9"/>
          <w:sz w:val="18"/>
        </w:rPr>
        <w:t> </w:t>
      </w:r>
      <w:r>
        <w:rPr>
          <w:sz w:val="18"/>
        </w:rPr>
        <w:t>PH3/14,</w:t>
      </w:r>
      <w:r>
        <w:rPr>
          <w:spacing w:val="-9"/>
          <w:sz w:val="18"/>
        </w:rPr>
        <w:t> </w:t>
      </w:r>
      <w:r>
        <w:rPr>
          <w:sz w:val="18"/>
        </w:rPr>
        <w:t>Feb.</w:t>
      </w:r>
      <w:r>
        <w:rPr>
          <w:spacing w:val="-9"/>
          <w:sz w:val="18"/>
        </w:rPr>
        <w:t> </w:t>
      </w:r>
      <w:r>
        <w:rPr>
          <w:sz w:val="18"/>
        </w:rPr>
        <w:t>2000,</w:t>
      </w:r>
      <w:r>
        <w:rPr>
          <w:spacing w:val="-9"/>
          <w:sz w:val="18"/>
        </w:rPr>
        <w:t> </w:t>
      </w:r>
      <w:r>
        <w:rPr>
          <w:sz w:val="18"/>
        </w:rPr>
        <w:t>IEA</w:t>
      </w:r>
      <w:r>
        <w:rPr>
          <w:spacing w:val="-18"/>
          <w:sz w:val="18"/>
        </w:rPr>
        <w:t> </w:t>
      </w:r>
      <w:r>
        <w:rPr>
          <w:sz w:val="18"/>
        </w:rPr>
        <w:t>Greenhouse</w:t>
      </w:r>
      <w:r>
        <w:rPr>
          <w:spacing w:val="-9"/>
          <w:sz w:val="18"/>
        </w:rPr>
        <w:t> </w:t>
      </w:r>
      <w:r>
        <w:rPr>
          <w:sz w:val="18"/>
        </w:rPr>
        <w:t>Gas R&amp;D Programme, Cheltenham,</w:t>
      </w:r>
      <w:r>
        <w:rPr>
          <w:spacing w:val="-2"/>
          <w:sz w:val="18"/>
        </w:rPr>
        <w:t> </w:t>
      </w:r>
      <w:r>
        <w:rPr>
          <w:sz w:val="18"/>
        </w:rPr>
        <w:t>UK.</w:t>
      </w:r>
    </w:p>
    <w:p>
      <w:pPr>
        <w:spacing w:line="245" w:lineRule="exact" w:before="0"/>
        <w:ind w:left="116" w:right="0" w:firstLine="0"/>
        <w:jc w:val="both"/>
        <w:rPr>
          <w:sz w:val="18"/>
        </w:rPr>
      </w:pPr>
      <w:r>
        <w:rPr>
          <w:b/>
          <w:sz w:val="18"/>
        </w:rPr>
        <w:t>iEA</w:t>
      </w:r>
      <w:r>
        <w:rPr>
          <w:b/>
          <w:spacing w:val="-19"/>
          <w:sz w:val="18"/>
        </w:rPr>
        <w:t> </w:t>
      </w:r>
      <w:r>
        <w:rPr>
          <w:b/>
          <w:sz w:val="18"/>
        </w:rPr>
        <w:t>GHG,</w:t>
      </w:r>
      <w:r>
        <w:rPr>
          <w:b/>
          <w:spacing w:val="-8"/>
          <w:sz w:val="18"/>
        </w:rPr>
        <w:t> </w:t>
      </w:r>
      <w:r>
        <w:rPr>
          <w:sz w:val="18"/>
        </w:rPr>
        <w:t>2000c:</w:t>
      </w:r>
      <w:r>
        <w:rPr>
          <w:spacing w:val="-8"/>
          <w:sz w:val="18"/>
        </w:rPr>
        <w:t> </w:t>
      </w:r>
      <w:r>
        <w:rPr>
          <w:sz w:val="18"/>
        </w:rPr>
        <w:t>CO</w:t>
      </w:r>
      <w:r>
        <w:rPr>
          <w:position w:val="-5"/>
          <w:sz w:val="10"/>
        </w:rPr>
        <w:t>2</w:t>
      </w:r>
      <w:r>
        <w:rPr>
          <w:spacing w:val="12"/>
          <w:position w:val="-5"/>
          <w:sz w:val="10"/>
        </w:rPr>
        <w:t> </w:t>
      </w:r>
      <w:r>
        <w:rPr>
          <w:sz w:val="18"/>
        </w:rPr>
        <w:t>abatement</w:t>
      </w:r>
      <w:r>
        <w:rPr>
          <w:spacing w:val="-10"/>
          <w:sz w:val="18"/>
        </w:rPr>
        <w:t> </w:t>
      </w:r>
      <w:r>
        <w:rPr>
          <w:sz w:val="18"/>
        </w:rPr>
        <w:t>in</w:t>
      </w:r>
      <w:r>
        <w:rPr>
          <w:spacing w:val="-8"/>
          <w:sz w:val="18"/>
        </w:rPr>
        <w:t> </w:t>
      </w:r>
      <w:r>
        <w:rPr>
          <w:sz w:val="18"/>
        </w:rPr>
        <w:t>oil</w:t>
      </w:r>
      <w:r>
        <w:rPr>
          <w:spacing w:val="-8"/>
          <w:sz w:val="18"/>
        </w:rPr>
        <w:t> </w:t>
      </w:r>
      <w:r>
        <w:rPr>
          <w:sz w:val="18"/>
        </w:rPr>
        <w:t>refineries:</w:t>
      </w:r>
      <w:r>
        <w:rPr>
          <w:spacing w:val="-8"/>
          <w:sz w:val="18"/>
        </w:rPr>
        <w:t> </w:t>
      </w:r>
      <w:r>
        <w:rPr>
          <w:sz w:val="18"/>
        </w:rPr>
        <w:t>fired</w:t>
      </w:r>
      <w:r>
        <w:rPr>
          <w:spacing w:val="-9"/>
          <w:sz w:val="18"/>
        </w:rPr>
        <w:t> </w:t>
      </w:r>
      <w:r>
        <w:rPr>
          <w:sz w:val="18"/>
        </w:rPr>
        <w:t>heaters,</w:t>
      </w:r>
      <w:r>
        <w:rPr>
          <w:spacing w:val="-8"/>
          <w:sz w:val="18"/>
        </w:rPr>
        <w:t> </w:t>
      </w:r>
      <w:r>
        <w:rPr>
          <w:sz w:val="18"/>
        </w:rPr>
        <w:t>report</w:t>
      </w:r>
    </w:p>
    <w:p>
      <w:pPr>
        <w:spacing w:line="202" w:lineRule="exact" w:before="0"/>
        <w:ind w:left="457" w:right="0" w:firstLine="0"/>
        <w:jc w:val="both"/>
        <w:rPr>
          <w:sz w:val="18"/>
        </w:rPr>
      </w:pPr>
      <w:r>
        <w:rPr>
          <w:sz w:val="18"/>
        </w:rPr>
        <w:t>PH3/31,  Oct.  2000,  IEA  Greenhouse  Gas  R&amp;D </w:t>
      </w:r>
      <w:r>
        <w:rPr>
          <w:spacing w:val="19"/>
          <w:sz w:val="18"/>
        </w:rPr>
        <w:t> </w:t>
      </w:r>
      <w:r>
        <w:rPr>
          <w:sz w:val="18"/>
        </w:rPr>
        <w:t>Programme,</w:t>
      </w:r>
    </w:p>
    <w:p>
      <w:pPr>
        <w:spacing w:before="148"/>
        <w:ind w:left="457" w:right="0" w:firstLine="0"/>
        <w:jc w:val="both"/>
        <w:rPr>
          <w:sz w:val="18"/>
        </w:rPr>
      </w:pPr>
      <w:r>
        <w:rPr/>
        <w:br w:type="column"/>
      </w:r>
      <w:r>
        <w:rPr>
          <w:sz w:val="18"/>
        </w:rPr>
        <w:t>Cheltenham,</w:t>
      </w:r>
      <w:r>
        <w:rPr>
          <w:spacing w:val="-3"/>
          <w:sz w:val="18"/>
        </w:rPr>
        <w:t> </w:t>
      </w:r>
      <w:r>
        <w:rPr>
          <w:sz w:val="18"/>
        </w:rPr>
        <w:t>UK.</w:t>
      </w:r>
    </w:p>
    <w:p>
      <w:pPr>
        <w:spacing w:line="240" w:lineRule="exact" w:before="9"/>
        <w:ind w:left="457" w:right="511" w:hanging="341"/>
        <w:jc w:val="both"/>
        <w:rPr>
          <w:sz w:val="18"/>
        </w:rPr>
      </w:pPr>
      <w:r>
        <w:rPr>
          <w:b/>
          <w:sz w:val="18"/>
        </w:rPr>
        <w:t>iEA GHG, </w:t>
      </w:r>
      <w:r>
        <w:rPr>
          <w:sz w:val="18"/>
        </w:rPr>
        <w:t>2000d: Key Components for CO</w:t>
      </w:r>
      <w:r>
        <w:rPr>
          <w:position w:val="-5"/>
          <w:sz w:val="10"/>
        </w:rPr>
        <w:t>2 </w:t>
      </w:r>
      <w:r>
        <w:rPr>
          <w:sz w:val="18"/>
        </w:rPr>
        <w:t>abatement: Gas</w:t>
      </w:r>
      <w:r>
        <w:rPr>
          <w:spacing w:val="-32"/>
          <w:sz w:val="18"/>
        </w:rPr>
        <w:t> </w:t>
      </w:r>
      <w:r>
        <w:rPr>
          <w:sz w:val="18"/>
        </w:rPr>
        <w:t>turbines, report</w:t>
      </w:r>
      <w:r>
        <w:rPr>
          <w:spacing w:val="-10"/>
          <w:sz w:val="18"/>
        </w:rPr>
        <w:t> </w:t>
      </w:r>
      <w:r>
        <w:rPr>
          <w:sz w:val="18"/>
        </w:rPr>
        <w:t>PH3/12</w:t>
      </w:r>
      <w:r>
        <w:rPr>
          <w:spacing w:val="-9"/>
          <w:sz w:val="18"/>
        </w:rPr>
        <w:t> </w:t>
      </w:r>
      <w:r>
        <w:rPr>
          <w:sz w:val="18"/>
        </w:rPr>
        <w:t>July</w:t>
      </w:r>
      <w:r>
        <w:rPr>
          <w:spacing w:val="-10"/>
          <w:sz w:val="18"/>
        </w:rPr>
        <w:t> </w:t>
      </w:r>
      <w:r>
        <w:rPr>
          <w:sz w:val="18"/>
        </w:rPr>
        <w:t>2000,</w:t>
      </w:r>
      <w:r>
        <w:rPr>
          <w:spacing w:val="-9"/>
          <w:sz w:val="18"/>
        </w:rPr>
        <w:t> </w:t>
      </w:r>
      <w:r>
        <w:rPr>
          <w:sz w:val="18"/>
        </w:rPr>
        <w:t>IEA</w:t>
      </w:r>
      <w:r>
        <w:rPr>
          <w:spacing w:val="-18"/>
          <w:sz w:val="18"/>
        </w:rPr>
        <w:t> </w:t>
      </w:r>
      <w:r>
        <w:rPr>
          <w:sz w:val="18"/>
        </w:rPr>
        <w:t>Greenhouse</w:t>
      </w:r>
      <w:r>
        <w:rPr>
          <w:spacing w:val="-10"/>
          <w:sz w:val="18"/>
        </w:rPr>
        <w:t> </w:t>
      </w:r>
      <w:r>
        <w:rPr>
          <w:sz w:val="18"/>
        </w:rPr>
        <w:t>Gas</w:t>
      </w:r>
      <w:r>
        <w:rPr>
          <w:spacing w:val="-9"/>
          <w:sz w:val="18"/>
        </w:rPr>
        <w:t> </w:t>
      </w:r>
      <w:r>
        <w:rPr>
          <w:sz w:val="18"/>
        </w:rPr>
        <w:t>R&amp;D</w:t>
      </w:r>
      <w:r>
        <w:rPr>
          <w:spacing w:val="-10"/>
          <w:sz w:val="18"/>
        </w:rPr>
        <w:t> </w:t>
      </w:r>
      <w:r>
        <w:rPr>
          <w:sz w:val="18"/>
        </w:rPr>
        <w:t>Programme, Cheltenham,</w:t>
      </w:r>
      <w:r>
        <w:rPr>
          <w:spacing w:val="-1"/>
          <w:sz w:val="18"/>
        </w:rPr>
        <w:t> </w:t>
      </w:r>
      <w:r>
        <w:rPr>
          <w:sz w:val="18"/>
        </w:rPr>
        <w:t>UK.</w:t>
      </w:r>
    </w:p>
    <w:p>
      <w:pPr>
        <w:spacing w:line="240" w:lineRule="exact" w:before="0"/>
        <w:ind w:left="457" w:right="510" w:hanging="341"/>
        <w:jc w:val="both"/>
        <w:rPr>
          <w:sz w:val="18"/>
        </w:rPr>
      </w:pPr>
      <w:r>
        <w:rPr>
          <w:b/>
          <w:sz w:val="18"/>
        </w:rPr>
        <w:t>iEA GHG, </w:t>
      </w:r>
      <w:r>
        <w:rPr>
          <w:sz w:val="18"/>
        </w:rPr>
        <w:t>2001: CO</w:t>
      </w:r>
      <w:r>
        <w:rPr>
          <w:position w:val="-5"/>
          <w:sz w:val="10"/>
        </w:rPr>
        <w:t>2 </w:t>
      </w:r>
      <w:r>
        <w:rPr>
          <w:sz w:val="18"/>
        </w:rPr>
        <w:t>abatement by the use of carbon-rejection processes, report PH3/36, February 2001, IEA Greenhouse Gas R&amp;D Programme, Cheltenham, UK.</w:t>
      </w:r>
    </w:p>
    <w:p>
      <w:pPr>
        <w:spacing w:line="240" w:lineRule="exact" w:before="0"/>
        <w:ind w:left="457" w:right="512" w:hanging="341"/>
        <w:jc w:val="both"/>
        <w:rPr>
          <w:sz w:val="18"/>
        </w:rPr>
      </w:pPr>
      <w:r>
        <w:rPr>
          <w:b/>
          <w:sz w:val="18"/>
        </w:rPr>
        <w:t>iEA GHG, </w:t>
      </w:r>
      <w:r>
        <w:rPr>
          <w:sz w:val="18"/>
        </w:rPr>
        <w:t>2002a: Transmission of CO</w:t>
      </w:r>
      <w:r>
        <w:rPr>
          <w:position w:val="-5"/>
          <w:sz w:val="10"/>
        </w:rPr>
        <w:t>2 </w:t>
      </w:r>
      <w:r>
        <w:rPr>
          <w:sz w:val="18"/>
        </w:rPr>
        <w:t>and </w:t>
      </w:r>
      <w:r>
        <w:rPr>
          <w:spacing w:val="-3"/>
          <w:sz w:val="18"/>
        </w:rPr>
        <w:t>Energy, </w:t>
      </w:r>
      <w:r>
        <w:rPr>
          <w:sz w:val="18"/>
        </w:rPr>
        <w:t>report PH4/6, March</w:t>
      </w:r>
      <w:r>
        <w:rPr>
          <w:spacing w:val="-20"/>
          <w:sz w:val="18"/>
        </w:rPr>
        <w:t> </w:t>
      </w:r>
      <w:r>
        <w:rPr>
          <w:sz w:val="18"/>
        </w:rPr>
        <w:t>2002,</w:t>
      </w:r>
      <w:r>
        <w:rPr>
          <w:spacing w:val="-19"/>
          <w:sz w:val="18"/>
        </w:rPr>
        <w:t> </w:t>
      </w:r>
      <w:r>
        <w:rPr>
          <w:sz w:val="18"/>
        </w:rPr>
        <w:t>IEA</w:t>
      </w:r>
      <w:r>
        <w:rPr>
          <w:spacing w:val="-28"/>
          <w:sz w:val="18"/>
        </w:rPr>
        <w:t> </w:t>
      </w:r>
      <w:r>
        <w:rPr>
          <w:sz w:val="18"/>
        </w:rPr>
        <w:t>Greenhouse</w:t>
      </w:r>
      <w:r>
        <w:rPr>
          <w:spacing w:val="-19"/>
          <w:sz w:val="18"/>
        </w:rPr>
        <w:t> </w:t>
      </w:r>
      <w:r>
        <w:rPr>
          <w:sz w:val="18"/>
        </w:rPr>
        <w:t>Gas</w:t>
      </w:r>
      <w:r>
        <w:rPr>
          <w:spacing w:val="-19"/>
          <w:sz w:val="18"/>
        </w:rPr>
        <w:t> </w:t>
      </w:r>
      <w:r>
        <w:rPr>
          <w:sz w:val="18"/>
        </w:rPr>
        <w:t>R&amp;D</w:t>
      </w:r>
      <w:r>
        <w:rPr>
          <w:spacing w:val="-19"/>
          <w:sz w:val="18"/>
        </w:rPr>
        <w:t> </w:t>
      </w:r>
      <w:r>
        <w:rPr>
          <w:sz w:val="18"/>
        </w:rPr>
        <w:t>Programme,</w:t>
      </w:r>
      <w:r>
        <w:rPr>
          <w:spacing w:val="-19"/>
          <w:sz w:val="18"/>
        </w:rPr>
        <w:t> </w:t>
      </w:r>
      <w:r>
        <w:rPr>
          <w:sz w:val="18"/>
        </w:rPr>
        <w:t>Cheltenham, UK.</w:t>
      </w:r>
    </w:p>
    <w:p>
      <w:pPr>
        <w:spacing w:line="240" w:lineRule="exact" w:before="0"/>
        <w:ind w:left="457" w:right="503" w:hanging="341"/>
        <w:jc w:val="both"/>
        <w:rPr>
          <w:sz w:val="18"/>
        </w:rPr>
      </w:pPr>
      <w:r>
        <w:rPr>
          <w:b/>
          <w:sz w:val="18"/>
        </w:rPr>
        <w:t>iEA GHG, </w:t>
      </w:r>
      <w:r>
        <w:rPr>
          <w:sz w:val="18"/>
        </w:rPr>
        <w:t>2002b: Opportunities for early application of CO</w:t>
      </w:r>
      <w:r>
        <w:rPr>
          <w:position w:val="-5"/>
          <w:sz w:val="10"/>
        </w:rPr>
        <w:t>2 </w:t>
      </w:r>
      <w:r>
        <w:rPr>
          <w:sz w:val="18"/>
        </w:rPr>
        <w:t>sequestration technologies, report PH4/10, Sept. 2002, IEA Greenhouse Gas R&amp;D Programme, Cheltenham,</w:t>
      </w:r>
      <w:r>
        <w:rPr>
          <w:spacing w:val="-8"/>
          <w:sz w:val="18"/>
        </w:rPr>
        <w:t> </w:t>
      </w:r>
      <w:r>
        <w:rPr>
          <w:sz w:val="18"/>
        </w:rPr>
        <w:t>UK.</w:t>
      </w:r>
    </w:p>
    <w:p>
      <w:pPr>
        <w:spacing w:line="240" w:lineRule="exact" w:before="0"/>
        <w:ind w:left="457" w:right="502" w:hanging="341"/>
        <w:jc w:val="both"/>
        <w:rPr>
          <w:sz w:val="18"/>
        </w:rPr>
      </w:pPr>
      <w:r>
        <w:rPr>
          <w:b/>
          <w:sz w:val="18"/>
        </w:rPr>
        <w:t>iEA</w:t>
      </w:r>
      <w:r>
        <w:rPr>
          <w:b/>
          <w:spacing w:val="-18"/>
          <w:sz w:val="18"/>
        </w:rPr>
        <w:t> </w:t>
      </w:r>
      <w:r>
        <w:rPr>
          <w:b/>
          <w:sz w:val="18"/>
        </w:rPr>
        <w:t>GHG,</w:t>
      </w:r>
      <w:r>
        <w:rPr>
          <w:b/>
          <w:spacing w:val="-8"/>
          <w:sz w:val="18"/>
        </w:rPr>
        <w:t> </w:t>
      </w:r>
      <w:r>
        <w:rPr>
          <w:sz w:val="18"/>
        </w:rPr>
        <w:t>2003:</w:t>
      </w:r>
      <w:r>
        <w:rPr>
          <w:spacing w:val="-8"/>
          <w:sz w:val="18"/>
        </w:rPr>
        <w:t> </w:t>
      </w:r>
      <w:r>
        <w:rPr>
          <w:sz w:val="18"/>
        </w:rPr>
        <w:t>Potential</w:t>
      </w:r>
      <w:r>
        <w:rPr>
          <w:spacing w:val="-8"/>
          <w:sz w:val="18"/>
        </w:rPr>
        <w:t> </w:t>
      </w:r>
      <w:r>
        <w:rPr>
          <w:sz w:val="18"/>
        </w:rPr>
        <w:t>for</w:t>
      </w:r>
      <w:r>
        <w:rPr>
          <w:spacing w:val="-8"/>
          <w:sz w:val="18"/>
        </w:rPr>
        <w:t> </w:t>
      </w:r>
      <w:r>
        <w:rPr>
          <w:sz w:val="18"/>
        </w:rPr>
        <w:t>improvements</w:t>
      </w:r>
      <w:r>
        <w:rPr>
          <w:spacing w:val="-9"/>
          <w:sz w:val="18"/>
        </w:rPr>
        <w:t> </w:t>
      </w:r>
      <w:r>
        <w:rPr>
          <w:sz w:val="18"/>
        </w:rPr>
        <w:t>in</w:t>
      </w:r>
      <w:r>
        <w:rPr>
          <w:spacing w:val="-8"/>
          <w:sz w:val="18"/>
        </w:rPr>
        <w:t> </w:t>
      </w:r>
      <w:r>
        <w:rPr>
          <w:sz w:val="18"/>
        </w:rPr>
        <w:t>gasification</w:t>
      </w:r>
      <w:r>
        <w:rPr>
          <w:spacing w:val="-7"/>
          <w:sz w:val="18"/>
        </w:rPr>
        <w:t> </w:t>
      </w:r>
      <w:r>
        <w:rPr>
          <w:sz w:val="18"/>
        </w:rPr>
        <w:t>combined cycle power generation with CO</w:t>
      </w:r>
      <w:r>
        <w:rPr>
          <w:position w:val="-5"/>
          <w:sz w:val="10"/>
        </w:rPr>
        <w:t>2 </w:t>
      </w:r>
      <w:r>
        <w:rPr>
          <w:sz w:val="18"/>
        </w:rPr>
        <w:t>Capture, report PH4/19, IEA Greenhouse Gas R&amp;D Programme, Cheltenham,</w:t>
      </w:r>
      <w:r>
        <w:rPr>
          <w:spacing w:val="-8"/>
          <w:sz w:val="18"/>
        </w:rPr>
        <w:t> </w:t>
      </w:r>
      <w:r>
        <w:rPr>
          <w:sz w:val="18"/>
        </w:rPr>
        <w:t>UK.</w:t>
      </w:r>
    </w:p>
    <w:p>
      <w:pPr>
        <w:spacing w:line="240" w:lineRule="exact" w:before="0"/>
        <w:ind w:left="457" w:right="502" w:hanging="341"/>
        <w:jc w:val="both"/>
        <w:rPr>
          <w:sz w:val="18"/>
        </w:rPr>
      </w:pPr>
      <w:r>
        <w:rPr>
          <w:b/>
          <w:sz w:val="18"/>
        </w:rPr>
        <w:t>iEA GHG, </w:t>
      </w:r>
      <w:r>
        <w:rPr>
          <w:sz w:val="18"/>
        </w:rPr>
        <w:t>2004: Improvements in power generation with post- combustion capture of CO</w:t>
      </w:r>
      <w:r>
        <w:rPr>
          <w:position w:val="-5"/>
          <w:sz w:val="10"/>
        </w:rPr>
        <w:t>2</w:t>
      </w:r>
      <w:r>
        <w:rPr>
          <w:sz w:val="18"/>
        </w:rPr>
        <w:t>, report PH4/33, </w:t>
      </w:r>
      <w:r>
        <w:rPr>
          <w:spacing w:val="-4"/>
          <w:sz w:val="18"/>
        </w:rPr>
        <w:t>Nov. </w:t>
      </w:r>
      <w:r>
        <w:rPr>
          <w:sz w:val="18"/>
        </w:rPr>
        <w:t>2004, IEA Greenhouse Gas R&amp;D Programme, Cheltenham,</w:t>
      </w:r>
      <w:r>
        <w:rPr>
          <w:spacing w:val="-8"/>
          <w:sz w:val="18"/>
        </w:rPr>
        <w:t> </w:t>
      </w:r>
      <w:r>
        <w:rPr>
          <w:sz w:val="18"/>
        </w:rPr>
        <w:t>UK.</w:t>
      </w:r>
    </w:p>
    <w:p>
      <w:pPr>
        <w:spacing w:line="240" w:lineRule="exact" w:before="0"/>
        <w:ind w:left="457" w:right="511" w:hanging="341"/>
        <w:jc w:val="both"/>
        <w:rPr>
          <w:sz w:val="18"/>
        </w:rPr>
      </w:pPr>
      <w:r>
        <w:rPr>
          <w:b/>
          <w:sz w:val="18"/>
        </w:rPr>
        <w:t>iEA GHG, </w:t>
      </w:r>
      <w:r>
        <w:rPr>
          <w:sz w:val="18"/>
        </w:rPr>
        <w:t>2005: Retrofit of CO</w:t>
      </w:r>
      <w:r>
        <w:rPr>
          <w:position w:val="-5"/>
          <w:sz w:val="10"/>
        </w:rPr>
        <w:t>2 </w:t>
      </w:r>
      <w:r>
        <w:rPr>
          <w:sz w:val="18"/>
        </w:rPr>
        <w:t>capture to natural gas combined cycle power plants, report 2005/1, Jan. 2005, IEA Greenhouse Gas R&amp;D Programme, Cheltenham, UK.</w:t>
      </w:r>
    </w:p>
    <w:p>
      <w:pPr>
        <w:spacing w:line="240" w:lineRule="exact" w:before="0"/>
        <w:ind w:left="457" w:right="511" w:hanging="341"/>
        <w:jc w:val="both"/>
        <w:rPr>
          <w:sz w:val="18"/>
        </w:rPr>
      </w:pPr>
      <w:r>
        <w:rPr>
          <w:b/>
          <w:sz w:val="18"/>
        </w:rPr>
        <w:t>ishibashi, </w:t>
      </w:r>
      <w:r>
        <w:rPr>
          <w:sz w:val="18"/>
        </w:rPr>
        <w:t>M.</w:t>
      </w:r>
      <w:r>
        <w:rPr>
          <w:b/>
          <w:sz w:val="18"/>
        </w:rPr>
        <w:t>, </w:t>
      </w:r>
      <w:r>
        <w:rPr>
          <w:sz w:val="18"/>
        </w:rPr>
        <w:t>K. Otake, S. Kanamori, and A. Yasutake, 1999: Study on CO</w:t>
      </w:r>
      <w:r>
        <w:rPr>
          <w:position w:val="-5"/>
          <w:sz w:val="10"/>
        </w:rPr>
        <w:t>2 </w:t>
      </w:r>
      <w:r>
        <w:rPr>
          <w:sz w:val="18"/>
        </w:rPr>
        <w:t>Removal Technology from Flue Gas of Thermal Power Plant by Physical Adsorption Method, Greenhouse Gas Control Technologies. P. Riemer, B. Eliasson, and A. Wokaun (eds.), Elsevier Science, Ltd., United Kingdom, 95-100.</w:t>
      </w:r>
    </w:p>
    <w:p>
      <w:pPr>
        <w:spacing w:line="278" w:lineRule="auto" w:before="24"/>
        <w:ind w:left="457" w:right="511" w:hanging="341"/>
        <w:jc w:val="both"/>
        <w:rPr>
          <w:sz w:val="18"/>
        </w:rPr>
      </w:pPr>
      <w:r>
        <w:rPr>
          <w:b/>
          <w:sz w:val="18"/>
        </w:rPr>
        <w:t>ishida, </w:t>
      </w:r>
      <w:r>
        <w:rPr>
          <w:sz w:val="18"/>
        </w:rPr>
        <w:t>M. and H. Jin, 1994: A New Advanced Power-Generation System Using Chemical-Looping Combustion, </w:t>
      </w:r>
      <w:r>
        <w:rPr>
          <w:i/>
          <w:sz w:val="18"/>
        </w:rPr>
        <w:t>Energy</w:t>
      </w:r>
      <w:r>
        <w:rPr>
          <w:sz w:val="18"/>
        </w:rPr>
        <w:t>, </w:t>
      </w:r>
      <w:r>
        <w:rPr>
          <w:b/>
          <w:sz w:val="18"/>
        </w:rPr>
        <w:t>19</w:t>
      </w:r>
      <w:r>
        <w:rPr>
          <w:sz w:val="18"/>
        </w:rPr>
        <w:t>(4), 415-422.</w:t>
      </w:r>
    </w:p>
    <w:p>
      <w:pPr>
        <w:spacing w:line="230" w:lineRule="auto" w:before="5"/>
        <w:ind w:left="457" w:right="512" w:hanging="341"/>
        <w:jc w:val="both"/>
        <w:rPr>
          <w:sz w:val="18"/>
        </w:rPr>
      </w:pPr>
      <w:r>
        <w:rPr>
          <w:b/>
          <w:sz w:val="18"/>
        </w:rPr>
        <w:t>Jansen,</w:t>
      </w:r>
      <w:r>
        <w:rPr>
          <w:b/>
          <w:spacing w:val="-12"/>
          <w:sz w:val="18"/>
        </w:rPr>
        <w:t> </w:t>
      </w:r>
      <w:r>
        <w:rPr>
          <w:sz w:val="18"/>
        </w:rPr>
        <w:t>D.</w:t>
      </w:r>
      <w:r>
        <w:rPr>
          <w:spacing w:val="-12"/>
          <w:sz w:val="18"/>
        </w:rPr>
        <w:t> </w:t>
      </w:r>
      <w:r>
        <w:rPr>
          <w:sz w:val="18"/>
        </w:rPr>
        <w:t>and</w:t>
      </w:r>
      <w:r>
        <w:rPr>
          <w:spacing w:val="-12"/>
          <w:sz w:val="18"/>
        </w:rPr>
        <w:t> </w:t>
      </w:r>
      <w:r>
        <w:rPr>
          <w:spacing w:val="-5"/>
          <w:sz w:val="18"/>
        </w:rPr>
        <w:t>J.W.</w:t>
      </w:r>
      <w:r>
        <w:rPr>
          <w:spacing w:val="-12"/>
          <w:sz w:val="18"/>
        </w:rPr>
        <w:t> </w:t>
      </w:r>
      <w:r>
        <w:rPr>
          <w:sz w:val="18"/>
        </w:rPr>
        <w:t>Dijkstra,</w:t>
      </w:r>
      <w:r>
        <w:rPr>
          <w:spacing w:val="-13"/>
          <w:sz w:val="18"/>
        </w:rPr>
        <w:t> </w:t>
      </w:r>
      <w:r>
        <w:rPr>
          <w:sz w:val="18"/>
        </w:rPr>
        <w:t>2003:</w:t>
      </w:r>
      <w:r>
        <w:rPr>
          <w:spacing w:val="-12"/>
          <w:sz w:val="18"/>
        </w:rPr>
        <w:t> </w:t>
      </w:r>
      <w:r>
        <w:rPr>
          <w:sz w:val="18"/>
        </w:rPr>
        <w:t>CO</w:t>
      </w:r>
      <w:r>
        <w:rPr>
          <w:position w:val="-5"/>
          <w:sz w:val="10"/>
        </w:rPr>
        <w:t>2</w:t>
      </w:r>
      <w:r>
        <w:rPr>
          <w:spacing w:val="8"/>
          <w:position w:val="-5"/>
          <w:sz w:val="10"/>
        </w:rPr>
        <w:t> </w:t>
      </w:r>
      <w:r>
        <w:rPr>
          <w:sz w:val="18"/>
        </w:rPr>
        <w:t>capture</w:t>
      </w:r>
      <w:r>
        <w:rPr>
          <w:spacing w:val="-13"/>
          <w:sz w:val="18"/>
        </w:rPr>
        <w:t> </w:t>
      </w:r>
      <w:r>
        <w:rPr>
          <w:sz w:val="18"/>
        </w:rPr>
        <w:t>in</w:t>
      </w:r>
      <w:r>
        <w:rPr>
          <w:spacing w:val="-13"/>
          <w:sz w:val="18"/>
        </w:rPr>
        <w:t> </w:t>
      </w:r>
      <w:r>
        <w:rPr>
          <w:sz w:val="18"/>
        </w:rPr>
        <w:t>SOFC-GT</w:t>
      </w:r>
      <w:r>
        <w:rPr>
          <w:spacing w:val="-15"/>
          <w:sz w:val="18"/>
        </w:rPr>
        <w:t> </w:t>
      </w:r>
      <w:r>
        <w:rPr>
          <w:sz w:val="18"/>
        </w:rPr>
        <w:t>systems, Second</w:t>
      </w:r>
      <w:r>
        <w:rPr>
          <w:spacing w:val="-18"/>
          <w:sz w:val="18"/>
        </w:rPr>
        <w:t> </w:t>
      </w:r>
      <w:r>
        <w:rPr>
          <w:sz w:val="18"/>
        </w:rPr>
        <w:t>Annual</w:t>
      </w:r>
      <w:r>
        <w:rPr>
          <w:spacing w:val="-8"/>
          <w:sz w:val="18"/>
        </w:rPr>
        <w:t> </w:t>
      </w:r>
      <w:r>
        <w:rPr>
          <w:sz w:val="18"/>
        </w:rPr>
        <w:t>Conference</w:t>
      </w:r>
      <w:r>
        <w:rPr>
          <w:spacing w:val="-8"/>
          <w:sz w:val="18"/>
        </w:rPr>
        <w:t> </w:t>
      </w:r>
      <w:r>
        <w:rPr>
          <w:sz w:val="18"/>
        </w:rPr>
        <w:t>on</w:t>
      </w:r>
      <w:r>
        <w:rPr>
          <w:spacing w:val="-8"/>
          <w:sz w:val="18"/>
        </w:rPr>
        <w:t> </w:t>
      </w:r>
      <w:r>
        <w:rPr>
          <w:sz w:val="18"/>
        </w:rPr>
        <w:t>Carbon</w:t>
      </w:r>
      <w:r>
        <w:rPr>
          <w:spacing w:val="-9"/>
          <w:sz w:val="18"/>
        </w:rPr>
        <w:t> </w:t>
      </w:r>
      <w:r>
        <w:rPr>
          <w:sz w:val="18"/>
        </w:rPr>
        <w:t>Sequestration,</w:t>
      </w:r>
      <w:r>
        <w:rPr>
          <w:spacing w:val="-17"/>
          <w:sz w:val="18"/>
        </w:rPr>
        <w:t> </w:t>
      </w:r>
      <w:r>
        <w:rPr>
          <w:sz w:val="18"/>
        </w:rPr>
        <w:t>Alexandria,</w:t>
      </w:r>
    </w:p>
    <w:p>
      <w:pPr>
        <w:spacing w:before="34"/>
        <w:ind w:left="457" w:right="0" w:firstLine="0"/>
        <w:jc w:val="both"/>
        <w:rPr>
          <w:sz w:val="18"/>
        </w:rPr>
      </w:pPr>
      <w:r>
        <w:rPr>
          <w:sz w:val="18"/>
        </w:rPr>
        <w:t>Virginia USA, May 5-7.</w:t>
      </w:r>
    </w:p>
    <w:p>
      <w:pPr>
        <w:spacing w:line="278" w:lineRule="auto" w:before="33"/>
        <w:ind w:left="457" w:right="512" w:hanging="341"/>
        <w:jc w:val="both"/>
        <w:rPr>
          <w:sz w:val="18"/>
        </w:rPr>
      </w:pPr>
      <w:r>
        <w:rPr>
          <w:b/>
          <w:sz w:val="18"/>
        </w:rPr>
        <w:t>Jericha, </w:t>
      </w:r>
      <w:r>
        <w:rPr>
          <w:sz w:val="18"/>
        </w:rPr>
        <w:t>H., E. Göttlich, W. Sanz, F. Heitmeir, 2003: Design optimisation of the Graz cycle power plant, ASME Turbo Expo Conference, paper GT-2003-38120, Atlanta, USA.</w:t>
      </w:r>
    </w:p>
    <w:p>
      <w:pPr>
        <w:spacing w:line="278" w:lineRule="auto" w:before="0"/>
        <w:ind w:left="457" w:right="510" w:hanging="341"/>
        <w:jc w:val="both"/>
        <w:rPr>
          <w:sz w:val="18"/>
        </w:rPr>
      </w:pPr>
      <w:r>
        <w:rPr>
          <w:b/>
          <w:sz w:val="18"/>
        </w:rPr>
        <w:t>Jordal,</w:t>
      </w:r>
      <w:r>
        <w:rPr>
          <w:b/>
          <w:spacing w:val="-19"/>
          <w:sz w:val="18"/>
        </w:rPr>
        <w:t> </w:t>
      </w:r>
      <w:r>
        <w:rPr>
          <w:sz w:val="18"/>
        </w:rPr>
        <w:t>K.,</w:t>
      </w:r>
      <w:r>
        <w:rPr>
          <w:spacing w:val="-18"/>
          <w:sz w:val="18"/>
        </w:rPr>
        <w:t> </w:t>
      </w:r>
      <w:r>
        <w:rPr>
          <w:sz w:val="18"/>
        </w:rPr>
        <w:t>R.</w:t>
      </w:r>
      <w:r>
        <w:rPr>
          <w:spacing w:val="-19"/>
          <w:sz w:val="18"/>
        </w:rPr>
        <w:t> </w:t>
      </w:r>
      <w:r>
        <w:rPr>
          <w:sz w:val="18"/>
        </w:rPr>
        <w:t>Bredesen,</w:t>
      </w:r>
      <w:r>
        <w:rPr>
          <w:spacing w:val="-18"/>
          <w:sz w:val="18"/>
        </w:rPr>
        <w:t> </w:t>
      </w:r>
      <w:r>
        <w:rPr>
          <w:sz w:val="18"/>
        </w:rPr>
        <w:t>H.M.</w:t>
      </w:r>
      <w:r>
        <w:rPr>
          <w:spacing w:val="-19"/>
          <w:sz w:val="18"/>
        </w:rPr>
        <w:t> </w:t>
      </w:r>
      <w:r>
        <w:rPr>
          <w:sz w:val="18"/>
        </w:rPr>
        <w:t>Kvamsdal,</w:t>
      </w:r>
      <w:r>
        <w:rPr>
          <w:spacing w:val="-18"/>
          <w:sz w:val="18"/>
        </w:rPr>
        <w:t> </w:t>
      </w:r>
      <w:r>
        <w:rPr>
          <w:sz w:val="18"/>
        </w:rPr>
        <w:t>O.</w:t>
      </w:r>
      <w:r>
        <w:rPr>
          <w:spacing w:val="-19"/>
          <w:sz w:val="18"/>
        </w:rPr>
        <w:t> </w:t>
      </w:r>
      <w:r>
        <w:rPr>
          <w:sz w:val="18"/>
        </w:rPr>
        <w:t>Bolland,</w:t>
      </w:r>
      <w:r>
        <w:rPr>
          <w:spacing w:val="-18"/>
          <w:sz w:val="18"/>
        </w:rPr>
        <w:t> </w:t>
      </w:r>
      <w:r>
        <w:rPr>
          <w:sz w:val="18"/>
        </w:rPr>
        <w:t>2003:</w:t>
      </w:r>
      <w:r>
        <w:rPr>
          <w:spacing w:val="-18"/>
          <w:sz w:val="18"/>
        </w:rPr>
        <w:t> </w:t>
      </w:r>
      <w:r>
        <w:rPr>
          <w:sz w:val="18"/>
        </w:rPr>
        <w:t>Integration of</w:t>
      </w:r>
      <w:r>
        <w:rPr>
          <w:spacing w:val="14"/>
          <w:sz w:val="18"/>
        </w:rPr>
        <w:t> </w:t>
      </w:r>
      <w:r>
        <w:rPr>
          <w:sz w:val="18"/>
        </w:rPr>
        <w:t>H</w:t>
      </w:r>
      <w:r>
        <w:rPr>
          <w:position w:val="-5"/>
          <w:sz w:val="10"/>
        </w:rPr>
        <w:t>2</w:t>
      </w:r>
      <w:r>
        <w:rPr>
          <w:sz w:val="18"/>
        </w:rPr>
        <w:t>-separating</w:t>
      </w:r>
      <w:r>
        <w:rPr>
          <w:spacing w:val="15"/>
          <w:sz w:val="18"/>
        </w:rPr>
        <w:t> </w:t>
      </w:r>
      <w:r>
        <w:rPr>
          <w:sz w:val="18"/>
        </w:rPr>
        <w:t>membrane</w:t>
      </w:r>
      <w:r>
        <w:rPr>
          <w:spacing w:val="15"/>
          <w:sz w:val="18"/>
        </w:rPr>
        <w:t> </w:t>
      </w:r>
      <w:r>
        <w:rPr>
          <w:sz w:val="18"/>
        </w:rPr>
        <w:t>technology</w:t>
      </w:r>
      <w:r>
        <w:rPr>
          <w:spacing w:val="14"/>
          <w:sz w:val="18"/>
        </w:rPr>
        <w:t> </w:t>
      </w:r>
      <w:r>
        <w:rPr>
          <w:sz w:val="18"/>
        </w:rPr>
        <w:t>in</w:t>
      </w:r>
      <w:r>
        <w:rPr>
          <w:spacing w:val="15"/>
          <w:sz w:val="18"/>
        </w:rPr>
        <w:t> </w:t>
      </w:r>
      <w:r>
        <w:rPr>
          <w:sz w:val="18"/>
        </w:rPr>
        <w:t>gas</w:t>
      </w:r>
      <w:r>
        <w:rPr>
          <w:spacing w:val="15"/>
          <w:sz w:val="18"/>
        </w:rPr>
        <w:t> </w:t>
      </w:r>
      <w:r>
        <w:rPr>
          <w:sz w:val="18"/>
        </w:rPr>
        <w:t>turbine</w:t>
      </w:r>
      <w:r>
        <w:rPr>
          <w:spacing w:val="15"/>
          <w:sz w:val="18"/>
        </w:rPr>
        <w:t> </w:t>
      </w:r>
      <w:r>
        <w:rPr>
          <w:sz w:val="18"/>
        </w:rPr>
        <w:t>processes</w:t>
      </w:r>
    </w:p>
    <w:p>
      <w:pPr>
        <w:spacing w:line="177" w:lineRule="auto" w:before="0"/>
        <w:ind w:left="457" w:right="0" w:firstLine="0"/>
        <w:jc w:val="both"/>
        <w:rPr>
          <w:sz w:val="18"/>
        </w:rPr>
      </w:pPr>
      <w:r>
        <w:rPr>
          <w:sz w:val="18"/>
        </w:rPr>
        <w:t>for </w:t>
      </w:r>
      <w:r>
        <w:rPr>
          <w:spacing w:val="20"/>
          <w:sz w:val="18"/>
        </w:rPr>
        <w:t> </w:t>
      </w:r>
      <w:r>
        <w:rPr>
          <w:sz w:val="18"/>
        </w:rPr>
        <w:t>CO</w:t>
      </w:r>
      <w:r>
        <w:rPr>
          <w:position w:val="-5"/>
          <w:sz w:val="10"/>
        </w:rPr>
        <w:t>2   </w:t>
      </w:r>
      <w:r>
        <w:rPr>
          <w:spacing w:val="10"/>
          <w:position w:val="-5"/>
          <w:sz w:val="10"/>
        </w:rPr>
        <w:t> </w:t>
      </w:r>
      <w:r>
        <w:rPr>
          <w:sz w:val="18"/>
        </w:rPr>
        <w:t>sequestration. </w:t>
      </w:r>
      <w:r>
        <w:rPr>
          <w:spacing w:val="20"/>
          <w:sz w:val="18"/>
        </w:rPr>
        <w:t> </w:t>
      </w:r>
      <w:r>
        <w:rPr>
          <w:sz w:val="18"/>
        </w:rPr>
        <w:t>Proceedings </w:t>
      </w:r>
      <w:r>
        <w:rPr>
          <w:spacing w:val="20"/>
          <w:sz w:val="18"/>
        </w:rPr>
        <w:t> </w:t>
      </w:r>
      <w:r>
        <w:rPr>
          <w:sz w:val="18"/>
        </w:rPr>
        <w:t>of </w:t>
      </w:r>
      <w:r>
        <w:rPr>
          <w:spacing w:val="20"/>
          <w:sz w:val="18"/>
        </w:rPr>
        <w:t> </w:t>
      </w:r>
      <w:r>
        <w:rPr>
          <w:sz w:val="18"/>
        </w:rPr>
        <w:t>the </w:t>
      </w:r>
      <w:r>
        <w:rPr>
          <w:spacing w:val="20"/>
          <w:sz w:val="18"/>
        </w:rPr>
        <w:t> </w:t>
      </w:r>
      <w:r>
        <w:rPr>
          <w:sz w:val="18"/>
        </w:rPr>
        <w:t>6th </w:t>
      </w:r>
      <w:r>
        <w:rPr>
          <w:spacing w:val="20"/>
          <w:sz w:val="18"/>
        </w:rPr>
        <w:t> </w:t>
      </w:r>
      <w:r>
        <w:rPr>
          <w:sz w:val="18"/>
        </w:rPr>
        <w:t>International</w:t>
      </w:r>
    </w:p>
    <w:p>
      <w:pPr>
        <w:spacing w:line="278" w:lineRule="auto" w:before="1"/>
        <w:ind w:left="457" w:right="512" w:firstLine="0"/>
        <w:jc w:val="both"/>
        <w:rPr>
          <w:sz w:val="18"/>
        </w:rPr>
      </w:pPr>
      <w:r>
        <w:rPr>
          <w:sz w:val="18"/>
        </w:rPr>
        <w:t>Conference</w:t>
      </w:r>
      <w:r>
        <w:rPr>
          <w:spacing w:val="-11"/>
          <w:sz w:val="18"/>
        </w:rPr>
        <w:t> </w:t>
      </w:r>
      <w:r>
        <w:rPr>
          <w:sz w:val="18"/>
        </w:rPr>
        <w:t>on</w:t>
      </w:r>
      <w:r>
        <w:rPr>
          <w:spacing w:val="-10"/>
          <w:sz w:val="18"/>
        </w:rPr>
        <w:t> </w:t>
      </w:r>
      <w:r>
        <w:rPr>
          <w:sz w:val="18"/>
        </w:rPr>
        <w:t>Greenhouse</w:t>
      </w:r>
      <w:r>
        <w:rPr>
          <w:spacing w:val="-11"/>
          <w:sz w:val="18"/>
        </w:rPr>
        <w:t> </w:t>
      </w:r>
      <w:r>
        <w:rPr>
          <w:sz w:val="18"/>
        </w:rPr>
        <w:t>Gas</w:t>
      </w:r>
      <w:r>
        <w:rPr>
          <w:spacing w:val="-10"/>
          <w:sz w:val="18"/>
        </w:rPr>
        <w:t> </w:t>
      </w:r>
      <w:r>
        <w:rPr>
          <w:sz w:val="18"/>
        </w:rPr>
        <w:t>Control</w:t>
      </w:r>
      <w:r>
        <w:rPr>
          <w:spacing w:val="-13"/>
          <w:sz w:val="18"/>
        </w:rPr>
        <w:t> </w:t>
      </w:r>
      <w:r>
        <w:rPr>
          <w:sz w:val="18"/>
        </w:rPr>
        <w:t>Technologies</w:t>
      </w:r>
      <w:r>
        <w:rPr>
          <w:spacing w:val="-10"/>
          <w:sz w:val="18"/>
        </w:rPr>
        <w:t> </w:t>
      </w:r>
      <w:r>
        <w:rPr>
          <w:sz w:val="18"/>
        </w:rPr>
        <w:t>(GHGT-6), </w:t>
      </w:r>
      <w:r>
        <w:rPr>
          <w:spacing w:val="-8"/>
          <w:sz w:val="18"/>
        </w:rPr>
        <w:t>Vol </w:t>
      </w:r>
      <w:r>
        <w:rPr>
          <w:sz w:val="18"/>
        </w:rPr>
        <w:t>1, 135-140, 1-4 Oct. 2002, Kyoto, Japan, J. Gale and </w:t>
      </w:r>
      <w:r>
        <w:rPr>
          <w:spacing w:val="-12"/>
          <w:sz w:val="18"/>
        </w:rPr>
        <w:t>Y. </w:t>
      </w:r>
      <w:r>
        <w:rPr>
          <w:sz w:val="18"/>
        </w:rPr>
        <w:t>Kaya (eds.), Elsevier Science Ltd, Oxford,</w:t>
      </w:r>
      <w:r>
        <w:rPr>
          <w:spacing w:val="-4"/>
          <w:sz w:val="18"/>
        </w:rPr>
        <w:t> </w:t>
      </w:r>
      <w:r>
        <w:rPr>
          <w:sz w:val="18"/>
        </w:rPr>
        <w:t>UK.</w:t>
      </w:r>
    </w:p>
    <w:p>
      <w:pPr>
        <w:spacing w:line="278" w:lineRule="auto" w:before="0"/>
        <w:ind w:left="457" w:right="511" w:hanging="341"/>
        <w:jc w:val="both"/>
        <w:rPr>
          <w:sz w:val="18"/>
        </w:rPr>
      </w:pPr>
      <w:r>
        <w:rPr>
          <w:b/>
          <w:sz w:val="18"/>
        </w:rPr>
        <w:t>Karg, </w:t>
      </w:r>
      <w:r>
        <w:rPr>
          <w:sz w:val="18"/>
        </w:rPr>
        <w:t>J. and F. Hannemann, 2004: IGCC - Fuel-Flexible Technology for the Future, Presented at the Sixth European Gasification Conference, Brighton, UK, May 2004.</w:t>
      </w:r>
    </w:p>
    <w:p>
      <w:pPr>
        <w:spacing w:line="278" w:lineRule="auto" w:before="0"/>
        <w:ind w:left="457" w:right="512" w:hanging="341"/>
        <w:jc w:val="both"/>
        <w:rPr>
          <w:sz w:val="18"/>
        </w:rPr>
      </w:pPr>
      <w:r>
        <w:rPr>
          <w:b/>
          <w:sz w:val="18"/>
        </w:rPr>
        <w:t>Klett, </w:t>
      </w:r>
      <w:r>
        <w:rPr>
          <w:sz w:val="18"/>
        </w:rPr>
        <w:t>M.G., R.C. Maxwell, and M.D. Rutkowski, 2002: The Cost   of Mercury Removal in an IGCC Plant. Final Report for the US Department</w:t>
      </w:r>
      <w:r>
        <w:rPr>
          <w:spacing w:val="-25"/>
          <w:sz w:val="18"/>
        </w:rPr>
        <w:t> </w:t>
      </w:r>
      <w:r>
        <w:rPr>
          <w:sz w:val="18"/>
        </w:rPr>
        <w:t>of</w:t>
      </w:r>
      <w:r>
        <w:rPr>
          <w:spacing w:val="-24"/>
          <w:sz w:val="18"/>
        </w:rPr>
        <w:t> </w:t>
      </w:r>
      <w:r>
        <w:rPr>
          <w:sz w:val="18"/>
        </w:rPr>
        <w:t>Energy</w:t>
      </w:r>
      <w:r>
        <w:rPr>
          <w:spacing w:val="-24"/>
          <w:sz w:val="18"/>
        </w:rPr>
        <w:t> </w:t>
      </w:r>
      <w:r>
        <w:rPr>
          <w:sz w:val="18"/>
        </w:rPr>
        <w:t>National</w:t>
      </w:r>
      <w:r>
        <w:rPr>
          <w:spacing w:val="-25"/>
          <w:sz w:val="18"/>
        </w:rPr>
        <w:t> </w:t>
      </w:r>
      <w:r>
        <w:rPr>
          <w:sz w:val="18"/>
        </w:rPr>
        <w:t>Energy</w:t>
      </w:r>
      <w:r>
        <w:rPr>
          <w:spacing w:val="-26"/>
          <w:sz w:val="18"/>
        </w:rPr>
        <w:t> </w:t>
      </w:r>
      <w:r>
        <w:rPr>
          <w:sz w:val="18"/>
        </w:rPr>
        <w:t>Technology</w:t>
      </w:r>
      <w:r>
        <w:rPr>
          <w:spacing w:val="-24"/>
          <w:sz w:val="18"/>
        </w:rPr>
        <w:t> </w:t>
      </w:r>
      <w:r>
        <w:rPr>
          <w:sz w:val="18"/>
        </w:rPr>
        <w:t>Laboratory,</w:t>
      </w:r>
      <w:r>
        <w:rPr>
          <w:spacing w:val="-25"/>
          <w:sz w:val="18"/>
        </w:rPr>
        <w:t> </w:t>
      </w:r>
      <w:r>
        <w:rPr>
          <w:sz w:val="18"/>
        </w:rPr>
        <w:t>by Parsons Infrastructure and Technology Group Inc.,</w:t>
      </w:r>
      <w:r>
        <w:rPr>
          <w:spacing w:val="-29"/>
          <w:sz w:val="18"/>
        </w:rPr>
        <w:t> </w:t>
      </w:r>
      <w:r>
        <w:rPr>
          <w:sz w:val="18"/>
        </w:rPr>
        <w:t>September.</w:t>
      </w:r>
    </w:p>
    <w:p>
      <w:pPr>
        <w:spacing w:line="207" w:lineRule="exact" w:before="0"/>
        <w:ind w:left="117" w:right="0" w:firstLine="0"/>
        <w:jc w:val="both"/>
        <w:rPr>
          <w:sz w:val="18"/>
        </w:rPr>
      </w:pPr>
      <w:r>
        <w:rPr>
          <w:b/>
          <w:sz w:val="18"/>
        </w:rPr>
        <w:t>Kohl</w:t>
      </w:r>
      <w:r>
        <w:rPr>
          <w:sz w:val="18"/>
        </w:rPr>
        <w:t>, A.O. and R.B. Nielsen, 1997: Gas purification, Gulf Publishing</w:t>
      </w:r>
    </w:p>
    <w:p>
      <w:pPr>
        <w:spacing w:before="33"/>
        <w:ind w:left="457" w:right="0" w:firstLine="0"/>
        <w:jc w:val="both"/>
        <w:rPr>
          <w:sz w:val="18"/>
        </w:rPr>
      </w:pPr>
      <w:r>
        <w:rPr>
          <w:sz w:val="18"/>
        </w:rPr>
        <w:t>Co., Houston, TX, USA.</w:t>
      </w:r>
    </w:p>
    <w:p>
      <w:pPr>
        <w:spacing w:line="230" w:lineRule="auto" w:before="38"/>
        <w:ind w:left="457" w:right="511" w:hanging="341"/>
        <w:jc w:val="both"/>
        <w:rPr>
          <w:sz w:val="18"/>
        </w:rPr>
      </w:pPr>
      <w:r>
        <w:rPr>
          <w:b/>
          <w:sz w:val="18"/>
        </w:rPr>
        <w:t>Kovvali,</w:t>
      </w:r>
      <w:r>
        <w:rPr>
          <w:b/>
          <w:spacing w:val="-34"/>
          <w:sz w:val="18"/>
        </w:rPr>
        <w:t> </w:t>
      </w:r>
      <w:r>
        <w:rPr>
          <w:sz w:val="18"/>
        </w:rPr>
        <w:t>A.S.</w:t>
      </w:r>
      <w:r>
        <w:rPr>
          <w:spacing w:val="-25"/>
          <w:sz w:val="18"/>
        </w:rPr>
        <w:t> </w:t>
      </w:r>
      <w:r>
        <w:rPr>
          <w:sz w:val="18"/>
        </w:rPr>
        <w:t>and</w:t>
      </w:r>
      <w:r>
        <w:rPr>
          <w:spacing w:val="-24"/>
          <w:sz w:val="18"/>
        </w:rPr>
        <w:t> </w:t>
      </w:r>
      <w:r>
        <w:rPr>
          <w:sz w:val="18"/>
        </w:rPr>
        <w:t>K.K.</w:t>
      </w:r>
      <w:r>
        <w:rPr>
          <w:spacing w:val="-25"/>
          <w:sz w:val="18"/>
        </w:rPr>
        <w:t> </w:t>
      </w:r>
      <w:r>
        <w:rPr>
          <w:sz w:val="18"/>
        </w:rPr>
        <w:t>Sirkar,</w:t>
      </w:r>
      <w:r>
        <w:rPr>
          <w:spacing w:val="-24"/>
          <w:sz w:val="18"/>
        </w:rPr>
        <w:t> </w:t>
      </w:r>
      <w:r>
        <w:rPr>
          <w:sz w:val="18"/>
        </w:rPr>
        <w:t>2001:</w:t>
      </w:r>
      <w:r>
        <w:rPr>
          <w:spacing w:val="-25"/>
          <w:sz w:val="18"/>
        </w:rPr>
        <w:t> </w:t>
      </w:r>
      <w:r>
        <w:rPr>
          <w:sz w:val="18"/>
        </w:rPr>
        <w:t>Dendrimer</w:t>
      </w:r>
      <w:r>
        <w:rPr>
          <w:spacing w:val="-25"/>
          <w:sz w:val="18"/>
        </w:rPr>
        <w:t> </w:t>
      </w:r>
      <w:r>
        <w:rPr>
          <w:sz w:val="18"/>
        </w:rPr>
        <w:t>liquid</w:t>
      </w:r>
      <w:r>
        <w:rPr>
          <w:spacing w:val="-25"/>
          <w:sz w:val="18"/>
        </w:rPr>
        <w:t> </w:t>
      </w:r>
      <w:r>
        <w:rPr>
          <w:sz w:val="18"/>
        </w:rPr>
        <w:t>membranes:</w:t>
      </w:r>
      <w:r>
        <w:rPr>
          <w:spacing w:val="-24"/>
          <w:sz w:val="18"/>
        </w:rPr>
        <w:t> </w:t>
      </w:r>
      <w:r>
        <w:rPr>
          <w:sz w:val="18"/>
        </w:rPr>
        <w:t>CO</w:t>
      </w:r>
      <w:r>
        <w:rPr>
          <w:position w:val="-5"/>
          <w:sz w:val="10"/>
        </w:rPr>
        <w:t>2 </w:t>
      </w:r>
      <w:r>
        <w:rPr>
          <w:sz w:val="18"/>
        </w:rPr>
        <w:t>separation from gas mixtures, </w:t>
      </w:r>
      <w:r>
        <w:rPr>
          <w:i/>
          <w:sz w:val="18"/>
        </w:rPr>
        <w:t>Ind. Eng. Chem., </w:t>
      </w:r>
      <w:r>
        <w:rPr>
          <w:b/>
          <w:sz w:val="18"/>
        </w:rPr>
        <w:t>40</w:t>
      </w:r>
      <w:r>
        <w:rPr>
          <w:sz w:val="18"/>
        </w:rPr>
        <w:t>,</w:t>
      </w:r>
      <w:r>
        <w:rPr>
          <w:spacing w:val="-31"/>
          <w:sz w:val="18"/>
        </w:rPr>
        <w:t> </w:t>
      </w:r>
      <w:r>
        <w:rPr>
          <w:spacing w:val="-3"/>
          <w:sz w:val="18"/>
        </w:rPr>
        <w:t>2502-2511.</w:t>
      </w:r>
    </w:p>
    <w:p>
      <w:pPr>
        <w:spacing w:line="240" w:lineRule="exact" w:before="11"/>
        <w:ind w:left="457" w:right="511" w:hanging="341"/>
        <w:jc w:val="both"/>
        <w:rPr>
          <w:sz w:val="18"/>
        </w:rPr>
      </w:pPr>
      <w:r>
        <w:rPr>
          <w:b/>
          <w:sz w:val="18"/>
        </w:rPr>
        <w:t>Kreutz, </w:t>
      </w:r>
      <w:r>
        <w:rPr>
          <w:sz w:val="18"/>
        </w:rPr>
        <w:t>T., R. Williams, P. Chiesa, and S. Consonni, 2005: Co- production of hydrogen, electricity and CO</w:t>
      </w:r>
      <w:r>
        <w:rPr>
          <w:position w:val="-5"/>
          <w:sz w:val="10"/>
        </w:rPr>
        <w:t>2 </w:t>
      </w:r>
      <w:r>
        <w:rPr>
          <w:sz w:val="18"/>
        </w:rPr>
        <w:t>from coal with commercially ready technology. Part B: Economic analysis,</w:t>
      </w:r>
    </w:p>
    <w:p>
      <w:pPr>
        <w:spacing w:after="0" w:line="240" w:lineRule="exact"/>
        <w:jc w:val="both"/>
        <w:rPr>
          <w:sz w:val="18"/>
        </w:rPr>
        <w:sectPr>
          <w:pgSz w:w="12240" w:h="15840"/>
          <w:pgMar w:header="567" w:footer="0" w:top="1120" w:bottom="280" w:left="620" w:right="620"/>
          <w:cols w:num="2" w:equalWidth="0">
            <w:col w:w="5208" w:space="118"/>
            <w:col w:w="5674"/>
          </w:cols>
        </w:sectPr>
      </w:pPr>
    </w:p>
    <w:p>
      <w:pPr>
        <w:spacing w:before="148"/>
        <w:ind w:left="854" w:right="0" w:firstLine="0"/>
        <w:jc w:val="both"/>
        <w:rPr>
          <w:sz w:val="18"/>
        </w:rPr>
      </w:pPr>
      <w:r>
        <w:rPr>
          <w:i/>
          <w:sz w:val="18"/>
        </w:rPr>
        <w:t>International Journal of Hydrogen Energy</w:t>
      </w:r>
      <w:r>
        <w:rPr>
          <w:sz w:val="18"/>
        </w:rPr>
        <w:t>, </w:t>
      </w:r>
      <w:r>
        <w:rPr>
          <w:b/>
          <w:sz w:val="18"/>
        </w:rPr>
        <w:t>30 </w:t>
      </w:r>
      <w:r>
        <w:rPr>
          <w:sz w:val="18"/>
        </w:rPr>
        <w:t>(7): 769-784.</w:t>
      </w:r>
    </w:p>
    <w:p>
      <w:pPr>
        <w:spacing w:line="240" w:lineRule="exact" w:before="9"/>
        <w:ind w:left="854" w:right="0" w:hanging="341"/>
        <w:jc w:val="both"/>
        <w:rPr>
          <w:sz w:val="18"/>
        </w:rPr>
      </w:pPr>
      <w:r>
        <w:rPr>
          <w:b/>
          <w:sz w:val="18"/>
        </w:rPr>
        <w:t>Kvamsdal, </w:t>
      </w:r>
      <w:r>
        <w:rPr>
          <w:sz w:val="18"/>
        </w:rPr>
        <w:t>H., O. Maurstad, K. Jordal, and O. Bolland, 2004: Benchmarking</w:t>
      </w:r>
      <w:r>
        <w:rPr>
          <w:spacing w:val="-26"/>
          <w:sz w:val="18"/>
        </w:rPr>
        <w:t> </w:t>
      </w:r>
      <w:r>
        <w:rPr>
          <w:sz w:val="18"/>
        </w:rPr>
        <w:t>of</w:t>
      </w:r>
      <w:r>
        <w:rPr>
          <w:spacing w:val="-26"/>
          <w:sz w:val="18"/>
        </w:rPr>
        <w:t> </w:t>
      </w:r>
      <w:r>
        <w:rPr>
          <w:sz w:val="18"/>
        </w:rPr>
        <w:t>gas-turbine</w:t>
      </w:r>
      <w:r>
        <w:rPr>
          <w:spacing w:val="-25"/>
          <w:sz w:val="18"/>
        </w:rPr>
        <w:t> </w:t>
      </w:r>
      <w:r>
        <w:rPr>
          <w:sz w:val="18"/>
        </w:rPr>
        <w:t>cycles</w:t>
      </w:r>
      <w:r>
        <w:rPr>
          <w:spacing w:val="-26"/>
          <w:sz w:val="18"/>
        </w:rPr>
        <w:t> </w:t>
      </w:r>
      <w:r>
        <w:rPr>
          <w:sz w:val="18"/>
        </w:rPr>
        <w:t>with</w:t>
      </w:r>
      <w:r>
        <w:rPr>
          <w:spacing w:val="-25"/>
          <w:sz w:val="18"/>
        </w:rPr>
        <w:t> </w:t>
      </w:r>
      <w:r>
        <w:rPr>
          <w:sz w:val="18"/>
        </w:rPr>
        <w:t>CO</w:t>
      </w:r>
      <w:r>
        <w:rPr>
          <w:position w:val="-5"/>
          <w:sz w:val="10"/>
        </w:rPr>
        <w:t>2</w:t>
      </w:r>
      <w:r>
        <w:rPr>
          <w:spacing w:val="-5"/>
          <w:position w:val="-5"/>
          <w:sz w:val="10"/>
        </w:rPr>
        <w:t> </w:t>
      </w:r>
      <w:r>
        <w:rPr>
          <w:sz w:val="18"/>
        </w:rPr>
        <w:t>capture.</w:t>
      </w:r>
      <w:r>
        <w:rPr>
          <w:spacing w:val="-26"/>
          <w:sz w:val="18"/>
        </w:rPr>
        <w:t> </w:t>
      </w:r>
      <w:r>
        <w:rPr>
          <w:sz w:val="18"/>
        </w:rPr>
        <w:t>Proceedings of 7</w:t>
      </w:r>
      <w:r>
        <w:rPr>
          <w:position w:val="6"/>
          <w:sz w:val="10"/>
        </w:rPr>
        <w:t>th </w:t>
      </w:r>
      <w:r>
        <w:rPr>
          <w:sz w:val="18"/>
        </w:rPr>
        <w:t>International Conference on Greenhouse Gas Control Technologies. </w:t>
      </w:r>
      <w:r>
        <w:rPr>
          <w:spacing w:val="-4"/>
          <w:sz w:val="18"/>
        </w:rPr>
        <w:t>Volume </w:t>
      </w:r>
      <w:r>
        <w:rPr>
          <w:sz w:val="18"/>
        </w:rPr>
        <w:t>I: Peer Reviewed Papers and</w:t>
      </w:r>
      <w:r>
        <w:rPr>
          <w:spacing w:val="42"/>
          <w:sz w:val="18"/>
        </w:rPr>
        <w:t> </w:t>
      </w:r>
      <w:r>
        <w:rPr>
          <w:sz w:val="18"/>
        </w:rPr>
        <w:t>Overviews,</w:t>
      </w:r>
    </w:p>
    <w:p>
      <w:pPr>
        <w:spacing w:line="278" w:lineRule="auto" w:before="24"/>
        <w:ind w:left="854" w:right="1" w:firstLine="0"/>
        <w:jc w:val="both"/>
        <w:rPr>
          <w:sz w:val="18"/>
        </w:rPr>
      </w:pPr>
      <w:r>
        <w:rPr>
          <w:sz w:val="18"/>
        </w:rPr>
        <w:t>E.S. Rubin, </w:t>
      </w:r>
      <w:r>
        <w:rPr>
          <w:spacing w:val="-5"/>
          <w:sz w:val="18"/>
        </w:rPr>
        <w:t>D.W. </w:t>
      </w:r>
      <w:r>
        <w:rPr>
          <w:sz w:val="18"/>
        </w:rPr>
        <w:t>Keith, and </w:t>
      </w:r>
      <w:r>
        <w:rPr>
          <w:spacing w:val="-4"/>
          <w:sz w:val="18"/>
        </w:rPr>
        <w:t>C.F. </w:t>
      </w:r>
      <w:r>
        <w:rPr>
          <w:sz w:val="18"/>
        </w:rPr>
        <w:t>Gilboy (eds.), Elsevier Science, Oxford, UK, 2005, 233-242.</w:t>
      </w:r>
    </w:p>
    <w:p>
      <w:pPr>
        <w:spacing w:line="245" w:lineRule="exact" w:before="0"/>
        <w:ind w:left="0" w:right="1" w:firstLine="0"/>
        <w:jc w:val="right"/>
        <w:rPr>
          <w:sz w:val="18"/>
        </w:rPr>
      </w:pPr>
      <w:r>
        <w:rPr>
          <w:b/>
          <w:sz w:val="18"/>
        </w:rPr>
        <w:t>Lackner, </w:t>
      </w:r>
      <w:r>
        <w:rPr>
          <w:sz w:val="18"/>
        </w:rPr>
        <w:t>K.S., 2003: Climate change: a guide to CO</w:t>
      </w:r>
      <w:r>
        <w:rPr>
          <w:position w:val="-5"/>
          <w:sz w:val="10"/>
        </w:rPr>
        <w:t>2 </w:t>
      </w:r>
      <w:r>
        <w:rPr>
          <w:sz w:val="18"/>
        </w:rPr>
        <w:t>sequestration,</w:t>
      </w:r>
    </w:p>
    <w:p>
      <w:pPr>
        <w:spacing w:line="202" w:lineRule="exact" w:before="0"/>
        <w:ind w:left="854" w:right="0" w:firstLine="0"/>
        <w:jc w:val="both"/>
        <w:rPr>
          <w:sz w:val="18"/>
        </w:rPr>
      </w:pPr>
      <w:r>
        <w:rPr>
          <w:i/>
          <w:sz w:val="18"/>
        </w:rPr>
        <w:t>Science</w:t>
      </w:r>
      <w:r>
        <w:rPr>
          <w:sz w:val="18"/>
        </w:rPr>
        <w:t>, </w:t>
      </w:r>
      <w:r>
        <w:rPr>
          <w:b/>
          <w:sz w:val="18"/>
        </w:rPr>
        <w:t>300</w:t>
      </w:r>
      <w:r>
        <w:rPr>
          <w:sz w:val="18"/>
        </w:rPr>
        <w:t>, issue 5626, 1677-1678, 13 June.</w:t>
      </w:r>
    </w:p>
    <w:p>
      <w:pPr>
        <w:spacing w:line="278" w:lineRule="auto" w:before="33"/>
        <w:ind w:left="854" w:right="1" w:hanging="341"/>
        <w:jc w:val="both"/>
        <w:rPr>
          <w:sz w:val="18"/>
        </w:rPr>
      </w:pPr>
      <w:r>
        <w:rPr>
          <w:b/>
          <w:sz w:val="18"/>
        </w:rPr>
        <w:t>Lackner, </w:t>
      </w:r>
      <w:r>
        <w:rPr>
          <w:sz w:val="18"/>
        </w:rPr>
        <w:t>K., H.J. Ziock, D.P. Harrison, 2001: Hydrogen Production from carbonaceous material. United States Patent WO 0142132.</w:t>
      </w:r>
    </w:p>
    <w:p>
      <w:pPr>
        <w:spacing w:line="278" w:lineRule="auto" w:before="0"/>
        <w:ind w:left="854" w:right="0" w:hanging="341"/>
        <w:jc w:val="both"/>
        <w:rPr>
          <w:sz w:val="18"/>
        </w:rPr>
      </w:pPr>
      <w:r>
        <w:rPr>
          <w:b/>
          <w:sz w:val="18"/>
        </w:rPr>
        <w:t>Larson,</w:t>
      </w:r>
      <w:r>
        <w:rPr>
          <w:b/>
          <w:spacing w:val="-8"/>
          <w:sz w:val="18"/>
        </w:rPr>
        <w:t> </w:t>
      </w:r>
      <w:r>
        <w:rPr>
          <w:sz w:val="18"/>
        </w:rPr>
        <w:t>E.D.,</w:t>
      </w:r>
      <w:r>
        <w:rPr>
          <w:spacing w:val="-7"/>
          <w:sz w:val="18"/>
        </w:rPr>
        <w:t> </w:t>
      </w:r>
      <w:r>
        <w:rPr>
          <w:sz w:val="18"/>
        </w:rPr>
        <w:t>and</w:t>
      </w:r>
      <w:r>
        <w:rPr>
          <w:spacing w:val="-11"/>
          <w:sz w:val="18"/>
        </w:rPr>
        <w:t> </w:t>
      </w:r>
      <w:r>
        <w:rPr>
          <w:spacing w:val="-7"/>
          <w:sz w:val="18"/>
        </w:rPr>
        <w:t>T. </w:t>
      </w:r>
      <w:r>
        <w:rPr>
          <w:sz w:val="18"/>
        </w:rPr>
        <w:t>Ren,</w:t>
      </w:r>
      <w:r>
        <w:rPr>
          <w:spacing w:val="-7"/>
          <w:sz w:val="18"/>
        </w:rPr>
        <w:t> </w:t>
      </w:r>
      <w:r>
        <w:rPr>
          <w:sz w:val="18"/>
        </w:rPr>
        <w:t>2003:</w:t>
      </w:r>
      <w:r>
        <w:rPr>
          <w:spacing w:val="-8"/>
          <w:sz w:val="18"/>
        </w:rPr>
        <w:t> </w:t>
      </w:r>
      <w:r>
        <w:rPr>
          <w:sz w:val="18"/>
        </w:rPr>
        <w:t>Synthetic</w:t>
      </w:r>
      <w:r>
        <w:rPr>
          <w:spacing w:val="-8"/>
          <w:sz w:val="18"/>
        </w:rPr>
        <w:t> </w:t>
      </w:r>
      <w:r>
        <w:rPr>
          <w:sz w:val="18"/>
        </w:rPr>
        <w:t>fuels</w:t>
      </w:r>
      <w:r>
        <w:rPr>
          <w:spacing w:val="-8"/>
          <w:sz w:val="18"/>
        </w:rPr>
        <w:t> </w:t>
      </w:r>
      <w:r>
        <w:rPr>
          <w:sz w:val="18"/>
        </w:rPr>
        <w:t>production</w:t>
      </w:r>
      <w:r>
        <w:rPr>
          <w:spacing w:val="-7"/>
          <w:sz w:val="18"/>
        </w:rPr>
        <w:t> </w:t>
      </w:r>
      <w:r>
        <w:rPr>
          <w:sz w:val="18"/>
        </w:rPr>
        <w:t>by</w:t>
      </w:r>
      <w:r>
        <w:rPr>
          <w:spacing w:val="-7"/>
          <w:sz w:val="18"/>
        </w:rPr>
        <w:t> </w:t>
      </w:r>
      <w:r>
        <w:rPr>
          <w:sz w:val="18"/>
        </w:rPr>
        <w:t>indirect coal liquefaction, </w:t>
      </w:r>
      <w:r>
        <w:rPr>
          <w:i/>
          <w:sz w:val="18"/>
        </w:rPr>
        <w:t>Energy for Sustainable Development</w:t>
      </w:r>
      <w:r>
        <w:rPr>
          <w:sz w:val="18"/>
        </w:rPr>
        <w:t>, </w:t>
      </w:r>
      <w:r>
        <w:rPr>
          <w:b/>
          <w:sz w:val="18"/>
        </w:rPr>
        <w:t>vii</w:t>
      </w:r>
      <w:r>
        <w:rPr>
          <w:sz w:val="18"/>
        </w:rPr>
        <w:t>(4), 79-102.</w:t>
      </w:r>
    </w:p>
    <w:p>
      <w:pPr>
        <w:spacing w:line="278" w:lineRule="auto" w:before="0"/>
        <w:ind w:left="854" w:right="0" w:hanging="341"/>
        <w:jc w:val="both"/>
        <w:rPr>
          <w:sz w:val="18"/>
        </w:rPr>
      </w:pPr>
      <w:r>
        <w:rPr>
          <w:b/>
          <w:sz w:val="18"/>
        </w:rPr>
        <w:t>Latimer, </w:t>
      </w:r>
      <w:r>
        <w:rPr>
          <w:sz w:val="18"/>
        </w:rPr>
        <w:t>R.E., 1967: Distillation of air. </w:t>
      </w:r>
      <w:r>
        <w:rPr>
          <w:i/>
          <w:sz w:val="18"/>
        </w:rPr>
        <w:t>Chem Eng Progress, </w:t>
      </w:r>
      <w:r>
        <w:rPr>
          <w:b/>
          <w:sz w:val="18"/>
        </w:rPr>
        <w:t>63</w:t>
      </w:r>
      <w:r>
        <w:rPr>
          <w:sz w:val="18"/>
        </w:rPr>
        <w:t>(2), 35-59.</w:t>
      </w:r>
    </w:p>
    <w:p>
      <w:pPr>
        <w:spacing w:line="278" w:lineRule="auto" w:before="0"/>
        <w:ind w:left="854" w:right="0" w:hanging="341"/>
        <w:jc w:val="both"/>
        <w:rPr>
          <w:sz w:val="18"/>
        </w:rPr>
      </w:pPr>
      <w:r>
        <w:rPr>
          <w:b/>
          <w:sz w:val="18"/>
        </w:rPr>
        <w:t>Leites, </w:t>
      </w:r>
      <w:r>
        <w:rPr>
          <w:sz w:val="18"/>
        </w:rPr>
        <w:t>I.L., D.A. Sama, and N. Lior, 2003: The theory and practice of energy saving in the chemical industry: some methods for reducing thermodynamic irreversibility in chemical technology processes. </w:t>
      </w:r>
      <w:r>
        <w:rPr>
          <w:i/>
          <w:spacing w:val="-3"/>
          <w:sz w:val="18"/>
        </w:rPr>
        <w:t>Energy, </w:t>
      </w:r>
      <w:r>
        <w:rPr>
          <w:b/>
          <w:sz w:val="18"/>
        </w:rPr>
        <w:t>28</w:t>
      </w:r>
      <w:r>
        <w:rPr>
          <w:sz w:val="18"/>
        </w:rPr>
        <w:t>, N 1,</w:t>
      </w:r>
      <w:r>
        <w:rPr>
          <w:spacing w:val="2"/>
          <w:sz w:val="18"/>
        </w:rPr>
        <w:t> </w:t>
      </w:r>
      <w:r>
        <w:rPr>
          <w:sz w:val="18"/>
        </w:rPr>
        <w:t>55-97.</w:t>
      </w:r>
    </w:p>
    <w:p>
      <w:pPr>
        <w:spacing w:line="230" w:lineRule="auto" w:before="4"/>
        <w:ind w:left="854" w:right="1" w:hanging="341"/>
        <w:jc w:val="both"/>
        <w:rPr>
          <w:sz w:val="18"/>
        </w:rPr>
      </w:pPr>
      <w:r>
        <w:rPr>
          <w:b/>
          <w:sz w:val="18"/>
        </w:rPr>
        <w:t>Leites, </w:t>
      </w:r>
      <w:r>
        <w:rPr>
          <w:sz w:val="18"/>
        </w:rPr>
        <w:t>I.L., 1998: The Thermodynamics of CO</w:t>
      </w:r>
      <w:r>
        <w:rPr>
          <w:position w:val="-5"/>
          <w:sz w:val="10"/>
        </w:rPr>
        <w:t>2 </w:t>
      </w:r>
      <w:r>
        <w:rPr>
          <w:sz w:val="18"/>
        </w:rPr>
        <w:t>solubility in</w:t>
      </w:r>
      <w:r>
        <w:rPr>
          <w:spacing w:val="-16"/>
          <w:sz w:val="18"/>
        </w:rPr>
        <w:t> </w:t>
      </w:r>
      <w:r>
        <w:rPr>
          <w:sz w:val="18"/>
        </w:rPr>
        <w:t>mixtures monoethanolamine</w:t>
      </w:r>
      <w:r>
        <w:rPr>
          <w:spacing w:val="-31"/>
          <w:sz w:val="18"/>
        </w:rPr>
        <w:t> </w:t>
      </w:r>
      <w:r>
        <w:rPr>
          <w:sz w:val="18"/>
        </w:rPr>
        <w:t>with</w:t>
      </w:r>
      <w:r>
        <w:rPr>
          <w:spacing w:val="-30"/>
          <w:sz w:val="18"/>
        </w:rPr>
        <w:t> </w:t>
      </w:r>
      <w:r>
        <w:rPr>
          <w:sz w:val="18"/>
        </w:rPr>
        <w:t>organic</w:t>
      </w:r>
      <w:r>
        <w:rPr>
          <w:spacing w:val="-31"/>
          <w:sz w:val="18"/>
        </w:rPr>
        <w:t> </w:t>
      </w:r>
      <w:r>
        <w:rPr>
          <w:sz w:val="18"/>
        </w:rPr>
        <w:t>solvents</w:t>
      </w:r>
      <w:r>
        <w:rPr>
          <w:spacing w:val="-30"/>
          <w:sz w:val="18"/>
        </w:rPr>
        <w:t> </w:t>
      </w:r>
      <w:r>
        <w:rPr>
          <w:sz w:val="18"/>
        </w:rPr>
        <w:t>and</w:t>
      </w:r>
      <w:r>
        <w:rPr>
          <w:spacing w:val="-31"/>
          <w:sz w:val="18"/>
        </w:rPr>
        <w:t> </w:t>
      </w:r>
      <w:r>
        <w:rPr>
          <w:sz w:val="18"/>
        </w:rPr>
        <w:t>water</w:t>
      </w:r>
      <w:r>
        <w:rPr>
          <w:spacing w:val="-30"/>
          <w:sz w:val="18"/>
        </w:rPr>
        <w:t> </w:t>
      </w:r>
      <w:r>
        <w:rPr>
          <w:sz w:val="18"/>
        </w:rPr>
        <w:t>andcommercial</w:t>
      </w:r>
    </w:p>
    <w:p>
      <w:pPr>
        <w:spacing w:line="278" w:lineRule="auto" w:before="35"/>
        <w:ind w:left="854" w:right="0" w:firstLine="0"/>
        <w:jc w:val="both"/>
        <w:rPr>
          <w:sz w:val="18"/>
        </w:rPr>
      </w:pPr>
      <w:r>
        <w:rPr>
          <w:sz w:val="18"/>
        </w:rPr>
        <w:t>experience of energy saving gas purification technology. </w:t>
      </w:r>
      <w:r>
        <w:rPr>
          <w:i/>
          <w:sz w:val="18"/>
        </w:rPr>
        <w:t>Energy </w:t>
      </w:r>
      <w:r>
        <w:rPr>
          <w:i/>
          <w:sz w:val="18"/>
        </w:rPr>
        <w:t>Conversion and Management</w:t>
      </w:r>
      <w:r>
        <w:rPr>
          <w:sz w:val="18"/>
        </w:rPr>
        <w:t>, </w:t>
      </w:r>
      <w:r>
        <w:rPr>
          <w:b/>
          <w:sz w:val="18"/>
        </w:rPr>
        <w:t>39</w:t>
      </w:r>
      <w:r>
        <w:rPr>
          <w:sz w:val="18"/>
        </w:rPr>
        <w:t>, 1665-1674.</w:t>
      </w:r>
    </w:p>
    <w:p>
      <w:pPr>
        <w:spacing w:line="278" w:lineRule="auto" w:before="0"/>
        <w:ind w:left="854" w:right="1" w:hanging="341"/>
        <w:jc w:val="both"/>
        <w:rPr>
          <w:sz w:val="18"/>
        </w:rPr>
      </w:pPr>
      <w:r>
        <w:rPr>
          <w:b/>
          <w:sz w:val="18"/>
        </w:rPr>
        <w:t>Lin, </w:t>
      </w:r>
      <w:r>
        <w:rPr>
          <w:spacing w:val="-6"/>
          <w:sz w:val="18"/>
        </w:rPr>
        <w:t>S.Y., </w:t>
      </w:r>
      <w:r>
        <w:rPr>
          <w:spacing w:val="-12"/>
          <w:sz w:val="18"/>
        </w:rPr>
        <w:t>Y. </w:t>
      </w:r>
      <w:r>
        <w:rPr>
          <w:sz w:val="18"/>
        </w:rPr>
        <w:t>Suzuki, H. Hatano, and M. Harada, 2002: Developing  an innovative  method,  HyPr-RING,  to  produce  hydrogen from hydrocarbons, </w:t>
      </w:r>
      <w:r>
        <w:rPr>
          <w:i/>
          <w:sz w:val="18"/>
        </w:rPr>
        <w:t>Energy Conversion and Management, </w:t>
      </w:r>
      <w:r>
        <w:rPr>
          <w:b/>
          <w:spacing w:val="-6"/>
          <w:sz w:val="18"/>
        </w:rPr>
        <w:t>43</w:t>
      </w:r>
      <w:r>
        <w:rPr>
          <w:spacing w:val="-6"/>
          <w:sz w:val="18"/>
        </w:rPr>
        <w:t>, </w:t>
      </w:r>
      <w:r>
        <w:rPr>
          <w:sz w:val="18"/>
        </w:rPr>
        <w:t>1283-1290.</w:t>
      </w:r>
    </w:p>
    <w:p>
      <w:pPr>
        <w:spacing w:line="278" w:lineRule="auto" w:before="0"/>
        <w:ind w:left="854" w:right="1" w:hanging="341"/>
        <w:jc w:val="both"/>
        <w:rPr>
          <w:sz w:val="18"/>
        </w:rPr>
      </w:pPr>
      <w:r>
        <w:rPr>
          <w:b/>
          <w:sz w:val="18"/>
        </w:rPr>
        <w:t>Lowe, </w:t>
      </w:r>
      <w:r>
        <w:rPr>
          <w:sz w:val="18"/>
        </w:rPr>
        <w:t>C., V. Francuz, and C. Behrens, 2003: Hydrogen Membrane Selection for a Water Gas Shift Reactor. Second DoE Annual Conference on Carbon Sequestration. May, Arlington, VA.</w:t>
      </w:r>
    </w:p>
    <w:p>
      <w:pPr>
        <w:spacing w:line="278" w:lineRule="auto" w:before="0"/>
        <w:ind w:left="854" w:right="0" w:hanging="341"/>
        <w:jc w:val="both"/>
        <w:rPr>
          <w:sz w:val="18"/>
        </w:rPr>
      </w:pPr>
      <w:r>
        <w:rPr>
          <w:b/>
          <w:sz w:val="18"/>
        </w:rPr>
        <w:t>maddox, </w:t>
      </w:r>
      <w:r>
        <w:rPr>
          <w:sz w:val="18"/>
        </w:rPr>
        <w:t>R.N. and D.J. Morgan, 1998: Gas Conditioning and Processing.</w:t>
      </w:r>
      <w:r>
        <w:rPr>
          <w:spacing w:val="-14"/>
          <w:sz w:val="18"/>
        </w:rPr>
        <w:t> </w:t>
      </w:r>
      <w:r>
        <w:rPr>
          <w:spacing w:val="-4"/>
          <w:sz w:val="18"/>
        </w:rPr>
        <w:t>Volume</w:t>
      </w:r>
      <w:r>
        <w:rPr>
          <w:spacing w:val="-10"/>
          <w:sz w:val="18"/>
        </w:rPr>
        <w:t> </w:t>
      </w:r>
      <w:r>
        <w:rPr>
          <w:sz w:val="18"/>
        </w:rPr>
        <w:t>4:</w:t>
      </w:r>
      <w:r>
        <w:rPr>
          <w:spacing w:val="-10"/>
          <w:sz w:val="18"/>
        </w:rPr>
        <w:t> </w:t>
      </w:r>
      <w:r>
        <w:rPr>
          <w:sz w:val="18"/>
        </w:rPr>
        <w:t>Gas</w:t>
      </w:r>
      <w:r>
        <w:rPr>
          <w:spacing w:val="-10"/>
          <w:sz w:val="18"/>
        </w:rPr>
        <w:t> </w:t>
      </w:r>
      <w:r>
        <w:rPr>
          <w:sz w:val="18"/>
        </w:rPr>
        <w:t>treating</w:t>
      </w:r>
      <w:r>
        <w:rPr>
          <w:spacing w:val="-10"/>
          <w:sz w:val="18"/>
        </w:rPr>
        <w:t> </w:t>
      </w:r>
      <w:r>
        <w:rPr>
          <w:sz w:val="18"/>
        </w:rPr>
        <w:t>and</w:t>
      </w:r>
      <w:r>
        <w:rPr>
          <w:spacing w:val="-10"/>
          <w:sz w:val="18"/>
        </w:rPr>
        <w:t> </w:t>
      </w:r>
      <w:r>
        <w:rPr>
          <w:sz w:val="18"/>
        </w:rPr>
        <w:t>sulfur</w:t>
      </w:r>
      <w:r>
        <w:rPr>
          <w:spacing w:val="-10"/>
          <w:sz w:val="18"/>
        </w:rPr>
        <w:t> </w:t>
      </w:r>
      <w:r>
        <w:rPr>
          <w:sz w:val="18"/>
        </w:rPr>
        <w:t>recovery.</w:t>
      </w:r>
      <w:r>
        <w:rPr>
          <w:spacing w:val="-9"/>
          <w:sz w:val="18"/>
        </w:rPr>
        <w:t> </w:t>
      </w:r>
      <w:r>
        <w:rPr>
          <w:sz w:val="18"/>
        </w:rPr>
        <w:t>Campbell Petroleum Series, Norman, OK,</w:t>
      </w:r>
      <w:r>
        <w:rPr>
          <w:spacing w:val="-7"/>
          <w:sz w:val="18"/>
        </w:rPr>
        <w:t> </w:t>
      </w:r>
      <w:r>
        <w:rPr>
          <w:sz w:val="18"/>
        </w:rPr>
        <w:t>USA.</w:t>
      </w:r>
    </w:p>
    <w:p>
      <w:pPr>
        <w:spacing w:line="245" w:lineRule="exact" w:before="0"/>
        <w:ind w:left="0" w:right="0" w:firstLine="0"/>
        <w:jc w:val="right"/>
        <w:rPr>
          <w:sz w:val="10"/>
        </w:rPr>
      </w:pPr>
      <w:r>
        <w:rPr>
          <w:b/>
          <w:sz w:val="18"/>
        </w:rPr>
        <w:t>mano, </w:t>
      </w:r>
      <w:r>
        <w:rPr>
          <w:sz w:val="18"/>
        </w:rPr>
        <w:t>H., S. Kazama, and K. Haraya, 2003: Development of CO</w:t>
      </w:r>
      <w:r>
        <w:rPr>
          <w:position w:val="-5"/>
          <w:sz w:val="10"/>
        </w:rPr>
        <w:t>2</w:t>
      </w:r>
    </w:p>
    <w:p>
      <w:pPr>
        <w:spacing w:line="278" w:lineRule="auto" w:before="0"/>
        <w:ind w:left="854" w:right="0" w:firstLine="0"/>
        <w:jc w:val="both"/>
        <w:rPr>
          <w:sz w:val="18"/>
        </w:rPr>
      </w:pPr>
      <w:r>
        <w:rPr>
          <w:sz w:val="18"/>
        </w:rPr>
        <w:t>separation membranes (1) Polymer membrane, In Greenhouse Gas Control Technologies. J. Gale and Y. Kaya (eds.), Elsevier Science, Ltd., United Kingdom, 1551-1554.</w:t>
      </w:r>
    </w:p>
    <w:p>
      <w:pPr>
        <w:spacing w:line="278" w:lineRule="auto" w:before="0"/>
        <w:ind w:left="854" w:right="0" w:hanging="341"/>
        <w:jc w:val="both"/>
        <w:rPr>
          <w:sz w:val="18"/>
        </w:rPr>
      </w:pPr>
      <w:r>
        <w:rPr>
          <w:b/>
          <w:sz w:val="18"/>
        </w:rPr>
        <w:t>marin,</w:t>
      </w:r>
      <w:r>
        <w:rPr>
          <w:b/>
          <w:spacing w:val="-21"/>
          <w:sz w:val="18"/>
        </w:rPr>
        <w:t> </w:t>
      </w:r>
      <w:r>
        <w:rPr>
          <w:sz w:val="18"/>
        </w:rPr>
        <w:t>O.,</w:t>
      </w:r>
      <w:r>
        <w:rPr>
          <w:spacing w:val="-27"/>
          <w:sz w:val="18"/>
        </w:rPr>
        <w:t> </w:t>
      </w:r>
      <w:r>
        <w:rPr>
          <w:spacing w:val="-12"/>
          <w:sz w:val="18"/>
        </w:rPr>
        <w:t>Y.</w:t>
      </w:r>
      <w:r>
        <w:rPr>
          <w:spacing w:val="-20"/>
          <w:sz w:val="18"/>
        </w:rPr>
        <w:t> </w:t>
      </w:r>
      <w:r>
        <w:rPr>
          <w:sz w:val="18"/>
        </w:rPr>
        <w:t>Bourhis,</w:t>
      </w:r>
      <w:r>
        <w:rPr>
          <w:spacing w:val="-20"/>
          <w:sz w:val="18"/>
        </w:rPr>
        <w:t> </w:t>
      </w:r>
      <w:r>
        <w:rPr>
          <w:sz w:val="18"/>
        </w:rPr>
        <w:t>N.</w:t>
      </w:r>
      <w:r>
        <w:rPr>
          <w:spacing w:val="-20"/>
          <w:sz w:val="18"/>
        </w:rPr>
        <w:t> </w:t>
      </w:r>
      <w:r>
        <w:rPr>
          <w:sz w:val="18"/>
        </w:rPr>
        <w:t>Perrin,</w:t>
      </w:r>
      <w:r>
        <w:rPr>
          <w:spacing w:val="-20"/>
          <w:sz w:val="18"/>
        </w:rPr>
        <w:t> </w:t>
      </w:r>
      <w:r>
        <w:rPr>
          <w:spacing w:val="-10"/>
          <w:sz w:val="18"/>
        </w:rPr>
        <w:t>P.</w:t>
      </w:r>
      <w:r>
        <w:rPr>
          <w:spacing w:val="-21"/>
          <w:sz w:val="18"/>
        </w:rPr>
        <w:t> </w:t>
      </w:r>
      <w:r>
        <w:rPr>
          <w:sz w:val="18"/>
        </w:rPr>
        <w:t>DiZanno,</w:t>
      </w:r>
      <w:r>
        <w:rPr>
          <w:spacing w:val="-20"/>
          <w:sz w:val="18"/>
        </w:rPr>
        <w:t> </w:t>
      </w:r>
      <w:r>
        <w:rPr>
          <w:spacing w:val="-8"/>
          <w:sz w:val="18"/>
        </w:rPr>
        <w:t>F.</w:t>
      </w:r>
      <w:r>
        <w:rPr>
          <w:spacing w:val="-23"/>
          <w:sz w:val="18"/>
        </w:rPr>
        <w:t> </w:t>
      </w:r>
      <w:r>
        <w:rPr>
          <w:sz w:val="18"/>
        </w:rPr>
        <w:t>Viteri,</w:t>
      </w:r>
      <w:r>
        <w:rPr>
          <w:spacing w:val="-20"/>
          <w:sz w:val="18"/>
        </w:rPr>
        <w:t> </w:t>
      </w:r>
      <w:r>
        <w:rPr>
          <w:sz w:val="18"/>
        </w:rPr>
        <w:t>and</w:t>
      </w:r>
      <w:r>
        <w:rPr>
          <w:spacing w:val="-20"/>
          <w:sz w:val="18"/>
        </w:rPr>
        <w:t> </w:t>
      </w:r>
      <w:r>
        <w:rPr>
          <w:sz w:val="18"/>
        </w:rPr>
        <w:t>R.</w:t>
      </w:r>
      <w:r>
        <w:rPr>
          <w:spacing w:val="-30"/>
          <w:sz w:val="18"/>
        </w:rPr>
        <w:t> </w:t>
      </w:r>
      <w:r>
        <w:rPr>
          <w:sz w:val="18"/>
        </w:rPr>
        <w:t>Anderson, 2003: High efficiency Zero Emission Power Generation based</w:t>
      </w:r>
      <w:r>
        <w:rPr>
          <w:spacing w:val="-25"/>
          <w:sz w:val="18"/>
        </w:rPr>
        <w:t> </w:t>
      </w:r>
      <w:r>
        <w:rPr>
          <w:sz w:val="18"/>
        </w:rPr>
        <w:t>on a</w:t>
      </w:r>
      <w:r>
        <w:rPr>
          <w:spacing w:val="-9"/>
          <w:sz w:val="18"/>
        </w:rPr>
        <w:t> </w:t>
      </w:r>
      <w:r>
        <w:rPr>
          <w:sz w:val="18"/>
        </w:rPr>
        <w:t>high</w:t>
      </w:r>
      <w:r>
        <w:rPr>
          <w:spacing w:val="-9"/>
          <w:sz w:val="18"/>
        </w:rPr>
        <w:t> </w:t>
      </w:r>
      <w:r>
        <w:rPr>
          <w:sz w:val="18"/>
        </w:rPr>
        <w:t>temperature</w:t>
      </w:r>
      <w:r>
        <w:rPr>
          <w:spacing w:val="-9"/>
          <w:sz w:val="18"/>
        </w:rPr>
        <w:t> </w:t>
      </w:r>
      <w:r>
        <w:rPr>
          <w:sz w:val="18"/>
        </w:rPr>
        <w:t>steam</w:t>
      </w:r>
      <w:r>
        <w:rPr>
          <w:spacing w:val="-9"/>
          <w:sz w:val="18"/>
        </w:rPr>
        <w:t> </w:t>
      </w:r>
      <w:r>
        <w:rPr>
          <w:sz w:val="18"/>
        </w:rPr>
        <w:t>cycle,</w:t>
      </w:r>
      <w:r>
        <w:rPr>
          <w:spacing w:val="-8"/>
          <w:sz w:val="18"/>
        </w:rPr>
        <w:t> </w:t>
      </w:r>
      <w:r>
        <w:rPr>
          <w:sz w:val="18"/>
        </w:rPr>
        <w:t>28</w:t>
      </w:r>
      <w:r>
        <w:rPr>
          <w:position w:val="6"/>
          <w:sz w:val="10"/>
        </w:rPr>
        <w:t>th</w:t>
      </w:r>
      <w:r>
        <w:rPr>
          <w:spacing w:val="11"/>
          <w:position w:val="6"/>
          <w:sz w:val="10"/>
        </w:rPr>
        <w:t> </w:t>
      </w:r>
      <w:r>
        <w:rPr>
          <w:sz w:val="18"/>
        </w:rPr>
        <w:t>Int.</w:t>
      </w:r>
      <w:r>
        <w:rPr>
          <w:spacing w:val="-12"/>
          <w:sz w:val="18"/>
        </w:rPr>
        <w:t> </w:t>
      </w:r>
      <w:r>
        <w:rPr>
          <w:sz w:val="18"/>
        </w:rPr>
        <w:t>Technical</w:t>
      </w:r>
      <w:r>
        <w:rPr>
          <w:spacing w:val="-9"/>
          <w:sz w:val="18"/>
        </w:rPr>
        <w:t> </w:t>
      </w:r>
      <w:r>
        <w:rPr>
          <w:sz w:val="18"/>
        </w:rPr>
        <w:t>Conference</w:t>
      </w:r>
      <w:r>
        <w:rPr>
          <w:spacing w:val="-8"/>
          <w:sz w:val="18"/>
        </w:rPr>
        <w:t> </w:t>
      </w:r>
      <w:r>
        <w:rPr>
          <w:sz w:val="18"/>
        </w:rPr>
        <w:t>On Coal Utilization and Fuel Systems, Clearwater, FL,</w:t>
      </w:r>
      <w:r>
        <w:rPr>
          <w:spacing w:val="-18"/>
          <w:sz w:val="18"/>
        </w:rPr>
        <w:t> </w:t>
      </w:r>
      <w:r>
        <w:rPr>
          <w:sz w:val="18"/>
        </w:rPr>
        <w:t>March.</w:t>
      </w:r>
    </w:p>
    <w:p>
      <w:pPr>
        <w:spacing w:line="230" w:lineRule="auto" w:before="0"/>
        <w:ind w:left="854" w:right="1" w:hanging="341"/>
        <w:jc w:val="both"/>
        <w:rPr>
          <w:sz w:val="18"/>
        </w:rPr>
      </w:pPr>
      <w:r>
        <w:rPr>
          <w:b/>
          <w:sz w:val="18"/>
        </w:rPr>
        <w:t>mathieu, </w:t>
      </w:r>
      <w:r>
        <w:rPr>
          <w:spacing w:val="-7"/>
          <w:sz w:val="18"/>
        </w:rPr>
        <w:t>P., </w:t>
      </w:r>
      <w:r>
        <w:rPr>
          <w:sz w:val="18"/>
        </w:rPr>
        <w:t>2003</w:t>
      </w:r>
      <w:r>
        <w:rPr>
          <w:b/>
          <w:sz w:val="18"/>
        </w:rPr>
        <w:t>: </w:t>
      </w:r>
      <w:r>
        <w:rPr>
          <w:sz w:val="18"/>
        </w:rPr>
        <w:t>Mitigation of CO</w:t>
      </w:r>
      <w:r>
        <w:rPr>
          <w:position w:val="-5"/>
          <w:sz w:val="10"/>
        </w:rPr>
        <w:t>2 </w:t>
      </w:r>
      <w:r>
        <w:rPr>
          <w:sz w:val="18"/>
        </w:rPr>
        <w:t>emissions using low and near zero CO</w:t>
      </w:r>
      <w:r>
        <w:rPr>
          <w:position w:val="-5"/>
          <w:sz w:val="10"/>
        </w:rPr>
        <w:t>2 </w:t>
      </w:r>
      <w:r>
        <w:rPr>
          <w:sz w:val="18"/>
        </w:rPr>
        <w:t>emission power plants. Clean </w:t>
      </w:r>
      <w:r>
        <w:rPr>
          <w:spacing w:val="-3"/>
          <w:sz w:val="18"/>
        </w:rPr>
        <w:t>Air, </w:t>
      </w:r>
      <w:r>
        <w:rPr>
          <w:i/>
          <w:sz w:val="18"/>
        </w:rPr>
        <w:t>International</w:t>
      </w:r>
      <w:r>
        <w:rPr>
          <w:i/>
          <w:spacing w:val="-30"/>
          <w:sz w:val="18"/>
        </w:rPr>
        <w:t> </w:t>
      </w:r>
      <w:r>
        <w:rPr>
          <w:i/>
          <w:sz w:val="18"/>
        </w:rPr>
        <w:t>Journal </w:t>
      </w:r>
      <w:r>
        <w:rPr>
          <w:i/>
          <w:sz w:val="18"/>
        </w:rPr>
        <w:t>on Energy for a Clean Environment</w:t>
      </w:r>
      <w:r>
        <w:rPr>
          <w:sz w:val="18"/>
        </w:rPr>
        <w:t>, </w:t>
      </w:r>
      <w:r>
        <w:rPr>
          <w:b/>
          <w:sz w:val="18"/>
        </w:rPr>
        <w:t>4</w:t>
      </w:r>
      <w:r>
        <w:rPr>
          <w:sz w:val="18"/>
        </w:rPr>
        <w:t>,</w:t>
      </w:r>
      <w:r>
        <w:rPr>
          <w:spacing w:val="-3"/>
          <w:sz w:val="18"/>
        </w:rPr>
        <w:t> </w:t>
      </w:r>
      <w:r>
        <w:rPr>
          <w:sz w:val="18"/>
        </w:rPr>
        <w:t>1-16.</w:t>
      </w:r>
    </w:p>
    <w:p>
      <w:pPr>
        <w:spacing w:line="278" w:lineRule="auto" w:before="32"/>
        <w:ind w:left="854" w:right="0" w:hanging="341"/>
        <w:jc w:val="both"/>
        <w:rPr>
          <w:sz w:val="18"/>
        </w:rPr>
      </w:pPr>
      <w:r>
        <w:rPr>
          <w:b/>
          <w:sz w:val="18"/>
        </w:rPr>
        <w:t>mcDaniel, </w:t>
      </w:r>
      <w:r>
        <w:rPr>
          <w:sz w:val="18"/>
        </w:rPr>
        <w:t>J.E. and M.J. Hornick, 2002: </w:t>
      </w:r>
      <w:r>
        <w:rPr>
          <w:spacing w:val="-3"/>
          <w:sz w:val="18"/>
        </w:rPr>
        <w:t>Tampa </w:t>
      </w:r>
      <w:r>
        <w:rPr>
          <w:sz w:val="18"/>
        </w:rPr>
        <w:t>Electric Polk Power Station Integrated Gasification Combined Cycle Project, Final Technical Report to the National Energy Technology</w:t>
      </w:r>
      <w:r>
        <w:rPr>
          <w:spacing w:val="-28"/>
          <w:sz w:val="18"/>
        </w:rPr>
        <w:t> </w:t>
      </w:r>
      <w:r>
        <w:rPr>
          <w:sz w:val="18"/>
        </w:rPr>
        <w:t>Laboratory, US Department of </w:t>
      </w:r>
      <w:r>
        <w:rPr>
          <w:spacing w:val="-3"/>
          <w:sz w:val="18"/>
        </w:rPr>
        <w:t>Energy,</w:t>
      </w:r>
      <w:r>
        <w:rPr>
          <w:spacing w:val="-13"/>
          <w:sz w:val="18"/>
        </w:rPr>
        <w:t> </w:t>
      </w:r>
      <w:r>
        <w:rPr>
          <w:sz w:val="18"/>
        </w:rPr>
        <w:t>August.</w:t>
      </w:r>
    </w:p>
    <w:p>
      <w:pPr>
        <w:spacing w:line="278" w:lineRule="auto" w:before="0"/>
        <w:ind w:left="854" w:right="0" w:hanging="341"/>
        <w:jc w:val="both"/>
        <w:rPr>
          <w:sz w:val="18"/>
        </w:rPr>
      </w:pPr>
      <w:r>
        <w:rPr>
          <w:b/>
          <w:sz w:val="18"/>
        </w:rPr>
        <w:t>mcDonald,</w:t>
      </w:r>
      <w:r>
        <w:rPr>
          <w:b/>
          <w:spacing w:val="-18"/>
          <w:sz w:val="18"/>
        </w:rPr>
        <w:t> </w:t>
      </w:r>
      <w:r>
        <w:rPr>
          <w:sz w:val="18"/>
        </w:rPr>
        <w:t>A.</w:t>
      </w:r>
      <w:r>
        <w:rPr>
          <w:spacing w:val="-8"/>
          <w:sz w:val="18"/>
        </w:rPr>
        <w:t> </w:t>
      </w:r>
      <w:r>
        <w:rPr>
          <w:sz w:val="18"/>
        </w:rPr>
        <w:t>and</w:t>
      </w:r>
      <w:r>
        <w:rPr>
          <w:spacing w:val="-8"/>
          <w:sz w:val="18"/>
        </w:rPr>
        <w:t> </w:t>
      </w:r>
      <w:r>
        <w:rPr>
          <w:sz w:val="18"/>
        </w:rPr>
        <w:t>L.</w:t>
      </w:r>
      <w:r>
        <w:rPr>
          <w:spacing w:val="-7"/>
          <w:sz w:val="18"/>
        </w:rPr>
        <w:t> </w:t>
      </w:r>
      <w:r>
        <w:rPr>
          <w:sz w:val="18"/>
        </w:rPr>
        <w:t>Schrattenholzer,</w:t>
      </w:r>
      <w:r>
        <w:rPr>
          <w:spacing w:val="-8"/>
          <w:sz w:val="18"/>
        </w:rPr>
        <w:t> </w:t>
      </w:r>
      <w:r>
        <w:rPr>
          <w:sz w:val="18"/>
        </w:rPr>
        <w:t>2001:</w:t>
      </w:r>
      <w:r>
        <w:rPr>
          <w:spacing w:val="-8"/>
          <w:sz w:val="18"/>
        </w:rPr>
        <w:t> </w:t>
      </w:r>
      <w:r>
        <w:rPr>
          <w:sz w:val="18"/>
        </w:rPr>
        <w:t>Learning</w:t>
      </w:r>
      <w:r>
        <w:rPr>
          <w:spacing w:val="-8"/>
          <w:sz w:val="18"/>
        </w:rPr>
        <w:t> </w:t>
      </w:r>
      <w:r>
        <w:rPr>
          <w:sz w:val="18"/>
        </w:rPr>
        <w:t>rates</w:t>
      </w:r>
      <w:r>
        <w:rPr>
          <w:spacing w:val="-7"/>
          <w:sz w:val="18"/>
        </w:rPr>
        <w:t> </w:t>
      </w:r>
      <w:r>
        <w:rPr>
          <w:sz w:val="18"/>
        </w:rPr>
        <w:t>for</w:t>
      </w:r>
      <w:r>
        <w:rPr>
          <w:spacing w:val="-8"/>
          <w:sz w:val="18"/>
        </w:rPr>
        <w:t> </w:t>
      </w:r>
      <w:r>
        <w:rPr>
          <w:sz w:val="18"/>
        </w:rPr>
        <w:t>energy technologies. </w:t>
      </w:r>
      <w:r>
        <w:rPr>
          <w:i/>
          <w:sz w:val="18"/>
        </w:rPr>
        <w:t>Energy Policy </w:t>
      </w:r>
      <w:r>
        <w:rPr>
          <w:b/>
          <w:sz w:val="18"/>
        </w:rPr>
        <w:t>29</w:t>
      </w:r>
      <w:r>
        <w:rPr>
          <w:sz w:val="18"/>
        </w:rPr>
        <w:t>, pp.</w:t>
      </w:r>
      <w:r>
        <w:rPr>
          <w:spacing w:val="-3"/>
          <w:sz w:val="18"/>
        </w:rPr>
        <w:t> </w:t>
      </w:r>
      <w:r>
        <w:rPr>
          <w:sz w:val="18"/>
        </w:rPr>
        <w:t>255-261.</w:t>
      </w:r>
    </w:p>
    <w:p>
      <w:pPr>
        <w:spacing w:line="278" w:lineRule="auto" w:before="0"/>
        <w:ind w:left="854" w:right="0" w:hanging="341"/>
        <w:jc w:val="both"/>
        <w:rPr>
          <w:sz w:val="18"/>
        </w:rPr>
      </w:pPr>
      <w:r>
        <w:rPr>
          <w:b/>
          <w:sz w:val="18"/>
        </w:rPr>
        <w:t>mcDonald,</w:t>
      </w:r>
      <w:r>
        <w:rPr>
          <w:b/>
          <w:spacing w:val="-10"/>
          <w:sz w:val="18"/>
        </w:rPr>
        <w:t> </w:t>
      </w:r>
      <w:r>
        <w:rPr>
          <w:sz w:val="18"/>
        </w:rPr>
        <w:t>M.</w:t>
      </w:r>
      <w:r>
        <w:rPr>
          <w:spacing w:val="-9"/>
          <w:sz w:val="18"/>
        </w:rPr>
        <w:t> </w:t>
      </w:r>
      <w:r>
        <w:rPr>
          <w:sz w:val="18"/>
        </w:rPr>
        <w:t>and</w:t>
      </w:r>
      <w:r>
        <w:rPr>
          <w:spacing w:val="-9"/>
          <w:sz w:val="18"/>
        </w:rPr>
        <w:t> </w:t>
      </w:r>
      <w:r>
        <w:rPr>
          <w:sz w:val="18"/>
        </w:rPr>
        <w:t>M.</w:t>
      </w:r>
      <w:r>
        <w:rPr>
          <w:spacing w:val="-10"/>
          <w:sz w:val="18"/>
        </w:rPr>
        <w:t> </w:t>
      </w:r>
      <w:r>
        <w:rPr>
          <w:sz w:val="18"/>
        </w:rPr>
        <w:t>Palkes,</w:t>
      </w:r>
      <w:r>
        <w:rPr>
          <w:spacing w:val="-9"/>
          <w:sz w:val="18"/>
        </w:rPr>
        <w:t> </w:t>
      </w:r>
      <w:r>
        <w:rPr>
          <w:sz w:val="18"/>
        </w:rPr>
        <w:t>1999:</w:t>
      </w:r>
      <w:r>
        <w:rPr>
          <w:spacing w:val="-19"/>
          <w:sz w:val="18"/>
        </w:rPr>
        <w:t> </w:t>
      </w:r>
      <w:r>
        <w:rPr>
          <w:sz w:val="18"/>
        </w:rPr>
        <w:t>A</w:t>
      </w:r>
      <w:r>
        <w:rPr>
          <w:spacing w:val="-20"/>
          <w:sz w:val="18"/>
        </w:rPr>
        <w:t> </w:t>
      </w:r>
      <w:r>
        <w:rPr>
          <w:sz w:val="18"/>
        </w:rPr>
        <w:t>design</w:t>
      </w:r>
      <w:r>
        <w:rPr>
          <w:spacing w:val="-9"/>
          <w:sz w:val="18"/>
        </w:rPr>
        <w:t> </w:t>
      </w:r>
      <w:r>
        <w:rPr>
          <w:sz w:val="18"/>
        </w:rPr>
        <w:t>study</w:t>
      </w:r>
      <w:r>
        <w:rPr>
          <w:spacing w:val="-9"/>
          <w:sz w:val="18"/>
        </w:rPr>
        <w:t> </w:t>
      </w:r>
      <w:r>
        <w:rPr>
          <w:sz w:val="18"/>
        </w:rPr>
        <w:t>for</w:t>
      </w:r>
      <w:r>
        <w:rPr>
          <w:spacing w:val="-10"/>
          <w:sz w:val="18"/>
        </w:rPr>
        <w:t> </w:t>
      </w:r>
      <w:r>
        <w:rPr>
          <w:sz w:val="18"/>
        </w:rPr>
        <w:t>the</w:t>
      </w:r>
      <w:r>
        <w:rPr>
          <w:spacing w:val="-9"/>
          <w:sz w:val="18"/>
        </w:rPr>
        <w:t> </w:t>
      </w:r>
      <w:r>
        <w:rPr>
          <w:sz w:val="18"/>
        </w:rPr>
        <w:t>application of</w:t>
      </w:r>
      <w:r>
        <w:rPr>
          <w:spacing w:val="14"/>
          <w:sz w:val="18"/>
        </w:rPr>
        <w:t> </w:t>
      </w:r>
      <w:r>
        <w:rPr>
          <w:sz w:val="18"/>
        </w:rPr>
        <w:t>CO</w:t>
      </w:r>
      <w:r>
        <w:rPr>
          <w:position w:val="-5"/>
          <w:sz w:val="10"/>
        </w:rPr>
        <w:t>2</w:t>
      </w:r>
      <w:r>
        <w:rPr>
          <w:sz w:val="18"/>
        </w:rPr>
        <w:t>/O</w:t>
      </w:r>
      <w:r>
        <w:rPr>
          <w:position w:val="-5"/>
          <w:sz w:val="10"/>
        </w:rPr>
        <w:t>2 </w:t>
      </w:r>
      <w:r>
        <w:rPr>
          <w:spacing w:val="9"/>
          <w:position w:val="-5"/>
          <w:sz w:val="10"/>
        </w:rPr>
        <w:t> </w:t>
      </w:r>
      <w:r>
        <w:rPr>
          <w:sz w:val="18"/>
        </w:rPr>
        <w:t>combustion</w:t>
      </w:r>
      <w:r>
        <w:rPr>
          <w:spacing w:val="14"/>
          <w:sz w:val="18"/>
        </w:rPr>
        <w:t> </w:t>
      </w:r>
      <w:r>
        <w:rPr>
          <w:sz w:val="18"/>
        </w:rPr>
        <w:t>to</w:t>
      </w:r>
      <w:r>
        <w:rPr>
          <w:spacing w:val="15"/>
          <w:sz w:val="18"/>
        </w:rPr>
        <w:t> </w:t>
      </w:r>
      <w:r>
        <w:rPr>
          <w:sz w:val="18"/>
        </w:rPr>
        <w:t>an</w:t>
      </w:r>
      <w:r>
        <w:rPr>
          <w:spacing w:val="14"/>
          <w:sz w:val="18"/>
        </w:rPr>
        <w:t> </w:t>
      </w:r>
      <w:r>
        <w:rPr>
          <w:sz w:val="18"/>
        </w:rPr>
        <w:t>existing</w:t>
      </w:r>
      <w:r>
        <w:rPr>
          <w:spacing w:val="14"/>
          <w:sz w:val="18"/>
        </w:rPr>
        <w:t> </w:t>
      </w:r>
      <w:r>
        <w:rPr>
          <w:sz w:val="18"/>
        </w:rPr>
        <w:t>300</w:t>
      </w:r>
      <w:r>
        <w:rPr>
          <w:spacing w:val="14"/>
          <w:sz w:val="18"/>
        </w:rPr>
        <w:t> </w:t>
      </w:r>
      <w:r>
        <w:rPr>
          <w:sz w:val="18"/>
        </w:rPr>
        <w:t>MW</w:t>
      </w:r>
      <w:r>
        <w:rPr>
          <w:spacing w:val="12"/>
          <w:sz w:val="18"/>
        </w:rPr>
        <w:t> </w:t>
      </w:r>
      <w:r>
        <w:rPr>
          <w:sz w:val="18"/>
        </w:rPr>
        <w:t>coal-fired</w:t>
      </w:r>
      <w:r>
        <w:rPr>
          <w:spacing w:val="14"/>
          <w:sz w:val="18"/>
        </w:rPr>
        <w:t> </w:t>
      </w:r>
      <w:r>
        <w:rPr>
          <w:sz w:val="18"/>
        </w:rPr>
        <w:t>boiler,</w:t>
      </w:r>
    </w:p>
    <w:p>
      <w:pPr>
        <w:spacing w:line="164" w:lineRule="exact" w:before="0"/>
        <w:ind w:left="854" w:right="0" w:firstLine="0"/>
        <w:jc w:val="both"/>
        <w:rPr>
          <w:sz w:val="18"/>
        </w:rPr>
      </w:pPr>
      <w:r>
        <w:rPr>
          <w:sz w:val="18"/>
        </w:rPr>
        <w:t>Proceedings of Combustion Canada 99 </w:t>
      </w:r>
      <w:r>
        <w:rPr>
          <w:spacing w:val="20"/>
          <w:sz w:val="18"/>
        </w:rPr>
        <w:t> </w:t>
      </w:r>
      <w:r>
        <w:rPr>
          <w:sz w:val="18"/>
        </w:rPr>
        <w:t>Conference-Combustion</w:t>
      </w:r>
    </w:p>
    <w:p>
      <w:pPr>
        <w:spacing w:before="32"/>
        <w:ind w:left="854" w:right="0" w:firstLine="0"/>
        <w:jc w:val="both"/>
        <w:rPr>
          <w:sz w:val="18"/>
        </w:rPr>
      </w:pPr>
      <w:r>
        <w:rPr>
          <w:sz w:val="18"/>
        </w:rPr>
        <w:t>and Global Climate Change, Calgary, Alberta.</w:t>
      </w:r>
    </w:p>
    <w:p>
      <w:pPr>
        <w:spacing w:before="33"/>
        <w:ind w:left="513" w:right="0" w:firstLine="0"/>
        <w:jc w:val="both"/>
        <w:rPr>
          <w:sz w:val="18"/>
        </w:rPr>
      </w:pPr>
      <w:r>
        <w:rPr>
          <w:b/>
          <w:sz w:val="18"/>
        </w:rPr>
        <w:t>merrow, </w:t>
      </w:r>
      <w:r>
        <w:rPr>
          <w:sz w:val="18"/>
        </w:rPr>
        <w:t>E.W., K.E. Phillips and L.W. Myers, 1981: Understanding</w:t>
      </w:r>
    </w:p>
    <w:p>
      <w:pPr>
        <w:spacing w:line="278" w:lineRule="auto" w:before="148"/>
        <w:ind w:left="581" w:right="115" w:firstLine="0"/>
        <w:jc w:val="both"/>
        <w:rPr>
          <w:sz w:val="18"/>
        </w:rPr>
      </w:pPr>
      <w:r>
        <w:rPr/>
        <w:br w:type="column"/>
      </w:r>
      <w:r>
        <w:rPr>
          <w:sz w:val="18"/>
        </w:rPr>
        <w:t>cost growth and performance shortfalls in pioneer process  plants, Rand Publication No. R-2569-DOE, Report to the U.S. Department of Energy by Rand Corporation, Santa Monica, California,</w:t>
      </w:r>
      <w:r>
        <w:rPr>
          <w:spacing w:val="-1"/>
          <w:sz w:val="18"/>
        </w:rPr>
        <w:t> </w:t>
      </w:r>
      <w:r>
        <w:rPr>
          <w:sz w:val="18"/>
        </w:rPr>
        <w:t>September.</w:t>
      </w:r>
    </w:p>
    <w:p>
      <w:pPr>
        <w:spacing w:line="207" w:lineRule="exact" w:before="0"/>
        <w:ind w:left="581" w:right="0" w:hanging="341"/>
        <w:jc w:val="both"/>
        <w:rPr>
          <w:sz w:val="18"/>
        </w:rPr>
      </w:pPr>
      <w:r>
        <w:rPr>
          <w:b/>
          <w:sz w:val="18"/>
        </w:rPr>
        <w:t>middleton, </w:t>
      </w:r>
      <w:r>
        <w:rPr>
          <w:sz w:val="18"/>
        </w:rPr>
        <w:t>P., H. Solgaard-Andersen, T. Rostrup-Nielsen T. 2002:</w:t>
      </w:r>
    </w:p>
    <w:p>
      <w:pPr>
        <w:spacing w:line="240" w:lineRule="exact" w:before="9"/>
        <w:ind w:left="581" w:right="115" w:firstLine="0"/>
        <w:jc w:val="both"/>
        <w:rPr>
          <w:sz w:val="18"/>
        </w:rPr>
      </w:pPr>
      <w:r>
        <w:rPr>
          <w:sz w:val="18"/>
        </w:rPr>
        <w:t>Hydrogen Production with CO</w:t>
      </w:r>
      <w:r>
        <w:rPr>
          <w:position w:val="-5"/>
          <w:sz w:val="10"/>
        </w:rPr>
        <w:t>2 </w:t>
      </w:r>
      <w:r>
        <w:rPr>
          <w:sz w:val="18"/>
        </w:rPr>
        <w:t>Capture Using Membrane Reactors. 14</w:t>
      </w:r>
      <w:r>
        <w:rPr>
          <w:position w:val="6"/>
          <w:sz w:val="10"/>
        </w:rPr>
        <w:t>th </w:t>
      </w:r>
      <w:r>
        <w:rPr>
          <w:sz w:val="18"/>
        </w:rPr>
        <w:t>World Hydrogen Energy Conference, June 9-14, Montreal, Canada.</w:t>
      </w:r>
    </w:p>
    <w:p>
      <w:pPr>
        <w:spacing w:line="278" w:lineRule="auto" w:before="24"/>
        <w:ind w:left="581" w:right="115" w:hanging="341"/>
        <w:jc w:val="both"/>
        <w:rPr>
          <w:sz w:val="18"/>
        </w:rPr>
      </w:pPr>
      <w:r>
        <w:rPr>
          <w:b/>
          <w:sz w:val="18"/>
        </w:rPr>
        <w:t>mimura, </w:t>
      </w:r>
      <w:r>
        <w:rPr>
          <w:spacing w:val="-5"/>
          <w:sz w:val="18"/>
        </w:rPr>
        <w:t>T., </w:t>
      </w:r>
      <w:r>
        <w:rPr>
          <w:sz w:val="18"/>
        </w:rPr>
        <w:t>H. Simayoshi, </w:t>
      </w:r>
      <w:r>
        <w:rPr>
          <w:spacing w:val="-7"/>
          <w:sz w:val="18"/>
        </w:rPr>
        <w:t>T. </w:t>
      </w:r>
      <w:r>
        <w:rPr>
          <w:sz w:val="18"/>
        </w:rPr>
        <w:t>Suda, M. Iijima, S. Mitsuoka, 1997: Development of Energy Saving Technology for Flue Gas Carbon Dioxide Recovery in Power Plant by Chemical Absorption Method</w:t>
      </w:r>
      <w:r>
        <w:rPr>
          <w:spacing w:val="-11"/>
          <w:sz w:val="18"/>
        </w:rPr>
        <w:t> </w:t>
      </w:r>
      <w:r>
        <w:rPr>
          <w:sz w:val="18"/>
        </w:rPr>
        <w:t>and</w:t>
      </w:r>
      <w:r>
        <w:rPr>
          <w:spacing w:val="-11"/>
          <w:sz w:val="18"/>
        </w:rPr>
        <w:t> </w:t>
      </w:r>
      <w:r>
        <w:rPr>
          <w:sz w:val="18"/>
        </w:rPr>
        <w:t>Steam</w:t>
      </w:r>
      <w:r>
        <w:rPr>
          <w:spacing w:val="-11"/>
          <w:sz w:val="18"/>
        </w:rPr>
        <w:t> </w:t>
      </w:r>
      <w:r>
        <w:rPr>
          <w:sz w:val="18"/>
        </w:rPr>
        <w:t>System.</w:t>
      </w:r>
      <w:r>
        <w:rPr>
          <w:spacing w:val="-10"/>
          <w:sz w:val="18"/>
        </w:rPr>
        <w:t> </w:t>
      </w:r>
      <w:r>
        <w:rPr>
          <w:i/>
          <w:sz w:val="18"/>
        </w:rPr>
        <w:t>Energy</w:t>
      </w:r>
      <w:r>
        <w:rPr>
          <w:i/>
          <w:spacing w:val="-11"/>
          <w:sz w:val="18"/>
        </w:rPr>
        <w:t> </w:t>
      </w:r>
      <w:r>
        <w:rPr>
          <w:i/>
          <w:sz w:val="18"/>
        </w:rPr>
        <w:t>Conversion</w:t>
      </w:r>
      <w:r>
        <w:rPr>
          <w:i/>
          <w:spacing w:val="-11"/>
          <w:sz w:val="18"/>
        </w:rPr>
        <w:t> </w:t>
      </w:r>
      <w:r>
        <w:rPr>
          <w:i/>
          <w:sz w:val="18"/>
        </w:rPr>
        <w:t>and</w:t>
      </w:r>
      <w:r>
        <w:rPr>
          <w:i/>
          <w:spacing w:val="-11"/>
          <w:sz w:val="18"/>
        </w:rPr>
        <w:t> </w:t>
      </w:r>
      <w:r>
        <w:rPr>
          <w:i/>
          <w:sz w:val="18"/>
        </w:rPr>
        <w:t>Management, </w:t>
      </w:r>
      <w:r>
        <w:rPr>
          <w:b/>
          <w:sz w:val="18"/>
        </w:rPr>
        <w:t>38</w:t>
      </w:r>
      <w:r>
        <w:rPr>
          <w:sz w:val="18"/>
        </w:rPr>
        <w:t>,</w:t>
      </w:r>
      <w:r>
        <w:rPr>
          <w:spacing w:val="-1"/>
          <w:sz w:val="18"/>
        </w:rPr>
        <w:t> </w:t>
      </w:r>
      <w:r>
        <w:rPr>
          <w:sz w:val="18"/>
        </w:rPr>
        <w:t>S57-S62.</w:t>
      </w:r>
    </w:p>
    <w:p>
      <w:pPr>
        <w:spacing w:line="278" w:lineRule="auto" w:before="0"/>
        <w:ind w:left="581" w:right="115" w:hanging="341"/>
        <w:jc w:val="both"/>
        <w:rPr>
          <w:sz w:val="18"/>
        </w:rPr>
      </w:pPr>
      <w:r>
        <w:rPr>
          <w:b/>
          <w:sz w:val="18"/>
        </w:rPr>
        <w:t>mimura, </w:t>
      </w:r>
      <w:r>
        <w:rPr>
          <w:spacing w:val="-5"/>
          <w:sz w:val="18"/>
        </w:rPr>
        <w:t>T., </w:t>
      </w:r>
      <w:r>
        <w:rPr>
          <w:sz w:val="18"/>
        </w:rPr>
        <w:t>S. Satsumi, M. Iijima, S. Mitsuoka, 1999: Development on Energy Saving Technology for Flue Gas Carbon Dioxide Recovery</w:t>
      </w:r>
      <w:r>
        <w:rPr>
          <w:spacing w:val="-8"/>
          <w:sz w:val="18"/>
        </w:rPr>
        <w:t> </w:t>
      </w:r>
      <w:r>
        <w:rPr>
          <w:sz w:val="18"/>
        </w:rPr>
        <w:t>by</w:t>
      </w:r>
      <w:r>
        <w:rPr>
          <w:spacing w:val="-8"/>
          <w:sz w:val="18"/>
        </w:rPr>
        <w:t> </w:t>
      </w:r>
      <w:r>
        <w:rPr>
          <w:sz w:val="18"/>
        </w:rPr>
        <w:t>the</w:t>
      </w:r>
      <w:r>
        <w:rPr>
          <w:spacing w:val="-8"/>
          <w:sz w:val="18"/>
        </w:rPr>
        <w:t> </w:t>
      </w:r>
      <w:r>
        <w:rPr>
          <w:sz w:val="18"/>
        </w:rPr>
        <w:t>Chemical</w:t>
      </w:r>
      <w:r>
        <w:rPr>
          <w:spacing w:val="-17"/>
          <w:sz w:val="18"/>
        </w:rPr>
        <w:t> </w:t>
      </w:r>
      <w:r>
        <w:rPr>
          <w:sz w:val="18"/>
        </w:rPr>
        <w:t>Absorption</w:t>
      </w:r>
      <w:r>
        <w:rPr>
          <w:spacing w:val="-8"/>
          <w:sz w:val="18"/>
        </w:rPr>
        <w:t> </w:t>
      </w:r>
      <w:r>
        <w:rPr>
          <w:sz w:val="18"/>
        </w:rPr>
        <w:t>Method</w:t>
      </w:r>
      <w:r>
        <w:rPr>
          <w:spacing w:val="-8"/>
          <w:sz w:val="18"/>
        </w:rPr>
        <w:t> </w:t>
      </w:r>
      <w:r>
        <w:rPr>
          <w:sz w:val="18"/>
        </w:rPr>
        <w:t>and</w:t>
      </w:r>
      <w:r>
        <w:rPr>
          <w:spacing w:val="-8"/>
          <w:sz w:val="18"/>
        </w:rPr>
        <w:t> </w:t>
      </w:r>
      <w:r>
        <w:rPr>
          <w:sz w:val="18"/>
        </w:rPr>
        <w:t>Steam</w:t>
      </w:r>
      <w:r>
        <w:rPr>
          <w:spacing w:val="-7"/>
          <w:sz w:val="18"/>
        </w:rPr>
        <w:t> </w:t>
      </w:r>
      <w:r>
        <w:rPr>
          <w:sz w:val="18"/>
        </w:rPr>
        <w:t>System in</w:t>
      </w:r>
      <w:r>
        <w:rPr>
          <w:spacing w:val="-12"/>
          <w:sz w:val="18"/>
        </w:rPr>
        <w:t> </w:t>
      </w:r>
      <w:r>
        <w:rPr>
          <w:sz w:val="18"/>
        </w:rPr>
        <w:t>Power</w:t>
      </w:r>
      <w:r>
        <w:rPr>
          <w:spacing w:val="-12"/>
          <w:sz w:val="18"/>
        </w:rPr>
        <w:t> </w:t>
      </w:r>
      <w:r>
        <w:rPr>
          <w:sz w:val="18"/>
        </w:rPr>
        <w:t>Plant,</w:t>
      </w:r>
      <w:r>
        <w:rPr>
          <w:spacing w:val="-12"/>
          <w:sz w:val="18"/>
        </w:rPr>
        <w:t> </w:t>
      </w:r>
      <w:r>
        <w:rPr>
          <w:sz w:val="18"/>
        </w:rPr>
        <w:t>Greenhouse</w:t>
      </w:r>
      <w:r>
        <w:rPr>
          <w:spacing w:val="-12"/>
          <w:sz w:val="18"/>
        </w:rPr>
        <w:t> </w:t>
      </w:r>
      <w:r>
        <w:rPr>
          <w:sz w:val="18"/>
        </w:rPr>
        <w:t>Gas</w:t>
      </w:r>
      <w:r>
        <w:rPr>
          <w:spacing w:val="-11"/>
          <w:sz w:val="18"/>
        </w:rPr>
        <w:t> </w:t>
      </w:r>
      <w:r>
        <w:rPr>
          <w:sz w:val="18"/>
        </w:rPr>
        <w:t>Control</w:t>
      </w:r>
      <w:r>
        <w:rPr>
          <w:spacing w:val="-15"/>
          <w:sz w:val="18"/>
        </w:rPr>
        <w:t> </w:t>
      </w:r>
      <w:r>
        <w:rPr>
          <w:sz w:val="18"/>
        </w:rPr>
        <w:t>Technologies.</w:t>
      </w:r>
      <w:r>
        <w:rPr>
          <w:spacing w:val="-11"/>
          <w:sz w:val="18"/>
        </w:rPr>
        <w:t> </w:t>
      </w:r>
      <w:r>
        <w:rPr>
          <w:spacing w:val="-10"/>
          <w:sz w:val="18"/>
        </w:rPr>
        <w:t>P.</w:t>
      </w:r>
      <w:r>
        <w:rPr>
          <w:spacing w:val="-12"/>
          <w:sz w:val="18"/>
        </w:rPr>
        <w:t> </w:t>
      </w:r>
      <w:r>
        <w:rPr>
          <w:sz w:val="18"/>
        </w:rPr>
        <w:t>Riemer,</w:t>
      </w:r>
    </w:p>
    <w:p>
      <w:pPr>
        <w:spacing w:line="278" w:lineRule="auto" w:before="0"/>
        <w:ind w:left="581" w:right="115" w:firstLine="0"/>
        <w:jc w:val="both"/>
        <w:rPr>
          <w:sz w:val="18"/>
        </w:rPr>
      </w:pPr>
      <w:r>
        <w:rPr>
          <w:sz w:val="18"/>
        </w:rPr>
        <w:t>B. Eliasson, A. Wokaun (eds.), Elsevier Science, Ltd., United Kingdom, 71-76.</w:t>
      </w:r>
    </w:p>
    <w:p>
      <w:pPr>
        <w:spacing w:line="278" w:lineRule="auto" w:before="0"/>
        <w:ind w:left="581" w:right="115" w:hanging="341"/>
        <w:jc w:val="both"/>
        <w:rPr>
          <w:sz w:val="18"/>
        </w:rPr>
      </w:pPr>
      <w:r>
        <w:rPr>
          <w:b/>
          <w:sz w:val="18"/>
        </w:rPr>
        <w:t>mimura, </w:t>
      </w:r>
      <w:r>
        <w:rPr>
          <w:sz w:val="18"/>
        </w:rPr>
        <w:t>T., S. Shimojo, T. Suda, M. Iijima, S. Mitsuoka, 1995: Research and Development on Energy Saving Technology for Flue Gas Carbon Dioxide Recovery and Steam System in Power Plant, </w:t>
      </w:r>
      <w:r>
        <w:rPr>
          <w:i/>
          <w:sz w:val="18"/>
        </w:rPr>
        <w:t>Energy Conversion and Management</w:t>
      </w:r>
      <w:r>
        <w:rPr>
          <w:sz w:val="18"/>
        </w:rPr>
        <w:t>, </w:t>
      </w:r>
      <w:r>
        <w:rPr>
          <w:b/>
          <w:sz w:val="18"/>
        </w:rPr>
        <w:t>36</w:t>
      </w:r>
      <w:r>
        <w:rPr>
          <w:sz w:val="18"/>
        </w:rPr>
        <w:t>(6-9), 397-400.</w:t>
      </w:r>
    </w:p>
    <w:p>
      <w:pPr>
        <w:spacing w:line="207" w:lineRule="exact" w:before="0"/>
        <w:ind w:left="241" w:right="0" w:firstLine="0"/>
        <w:jc w:val="both"/>
        <w:rPr>
          <w:sz w:val="18"/>
        </w:rPr>
      </w:pPr>
      <w:r>
        <w:rPr>
          <w:b/>
          <w:sz w:val="18"/>
        </w:rPr>
        <w:t>mimura, </w:t>
      </w:r>
      <w:r>
        <w:rPr>
          <w:spacing w:val="-5"/>
          <w:sz w:val="18"/>
        </w:rPr>
        <w:t>T., </w:t>
      </w:r>
      <w:r>
        <w:rPr>
          <w:spacing w:val="-7"/>
          <w:sz w:val="18"/>
        </w:rPr>
        <w:t>T.  </w:t>
      </w:r>
      <w:r>
        <w:rPr>
          <w:sz w:val="18"/>
        </w:rPr>
        <w:t>Nojo, M. Iijima, </w:t>
      </w:r>
      <w:r>
        <w:rPr>
          <w:spacing w:val="-7"/>
          <w:sz w:val="18"/>
        </w:rPr>
        <w:t>T. </w:t>
      </w:r>
      <w:r>
        <w:rPr>
          <w:sz w:val="18"/>
        </w:rPr>
        <w:t>Yoshiyama and H. Tanaka, </w:t>
      </w:r>
      <w:r>
        <w:rPr>
          <w:spacing w:val="11"/>
          <w:sz w:val="18"/>
        </w:rPr>
        <w:t> </w:t>
      </w:r>
      <w:r>
        <w:rPr>
          <w:sz w:val="18"/>
        </w:rPr>
        <w:t>2003:</w:t>
      </w:r>
    </w:p>
    <w:p>
      <w:pPr>
        <w:spacing w:line="240" w:lineRule="exact" w:before="8"/>
        <w:ind w:left="581" w:right="114" w:hanging="1"/>
        <w:jc w:val="both"/>
        <w:rPr>
          <w:sz w:val="18"/>
        </w:rPr>
      </w:pPr>
      <w:r>
        <w:rPr>
          <w:sz w:val="18"/>
        </w:rPr>
        <w:t>Recent developments in flue gas CO</w:t>
      </w:r>
      <w:r>
        <w:rPr>
          <w:position w:val="-5"/>
          <w:sz w:val="10"/>
        </w:rPr>
        <w:t>2 </w:t>
      </w:r>
      <w:r>
        <w:rPr>
          <w:sz w:val="18"/>
        </w:rPr>
        <w:t>recovery technology. Greenhouse Gas  Control  Technologies,  Proceedings  of  the  6</w:t>
      </w:r>
      <w:r>
        <w:rPr>
          <w:position w:val="6"/>
          <w:sz w:val="10"/>
        </w:rPr>
        <w:t>th </w:t>
      </w:r>
      <w:r>
        <w:rPr>
          <w:sz w:val="18"/>
        </w:rPr>
        <w:t>International Conference on Greenhouse Gas Control Technologies</w:t>
      </w:r>
      <w:r>
        <w:rPr>
          <w:spacing w:val="-15"/>
          <w:sz w:val="18"/>
        </w:rPr>
        <w:t> </w:t>
      </w:r>
      <w:r>
        <w:rPr>
          <w:sz w:val="18"/>
        </w:rPr>
        <w:t>(GHGT-6),</w:t>
      </w:r>
      <w:r>
        <w:rPr>
          <w:spacing w:val="-13"/>
          <w:sz w:val="18"/>
        </w:rPr>
        <w:t> </w:t>
      </w:r>
      <w:r>
        <w:rPr>
          <w:sz w:val="18"/>
        </w:rPr>
        <w:t>1-4</w:t>
      </w:r>
      <w:r>
        <w:rPr>
          <w:spacing w:val="-14"/>
          <w:sz w:val="18"/>
        </w:rPr>
        <w:t> </w:t>
      </w:r>
      <w:r>
        <w:rPr>
          <w:sz w:val="18"/>
        </w:rPr>
        <w:t>Oct.</w:t>
      </w:r>
      <w:r>
        <w:rPr>
          <w:spacing w:val="-14"/>
          <w:sz w:val="18"/>
        </w:rPr>
        <w:t> </w:t>
      </w:r>
      <w:r>
        <w:rPr>
          <w:sz w:val="18"/>
        </w:rPr>
        <w:t>2002,</w:t>
      </w:r>
      <w:r>
        <w:rPr>
          <w:spacing w:val="-15"/>
          <w:sz w:val="18"/>
        </w:rPr>
        <w:t> </w:t>
      </w:r>
      <w:r>
        <w:rPr>
          <w:sz w:val="18"/>
        </w:rPr>
        <w:t>Kyoto,</w:t>
      </w:r>
      <w:r>
        <w:rPr>
          <w:spacing w:val="-14"/>
          <w:sz w:val="18"/>
        </w:rPr>
        <w:t> </w:t>
      </w:r>
      <w:r>
        <w:rPr>
          <w:sz w:val="18"/>
        </w:rPr>
        <w:t>Japan,</w:t>
      </w:r>
      <w:r>
        <w:rPr>
          <w:spacing w:val="-14"/>
          <w:sz w:val="18"/>
        </w:rPr>
        <w:t> </w:t>
      </w:r>
      <w:r>
        <w:rPr>
          <w:sz w:val="18"/>
        </w:rPr>
        <w:t>J.</w:t>
      </w:r>
      <w:r>
        <w:rPr>
          <w:spacing w:val="-13"/>
          <w:sz w:val="18"/>
        </w:rPr>
        <w:t> </w:t>
      </w:r>
      <w:r>
        <w:rPr>
          <w:sz w:val="18"/>
        </w:rPr>
        <w:t>Gale</w:t>
      </w:r>
      <w:r>
        <w:rPr>
          <w:spacing w:val="-14"/>
          <w:sz w:val="18"/>
        </w:rPr>
        <w:t> </w:t>
      </w:r>
      <w:r>
        <w:rPr>
          <w:sz w:val="18"/>
        </w:rPr>
        <w:t>and</w:t>
      </w:r>
    </w:p>
    <w:p>
      <w:pPr>
        <w:spacing w:before="24"/>
        <w:ind w:left="581" w:right="0" w:firstLine="0"/>
        <w:jc w:val="both"/>
        <w:rPr>
          <w:sz w:val="18"/>
        </w:rPr>
      </w:pPr>
      <w:r>
        <w:rPr>
          <w:sz w:val="18"/>
        </w:rPr>
        <w:t>Y. Kaya (eds.), Elsevier Science Ltd, Oxford, UK.</w:t>
      </w:r>
    </w:p>
    <w:p>
      <w:pPr>
        <w:spacing w:line="278" w:lineRule="auto" w:before="33"/>
        <w:ind w:left="581" w:right="115" w:hanging="341"/>
        <w:jc w:val="both"/>
        <w:rPr>
          <w:sz w:val="18"/>
        </w:rPr>
      </w:pPr>
      <w:r>
        <w:rPr>
          <w:b/>
          <w:sz w:val="18"/>
        </w:rPr>
        <w:t>mitretek,</w:t>
      </w:r>
      <w:r>
        <w:rPr>
          <w:b/>
          <w:spacing w:val="-12"/>
          <w:sz w:val="18"/>
        </w:rPr>
        <w:t> </w:t>
      </w:r>
      <w:r>
        <w:rPr>
          <w:sz w:val="18"/>
        </w:rPr>
        <w:t>2003:</w:t>
      </w:r>
      <w:r>
        <w:rPr>
          <w:spacing w:val="-12"/>
          <w:sz w:val="18"/>
        </w:rPr>
        <w:t> </w:t>
      </w:r>
      <w:r>
        <w:rPr>
          <w:sz w:val="18"/>
        </w:rPr>
        <w:t>Hydrogen</w:t>
      </w:r>
      <w:r>
        <w:rPr>
          <w:spacing w:val="-11"/>
          <w:sz w:val="18"/>
        </w:rPr>
        <w:t> </w:t>
      </w:r>
      <w:r>
        <w:rPr>
          <w:sz w:val="18"/>
        </w:rPr>
        <w:t>from</w:t>
      </w:r>
      <w:r>
        <w:rPr>
          <w:spacing w:val="-12"/>
          <w:sz w:val="18"/>
        </w:rPr>
        <w:t> </w:t>
      </w:r>
      <w:r>
        <w:rPr>
          <w:sz w:val="18"/>
        </w:rPr>
        <w:t>Coal,</w:t>
      </w:r>
      <w:r>
        <w:rPr>
          <w:spacing w:val="-14"/>
          <w:sz w:val="18"/>
        </w:rPr>
        <w:t> </w:t>
      </w:r>
      <w:r>
        <w:rPr>
          <w:sz w:val="18"/>
        </w:rPr>
        <w:t>Technical</w:t>
      </w:r>
      <w:r>
        <w:rPr>
          <w:spacing w:val="-12"/>
          <w:sz w:val="18"/>
        </w:rPr>
        <w:t> </w:t>
      </w:r>
      <w:r>
        <w:rPr>
          <w:sz w:val="18"/>
        </w:rPr>
        <w:t>Paper</w:t>
      </w:r>
      <w:r>
        <w:rPr>
          <w:spacing w:val="-11"/>
          <w:sz w:val="18"/>
        </w:rPr>
        <w:t> </w:t>
      </w:r>
      <w:r>
        <w:rPr>
          <w:sz w:val="18"/>
        </w:rPr>
        <w:t>MTR-2003-13, Prepared by D. Gray and G. Tomlinson for the National Energy Technology Laboratory, US DOE,</w:t>
      </w:r>
      <w:r>
        <w:rPr>
          <w:spacing w:val="-14"/>
          <w:sz w:val="18"/>
        </w:rPr>
        <w:t> </w:t>
      </w:r>
      <w:r>
        <w:rPr>
          <w:sz w:val="18"/>
        </w:rPr>
        <w:t>April.</w:t>
      </w:r>
    </w:p>
    <w:p>
      <w:pPr>
        <w:spacing w:line="207" w:lineRule="exact" w:before="0"/>
        <w:ind w:left="581" w:right="0" w:hanging="341"/>
        <w:jc w:val="both"/>
        <w:rPr>
          <w:sz w:val="18"/>
        </w:rPr>
      </w:pPr>
      <w:r>
        <w:rPr>
          <w:b/>
          <w:sz w:val="18"/>
        </w:rPr>
        <w:t>möllersten, </w:t>
      </w:r>
      <w:r>
        <w:rPr>
          <w:sz w:val="18"/>
        </w:rPr>
        <w:t>K., J. Yan, and J. Moreira, 2003: Potential market niches</w:t>
      </w:r>
    </w:p>
    <w:p>
      <w:pPr>
        <w:spacing w:line="230" w:lineRule="auto" w:before="38"/>
        <w:ind w:left="581" w:right="114" w:firstLine="0"/>
        <w:jc w:val="both"/>
        <w:rPr>
          <w:sz w:val="18"/>
        </w:rPr>
      </w:pPr>
      <w:r>
        <w:rPr>
          <w:sz w:val="18"/>
        </w:rPr>
        <w:t>for biomass energy with CO</w:t>
      </w:r>
      <w:r>
        <w:rPr>
          <w:position w:val="-5"/>
          <w:sz w:val="10"/>
        </w:rPr>
        <w:t>2 </w:t>
      </w:r>
      <w:r>
        <w:rPr>
          <w:sz w:val="18"/>
        </w:rPr>
        <w:t>capture and storage – opportunities for energy supply with negative CO</w:t>
      </w:r>
      <w:r>
        <w:rPr>
          <w:position w:val="-5"/>
          <w:sz w:val="10"/>
        </w:rPr>
        <w:t>2 </w:t>
      </w:r>
      <w:r>
        <w:rPr>
          <w:sz w:val="18"/>
        </w:rPr>
        <w:t>emissions, </w:t>
      </w:r>
      <w:r>
        <w:rPr>
          <w:i/>
          <w:sz w:val="18"/>
        </w:rPr>
        <w:t>Biomass and </w:t>
      </w:r>
      <w:r>
        <w:rPr>
          <w:i/>
          <w:sz w:val="18"/>
        </w:rPr>
        <w:t>Bioenergy, </w:t>
      </w:r>
      <w:r>
        <w:rPr>
          <w:b/>
          <w:sz w:val="18"/>
        </w:rPr>
        <w:t>25</w:t>
      </w:r>
      <w:r>
        <w:rPr>
          <w:sz w:val="18"/>
        </w:rPr>
        <w:t>(2003), 273-285.</w:t>
      </w:r>
    </w:p>
    <w:p>
      <w:pPr>
        <w:spacing w:line="240" w:lineRule="exact" w:before="9"/>
        <w:ind w:left="581" w:right="114" w:hanging="341"/>
        <w:jc w:val="both"/>
        <w:rPr>
          <w:sz w:val="18"/>
        </w:rPr>
      </w:pPr>
      <w:r>
        <w:rPr>
          <w:b/>
          <w:sz w:val="18"/>
        </w:rPr>
        <w:t>möllersten, </w:t>
      </w:r>
      <w:r>
        <w:rPr>
          <w:sz w:val="18"/>
        </w:rPr>
        <w:t>K., L. Gao, J. Yan, and M. Obersteiner, 2004: Efficient energy systems with CO</w:t>
      </w:r>
      <w:r>
        <w:rPr>
          <w:position w:val="-5"/>
          <w:sz w:val="10"/>
        </w:rPr>
        <w:t>2 </w:t>
      </w:r>
      <w:r>
        <w:rPr>
          <w:sz w:val="18"/>
        </w:rPr>
        <w:t>capture and storage from renewable biomass in pulp and paper mills, </w:t>
      </w:r>
      <w:r>
        <w:rPr>
          <w:i/>
          <w:sz w:val="18"/>
        </w:rPr>
        <w:t>Renewable Energy, </w:t>
      </w:r>
      <w:r>
        <w:rPr>
          <w:b/>
          <w:sz w:val="18"/>
        </w:rPr>
        <w:t>29</w:t>
      </w:r>
      <w:r>
        <w:rPr>
          <w:sz w:val="18"/>
        </w:rPr>
        <w:t>(2004), 1583-1598.</w:t>
      </w:r>
    </w:p>
    <w:p>
      <w:pPr>
        <w:spacing w:line="240" w:lineRule="exact" w:before="0"/>
        <w:ind w:left="581" w:right="113" w:hanging="341"/>
        <w:jc w:val="both"/>
        <w:rPr>
          <w:sz w:val="18"/>
        </w:rPr>
      </w:pPr>
      <w:r>
        <w:rPr>
          <w:b/>
          <w:sz w:val="18"/>
        </w:rPr>
        <w:t>muramatsu, </w:t>
      </w:r>
      <w:r>
        <w:rPr>
          <w:sz w:val="18"/>
        </w:rPr>
        <w:t>E. and M. Iijima, 2003: Life  cycle  assessment  for  CO</w:t>
      </w:r>
      <w:r>
        <w:rPr>
          <w:position w:val="-6"/>
          <w:sz w:val="12"/>
        </w:rPr>
        <w:t>2 </w:t>
      </w:r>
      <w:r>
        <w:rPr>
          <w:sz w:val="18"/>
        </w:rPr>
        <w:t>capture technology from  exhaust  gas  of  coal  </w:t>
      </w:r>
      <w:r>
        <w:rPr>
          <w:spacing w:val="-3"/>
          <w:sz w:val="18"/>
        </w:rPr>
        <w:t>power  </w:t>
      </w:r>
      <w:r>
        <w:rPr>
          <w:sz w:val="18"/>
        </w:rPr>
        <w:t>plant. Greenhouse Gas Control Technologies. Proceedings  of the 6</w:t>
      </w:r>
      <w:r>
        <w:rPr>
          <w:position w:val="6"/>
          <w:sz w:val="10"/>
        </w:rPr>
        <w:t>th </w:t>
      </w:r>
      <w:r>
        <w:rPr>
          <w:sz w:val="18"/>
        </w:rPr>
        <w:t>International Conference on Greenhouse Gas Control Technologies</w:t>
      </w:r>
      <w:r>
        <w:rPr>
          <w:spacing w:val="-14"/>
          <w:sz w:val="18"/>
        </w:rPr>
        <w:t> </w:t>
      </w:r>
      <w:r>
        <w:rPr>
          <w:sz w:val="18"/>
        </w:rPr>
        <w:t>(GHGT-6),</w:t>
      </w:r>
      <w:r>
        <w:rPr>
          <w:spacing w:val="-13"/>
          <w:sz w:val="18"/>
        </w:rPr>
        <w:t> </w:t>
      </w:r>
      <w:r>
        <w:rPr>
          <w:sz w:val="18"/>
        </w:rPr>
        <w:t>1-4</w:t>
      </w:r>
      <w:r>
        <w:rPr>
          <w:spacing w:val="-14"/>
          <w:sz w:val="18"/>
        </w:rPr>
        <w:t> </w:t>
      </w:r>
      <w:r>
        <w:rPr>
          <w:sz w:val="18"/>
        </w:rPr>
        <w:t>Oct.</w:t>
      </w:r>
      <w:r>
        <w:rPr>
          <w:spacing w:val="-14"/>
          <w:sz w:val="18"/>
        </w:rPr>
        <w:t> </w:t>
      </w:r>
      <w:r>
        <w:rPr>
          <w:sz w:val="18"/>
        </w:rPr>
        <w:t>2002,</w:t>
      </w:r>
      <w:r>
        <w:rPr>
          <w:spacing w:val="-13"/>
          <w:sz w:val="18"/>
        </w:rPr>
        <w:t> </w:t>
      </w:r>
      <w:r>
        <w:rPr>
          <w:sz w:val="18"/>
        </w:rPr>
        <w:t>Kyoto,</w:t>
      </w:r>
      <w:r>
        <w:rPr>
          <w:spacing w:val="-14"/>
          <w:sz w:val="18"/>
        </w:rPr>
        <w:t> </w:t>
      </w:r>
      <w:r>
        <w:rPr>
          <w:sz w:val="18"/>
        </w:rPr>
        <w:t>Japan,</w:t>
      </w:r>
      <w:r>
        <w:rPr>
          <w:spacing w:val="-14"/>
          <w:sz w:val="18"/>
        </w:rPr>
        <w:t> </w:t>
      </w:r>
      <w:r>
        <w:rPr>
          <w:sz w:val="18"/>
        </w:rPr>
        <w:t>J.</w:t>
      </w:r>
      <w:r>
        <w:rPr>
          <w:spacing w:val="-13"/>
          <w:sz w:val="18"/>
        </w:rPr>
        <w:t> </w:t>
      </w:r>
      <w:r>
        <w:rPr>
          <w:sz w:val="18"/>
        </w:rPr>
        <w:t>Gale</w:t>
      </w:r>
      <w:r>
        <w:rPr>
          <w:spacing w:val="-14"/>
          <w:sz w:val="18"/>
        </w:rPr>
        <w:t> </w:t>
      </w:r>
      <w:r>
        <w:rPr>
          <w:sz w:val="18"/>
        </w:rPr>
        <w:t>and</w:t>
      </w:r>
    </w:p>
    <w:p>
      <w:pPr>
        <w:spacing w:before="24"/>
        <w:ind w:left="581" w:right="0" w:firstLine="0"/>
        <w:jc w:val="both"/>
        <w:rPr>
          <w:sz w:val="18"/>
        </w:rPr>
      </w:pPr>
      <w:r>
        <w:rPr>
          <w:sz w:val="18"/>
        </w:rPr>
        <w:t>Y. Kaya (eds.), Elsevier Science Ltd, Oxford, UK.</w:t>
      </w:r>
    </w:p>
    <w:p>
      <w:pPr>
        <w:spacing w:line="240" w:lineRule="exact" w:before="9"/>
        <w:ind w:left="581" w:right="114" w:hanging="341"/>
        <w:jc w:val="both"/>
        <w:rPr>
          <w:sz w:val="18"/>
        </w:rPr>
      </w:pPr>
      <w:r>
        <w:rPr>
          <w:b/>
          <w:sz w:val="18"/>
        </w:rPr>
        <w:t>Nakagawa, </w:t>
      </w:r>
      <w:r>
        <w:rPr>
          <w:sz w:val="18"/>
        </w:rPr>
        <w:t>K., </w:t>
      </w:r>
      <w:r>
        <w:rPr>
          <w:spacing w:val="-7"/>
          <w:sz w:val="18"/>
        </w:rPr>
        <w:t>T. </w:t>
      </w:r>
      <w:r>
        <w:rPr>
          <w:sz w:val="18"/>
        </w:rPr>
        <w:t>Ohashi 1998: A novel method of CO</w:t>
      </w:r>
      <w:r>
        <w:rPr>
          <w:position w:val="-5"/>
          <w:sz w:val="10"/>
        </w:rPr>
        <w:t>2 </w:t>
      </w:r>
      <w:r>
        <w:rPr>
          <w:sz w:val="18"/>
        </w:rPr>
        <w:t>capture  from high temperature gases, </w:t>
      </w:r>
      <w:r>
        <w:rPr>
          <w:i/>
          <w:sz w:val="18"/>
        </w:rPr>
        <w:t>Journal Electrochem. Soc.</w:t>
      </w:r>
      <w:r>
        <w:rPr>
          <w:sz w:val="18"/>
        </w:rPr>
        <w:t>, </w:t>
      </w:r>
      <w:r>
        <w:rPr>
          <w:b/>
          <w:sz w:val="18"/>
        </w:rPr>
        <w:t>145</w:t>
      </w:r>
      <w:r>
        <w:rPr>
          <w:sz w:val="18"/>
        </w:rPr>
        <w:t>(4): 1344-1346.</w:t>
      </w:r>
    </w:p>
    <w:p>
      <w:pPr>
        <w:spacing w:line="278" w:lineRule="auto" w:before="24"/>
        <w:ind w:left="581" w:right="115" w:hanging="341"/>
        <w:jc w:val="both"/>
        <w:rPr>
          <w:sz w:val="18"/>
        </w:rPr>
      </w:pPr>
      <w:r>
        <w:rPr>
          <w:b/>
          <w:spacing w:val="-1"/>
          <w:sz w:val="18"/>
        </w:rPr>
        <w:t>NE</w:t>
      </w:r>
      <w:r>
        <w:rPr>
          <w:b/>
          <w:w w:val="200"/>
          <w:sz w:val="18"/>
        </w:rPr>
        <w:t>t</w:t>
      </w:r>
      <w:r>
        <w:rPr>
          <w:b/>
          <w:sz w:val="18"/>
        </w:rPr>
        <w:t>L,</w:t>
      </w:r>
      <w:r>
        <w:rPr>
          <w:b/>
          <w:spacing w:val="-4"/>
          <w:sz w:val="18"/>
        </w:rPr>
        <w:t> </w:t>
      </w:r>
      <w:r>
        <w:rPr>
          <w:sz w:val="18"/>
        </w:rPr>
        <w:t>2002:</w:t>
      </w:r>
      <w:r>
        <w:rPr>
          <w:spacing w:val="-13"/>
          <w:sz w:val="18"/>
        </w:rPr>
        <w:t> </w:t>
      </w:r>
      <w:r>
        <w:rPr>
          <w:spacing w:val="-1"/>
          <w:sz w:val="18"/>
        </w:rPr>
        <w:t>Advance</w:t>
      </w:r>
      <w:r>
        <w:rPr>
          <w:sz w:val="18"/>
        </w:rPr>
        <w:t>d</w:t>
      </w:r>
      <w:r>
        <w:rPr>
          <w:spacing w:val="-4"/>
          <w:sz w:val="18"/>
        </w:rPr>
        <w:t> </w:t>
      </w:r>
      <w:r>
        <w:rPr>
          <w:sz w:val="18"/>
        </w:rPr>
        <w:t>fossil</w:t>
      </w:r>
      <w:r>
        <w:rPr>
          <w:spacing w:val="-4"/>
          <w:sz w:val="18"/>
        </w:rPr>
        <w:t> </w:t>
      </w:r>
      <w:r>
        <w:rPr>
          <w:sz w:val="18"/>
        </w:rPr>
        <w:t>power</w:t>
      </w:r>
      <w:r>
        <w:rPr>
          <w:spacing w:val="-4"/>
          <w:sz w:val="18"/>
        </w:rPr>
        <w:t> </w:t>
      </w:r>
      <w:r>
        <w:rPr>
          <w:spacing w:val="-1"/>
          <w:sz w:val="18"/>
        </w:rPr>
        <w:t>system</w:t>
      </w:r>
      <w:r>
        <w:rPr>
          <w:sz w:val="18"/>
        </w:rPr>
        <w:t>s</w:t>
      </w:r>
      <w:r>
        <w:rPr>
          <w:spacing w:val="-4"/>
          <w:sz w:val="18"/>
        </w:rPr>
        <w:t> </w:t>
      </w:r>
      <w:r>
        <w:rPr>
          <w:sz w:val="18"/>
        </w:rPr>
        <w:t>comparison</w:t>
      </w:r>
      <w:r>
        <w:rPr>
          <w:spacing w:val="-4"/>
          <w:sz w:val="18"/>
        </w:rPr>
        <w:t> </w:t>
      </w:r>
      <w:r>
        <w:rPr>
          <w:spacing w:val="-1"/>
          <w:sz w:val="18"/>
        </w:rPr>
        <w:t>stud</w:t>
      </w:r>
      <w:r>
        <w:rPr>
          <w:spacing w:val="-12"/>
          <w:sz w:val="18"/>
        </w:rPr>
        <w:t>y</w:t>
      </w:r>
      <w:r>
        <w:rPr>
          <w:sz w:val="18"/>
        </w:rPr>
        <w:t>,</w:t>
      </w:r>
      <w:r>
        <w:rPr>
          <w:spacing w:val="-4"/>
          <w:sz w:val="18"/>
        </w:rPr>
        <w:t> </w:t>
      </w:r>
      <w:r>
        <w:rPr>
          <w:spacing w:val="-1"/>
          <w:sz w:val="18"/>
        </w:rPr>
        <w:t>Final </w:t>
      </w:r>
      <w:r>
        <w:rPr>
          <w:sz w:val="18"/>
        </w:rPr>
        <w:t>report prepared for NETL by E.L. Parsons (NETL, Morgantown, WV), </w:t>
      </w:r>
      <w:r>
        <w:rPr>
          <w:spacing w:val="-9"/>
          <w:sz w:val="18"/>
        </w:rPr>
        <w:t>W.W. </w:t>
      </w:r>
      <w:r>
        <w:rPr>
          <w:sz w:val="18"/>
        </w:rPr>
        <w:t>Shelton and J.L. Lyons (EG&amp;G Technical Services, Inc., Morgantown, WV),</w:t>
      </w:r>
      <w:r>
        <w:rPr>
          <w:spacing w:val="-6"/>
          <w:sz w:val="18"/>
        </w:rPr>
        <w:t> </w:t>
      </w:r>
      <w:r>
        <w:rPr>
          <w:sz w:val="18"/>
        </w:rPr>
        <w:t>December.</w:t>
      </w:r>
    </w:p>
    <w:p>
      <w:pPr>
        <w:spacing w:line="278" w:lineRule="auto" w:before="0"/>
        <w:ind w:left="581" w:right="115" w:hanging="341"/>
        <w:jc w:val="both"/>
        <w:rPr>
          <w:sz w:val="18"/>
        </w:rPr>
      </w:pPr>
      <w:r>
        <w:rPr>
          <w:b/>
          <w:spacing w:val="-1"/>
          <w:sz w:val="18"/>
        </w:rPr>
        <w:t>NE</w:t>
      </w:r>
      <w:r>
        <w:rPr>
          <w:b/>
          <w:w w:val="200"/>
          <w:sz w:val="18"/>
        </w:rPr>
        <w:t>t</w:t>
      </w:r>
      <w:r>
        <w:rPr>
          <w:b/>
          <w:sz w:val="18"/>
        </w:rPr>
        <w:t>L-DOE,   </w:t>
      </w:r>
      <w:r>
        <w:rPr>
          <w:b/>
          <w:spacing w:val="-14"/>
          <w:sz w:val="18"/>
        </w:rPr>
        <w:t> </w:t>
      </w:r>
      <w:r>
        <w:rPr>
          <w:sz w:val="18"/>
        </w:rPr>
        <w:t>2002:   </w:t>
      </w:r>
      <w:r>
        <w:rPr>
          <w:spacing w:val="-17"/>
          <w:sz w:val="18"/>
        </w:rPr>
        <w:t> </w:t>
      </w:r>
      <w:r>
        <w:rPr>
          <w:spacing w:val="-15"/>
          <w:sz w:val="18"/>
        </w:rPr>
        <w:t>W</w:t>
      </w:r>
      <w:r>
        <w:rPr>
          <w:sz w:val="18"/>
        </w:rPr>
        <w:t>orldwide   </w:t>
      </w:r>
      <w:r>
        <w:rPr>
          <w:spacing w:val="-14"/>
          <w:sz w:val="18"/>
        </w:rPr>
        <w:t> </w:t>
      </w:r>
      <w:r>
        <w:rPr>
          <w:spacing w:val="-1"/>
          <w:w w:val="98"/>
          <w:sz w:val="18"/>
        </w:rPr>
        <w:t>Gasificatio</w:t>
      </w:r>
      <w:r>
        <w:rPr>
          <w:w w:val="98"/>
          <w:sz w:val="18"/>
        </w:rPr>
        <w:t>n</w:t>
      </w:r>
      <w:r>
        <w:rPr>
          <w:sz w:val="18"/>
        </w:rPr>
        <w:t>   </w:t>
      </w:r>
      <w:r>
        <w:rPr>
          <w:spacing w:val="-14"/>
          <w:sz w:val="18"/>
        </w:rPr>
        <w:t> </w:t>
      </w:r>
      <w:r>
        <w:rPr>
          <w:spacing w:val="-1"/>
          <w:sz w:val="18"/>
        </w:rPr>
        <w:t>Databas</w:t>
      </w:r>
      <w:r>
        <w:rPr>
          <w:sz w:val="18"/>
        </w:rPr>
        <w:t>e   </w:t>
      </w:r>
      <w:r>
        <w:rPr>
          <w:spacing w:val="-14"/>
          <w:sz w:val="18"/>
        </w:rPr>
        <w:t> </w:t>
      </w:r>
      <w:r>
        <w:rPr>
          <w:sz w:val="18"/>
        </w:rPr>
        <w:t>online, Pittsburgh, </w:t>
      </w:r>
      <w:r>
        <w:rPr>
          <w:spacing w:val="-6"/>
          <w:sz w:val="18"/>
        </w:rPr>
        <w:t>PA, </w:t>
      </w:r>
      <w:r>
        <w:rPr>
          <w:sz w:val="18"/>
        </w:rPr>
        <w:t>USA. </w:t>
      </w:r>
      <w:hyperlink r:id="rId224">
        <w:r>
          <w:rPr>
            <w:sz w:val="18"/>
          </w:rPr>
          <w:t>http://www.netl.doe.gov/coalpower/</w:t>
        </w:r>
      </w:hyperlink>
      <w:r>
        <w:rPr>
          <w:sz w:val="18"/>
        </w:rPr>
        <w:t> gasification/models/dtbs(excel.pdf.</w:t>
      </w:r>
    </w:p>
    <w:p>
      <w:pPr>
        <w:spacing w:after="0" w:line="278" w:lineRule="auto"/>
        <w:jc w:val="both"/>
        <w:rPr>
          <w:sz w:val="18"/>
        </w:rPr>
        <w:sectPr>
          <w:pgSz w:w="12240" w:h="15840"/>
          <w:pgMar w:header="567" w:footer="0" w:top="1120" w:bottom="280" w:left="620" w:right="620"/>
          <w:cols w:num="2" w:equalWidth="0">
            <w:col w:w="5559" w:space="40"/>
            <w:col w:w="5401"/>
          </w:cols>
        </w:sectPr>
      </w:pPr>
    </w:p>
    <w:p>
      <w:pPr>
        <w:spacing w:line="278" w:lineRule="auto" w:before="148"/>
        <w:ind w:left="457" w:right="40" w:hanging="341"/>
        <w:jc w:val="both"/>
        <w:rPr>
          <w:sz w:val="18"/>
        </w:rPr>
      </w:pPr>
      <w:r>
        <w:rPr>
          <w:b/>
          <w:sz w:val="18"/>
        </w:rPr>
        <w:t>Noble, </w:t>
      </w:r>
      <w:r>
        <w:rPr>
          <w:sz w:val="18"/>
        </w:rPr>
        <w:t>R. and Stern (eds.), 1995: Membrane Separations Technology, Elsevier Science, Amsterdam, The Netherlands, 718 pp.</w:t>
      </w:r>
    </w:p>
    <w:p>
      <w:pPr>
        <w:spacing w:line="278" w:lineRule="auto" w:before="0"/>
        <w:ind w:left="457" w:right="39" w:hanging="341"/>
        <w:jc w:val="both"/>
        <w:rPr>
          <w:sz w:val="18"/>
        </w:rPr>
      </w:pPr>
      <w:r>
        <w:rPr>
          <w:b/>
          <w:sz w:val="18"/>
        </w:rPr>
        <w:t>NRC, </w:t>
      </w:r>
      <w:r>
        <w:rPr>
          <w:sz w:val="18"/>
        </w:rPr>
        <w:t>2003: Review of </w:t>
      </w:r>
      <w:r>
        <w:rPr>
          <w:spacing w:val="-3"/>
          <w:sz w:val="18"/>
        </w:rPr>
        <w:t>DOE’s </w:t>
      </w:r>
      <w:r>
        <w:rPr>
          <w:sz w:val="18"/>
        </w:rPr>
        <w:t>Vision 21 Research and Development Program - Phase I, Board on Energy and Environmental Systems of</w:t>
      </w:r>
      <w:r>
        <w:rPr>
          <w:spacing w:val="-9"/>
          <w:sz w:val="18"/>
        </w:rPr>
        <w:t> </w:t>
      </w:r>
      <w:r>
        <w:rPr>
          <w:sz w:val="18"/>
        </w:rPr>
        <w:t>the</w:t>
      </w:r>
      <w:r>
        <w:rPr>
          <w:spacing w:val="-8"/>
          <w:sz w:val="18"/>
        </w:rPr>
        <w:t> </w:t>
      </w:r>
      <w:r>
        <w:rPr>
          <w:sz w:val="18"/>
        </w:rPr>
        <w:t>National</w:t>
      </w:r>
      <w:r>
        <w:rPr>
          <w:spacing w:val="-8"/>
          <w:sz w:val="18"/>
        </w:rPr>
        <w:t> </w:t>
      </w:r>
      <w:r>
        <w:rPr>
          <w:sz w:val="18"/>
        </w:rPr>
        <w:t>Research</w:t>
      </w:r>
      <w:r>
        <w:rPr>
          <w:spacing w:val="-8"/>
          <w:sz w:val="18"/>
        </w:rPr>
        <w:t> </w:t>
      </w:r>
      <w:r>
        <w:rPr>
          <w:sz w:val="18"/>
        </w:rPr>
        <w:t>Council,</w:t>
      </w:r>
      <w:r>
        <w:rPr>
          <w:spacing w:val="-11"/>
          <w:sz w:val="18"/>
        </w:rPr>
        <w:t> </w:t>
      </w:r>
      <w:r>
        <w:rPr>
          <w:sz w:val="18"/>
        </w:rPr>
        <w:t>The</w:t>
      </w:r>
      <w:r>
        <w:rPr>
          <w:spacing w:val="-9"/>
          <w:sz w:val="18"/>
        </w:rPr>
        <w:t> </w:t>
      </w:r>
      <w:r>
        <w:rPr>
          <w:sz w:val="18"/>
        </w:rPr>
        <w:t>National</w:t>
      </w:r>
      <w:r>
        <w:rPr>
          <w:spacing w:val="-17"/>
          <w:sz w:val="18"/>
        </w:rPr>
        <w:t> </w:t>
      </w:r>
      <w:r>
        <w:rPr>
          <w:sz w:val="18"/>
        </w:rPr>
        <w:t>Academies</w:t>
      </w:r>
      <w:r>
        <w:rPr>
          <w:spacing w:val="-8"/>
          <w:sz w:val="18"/>
        </w:rPr>
        <w:t> </w:t>
      </w:r>
      <w:r>
        <w:rPr>
          <w:sz w:val="18"/>
        </w:rPr>
        <w:t>Press, Washington, DC, 97</w:t>
      </w:r>
      <w:r>
        <w:rPr>
          <w:spacing w:val="-2"/>
          <w:sz w:val="18"/>
        </w:rPr>
        <w:t> </w:t>
      </w:r>
      <w:r>
        <w:rPr>
          <w:sz w:val="18"/>
        </w:rPr>
        <w:t>p.</w:t>
      </w:r>
    </w:p>
    <w:p>
      <w:pPr>
        <w:spacing w:line="278" w:lineRule="auto" w:before="0"/>
        <w:ind w:left="457" w:right="39" w:hanging="341"/>
        <w:jc w:val="both"/>
        <w:rPr>
          <w:sz w:val="18"/>
        </w:rPr>
      </w:pPr>
      <w:r>
        <w:rPr>
          <w:b/>
          <w:sz w:val="18"/>
        </w:rPr>
        <w:t>NRC, </w:t>
      </w:r>
      <w:r>
        <w:rPr>
          <w:sz w:val="18"/>
        </w:rPr>
        <w:t>2004: The Hydrogen Economy: Opportunities, Costs, Barriers, and R&amp;D Needs, Prepared by the Committee on Alternatives and Strategies for Future Hydrogen Production and Use, Board on Energy and Environmental Systems of the National Research Council, The National Academies Press, Washington,</w:t>
      </w:r>
      <w:r>
        <w:rPr>
          <w:spacing w:val="-32"/>
          <w:sz w:val="18"/>
        </w:rPr>
        <w:t> </w:t>
      </w:r>
      <w:r>
        <w:rPr>
          <w:sz w:val="18"/>
        </w:rPr>
        <w:t>DC.</w:t>
      </w:r>
    </w:p>
    <w:p>
      <w:pPr>
        <w:spacing w:line="206" w:lineRule="exact" w:before="0"/>
        <w:ind w:left="117" w:right="0" w:firstLine="0"/>
        <w:jc w:val="both"/>
        <w:rPr>
          <w:sz w:val="18"/>
        </w:rPr>
      </w:pPr>
      <w:r>
        <w:rPr>
          <w:b/>
          <w:sz w:val="18"/>
        </w:rPr>
        <w:t>Nsakala, </w:t>
      </w:r>
      <w:r>
        <w:rPr>
          <w:sz w:val="18"/>
        </w:rPr>
        <w:t>N., G. Liljedahl, J. Marion, C. Bozzuto, H. Andrus, and</w:t>
      </w:r>
    </w:p>
    <w:p>
      <w:pPr>
        <w:spacing w:line="278" w:lineRule="auto" w:before="32"/>
        <w:ind w:left="457" w:right="39" w:firstLine="0"/>
        <w:jc w:val="both"/>
        <w:rPr>
          <w:sz w:val="18"/>
        </w:rPr>
      </w:pPr>
      <w:r>
        <w:rPr>
          <w:sz w:val="18"/>
        </w:rPr>
        <w:t>R. Chamberland, 2003: Greenhouse gas emissions control by oxygen</w:t>
      </w:r>
      <w:r>
        <w:rPr>
          <w:spacing w:val="-5"/>
          <w:sz w:val="18"/>
        </w:rPr>
        <w:t> </w:t>
      </w:r>
      <w:r>
        <w:rPr>
          <w:sz w:val="18"/>
        </w:rPr>
        <w:t>firing</w:t>
      </w:r>
      <w:r>
        <w:rPr>
          <w:spacing w:val="-4"/>
          <w:sz w:val="18"/>
        </w:rPr>
        <w:t> </w:t>
      </w:r>
      <w:r>
        <w:rPr>
          <w:sz w:val="18"/>
        </w:rPr>
        <w:t>in</w:t>
      </w:r>
      <w:r>
        <w:rPr>
          <w:spacing w:val="-4"/>
          <w:sz w:val="18"/>
        </w:rPr>
        <w:t> </w:t>
      </w:r>
      <w:r>
        <w:rPr>
          <w:sz w:val="18"/>
        </w:rPr>
        <w:t>circulating</w:t>
      </w:r>
      <w:r>
        <w:rPr>
          <w:spacing w:val="-4"/>
          <w:sz w:val="18"/>
        </w:rPr>
        <w:t> </w:t>
      </w:r>
      <w:r>
        <w:rPr>
          <w:sz w:val="18"/>
        </w:rPr>
        <w:t>fluidised</w:t>
      </w:r>
      <w:r>
        <w:rPr>
          <w:spacing w:val="-5"/>
          <w:sz w:val="18"/>
        </w:rPr>
        <w:t> </w:t>
      </w:r>
      <w:r>
        <w:rPr>
          <w:sz w:val="18"/>
        </w:rPr>
        <w:t>bed</w:t>
      </w:r>
      <w:r>
        <w:rPr>
          <w:spacing w:val="-4"/>
          <w:sz w:val="18"/>
        </w:rPr>
        <w:t> </w:t>
      </w:r>
      <w:r>
        <w:rPr>
          <w:sz w:val="18"/>
        </w:rPr>
        <w:t>boilers.</w:t>
      </w:r>
      <w:r>
        <w:rPr>
          <w:spacing w:val="-4"/>
          <w:sz w:val="18"/>
        </w:rPr>
        <w:t> </w:t>
      </w:r>
      <w:r>
        <w:rPr>
          <w:sz w:val="18"/>
        </w:rPr>
        <w:t>Presented</w:t>
      </w:r>
      <w:r>
        <w:rPr>
          <w:spacing w:val="-4"/>
          <w:sz w:val="18"/>
        </w:rPr>
        <w:t> </w:t>
      </w:r>
      <w:r>
        <w:rPr>
          <w:sz w:val="18"/>
        </w:rPr>
        <w:t>at</w:t>
      </w:r>
      <w:r>
        <w:rPr>
          <w:spacing w:val="-5"/>
          <w:sz w:val="18"/>
        </w:rPr>
        <w:t> </w:t>
      </w:r>
      <w:r>
        <w:rPr>
          <w:sz w:val="18"/>
        </w:rPr>
        <w:t>the Second Annual National Conference on Carbon Sequestration. Alexandria, </w:t>
      </w:r>
      <w:r>
        <w:rPr>
          <w:spacing w:val="-12"/>
          <w:sz w:val="18"/>
        </w:rPr>
        <w:t>VA </w:t>
      </w:r>
      <w:r>
        <w:rPr>
          <w:sz w:val="18"/>
        </w:rPr>
        <w:t>May 5-8,</w:t>
      </w:r>
      <w:r>
        <w:rPr>
          <w:spacing w:val="-4"/>
          <w:sz w:val="18"/>
        </w:rPr>
        <w:t> </w:t>
      </w:r>
      <w:r>
        <w:rPr>
          <w:sz w:val="18"/>
        </w:rPr>
        <w:t>USA.</w:t>
      </w:r>
    </w:p>
    <w:p>
      <w:pPr>
        <w:spacing w:line="278" w:lineRule="auto" w:before="0"/>
        <w:ind w:left="457" w:right="38" w:hanging="341"/>
        <w:jc w:val="both"/>
        <w:rPr>
          <w:sz w:val="18"/>
        </w:rPr>
      </w:pPr>
      <w:r>
        <w:rPr>
          <w:b/>
          <w:sz w:val="18"/>
        </w:rPr>
        <w:t>Nsakala, </w:t>
      </w:r>
      <w:r>
        <w:rPr>
          <w:spacing w:val="-5"/>
          <w:sz w:val="18"/>
        </w:rPr>
        <w:t>Y.N., </w:t>
      </w:r>
      <w:r>
        <w:rPr>
          <w:sz w:val="18"/>
        </w:rPr>
        <w:t>J. Marion, C. Bozzuto, G. Liljedahl, M. Palkes, D. </w:t>
      </w:r>
      <w:r>
        <w:rPr>
          <w:spacing w:val="-4"/>
          <w:sz w:val="18"/>
        </w:rPr>
        <w:t>Vogel, </w:t>
      </w:r>
      <w:r>
        <w:rPr>
          <w:sz w:val="18"/>
        </w:rPr>
        <w:t>J.C. Gupta, M. Guha, H. Johnson, and S. Plasynski, 2001: Engineering feasibility of  CO</w:t>
      </w:r>
      <w:r>
        <w:rPr>
          <w:position w:val="-5"/>
          <w:sz w:val="10"/>
        </w:rPr>
        <w:t>2   </w:t>
      </w:r>
      <w:r>
        <w:rPr>
          <w:sz w:val="18"/>
        </w:rPr>
        <w:t>capture on  an existing US </w:t>
      </w:r>
      <w:r>
        <w:rPr>
          <w:spacing w:val="36"/>
          <w:sz w:val="18"/>
        </w:rPr>
        <w:t> </w:t>
      </w:r>
      <w:r>
        <w:rPr>
          <w:sz w:val="18"/>
        </w:rPr>
        <w:t>coal-</w:t>
      </w:r>
    </w:p>
    <w:p>
      <w:pPr>
        <w:spacing w:line="164" w:lineRule="exact" w:before="0"/>
        <w:ind w:left="457" w:right="0" w:firstLine="0"/>
        <w:jc w:val="both"/>
        <w:rPr>
          <w:sz w:val="18"/>
        </w:rPr>
      </w:pPr>
      <w:r>
        <w:rPr>
          <w:sz w:val="18"/>
        </w:rPr>
        <w:t>fired</w:t>
      </w:r>
      <w:r>
        <w:rPr>
          <w:spacing w:val="-13"/>
          <w:sz w:val="18"/>
        </w:rPr>
        <w:t> </w:t>
      </w:r>
      <w:r>
        <w:rPr>
          <w:sz w:val="18"/>
        </w:rPr>
        <w:t>power</w:t>
      </w:r>
      <w:r>
        <w:rPr>
          <w:spacing w:val="-12"/>
          <w:sz w:val="18"/>
        </w:rPr>
        <w:t> </w:t>
      </w:r>
      <w:r>
        <w:rPr>
          <w:sz w:val="18"/>
        </w:rPr>
        <w:t>plant,</w:t>
      </w:r>
      <w:r>
        <w:rPr>
          <w:spacing w:val="-12"/>
          <w:sz w:val="18"/>
        </w:rPr>
        <w:t> </w:t>
      </w:r>
      <w:r>
        <w:rPr>
          <w:sz w:val="18"/>
        </w:rPr>
        <w:t>Paper</w:t>
      </w:r>
      <w:r>
        <w:rPr>
          <w:spacing w:val="-12"/>
          <w:sz w:val="18"/>
        </w:rPr>
        <w:t> </w:t>
      </w:r>
      <w:r>
        <w:rPr>
          <w:sz w:val="18"/>
        </w:rPr>
        <w:t>presented</w:t>
      </w:r>
      <w:r>
        <w:rPr>
          <w:spacing w:val="-13"/>
          <w:sz w:val="18"/>
        </w:rPr>
        <w:t> </w:t>
      </w:r>
      <w:r>
        <w:rPr>
          <w:sz w:val="18"/>
        </w:rPr>
        <w:t>at</w:t>
      </w:r>
      <w:r>
        <w:rPr>
          <w:spacing w:val="-12"/>
          <w:sz w:val="18"/>
        </w:rPr>
        <w:t> </w:t>
      </w:r>
      <w:r>
        <w:rPr>
          <w:sz w:val="18"/>
        </w:rPr>
        <w:t>First</w:t>
      </w:r>
      <w:r>
        <w:rPr>
          <w:spacing w:val="-12"/>
          <w:sz w:val="18"/>
        </w:rPr>
        <w:t> </w:t>
      </w:r>
      <w:r>
        <w:rPr>
          <w:sz w:val="18"/>
        </w:rPr>
        <w:t>National</w:t>
      </w:r>
      <w:r>
        <w:rPr>
          <w:spacing w:val="-12"/>
          <w:sz w:val="18"/>
        </w:rPr>
        <w:t> </w:t>
      </w:r>
      <w:r>
        <w:rPr>
          <w:sz w:val="18"/>
        </w:rPr>
        <w:t>Conference</w:t>
      </w:r>
      <w:r>
        <w:rPr>
          <w:spacing w:val="-12"/>
          <w:sz w:val="18"/>
        </w:rPr>
        <w:t> </w:t>
      </w:r>
      <w:r>
        <w:rPr>
          <w:sz w:val="18"/>
        </w:rPr>
        <w:t>on</w:t>
      </w:r>
    </w:p>
    <w:p>
      <w:pPr>
        <w:spacing w:before="33"/>
        <w:ind w:left="457" w:right="0" w:firstLine="0"/>
        <w:jc w:val="both"/>
        <w:rPr>
          <w:sz w:val="18"/>
        </w:rPr>
      </w:pPr>
      <w:r>
        <w:rPr>
          <w:sz w:val="18"/>
        </w:rPr>
        <w:t>Carbon Sequestration, Washington DC, May 15-17.</w:t>
      </w:r>
    </w:p>
    <w:p>
      <w:pPr>
        <w:spacing w:line="240" w:lineRule="exact" w:before="9"/>
        <w:ind w:left="457" w:right="39" w:hanging="341"/>
        <w:jc w:val="both"/>
        <w:rPr>
          <w:sz w:val="18"/>
        </w:rPr>
      </w:pPr>
      <w:r>
        <w:rPr>
          <w:b/>
          <w:sz w:val="18"/>
        </w:rPr>
        <w:t>Okabe,</w:t>
      </w:r>
      <w:r>
        <w:rPr>
          <w:b/>
          <w:spacing w:val="-15"/>
          <w:sz w:val="18"/>
        </w:rPr>
        <w:t> </w:t>
      </w:r>
      <w:r>
        <w:rPr>
          <w:sz w:val="18"/>
        </w:rPr>
        <w:t>K.,</w:t>
      </w:r>
      <w:r>
        <w:rPr>
          <w:spacing w:val="-14"/>
          <w:sz w:val="18"/>
        </w:rPr>
        <w:t> </w:t>
      </w:r>
      <w:r>
        <w:rPr>
          <w:sz w:val="18"/>
        </w:rPr>
        <w:t>N.</w:t>
      </w:r>
      <w:r>
        <w:rPr>
          <w:spacing w:val="-14"/>
          <w:sz w:val="18"/>
        </w:rPr>
        <w:t> </w:t>
      </w:r>
      <w:r>
        <w:rPr>
          <w:sz w:val="18"/>
        </w:rPr>
        <w:t>Matsumija,</w:t>
      </w:r>
      <w:r>
        <w:rPr>
          <w:spacing w:val="-14"/>
          <w:sz w:val="18"/>
        </w:rPr>
        <w:t> </w:t>
      </w:r>
      <w:r>
        <w:rPr>
          <w:sz w:val="18"/>
        </w:rPr>
        <w:t>H.</w:t>
      </w:r>
      <w:r>
        <w:rPr>
          <w:spacing w:val="-14"/>
          <w:sz w:val="18"/>
        </w:rPr>
        <w:t> </w:t>
      </w:r>
      <w:r>
        <w:rPr>
          <w:sz w:val="18"/>
        </w:rPr>
        <w:t>Mano,</w:t>
      </w:r>
      <w:r>
        <w:rPr>
          <w:spacing w:val="-14"/>
          <w:sz w:val="18"/>
        </w:rPr>
        <w:t> </w:t>
      </w:r>
      <w:r>
        <w:rPr>
          <w:sz w:val="18"/>
        </w:rPr>
        <w:t>M.</w:t>
      </w:r>
      <w:r>
        <w:rPr>
          <w:spacing w:val="-17"/>
          <w:sz w:val="18"/>
        </w:rPr>
        <w:t> </w:t>
      </w:r>
      <w:r>
        <w:rPr>
          <w:sz w:val="18"/>
        </w:rPr>
        <w:t>Teramoto,</w:t>
      </w:r>
      <w:r>
        <w:rPr>
          <w:spacing w:val="-14"/>
          <w:sz w:val="18"/>
        </w:rPr>
        <w:t> </w:t>
      </w:r>
      <w:r>
        <w:rPr>
          <w:sz w:val="18"/>
        </w:rPr>
        <w:t>2003:</w:t>
      </w:r>
      <w:r>
        <w:rPr>
          <w:spacing w:val="-14"/>
          <w:sz w:val="18"/>
        </w:rPr>
        <w:t> </w:t>
      </w:r>
      <w:r>
        <w:rPr>
          <w:sz w:val="18"/>
        </w:rPr>
        <w:t>Development of</w:t>
      </w:r>
      <w:r>
        <w:rPr>
          <w:spacing w:val="-10"/>
          <w:sz w:val="18"/>
        </w:rPr>
        <w:t> </w:t>
      </w:r>
      <w:r>
        <w:rPr>
          <w:sz w:val="18"/>
        </w:rPr>
        <w:t>CO</w:t>
      </w:r>
      <w:r>
        <w:rPr>
          <w:position w:val="-5"/>
          <w:sz w:val="10"/>
        </w:rPr>
        <w:t>2</w:t>
      </w:r>
      <w:r>
        <w:rPr>
          <w:spacing w:val="11"/>
          <w:position w:val="-5"/>
          <w:sz w:val="10"/>
        </w:rPr>
        <w:t> </w:t>
      </w:r>
      <w:r>
        <w:rPr>
          <w:sz w:val="18"/>
        </w:rPr>
        <w:t>separation</w:t>
      </w:r>
      <w:r>
        <w:rPr>
          <w:spacing w:val="-10"/>
          <w:sz w:val="18"/>
        </w:rPr>
        <w:t> </w:t>
      </w:r>
      <w:r>
        <w:rPr>
          <w:sz w:val="18"/>
        </w:rPr>
        <w:t>membranes</w:t>
      </w:r>
      <w:r>
        <w:rPr>
          <w:spacing w:val="-10"/>
          <w:sz w:val="18"/>
        </w:rPr>
        <w:t> </w:t>
      </w:r>
      <w:r>
        <w:rPr>
          <w:sz w:val="18"/>
        </w:rPr>
        <w:t>(1)</w:t>
      </w:r>
      <w:r>
        <w:rPr>
          <w:spacing w:val="-9"/>
          <w:sz w:val="18"/>
        </w:rPr>
        <w:t> </w:t>
      </w:r>
      <w:r>
        <w:rPr>
          <w:sz w:val="18"/>
        </w:rPr>
        <w:t>Facilitated</w:t>
      </w:r>
      <w:r>
        <w:rPr>
          <w:spacing w:val="-10"/>
          <w:sz w:val="18"/>
        </w:rPr>
        <w:t> </w:t>
      </w:r>
      <w:r>
        <w:rPr>
          <w:sz w:val="18"/>
        </w:rPr>
        <w:t>transport</w:t>
      </w:r>
      <w:r>
        <w:rPr>
          <w:spacing w:val="-10"/>
          <w:sz w:val="18"/>
        </w:rPr>
        <w:t> </w:t>
      </w:r>
      <w:r>
        <w:rPr>
          <w:sz w:val="18"/>
        </w:rPr>
        <w:t>membrane, In Greenhouse Gas Control Technologies. J. Gale and </w:t>
      </w:r>
      <w:r>
        <w:rPr>
          <w:spacing w:val="-12"/>
          <w:sz w:val="18"/>
        </w:rPr>
        <w:t>Y. </w:t>
      </w:r>
      <w:r>
        <w:rPr>
          <w:sz w:val="18"/>
        </w:rPr>
        <w:t>Kaya (eds.), Elsevier Science, Ltd., United Kingdom,</w:t>
      </w:r>
      <w:r>
        <w:rPr>
          <w:spacing w:val="-11"/>
          <w:sz w:val="18"/>
        </w:rPr>
        <w:t> </w:t>
      </w:r>
      <w:r>
        <w:rPr>
          <w:sz w:val="18"/>
        </w:rPr>
        <w:t>1555-1558.</w:t>
      </w:r>
    </w:p>
    <w:p>
      <w:pPr>
        <w:spacing w:line="240" w:lineRule="exact" w:before="0"/>
        <w:ind w:left="457" w:right="38" w:hanging="341"/>
        <w:jc w:val="both"/>
        <w:rPr>
          <w:sz w:val="18"/>
        </w:rPr>
      </w:pPr>
      <w:r>
        <w:rPr>
          <w:b/>
          <w:sz w:val="18"/>
        </w:rPr>
        <w:t>Parsons </w:t>
      </w:r>
      <w:r>
        <w:rPr>
          <w:b/>
          <w:spacing w:val="-1"/>
          <w:w w:val="140"/>
          <w:sz w:val="18"/>
        </w:rPr>
        <w:t>i</w:t>
      </w:r>
      <w:r>
        <w:rPr>
          <w:b/>
          <w:spacing w:val="-1"/>
          <w:sz w:val="18"/>
        </w:rPr>
        <w:t>nfrastructu</w:t>
      </w:r>
      <w:r>
        <w:rPr>
          <w:b/>
          <w:spacing w:val="-4"/>
          <w:sz w:val="18"/>
        </w:rPr>
        <w:t>r</w:t>
      </w:r>
      <w:r>
        <w:rPr>
          <w:b/>
          <w:sz w:val="18"/>
        </w:rPr>
        <w:t>e &amp; </w:t>
      </w:r>
      <w:r>
        <w:rPr>
          <w:b/>
          <w:spacing w:val="-17"/>
          <w:w w:val="200"/>
          <w:sz w:val="18"/>
        </w:rPr>
        <w:t>t</w:t>
      </w:r>
      <w:r>
        <w:rPr>
          <w:b/>
          <w:sz w:val="18"/>
        </w:rPr>
        <w:t>echnology G</w:t>
      </w:r>
      <w:r>
        <w:rPr>
          <w:b/>
          <w:spacing w:val="-4"/>
          <w:sz w:val="18"/>
        </w:rPr>
        <w:t>r</w:t>
      </w:r>
      <w:r>
        <w:rPr>
          <w:b/>
          <w:sz w:val="18"/>
        </w:rPr>
        <w:t>oup, </w:t>
      </w:r>
      <w:r>
        <w:rPr>
          <w:b/>
          <w:spacing w:val="-1"/>
          <w:w w:val="140"/>
          <w:sz w:val="18"/>
        </w:rPr>
        <w:t>i</w:t>
      </w:r>
      <w:r>
        <w:rPr>
          <w:b/>
          <w:spacing w:val="-1"/>
          <w:sz w:val="18"/>
        </w:rPr>
        <w:t>nc.</w:t>
      </w:r>
      <w:r>
        <w:rPr>
          <w:b/>
          <w:sz w:val="18"/>
        </w:rPr>
        <w:t>, </w:t>
      </w:r>
      <w:r>
        <w:rPr>
          <w:sz w:val="18"/>
        </w:rPr>
        <w:t>2002b: </w:t>
      </w:r>
      <w:r>
        <w:rPr>
          <w:i/>
          <w:spacing w:val="-1"/>
          <w:sz w:val="18"/>
        </w:rPr>
        <w:t>Updated</w:t>
      </w:r>
      <w:r>
        <w:rPr>
          <w:i/>
          <w:spacing w:val="-1"/>
          <w:sz w:val="18"/>
        </w:rPr>
        <w:t> </w:t>
      </w:r>
      <w:r>
        <w:rPr>
          <w:i/>
          <w:sz w:val="18"/>
        </w:rPr>
        <w:t>cost and performance estimates for fossil fuel power plants with CO</w:t>
      </w:r>
      <w:r>
        <w:rPr>
          <w:i/>
          <w:position w:val="-5"/>
          <w:sz w:val="10"/>
        </w:rPr>
        <w:t>2 </w:t>
      </w:r>
      <w:r>
        <w:rPr>
          <w:i/>
          <w:sz w:val="18"/>
        </w:rPr>
        <w:t>removal</w:t>
      </w:r>
      <w:r>
        <w:rPr>
          <w:sz w:val="18"/>
        </w:rPr>
        <w:t>. Report under Contract No. DE-AM26-99FT40465 to U.S.DOE/NETL, Pittsburgh, </w:t>
      </w:r>
      <w:r>
        <w:rPr>
          <w:spacing w:val="-6"/>
          <w:sz w:val="18"/>
        </w:rPr>
        <w:t>PA, </w:t>
      </w:r>
      <w:r>
        <w:rPr>
          <w:sz w:val="18"/>
        </w:rPr>
        <w:t>and EPRI, Palo Alto, CA., December.</w:t>
      </w:r>
    </w:p>
    <w:p>
      <w:pPr>
        <w:spacing w:line="278" w:lineRule="auto" w:before="24"/>
        <w:ind w:left="457" w:right="38" w:hanging="341"/>
        <w:jc w:val="both"/>
        <w:rPr>
          <w:sz w:val="18"/>
        </w:rPr>
      </w:pPr>
      <w:r>
        <w:rPr>
          <w:b/>
          <w:sz w:val="18"/>
        </w:rPr>
        <w:t>Parsons  </w:t>
      </w:r>
      <w:r>
        <w:rPr>
          <w:b/>
          <w:spacing w:val="-5"/>
          <w:sz w:val="18"/>
        </w:rPr>
        <w:t> </w:t>
      </w:r>
      <w:r>
        <w:rPr>
          <w:b/>
          <w:spacing w:val="-1"/>
          <w:w w:val="140"/>
          <w:sz w:val="18"/>
        </w:rPr>
        <w:t>i</w:t>
      </w:r>
      <w:r>
        <w:rPr>
          <w:b/>
          <w:spacing w:val="-1"/>
          <w:sz w:val="18"/>
        </w:rPr>
        <w:t>nfrastructu</w:t>
      </w:r>
      <w:r>
        <w:rPr>
          <w:b/>
          <w:spacing w:val="-4"/>
          <w:sz w:val="18"/>
        </w:rPr>
        <w:t>r</w:t>
      </w:r>
      <w:r>
        <w:rPr>
          <w:b/>
          <w:sz w:val="18"/>
        </w:rPr>
        <w:t>e  </w:t>
      </w:r>
      <w:r>
        <w:rPr>
          <w:b/>
          <w:spacing w:val="-5"/>
          <w:sz w:val="18"/>
        </w:rPr>
        <w:t> </w:t>
      </w:r>
      <w:r>
        <w:rPr>
          <w:b/>
          <w:sz w:val="18"/>
        </w:rPr>
        <w:t>and  </w:t>
      </w:r>
      <w:r>
        <w:rPr>
          <w:b/>
          <w:spacing w:val="-8"/>
          <w:sz w:val="18"/>
        </w:rPr>
        <w:t> </w:t>
      </w:r>
      <w:r>
        <w:rPr>
          <w:b/>
          <w:spacing w:val="-17"/>
          <w:w w:val="200"/>
          <w:sz w:val="18"/>
        </w:rPr>
        <w:t>t</w:t>
      </w:r>
      <w:r>
        <w:rPr>
          <w:b/>
          <w:sz w:val="18"/>
        </w:rPr>
        <w:t>echnology  </w:t>
      </w:r>
      <w:r>
        <w:rPr>
          <w:b/>
          <w:spacing w:val="-5"/>
          <w:sz w:val="18"/>
        </w:rPr>
        <w:t> </w:t>
      </w:r>
      <w:r>
        <w:rPr>
          <w:b/>
          <w:sz w:val="18"/>
        </w:rPr>
        <w:t>G</w:t>
      </w:r>
      <w:r>
        <w:rPr>
          <w:b/>
          <w:spacing w:val="-4"/>
          <w:sz w:val="18"/>
        </w:rPr>
        <w:t>r</w:t>
      </w:r>
      <w:r>
        <w:rPr>
          <w:b/>
          <w:sz w:val="18"/>
        </w:rPr>
        <w:t>oup,  </w:t>
      </w:r>
      <w:r>
        <w:rPr>
          <w:b/>
          <w:spacing w:val="-5"/>
          <w:sz w:val="18"/>
        </w:rPr>
        <w:t> </w:t>
      </w:r>
      <w:r>
        <w:rPr>
          <w:b/>
          <w:spacing w:val="-1"/>
          <w:w w:val="140"/>
          <w:sz w:val="18"/>
        </w:rPr>
        <w:t>i</w:t>
      </w:r>
      <w:r>
        <w:rPr>
          <w:b/>
          <w:spacing w:val="-1"/>
          <w:sz w:val="18"/>
        </w:rPr>
        <w:t>nc.</w:t>
      </w:r>
      <w:r>
        <w:rPr>
          <w:b/>
          <w:sz w:val="18"/>
        </w:rPr>
        <w:t>,  </w:t>
      </w:r>
      <w:r>
        <w:rPr>
          <w:b/>
          <w:spacing w:val="-5"/>
          <w:sz w:val="18"/>
        </w:rPr>
        <w:t> </w:t>
      </w:r>
      <w:r>
        <w:rPr>
          <w:sz w:val="18"/>
        </w:rPr>
        <w:t>2002a: </w:t>
      </w:r>
      <w:r>
        <w:rPr>
          <w:i/>
          <w:sz w:val="18"/>
        </w:rPr>
        <w:t>Hydrogen Production Facilities: Plant Performance and </w:t>
      </w:r>
      <w:r>
        <w:rPr>
          <w:i/>
          <w:spacing w:val="-3"/>
          <w:sz w:val="18"/>
        </w:rPr>
        <w:t>Cost </w:t>
      </w:r>
      <w:r>
        <w:rPr>
          <w:i/>
          <w:sz w:val="18"/>
        </w:rPr>
        <w:t>Comparisons</w:t>
      </w:r>
      <w:r>
        <w:rPr>
          <w:sz w:val="18"/>
        </w:rPr>
        <w:t>, Final Report, prepared for the National Energy Technology Laboratory, US DOE,</w:t>
      </w:r>
      <w:r>
        <w:rPr>
          <w:spacing w:val="-6"/>
          <w:sz w:val="18"/>
        </w:rPr>
        <w:t> </w:t>
      </w:r>
      <w:r>
        <w:rPr>
          <w:sz w:val="18"/>
        </w:rPr>
        <w:t>March.</w:t>
      </w:r>
    </w:p>
    <w:p>
      <w:pPr>
        <w:spacing w:line="278" w:lineRule="auto" w:before="0"/>
        <w:ind w:left="491" w:right="60" w:hanging="374"/>
        <w:jc w:val="left"/>
        <w:rPr>
          <w:sz w:val="18"/>
        </w:rPr>
      </w:pPr>
      <w:r>
        <w:rPr>
          <w:b/>
          <w:sz w:val="18"/>
        </w:rPr>
        <w:t>Quinn, </w:t>
      </w:r>
      <w:r>
        <w:rPr>
          <w:sz w:val="18"/>
        </w:rPr>
        <w:t>R., D.V. Laciak, 1997: Polyelectrolyte membranes for acid gas separations, </w:t>
      </w:r>
      <w:r>
        <w:rPr>
          <w:i/>
          <w:sz w:val="18"/>
        </w:rPr>
        <w:t>Journal of Membrane Science</w:t>
      </w:r>
      <w:r>
        <w:rPr>
          <w:sz w:val="18"/>
        </w:rPr>
        <w:t>, </w:t>
      </w:r>
      <w:r>
        <w:rPr>
          <w:b/>
          <w:sz w:val="18"/>
        </w:rPr>
        <w:t>131</w:t>
      </w:r>
      <w:r>
        <w:rPr>
          <w:sz w:val="18"/>
        </w:rPr>
        <w:t>, 49-60.</w:t>
      </w:r>
    </w:p>
    <w:p>
      <w:pPr>
        <w:spacing w:line="278" w:lineRule="auto" w:before="0"/>
        <w:ind w:left="491" w:right="0" w:hanging="374"/>
        <w:jc w:val="left"/>
        <w:rPr>
          <w:sz w:val="18"/>
        </w:rPr>
      </w:pPr>
      <w:r>
        <w:rPr>
          <w:b/>
          <w:sz w:val="18"/>
        </w:rPr>
        <w:t>Ramsaier, </w:t>
      </w:r>
      <w:r>
        <w:rPr>
          <w:sz w:val="18"/>
        </w:rPr>
        <w:t>M., H.J. Sternfeld, K. Wolfmuller, 1985: European Patent 0197 555 A2.</w:t>
      </w:r>
    </w:p>
    <w:p>
      <w:pPr>
        <w:spacing w:line="278" w:lineRule="auto" w:before="0"/>
        <w:ind w:left="457" w:right="0" w:hanging="341"/>
        <w:jc w:val="left"/>
        <w:rPr>
          <w:sz w:val="18"/>
        </w:rPr>
      </w:pPr>
      <w:r>
        <w:rPr>
          <w:b/>
          <w:sz w:val="18"/>
        </w:rPr>
        <w:t>Rao, </w:t>
      </w:r>
      <w:r>
        <w:rPr>
          <w:sz w:val="18"/>
        </w:rPr>
        <w:t>A.B. and E.S. Rubin, 2002: A technical, economic, and environmental</w:t>
      </w:r>
      <w:r>
        <w:rPr>
          <w:spacing w:val="-19"/>
          <w:sz w:val="18"/>
        </w:rPr>
        <w:t> </w:t>
      </w:r>
      <w:r>
        <w:rPr>
          <w:sz w:val="18"/>
        </w:rPr>
        <w:t>assessment</w:t>
      </w:r>
      <w:r>
        <w:rPr>
          <w:spacing w:val="-19"/>
          <w:sz w:val="18"/>
        </w:rPr>
        <w:t> </w:t>
      </w:r>
      <w:r>
        <w:rPr>
          <w:sz w:val="18"/>
        </w:rPr>
        <w:t>of</w:t>
      </w:r>
      <w:r>
        <w:rPr>
          <w:spacing w:val="-19"/>
          <w:sz w:val="18"/>
        </w:rPr>
        <w:t> </w:t>
      </w:r>
      <w:r>
        <w:rPr>
          <w:sz w:val="18"/>
        </w:rPr>
        <w:t>amine-based</w:t>
      </w:r>
      <w:r>
        <w:rPr>
          <w:spacing w:val="-19"/>
          <w:sz w:val="18"/>
        </w:rPr>
        <w:t> </w:t>
      </w:r>
      <w:r>
        <w:rPr>
          <w:sz w:val="18"/>
        </w:rPr>
        <w:t>CO</w:t>
      </w:r>
      <w:r>
        <w:rPr>
          <w:position w:val="-5"/>
          <w:sz w:val="10"/>
        </w:rPr>
        <w:t>2</w:t>
      </w:r>
      <w:r>
        <w:rPr>
          <w:spacing w:val="2"/>
          <w:position w:val="-5"/>
          <w:sz w:val="10"/>
        </w:rPr>
        <w:t> </w:t>
      </w:r>
      <w:r>
        <w:rPr>
          <w:sz w:val="18"/>
        </w:rPr>
        <w:t>capture</w:t>
      </w:r>
      <w:r>
        <w:rPr>
          <w:spacing w:val="-19"/>
          <w:sz w:val="18"/>
        </w:rPr>
        <w:t> </w:t>
      </w:r>
      <w:r>
        <w:rPr>
          <w:sz w:val="18"/>
        </w:rPr>
        <w:t>technology</w:t>
      </w:r>
    </w:p>
    <w:p>
      <w:pPr>
        <w:spacing w:line="164" w:lineRule="exact" w:before="0"/>
        <w:ind w:left="457" w:right="0" w:firstLine="0"/>
        <w:jc w:val="left"/>
        <w:rPr>
          <w:i/>
          <w:sz w:val="18"/>
        </w:rPr>
      </w:pPr>
      <w:r>
        <w:rPr>
          <w:sz w:val="18"/>
        </w:rPr>
        <w:t>for</w:t>
      </w:r>
      <w:r>
        <w:rPr>
          <w:spacing w:val="19"/>
          <w:sz w:val="18"/>
        </w:rPr>
        <w:t> </w:t>
      </w:r>
      <w:r>
        <w:rPr>
          <w:sz w:val="18"/>
        </w:rPr>
        <w:t>power</w:t>
      </w:r>
      <w:r>
        <w:rPr>
          <w:spacing w:val="18"/>
          <w:sz w:val="18"/>
        </w:rPr>
        <w:t> </w:t>
      </w:r>
      <w:r>
        <w:rPr>
          <w:sz w:val="18"/>
        </w:rPr>
        <w:t>plant</w:t>
      </w:r>
      <w:r>
        <w:rPr>
          <w:spacing w:val="18"/>
          <w:sz w:val="18"/>
        </w:rPr>
        <w:t> </w:t>
      </w:r>
      <w:r>
        <w:rPr>
          <w:sz w:val="18"/>
        </w:rPr>
        <w:t>greenhouse</w:t>
      </w:r>
      <w:r>
        <w:rPr>
          <w:spacing w:val="19"/>
          <w:sz w:val="18"/>
        </w:rPr>
        <w:t> </w:t>
      </w:r>
      <w:r>
        <w:rPr>
          <w:sz w:val="18"/>
        </w:rPr>
        <w:t>gas</w:t>
      </w:r>
      <w:r>
        <w:rPr>
          <w:spacing w:val="18"/>
          <w:sz w:val="18"/>
        </w:rPr>
        <w:t> </w:t>
      </w:r>
      <w:r>
        <w:rPr>
          <w:sz w:val="18"/>
        </w:rPr>
        <w:t>control.</w:t>
      </w:r>
      <w:r>
        <w:rPr>
          <w:spacing w:val="19"/>
          <w:sz w:val="18"/>
        </w:rPr>
        <w:t> </w:t>
      </w:r>
      <w:r>
        <w:rPr>
          <w:i/>
          <w:sz w:val="18"/>
        </w:rPr>
        <w:t>Environmental</w:t>
      </w:r>
      <w:r>
        <w:rPr>
          <w:i/>
          <w:spacing w:val="18"/>
          <w:sz w:val="18"/>
        </w:rPr>
        <w:t> </w:t>
      </w:r>
      <w:r>
        <w:rPr>
          <w:i/>
          <w:sz w:val="18"/>
        </w:rPr>
        <w:t>Science</w:t>
      </w:r>
    </w:p>
    <w:p>
      <w:pPr>
        <w:spacing w:before="32"/>
        <w:ind w:left="457" w:right="0" w:firstLine="0"/>
        <w:jc w:val="left"/>
        <w:rPr>
          <w:sz w:val="18"/>
        </w:rPr>
      </w:pPr>
      <w:r>
        <w:rPr>
          <w:i/>
          <w:sz w:val="18"/>
        </w:rPr>
        <w:t>and Technology, </w:t>
      </w:r>
      <w:r>
        <w:rPr>
          <w:b/>
          <w:sz w:val="18"/>
        </w:rPr>
        <w:t>36, </w:t>
      </w:r>
      <w:r>
        <w:rPr>
          <w:sz w:val="18"/>
        </w:rPr>
        <w:t>4467-4475.</w:t>
      </w:r>
    </w:p>
    <w:p>
      <w:pPr>
        <w:spacing w:line="240" w:lineRule="exact" w:before="9"/>
        <w:ind w:left="457" w:right="38" w:hanging="341"/>
        <w:jc w:val="both"/>
        <w:rPr>
          <w:sz w:val="18"/>
        </w:rPr>
      </w:pPr>
      <w:r>
        <w:rPr>
          <w:b/>
          <w:sz w:val="18"/>
        </w:rPr>
        <w:t>Rao, </w:t>
      </w:r>
      <w:r>
        <w:rPr>
          <w:sz w:val="18"/>
        </w:rPr>
        <w:t>A.B., E.S. Rubin and M. Morgan, 2003: Evaluation of potential cost reductions from improved CO</w:t>
      </w:r>
      <w:r>
        <w:rPr>
          <w:position w:val="-5"/>
          <w:sz w:val="10"/>
        </w:rPr>
        <w:t>2 </w:t>
      </w:r>
      <w:r>
        <w:rPr>
          <w:sz w:val="18"/>
        </w:rPr>
        <w:t>capture systems. 2nd Annual Conference on Carbon Sequestration, Alexandria, </w:t>
      </w:r>
      <w:r>
        <w:rPr>
          <w:spacing w:val="-9"/>
          <w:sz w:val="18"/>
        </w:rPr>
        <w:t>VA, </w:t>
      </w:r>
      <w:r>
        <w:rPr>
          <w:sz w:val="18"/>
        </w:rPr>
        <w:t>USA, 5-8 </w:t>
      </w:r>
      <w:r>
        <w:rPr>
          <w:spacing w:val="-4"/>
          <w:sz w:val="18"/>
        </w:rPr>
        <w:t>May, </w:t>
      </w:r>
      <w:r>
        <w:rPr>
          <w:sz w:val="18"/>
        </w:rPr>
        <w:t>U.S. Department of </w:t>
      </w:r>
      <w:r>
        <w:rPr>
          <w:spacing w:val="-3"/>
          <w:sz w:val="18"/>
        </w:rPr>
        <w:t>Energy, </w:t>
      </w:r>
      <w:r>
        <w:rPr>
          <w:sz w:val="18"/>
        </w:rPr>
        <w:t>NETL, Pittsburgh,</w:t>
      </w:r>
      <w:r>
        <w:rPr>
          <w:spacing w:val="-2"/>
          <w:sz w:val="18"/>
        </w:rPr>
        <w:t> </w:t>
      </w:r>
      <w:r>
        <w:rPr>
          <w:spacing w:val="-7"/>
          <w:sz w:val="18"/>
        </w:rPr>
        <w:t>PA.</w:t>
      </w:r>
    </w:p>
    <w:p>
      <w:pPr>
        <w:spacing w:line="278" w:lineRule="auto" w:before="24"/>
        <w:ind w:left="457" w:right="39" w:hanging="341"/>
        <w:jc w:val="both"/>
        <w:rPr>
          <w:sz w:val="18"/>
        </w:rPr>
      </w:pPr>
      <w:r>
        <w:rPr/>
        <w:pict>
          <v:shape style="position:absolute;margin-left:286.382111pt;margin-top:20.657345pt;width:2.65pt;height:5.25pt;mso-position-horizontal-relative:page;mso-position-vertical-relative:paragraph;z-index:-272338944" type="#_x0000_t202" filled="false" stroked="false">
            <v:textbox inset="0,0,0,0">
              <w:txbxContent>
                <w:p>
                  <w:pPr>
                    <w:spacing w:line="100" w:lineRule="exact" w:before="0"/>
                    <w:ind w:left="0" w:right="0" w:firstLine="0"/>
                    <w:jc w:val="left"/>
                    <w:rPr>
                      <w:sz w:val="10"/>
                    </w:rPr>
                  </w:pPr>
                  <w:r>
                    <w:rPr>
                      <w:w w:val="104"/>
                      <w:sz w:val="10"/>
                    </w:rPr>
                    <w:t>2</w:t>
                  </w:r>
                </w:p>
              </w:txbxContent>
            </v:textbox>
            <w10:wrap type="none"/>
          </v:shape>
        </w:pict>
      </w:r>
      <w:r>
        <w:rPr>
          <w:b/>
          <w:sz w:val="18"/>
        </w:rPr>
        <w:t>Reddy</w:t>
      </w:r>
      <w:r>
        <w:rPr>
          <w:sz w:val="18"/>
        </w:rPr>
        <w:t>, S., J. Scherffius, S. Freguia and C. Roberts, 2003: Fluor’s Econamine FG Plus</w:t>
      </w:r>
      <w:r>
        <w:rPr>
          <w:position w:val="6"/>
          <w:sz w:val="10"/>
        </w:rPr>
        <w:t>SM </w:t>
      </w:r>
      <w:r>
        <w:rPr>
          <w:sz w:val="18"/>
        </w:rPr>
        <w:t>technology - an enhanced amine-based CO capture</w:t>
      </w:r>
      <w:r>
        <w:rPr>
          <w:spacing w:val="-15"/>
          <w:sz w:val="18"/>
        </w:rPr>
        <w:t> </w:t>
      </w:r>
      <w:r>
        <w:rPr>
          <w:sz w:val="18"/>
        </w:rPr>
        <w:t>process,</w:t>
      </w:r>
      <w:r>
        <w:rPr>
          <w:spacing w:val="-15"/>
          <w:sz w:val="18"/>
        </w:rPr>
        <w:t> </w:t>
      </w:r>
      <w:r>
        <w:rPr>
          <w:sz w:val="18"/>
        </w:rPr>
        <w:t>2nd</w:t>
      </w:r>
      <w:r>
        <w:rPr>
          <w:spacing w:val="-23"/>
          <w:sz w:val="18"/>
        </w:rPr>
        <w:t> </w:t>
      </w:r>
      <w:r>
        <w:rPr>
          <w:sz w:val="18"/>
        </w:rPr>
        <w:t>Annual</w:t>
      </w:r>
      <w:r>
        <w:rPr>
          <w:spacing w:val="-15"/>
          <w:sz w:val="18"/>
        </w:rPr>
        <w:t> </w:t>
      </w:r>
      <w:r>
        <w:rPr>
          <w:sz w:val="18"/>
        </w:rPr>
        <w:t>Conference</w:t>
      </w:r>
      <w:r>
        <w:rPr>
          <w:spacing w:val="-14"/>
          <w:sz w:val="18"/>
        </w:rPr>
        <w:t> </w:t>
      </w:r>
      <w:r>
        <w:rPr>
          <w:sz w:val="18"/>
        </w:rPr>
        <w:t>on</w:t>
      </w:r>
      <w:r>
        <w:rPr>
          <w:spacing w:val="-15"/>
          <w:sz w:val="18"/>
        </w:rPr>
        <w:t> </w:t>
      </w:r>
      <w:r>
        <w:rPr>
          <w:sz w:val="18"/>
        </w:rPr>
        <w:t>Carbon</w:t>
      </w:r>
      <w:r>
        <w:rPr>
          <w:spacing w:val="-15"/>
          <w:sz w:val="18"/>
        </w:rPr>
        <w:t> </w:t>
      </w:r>
      <w:r>
        <w:rPr>
          <w:sz w:val="18"/>
        </w:rPr>
        <w:t>Sequestration, Alexandria, </w:t>
      </w:r>
      <w:r>
        <w:rPr>
          <w:spacing w:val="-9"/>
          <w:sz w:val="18"/>
        </w:rPr>
        <w:t>VA, </w:t>
      </w:r>
      <w:r>
        <w:rPr>
          <w:sz w:val="18"/>
        </w:rPr>
        <w:t>USA, 5-8 </w:t>
      </w:r>
      <w:r>
        <w:rPr>
          <w:spacing w:val="-4"/>
          <w:sz w:val="18"/>
        </w:rPr>
        <w:t>May, </w:t>
      </w:r>
      <w:r>
        <w:rPr>
          <w:sz w:val="18"/>
        </w:rPr>
        <w:t>U.S. Department of </w:t>
      </w:r>
      <w:r>
        <w:rPr>
          <w:spacing w:val="-3"/>
          <w:sz w:val="18"/>
        </w:rPr>
        <w:t>Energy, </w:t>
      </w:r>
      <w:r>
        <w:rPr>
          <w:sz w:val="18"/>
        </w:rPr>
        <w:t>National Energy Technology Laboratory, Pittsburgh,</w:t>
      </w:r>
      <w:r>
        <w:rPr>
          <w:spacing w:val="-17"/>
          <w:sz w:val="18"/>
        </w:rPr>
        <w:t> </w:t>
      </w:r>
      <w:r>
        <w:rPr>
          <w:spacing w:val="-7"/>
          <w:sz w:val="18"/>
        </w:rPr>
        <w:t>PA.</w:t>
      </w:r>
    </w:p>
    <w:p>
      <w:pPr>
        <w:spacing w:line="278" w:lineRule="auto" w:before="0"/>
        <w:ind w:left="457" w:right="39" w:hanging="341"/>
        <w:jc w:val="both"/>
        <w:rPr>
          <w:sz w:val="18"/>
        </w:rPr>
      </w:pPr>
      <w:r>
        <w:rPr>
          <w:b/>
          <w:sz w:val="18"/>
        </w:rPr>
        <w:t>Renzenbrink,</w:t>
      </w:r>
      <w:r>
        <w:rPr>
          <w:b/>
          <w:spacing w:val="-13"/>
          <w:sz w:val="18"/>
        </w:rPr>
        <w:t> </w:t>
      </w:r>
      <w:r>
        <w:rPr>
          <w:spacing w:val="-6"/>
          <w:sz w:val="18"/>
        </w:rPr>
        <w:t>W.,</w:t>
      </w:r>
      <w:r>
        <w:rPr>
          <w:spacing w:val="-14"/>
          <w:sz w:val="18"/>
        </w:rPr>
        <w:t> </w:t>
      </w:r>
      <w:r>
        <w:rPr>
          <w:sz w:val="18"/>
        </w:rPr>
        <w:t>R.</w:t>
      </w:r>
      <w:r>
        <w:rPr>
          <w:spacing w:val="-16"/>
          <w:sz w:val="18"/>
        </w:rPr>
        <w:t> </w:t>
      </w:r>
      <w:r>
        <w:rPr>
          <w:sz w:val="18"/>
        </w:rPr>
        <w:t>Wischnewski,</w:t>
      </w:r>
      <w:r>
        <w:rPr>
          <w:spacing w:val="-14"/>
          <w:sz w:val="18"/>
        </w:rPr>
        <w:t> </w:t>
      </w:r>
      <w:r>
        <w:rPr>
          <w:sz w:val="18"/>
        </w:rPr>
        <w:t>J.</w:t>
      </w:r>
      <w:r>
        <w:rPr>
          <w:spacing w:val="-13"/>
          <w:sz w:val="18"/>
        </w:rPr>
        <w:t> </w:t>
      </w:r>
      <w:r>
        <w:rPr>
          <w:sz w:val="18"/>
        </w:rPr>
        <w:t>Engelhard,</w:t>
      </w:r>
      <w:r>
        <w:rPr>
          <w:spacing w:val="-23"/>
          <w:sz w:val="18"/>
        </w:rPr>
        <w:t> </w:t>
      </w:r>
      <w:r>
        <w:rPr>
          <w:sz w:val="18"/>
        </w:rPr>
        <w:t>A.</w:t>
      </w:r>
      <w:r>
        <w:rPr>
          <w:spacing w:val="-13"/>
          <w:sz w:val="18"/>
        </w:rPr>
        <w:t> </w:t>
      </w:r>
      <w:r>
        <w:rPr>
          <w:sz w:val="18"/>
        </w:rPr>
        <w:t>Mittelstadt,</w:t>
      </w:r>
      <w:r>
        <w:rPr>
          <w:spacing w:val="-14"/>
          <w:sz w:val="18"/>
        </w:rPr>
        <w:t> </w:t>
      </w:r>
      <w:r>
        <w:rPr>
          <w:sz w:val="18"/>
        </w:rPr>
        <w:t>1998: High Temperature Winkler (HTW) Coal Gasification: A Fully Developed</w:t>
      </w:r>
      <w:r>
        <w:rPr>
          <w:spacing w:val="-17"/>
          <w:sz w:val="18"/>
        </w:rPr>
        <w:t> </w:t>
      </w:r>
      <w:r>
        <w:rPr>
          <w:sz w:val="18"/>
        </w:rPr>
        <w:t>Process</w:t>
      </w:r>
      <w:r>
        <w:rPr>
          <w:spacing w:val="-17"/>
          <w:sz w:val="18"/>
        </w:rPr>
        <w:t> </w:t>
      </w:r>
      <w:r>
        <w:rPr>
          <w:sz w:val="18"/>
        </w:rPr>
        <w:t>for</w:t>
      </w:r>
      <w:r>
        <w:rPr>
          <w:spacing w:val="-17"/>
          <w:sz w:val="18"/>
        </w:rPr>
        <w:t> </w:t>
      </w:r>
      <w:r>
        <w:rPr>
          <w:sz w:val="18"/>
        </w:rPr>
        <w:t>Methanol</w:t>
      </w:r>
      <w:r>
        <w:rPr>
          <w:spacing w:val="-17"/>
          <w:sz w:val="18"/>
        </w:rPr>
        <w:t> </w:t>
      </w:r>
      <w:r>
        <w:rPr>
          <w:sz w:val="18"/>
        </w:rPr>
        <w:t>and</w:t>
      </w:r>
      <w:r>
        <w:rPr>
          <w:spacing w:val="-16"/>
          <w:sz w:val="18"/>
        </w:rPr>
        <w:t> </w:t>
      </w:r>
      <w:r>
        <w:rPr>
          <w:sz w:val="18"/>
        </w:rPr>
        <w:t>Electricity</w:t>
      </w:r>
      <w:r>
        <w:rPr>
          <w:spacing w:val="-17"/>
          <w:sz w:val="18"/>
        </w:rPr>
        <w:t> </w:t>
      </w:r>
      <w:r>
        <w:rPr>
          <w:sz w:val="18"/>
        </w:rPr>
        <w:t>Production,</w:t>
      </w:r>
      <w:r>
        <w:rPr>
          <w:spacing w:val="-17"/>
          <w:sz w:val="18"/>
        </w:rPr>
        <w:t> </w:t>
      </w:r>
      <w:r>
        <w:rPr>
          <w:sz w:val="18"/>
        </w:rPr>
        <w:t>paper presented at the Gasification Technology Conference, October 1998, San Francisco, CA,</w:t>
      </w:r>
      <w:r>
        <w:rPr>
          <w:spacing w:val="-4"/>
          <w:sz w:val="18"/>
        </w:rPr>
        <w:t> </w:t>
      </w:r>
      <w:r>
        <w:rPr>
          <w:sz w:val="18"/>
        </w:rPr>
        <w:t>USA.</w:t>
      </w:r>
    </w:p>
    <w:p>
      <w:pPr>
        <w:spacing w:line="278" w:lineRule="auto" w:before="148"/>
        <w:ind w:left="457" w:right="511" w:hanging="341"/>
        <w:jc w:val="both"/>
        <w:rPr>
          <w:sz w:val="18"/>
        </w:rPr>
      </w:pPr>
      <w:r>
        <w:rPr/>
        <w:br w:type="column"/>
      </w:r>
      <w:r>
        <w:rPr>
          <w:b/>
          <w:sz w:val="18"/>
        </w:rPr>
        <w:t>Richards, </w:t>
      </w:r>
      <w:r>
        <w:rPr>
          <w:sz w:val="18"/>
        </w:rPr>
        <w:t>D., 2003: Dilute oxy-fuel technology for zero emmission power, First International Conference on Industrial Gas Turbine Technologies, Brussels (available on www.came-gt.com).</w:t>
      </w:r>
    </w:p>
    <w:p>
      <w:pPr>
        <w:spacing w:line="278" w:lineRule="auto" w:before="0"/>
        <w:ind w:left="457" w:right="511" w:hanging="341"/>
        <w:jc w:val="both"/>
        <w:rPr>
          <w:sz w:val="18"/>
        </w:rPr>
      </w:pPr>
      <w:r>
        <w:rPr>
          <w:b/>
          <w:spacing w:val="-3"/>
          <w:sz w:val="18"/>
        </w:rPr>
        <w:t>Richter,</w:t>
      </w:r>
      <w:r>
        <w:rPr>
          <w:b/>
          <w:spacing w:val="-15"/>
          <w:sz w:val="18"/>
        </w:rPr>
        <w:t> </w:t>
      </w:r>
      <w:r>
        <w:rPr>
          <w:sz w:val="18"/>
        </w:rPr>
        <w:t>H.J.,</w:t>
      </w:r>
      <w:r>
        <w:rPr>
          <w:spacing w:val="-14"/>
          <w:sz w:val="18"/>
        </w:rPr>
        <w:t> </w:t>
      </w:r>
      <w:r>
        <w:rPr>
          <w:sz w:val="18"/>
        </w:rPr>
        <w:t>K.</w:t>
      </w:r>
      <w:r>
        <w:rPr>
          <w:spacing w:val="-14"/>
          <w:sz w:val="18"/>
        </w:rPr>
        <w:t> </w:t>
      </w:r>
      <w:r>
        <w:rPr>
          <w:sz w:val="18"/>
        </w:rPr>
        <w:t>Knoche</w:t>
      </w:r>
      <w:r>
        <w:rPr>
          <w:spacing w:val="-14"/>
          <w:sz w:val="18"/>
        </w:rPr>
        <w:t> </w:t>
      </w:r>
      <w:r>
        <w:rPr>
          <w:sz w:val="18"/>
        </w:rPr>
        <w:t>1983:</w:t>
      </w:r>
      <w:r>
        <w:rPr>
          <w:spacing w:val="-14"/>
          <w:sz w:val="18"/>
        </w:rPr>
        <w:t> </w:t>
      </w:r>
      <w:r>
        <w:rPr>
          <w:sz w:val="18"/>
        </w:rPr>
        <w:t>Reversibility</w:t>
      </w:r>
      <w:r>
        <w:rPr>
          <w:spacing w:val="-14"/>
          <w:sz w:val="18"/>
        </w:rPr>
        <w:t> </w:t>
      </w:r>
      <w:r>
        <w:rPr>
          <w:sz w:val="18"/>
        </w:rPr>
        <w:t>of</w:t>
      </w:r>
      <w:r>
        <w:rPr>
          <w:spacing w:val="-14"/>
          <w:sz w:val="18"/>
        </w:rPr>
        <w:t> </w:t>
      </w:r>
      <w:r>
        <w:rPr>
          <w:sz w:val="18"/>
        </w:rPr>
        <w:t>Combustion</w:t>
      </w:r>
      <w:r>
        <w:rPr>
          <w:spacing w:val="-14"/>
          <w:sz w:val="18"/>
        </w:rPr>
        <w:t> </w:t>
      </w:r>
      <w:r>
        <w:rPr>
          <w:sz w:val="18"/>
        </w:rPr>
        <w:t>processes, Efficiency</w:t>
      </w:r>
      <w:r>
        <w:rPr>
          <w:spacing w:val="-6"/>
          <w:sz w:val="18"/>
        </w:rPr>
        <w:t> </w:t>
      </w:r>
      <w:r>
        <w:rPr>
          <w:sz w:val="18"/>
        </w:rPr>
        <w:t>and</w:t>
      </w:r>
      <w:r>
        <w:rPr>
          <w:spacing w:val="-4"/>
          <w:sz w:val="18"/>
        </w:rPr>
        <w:t> </w:t>
      </w:r>
      <w:r>
        <w:rPr>
          <w:sz w:val="18"/>
        </w:rPr>
        <w:t>Costing</w:t>
      </w:r>
      <w:r>
        <w:rPr>
          <w:spacing w:val="-4"/>
          <w:sz w:val="18"/>
        </w:rPr>
        <w:t> </w:t>
      </w:r>
      <w:r>
        <w:rPr>
          <w:sz w:val="18"/>
        </w:rPr>
        <w:t>-</w:t>
      </w:r>
      <w:r>
        <w:rPr>
          <w:spacing w:val="-5"/>
          <w:sz w:val="18"/>
        </w:rPr>
        <w:t> </w:t>
      </w:r>
      <w:r>
        <w:rPr>
          <w:sz w:val="18"/>
        </w:rPr>
        <w:t>Second</w:t>
      </w:r>
      <w:r>
        <w:rPr>
          <w:spacing w:val="-4"/>
          <w:sz w:val="18"/>
        </w:rPr>
        <w:t> </w:t>
      </w:r>
      <w:r>
        <w:rPr>
          <w:sz w:val="18"/>
        </w:rPr>
        <w:t>Law</w:t>
      </w:r>
      <w:r>
        <w:rPr>
          <w:spacing w:val="-13"/>
          <w:sz w:val="18"/>
        </w:rPr>
        <w:t> </w:t>
      </w:r>
      <w:r>
        <w:rPr>
          <w:sz w:val="18"/>
        </w:rPr>
        <w:t>Analysis</w:t>
      </w:r>
      <w:r>
        <w:rPr>
          <w:spacing w:val="-5"/>
          <w:sz w:val="18"/>
        </w:rPr>
        <w:t> </w:t>
      </w:r>
      <w:r>
        <w:rPr>
          <w:sz w:val="18"/>
        </w:rPr>
        <w:t>of</w:t>
      </w:r>
      <w:r>
        <w:rPr>
          <w:spacing w:val="-4"/>
          <w:sz w:val="18"/>
        </w:rPr>
        <w:t> </w:t>
      </w:r>
      <w:r>
        <w:rPr>
          <w:sz w:val="18"/>
        </w:rPr>
        <w:t>Processes,</w:t>
      </w:r>
      <w:r>
        <w:rPr>
          <w:spacing w:val="-4"/>
          <w:sz w:val="18"/>
        </w:rPr>
        <w:t> </w:t>
      </w:r>
      <w:r>
        <w:rPr>
          <w:i/>
          <w:sz w:val="18"/>
        </w:rPr>
        <w:t>ACS </w:t>
      </w:r>
      <w:r>
        <w:rPr>
          <w:i/>
          <w:sz w:val="18"/>
        </w:rPr>
        <w:t>Symposium series, </w:t>
      </w:r>
      <w:r>
        <w:rPr>
          <w:b/>
          <w:sz w:val="18"/>
        </w:rPr>
        <w:t>235</w:t>
      </w:r>
      <w:r>
        <w:rPr>
          <w:sz w:val="18"/>
        </w:rPr>
        <w:t>, p.</w:t>
      </w:r>
      <w:r>
        <w:rPr>
          <w:spacing w:val="-1"/>
          <w:sz w:val="18"/>
        </w:rPr>
        <w:t> </w:t>
      </w:r>
      <w:r>
        <w:rPr>
          <w:sz w:val="18"/>
        </w:rPr>
        <w:t>71-85.</w:t>
      </w:r>
    </w:p>
    <w:p>
      <w:pPr>
        <w:spacing w:line="278" w:lineRule="auto" w:before="0"/>
        <w:ind w:left="457" w:right="511" w:hanging="341"/>
        <w:jc w:val="both"/>
        <w:rPr>
          <w:sz w:val="18"/>
        </w:rPr>
      </w:pPr>
      <w:r>
        <w:rPr>
          <w:b/>
          <w:sz w:val="18"/>
        </w:rPr>
        <w:t>Riemer, </w:t>
      </w:r>
      <w:r>
        <w:rPr>
          <w:sz w:val="18"/>
        </w:rPr>
        <w:t>P.W.F. and W.G. Ormerod, 1995: International perspectives and the results of carbon dioxide capture disposal and utilisation studies, </w:t>
      </w:r>
      <w:r>
        <w:rPr>
          <w:i/>
          <w:sz w:val="18"/>
        </w:rPr>
        <w:t>Energy Conversion and Management, </w:t>
      </w:r>
      <w:r>
        <w:rPr>
          <w:b/>
          <w:sz w:val="18"/>
        </w:rPr>
        <w:t>36</w:t>
      </w:r>
      <w:r>
        <w:rPr>
          <w:sz w:val="18"/>
        </w:rPr>
        <w:t>(6-9), 813-818.</w:t>
      </w:r>
    </w:p>
    <w:p>
      <w:pPr>
        <w:spacing w:line="278" w:lineRule="auto" w:before="0"/>
        <w:ind w:left="457" w:right="512" w:hanging="341"/>
        <w:jc w:val="both"/>
        <w:rPr>
          <w:sz w:val="18"/>
        </w:rPr>
      </w:pPr>
      <w:r>
        <w:rPr>
          <w:b/>
          <w:sz w:val="18"/>
        </w:rPr>
        <w:t>Rizeq, </w:t>
      </w:r>
      <w:r>
        <w:rPr>
          <w:sz w:val="18"/>
        </w:rPr>
        <w:t>G., R. Subia, J. West, A. Frydman, and V. Zamansky, 2002: Advanced-Gasification Combustion: Bench-Scale Parametric Study. 19th Annual International Pittsburgh Coal Conference September 23-27, 2002, Pittsburgh, PA, USA.</w:t>
      </w:r>
    </w:p>
    <w:p>
      <w:pPr>
        <w:spacing w:line="278" w:lineRule="auto" w:before="0"/>
        <w:ind w:left="457" w:right="511" w:hanging="341"/>
        <w:jc w:val="both"/>
        <w:rPr>
          <w:sz w:val="18"/>
        </w:rPr>
      </w:pPr>
      <w:r>
        <w:rPr>
          <w:b/>
          <w:sz w:val="18"/>
        </w:rPr>
        <w:t>Robinson, </w:t>
      </w:r>
      <w:r>
        <w:rPr>
          <w:sz w:val="18"/>
        </w:rPr>
        <w:t>A.L., J.S. Rhodes, and D.W. Keith, 2003: Assessment of potential carbon dioxide reductions due to biomass-coal cofiring in the United States, </w:t>
      </w:r>
      <w:r>
        <w:rPr>
          <w:i/>
          <w:sz w:val="18"/>
        </w:rPr>
        <w:t>Environmental Science and Technology</w:t>
      </w:r>
      <w:r>
        <w:rPr>
          <w:sz w:val="18"/>
        </w:rPr>
        <w:t>, </w:t>
      </w:r>
      <w:r>
        <w:rPr>
          <w:b/>
          <w:sz w:val="18"/>
        </w:rPr>
        <w:t>37</w:t>
      </w:r>
      <w:r>
        <w:rPr>
          <w:sz w:val="18"/>
        </w:rPr>
        <w:t>(22), 5081-5089.</w:t>
      </w:r>
    </w:p>
    <w:p>
      <w:pPr>
        <w:spacing w:line="230" w:lineRule="auto" w:before="3"/>
        <w:ind w:left="457" w:right="511" w:hanging="341"/>
        <w:jc w:val="both"/>
        <w:rPr>
          <w:sz w:val="18"/>
        </w:rPr>
      </w:pPr>
      <w:r>
        <w:rPr>
          <w:b/>
          <w:sz w:val="18"/>
        </w:rPr>
        <w:t>Rubin, </w:t>
      </w:r>
      <w:r>
        <w:rPr>
          <w:sz w:val="18"/>
        </w:rPr>
        <w:t>E.S. and A.B. Rao, 2003: Uncertainties in CO</w:t>
      </w:r>
      <w:r>
        <w:rPr>
          <w:position w:val="-5"/>
          <w:sz w:val="10"/>
        </w:rPr>
        <w:t>2 </w:t>
      </w:r>
      <w:r>
        <w:rPr>
          <w:sz w:val="18"/>
        </w:rPr>
        <w:t>capture and sequestration costs, Greenhouse Gas Control Technologies,</w:t>
      </w:r>
    </w:p>
    <w:p>
      <w:pPr>
        <w:spacing w:line="278" w:lineRule="auto" w:before="35"/>
        <w:ind w:left="457" w:right="512" w:firstLine="0"/>
        <w:jc w:val="both"/>
        <w:rPr>
          <w:sz w:val="18"/>
        </w:rPr>
      </w:pPr>
      <w:r>
        <w:rPr>
          <w:sz w:val="18"/>
        </w:rPr>
        <w:t>Proceedings of the 6</w:t>
      </w:r>
      <w:r>
        <w:rPr>
          <w:position w:val="6"/>
          <w:sz w:val="10"/>
        </w:rPr>
        <w:t>th </w:t>
      </w:r>
      <w:r>
        <w:rPr>
          <w:sz w:val="18"/>
        </w:rPr>
        <w:t>International Conference on Greenhouse Gas Control Technologies (GHGT-6), 1-4 Oct. 2002, Kyoto, Japan, J. Gale and Y. Kaya (eds.), Elsevier Science Ltd, Oxford, UK.</w:t>
      </w:r>
    </w:p>
    <w:p>
      <w:pPr>
        <w:spacing w:line="207" w:lineRule="exact" w:before="0"/>
        <w:ind w:left="116" w:right="0" w:firstLine="0"/>
        <w:jc w:val="both"/>
        <w:rPr>
          <w:i/>
          <w:sz w:val="18"/>
        </w:rPr>
      </w:pPr>
      <w:r>
        <w:rPr>
          <w:b/>
          <w:sz w:val="18"/>
        </w:rPr>
        <w:t>Rubin, </w:t>
      </w:r>
      <w:r>
        <w:rPr>
          <w:sz w:val="18"/>
        </w:rPr>
        <w:t>E.S., 2001: </w:t>
      </w:r>
      <w:r>
        <w:rPr>
          <w:i/>
          <w:sz w:val="18"/>
        </w:rPr>
        <w:t>Introduction to Engineering and the Environment.</w:t>
      </w:r>
    </w:p>
    <w:p>
      <w:pPr>
        <w:spacing w:before="33"/>
        <w:ind w:left="457" w:right="0" w:firstLine="0"/>
        <w:jc w:val="both"/>
        <w:rPr>
          <w:sz w:val="18"/>
        </w:rPr>
      </w:pPr>
      <w:r>
        <w:rPr>
          <w:sz w:val="18"/>
        </w:rPr>
        <w:t>McGraw-Hill, Boston, MA, 701 p.</w:t>
      </w:r>
    </w:p>
    <w:p>
      <w:pPr>
        <w:spacing w:line="240" w:lineRule="exact" w:before="9"/>
        <w:ind w:left="457" w:right="512" w:hanging="341"/>
        <w:jc w:val="both"/>
        <w:rPr>
          <w:sz w:val="18"/>
        </w:rPr>
      </w:pPr>
      <w:r>
        <w:rPr>
          <w:b/>
          <w:sz w:val="18"/>
        </w:rPr>
        <w:t>Rubin,</w:t>
      </w:r>
      <w:r>
        <w:rPr>
          <w:b/>
          <w:spacing w:val="-3"/>
          <w:sz w:val="18"/>
        </w:rPr>
        <w:t> </w:t>
      </w:r>
      <w:r>
        <w:rPr>
          <w:sz w:val="18"/>
        </w:rPr>
        <w:t>E.S.,</w:t>
      </w:r>
      <w:r>
        <w:rPr>
          <w:spacing w:val="-11"/>
          <w:sz w:val="18"/>
        </w:rPr>
        <w:t> </w:t>
      </w:r>
      <w:r>
        <w:rPr>
          <w:sz w:val="18"/>
        </w:rPr>
        <w:t>A.B.</w:t>
      </w:r>
      <w:r>
        <w:rPr>
          <w:spacing w:val="-2"/>
          <w:sz w:val="18"/>
        </w:rPr>
        <w:t> </w:t>
      </w:r>
      <w:r>
        <w:rPr>
          <w:sz w:val="18"/>
        </w:rPr>
        <w:t>Rao,</w:t>
      </w:r>
      <w:r>
        <w:rPr>
          <w:spacing w:val="-2"/>
          <w:sz w:val="18"/>
        </w:rPr>
        <w:t> </w:t>
      </w:r>
      <w:r>
        <w:rPr>
          <w:sz w:val="18"/>
        </w:rPr>
        <w:t>and</w:t>
      </w:r>
      <w:r>
        <w:rPr>
          <w:spacing w:val="-2"/>
          <w:sz w:val="18"/>
        </w:rPr>
        <w:t> </w:t>
      </w:r>
      <w:r>
        <w:rPr>
          <w:sz w:val="18"/>
        </w:rPr>
        <w:t>C.</w:t>
      </w:r>
      <w:r>
        <w:rPr>
          <w:spacing w:val="-3"/>
          <w:sz w:val="18"/>
        </w:rPr>
        <w:t> </w:t>
      </w:r>
      <w:r>
        <w:rPr>
          <w:sz w:val="18"/>
        </w:rPr>
        <w:t>Chen,</w:t>
      </w:r>
      <w:r>
        <w:rPr>
          <w:spacing w:val="-2"/>
          <w:sz w:val="18"/>
        </w:rPr>
        <w:t> </w:t>
      </w:r>
      <w:r>
        <w:rPr>
          <w:sz w:val="18"/>
        </w:rPr>
        <w:t>2005:</w:t>
      </w:r>
      <w:r>
        <w:rPr>
          <w:spacing w:val="-2"/>
          <w:sz w:val="18"/>
        </w:rPr>
        <w:t> </w:t>
      </w:r>
      <w:r>
        <w:rPr>
          <w:sz w:val="18"/>
        </w:rPr>
        <w:t>Comparative</w:t>
      </w:r>
      <w:r>
        <w:rPr>
          <w:spacing w:val="-11"/>
          <w:sz w:val="18"/>
        </w:rPr>
        <w:t> </w:t>
      </w:r>
      <w:r>
        <w:rPr>
          <w:sz w:val="18"/>
        </w:rPr>
        <w:t>Assessments of Fossil Fuel Power Plants with CO</w:t>
      </w:r>
      <w:r>
        <w:rPr>
          <w:position w:val="-5"/>
          <w:sz w:val="10"/>
        </w:rPr>
        <w:t>2 </w:t>
      </w:r>
      <w:r>
        <w:rPr>
          <w:sz w:val="18"/>
        </w:rPr>
        <w:t>Capture and Storage. Proceedings of 7th International Conference on  Greenhouse  Gas Control Technologies, </w:t>
      </w:r>
      <w:r>
        <w:rPr>
          <w:spacing w:val="-4"/>
          <w:sz w:val="18"/>
        </w:rPr>
        <w:t>Volume </w:t>
      </w:r>
      <w:r>
        <w:rPr>
          <w:sz w:val="18"/>
        </w:rPr>
        <w:t>1: Peer-Reviewed  Papers and Overviews, E.S. Rubin, </w:t>
      </w:r>
      <w:r>
        <w:rPr>
          <w:spacing w:val="-5"/>
          <w:sz w:val="18"/>
        </w:rPr>
        <w:t>D.W. </w:t>
      </w:r>
      <w:r>
        <w:rPr>
          <w:sz w:val="18"/>
        </w:rPr>
        <w:t>Keith and </w:t>
      </w:r>
      <w:r>
        <w:rPr>
          <w:spacing w:val="-4"/>
          <w:sz w:val="18"/>
        </w:rPr>
        <w:t>C.F. </w:t>
      </w:r>
      <w:r>
        <w:rPr>
          <w:sz w:val="18"/>
        </w:rPr>
        <w:t>Gilboy (eds.), Elsevier Science, Oxford, UK,</w:t>
      </w:r>
      <w:r>
        <w:rPr>
          <w:spacing w:val="-5"/>
          <w:sz w:val="18"/>
        </w:rPr>
        <w:t> </w:t>
      </w:r>
      <w:r>
        <w:rPr>
          <w:sz w:val="18"/>
        </w:rPr>
        <w:t>285-294.</w:t>
      </w:r>
    </w:p>
    <w:p>
      <w:pPr>
        <w:spacing w:line="278" w:lineRule="auto" w:before="24"/>
        <w:ind w:left="457" w:right="511" w:hanging="341"/>
        <w:jc w:val="both"/>
        <w:rPr>
          <w:sz w:val="18"/>
        </w:rPr>
      </w:pPr>
      <w:r>
        <w:rPr>
          <w:b/>
          <w:sz w:val="18"/>
        </w:rPr>
        <w:t>Rubin,</w:t>
      </w:r>
      <w:r>
        <w:rPr>
          <w:b/>
          <w:spacing w:val="-13"/>
          <w:sz w:val="18"/>
        </w:rPr>
        <w:t> </w:t>
      </w:r>
      <w:r>
        <w:rPr>
          <w:sz w:val="18"/>
        </w:rPr>
        <w:t>E.S.,</w:t>
      </w:r>
      <w:r>
        <w:rPr>
          <w:spacing w:val="-13"/>
          <w:sz w:val="18"/>
        </w:rPr>
        <w:t> </w:t>
      </w:r>
      <w:r>
        <w:rPr>
          <w:sz w:val="18"/>
        </w:rPr>
        <w:t>D.A.</w:t>
      </w:r>
      <w:r>
        <w:rPr>
          <w:spacing w:val="-13"/>
          <w:sz w:val="18"/>
        </w:rPr>
        <w:t> </w:t>
      </w:r>
      <w:r>
        <w:rPr>
          <w:sz w:val="18"/>
        </w:rPr>
        <w:t>Hounshell,</w:t>
      </w:r>
      <w:r>
        <w:rPr>
          <w:spacing w:val="-12"/>
          <w:sz w:val="18"/>
        </w:rPr>
        <w:t> </w:t>
      </w:r>
      <w:r>
        <w:rPr>
          <w:sz w:val="18"/>
        </w:rPr>
        <w:t>S.</w:t>
      </w:r>
      <w:r>
        <w:rPr>
          <w:spacing w:val="-18"/>
          <w:sz w:val="18"/>
        </w:rPr>
        <w:t> </w:t>
      </w:r>
      <w:r>
        <w:rPr>
          <w:spacing w:val="-5"/>
          <w:sz w:val="18"/>
        </w:rPr>
        <w:t>Yeh,</w:t>
      </w:r>
      <w:r>
        <w:rPr>
          <w:spacing w:val="-13"/>
          <w:sz w:val="18"/>
        </w:rPr>
        <w:t> </w:t>
      </w:r>
      <w:r>
        <w:rPr>
          <w:sz w:val="18"/>
        </w:rPr>
        <w:t>M.</w:t>
      </w:r>
      <w:r>
        <w:rPr>
          <w:spacing w:val="-15"/>
          <w:sz w:val="18"/>
        </w:rPr>
        <w:t> </w:t>
      </w:r>
      <w:r>
        <w:rPr>
          <w:spacing w:val="-3"/>
          <w:sz w:val="18"/>
        </w:rPr>
        <w:t>Taylor,</w:t>
      </w:r>
      <w:r>
        <w:rPr>
          <w:spacing w:val="-13"/>
          <w:sz w:val="18"/>
        </w:rPr>
        <w:t> </w:t>
      </w:r>
      <w:r>
        <w:rPr>
          <w:sz w:val="18"/>
        </w:rPr>
        <w:t>L.</w:t>
      </w:r>
      <w:r>
        <w:rPr>
          <w:spacing w:val="-13"/>
          <w:sz w:val="18"/>
        </w:rPr>
        <w:t> </w:t>
      </w:r>
      <w:r>
        <w:rPr>
          <w:sz w:val="18"/>
        </w:rPr>
        <w:t>Schrattenholzer,</w:t>
      </w:r>
      <w:r>
        <w:rPr>
          <w:spacing w:val="-13"/>
          <w:sz w:val="18"/>
        </w:rPr>
        <w:t> </w:t>
      </w:r>
      <w:r>
        <w:rPr>
          <w:sz w:val="18"/>
        </w:rPr>
        <w:t>K. Riahi, L. Barreto, and S. Rao, 2004b: The Effect of Government Actions</w:t>
      </w:r>
      <w:r>
        <w:rPr>
          <w:spacing w:val="-22"/>
          <w:sz w:val="18"/>
        </w:rPr>
        <w:t> </w:t>
      </w:r>
      <w:r>
        <w:rPr>
          <w:sz w:val="18"/>
        </w:rPr>
        <w:t>on</w:t>
      </w:r>
      <w:r>
        <w:rPr>
          <w:spacing w:val="-22"/>
          <w:sz w:val="18"/>
        </w:rPr>
        <w:t> </w:t>
      </w:r>
      <w:r>
        <w:rPr>
          <w:sz w:val="18"/>
        </w:rPr>
        <w:t>Environmental</w:t>
      </w:r>
      <w:r>
        <w:rPr>
          <w:spacing w:val="-25"/>
          <w:sz w:val="18"/>
        </w:rPr>
        <w:t> </w:t>
      </w:r>
      <w:r>
        <w:rPr>
          <w:sz w:val="18"/>
        </w:rPr>
        <w:t>Technology</w:t>
      </w:r>
      <w:r>
        <w:rPr>
          <w:spacing w:val="-22"/>
          <w:sz w:val="18"/>
        </w:rPr>
        <w:t> </w:t>
      </w:r>
      <w:r>
        <w:rPr>
          <w:sz w:val="18"/>
        </w:rPr>
        <w:t>Innovation:</w:t>
      </w:r>
      <w:r>
        <w:rPr>
          <w:spacing w:val="-30"/>
          <w:sz w:val="18"/>
        </w:rPr>
        <w:t> </w:t>
      </w:r>
      <w:r>
        <w:rPr>
          <w:sz w:val="18"/>
        </w:rPr>
        <w:t>Applications</w:t>
      </w:r>
      <w:r>
        <w:rPr>
          <w:spacing w:val="-22"/>
          <w:sz w:val="18"/>
        </w:rPr>
        <w:t> </w:t>
      </w:r>
      <w:r>
        <w:rPr>
          <w:sz w:val="18"/>
        </w:rPr>
        <w:t>to the</w:t>
      </w:r>
      <w:r>
        <w:rPr>
          <w:spacing w:val="-9"/>
          <w:sz w:val="18"/>
        </w:rPr>
        <w:t> </w:t>
      </w:r>
      <w:r>
        <w:rPr>
          <w:sz w:val="18"/>
        </w:rPr>
        <w:t>Integrated</w:t>
      </w:r>
      <w:r>
        <w:rPr>
          <w:spacing w:val="-17"/>
          <w:sz w:val="18"/>
        </w:rPr>
        <w:t> </w:t>
      </w:r>
      <w:r>
        <w:rPr>
          <w:sz w:val="18"/>
        </w:rPr>
        <w:t>Assessment</w:t>
      </w:r>
      <w:r>
        <w:rPr>
          <w:spacing w:val="-8"/>
          <w:sz w:val="18"/>
        </w:rPr>
        <w:t> </w:t>
      </w:r>
      <w:r>
        <w:rPr>
          <w:sz w:val="18"/>
        </w:rPr>
        <w:t>of</w:t>
      </w:r>
      <w:r>
        <w:rPr>
          <w:spacing w:val="-9"/>
          <w:sz w:val="18"/>
        </w:rPr>
        <w:t> </w:t>
      </w:r>
      <w:r>
        <w:rPr>
          <w:sz w:val="18"/>
        </w:rPr>
        <w:t>Carbon</w:t>
      </w:r>
      <w:r>
        <w:rPr>
          <w:spacing w:val="-8"/>
          <w:sz w:val="18"/>
        </w:rPr>
        <w:t> </w:t>
      </w:r>
      <w:r>
        <w:rPr>
          <w:sz w:val="18"/>
        </w:rPr>
        <w:t>Sequestration</w:t>
      </w:r>
      <w:r>
        <w:rPr>
          <w:spacing w:val="-11"/>
          <w:sz w:val="18"/>
        </w:rPr>
        <w:t> </w:t>
      </w:r>
      <w:r>
        <w:rPr>
          <w:sz w:val="18"/>
        </w:rPr>
        <w:t>Technologies, Final Report of </w:t>
      </w:r>
      <w:r>
        <w:rPr>
          <w:spacing w:val="-4"/>
          <w:sz w:val="18"/>
        </w:rPr>
        <w:t>Award </w:t>
      </w:r>
      <w:r>
        <w:rPr>
          <w:sz w:val="18"/>
        </w:rPr>
        <w:t>No. DE-FG02-00ER63037 from Carnegie Mellon University,  Pittsburgh,  </w:t>
      </w:r>
      <w:r>
        <w:rPr>
          <w:spacing w:val="-9"/>
          <w:sz w:val="18"/>
        </w:rPr>
        <w:t>PA  </w:t>
      </w:r>
      <w:r>
        <w:rPr>
          <w:sz w:val="18"/>
        </w:rPr>
        <w:t>to  Office  of  Biological  and Environmental Research, U.S. Department of </w:t>
      </w:r>
      <w:r>
        <w:rPr>
          <w:spacing w:val="-3"/>
          <w:sz w:val="18"/>
        </w:rPr>
        <w:t>Energy, </w:t>
      </w:r>
      <w:r>
        <w:rPr>
          <w:sz w:val="18"/>
        </w:rPr>
        <w:t>Germantown, MD, </w:t>
      </w:r>
      <w:r>
        <w:rPr>
          <w:spacing w:val="-3"/>
          <w:sz w:val="18"/>
        </w:rPr>
        <w:t>January, </w:t>
      </w:r>
      <w:r>
        <w:rPr>
          <w:sz w:val="18"/>
        </w:rPr>
        <w:t>153 p.</w:t>
      </w:r>
    </w:p>
    <w:p>
      <w:pPr>
        <w:spacing w:line="278" w:lineRule="auto" w:before="0"/>
        <w:ind w:left="457" w:right="511" w:hanging="341"/>
        <w:jc w:val="both"/>
        <w:rPr>
          <w:sz w:val="18"/>
        </w:rPr>
      </w:pPr>
      <w:r>
        <w:rPr>
          <w:b/>
          <w:sz w:val="18"/>
        </w:rPr>
        <w:t>Rubin, </w:t>
      </w:r>
      <w:r>
        <w:rPr>
          <w:sz w:val="18"/>
        </w:rPr>
        <w:t>E.S., S. Yeh, D.A. Hounshell, and M.R. Taylor, 2004a: Experience Curves for Power Plant Emission Control Technologies, </w:t>
      </w:r>
      <w:r>
        <w:rPr>
          <w:i/>
          <w:sz w:val="18"/>
        </w:rPr>
        <w:t>International Journal of Energy Technology and </w:t>
      </w:r>
      <w:r>
        <w:rPr>
          <w:i/>
          <w:sz w:val="18"/>
        </w:rPr>
        <w:t>Policy</w:t>
      </w:r>
      <w:r>
        <w:rPr>
          <w:sz w:val="18"/>
        </w:rPr>
        <w:t>, </w:t>
      </w:r>
      <w:r>
        <w:rPr>
          <w:b/>
          <w:sz w:val="18"/>
        </w:rPr>
        <w:t>2</w:t>
      </w:r>
      <w:r>
        <w:rPr>
          <w:sz w:val="18"/>
        </w:rPr>
        <w:t>, No.1/2, 52-68</w:t>
      </w:r>
      <w:r>
        <w:rPr>
          <w:i/>
          <w:sz w:val="18"/>
        </w:rPr>
        <w:t>, </w:t>
      </w:r>
      <w:r>
        <w:rPr>
          <w:sz w:val="18"/>
        </w:rPr>
        <w:t>2004.</w:t>
      </w:r>
    </w:p>
    <w:p>
      <w:pPr>
        <w:spacing w:line="278" w:lineRule="auto" w:before="0"/>
        <w:ind w:left="457" w:right="513" w:hanging="341"/>
        <w:jc w:val="both"/>
        <w:rPr>
          <w:sz w:val="18"/>
        </w:rPr>
      </w:pPr>
      <w:r>
        <w:rPr>
          <w:b/>
          <w:sz w:val="18"/>
        </w:rPr>
        <w:t>Ruthven, </w:t>
      </w:r>
      <w:r>
        <w:rPr>
          <w:sz w:val="18"/>
        </w:rPr>
        <w:t>D.M., S. Farooq, and K.S. Knaebel, 1994: Pressure Swing Adsorption. VCH, New York, 352 pp.</w:t>
      </w:r>
    </w:p>
    <w:p>
      <w:pPr>
        <w:spacing w:line="278" w:lineRule="auto" w:before="0"/>
        <w:ind w:left="457" w:right="511" w:hanging="341"/>
        <w:jc w:val="both"/>
        <w:rPr>
          <w:sz w:val="18"/>
        </w:rPr>
      </w:pPr>
      <w:r>
        <w:rPr>
          <w:b/>
          <w:sz w:val="18"/>
        </w:rPr>
        <w:t>Sander</w:t>
      </w:r>
      <w:r>
        <w:rPr>
          <w:sz w:val="18"/>
        </w:rPr>
        <w:t>, </w:t>
      </w:r>
      <w:r>
        <w:rPr>
          <w:spacing w:val="-4"/>
          <w:sz w:val="18"/>
        </w:rPr>
        <w:t>M.T., </w:t>
      </w:r>
      <w:r>
        <w:rPr>
          <w:sz w:val="18"/>
        </w:rPr>
        <w:t>C.L. Mariz, 1992: The Fluor Daniel® Econamine™ FG Process: Past Experience and Present Day Focus, </w:t>
      </w:r>
      <w:r>
        <w:rPr>
          <w:i/>
          <w:sz w:val="18"/>
        </w:rPr>
        <w:t>Energy </w:t>
      </w:r>
      <w:r>
        <w:rPr>
          <w:i/>
          <w:sz w:val="18"/>
        </w:rPr>
        <w:t>Conversion Management</w:t>
      </w:r>
      <w:r>
        <w:rPr>
          <w:sz w:val="18"/>
        </w:rPr>
        <w:t>, </w:t>
      </w:r>
      <w:r>
        <w:rPr>
          <w:b/>
          <w:sz w:val="18"/>
        </w:rPr>
        <w:t>33</w:t>
      </w:r>
      <w:r>
        <w:rPr>
          <w:sz w:val="18"/>
        </w:rPr>
        <w:t>(5-8),</w:t>
      </w:r>
      <w:r>
        <w:rPr>
          <w:spacing w:val="-1"/>
          <w:sz w:val="18"/>
        </w:rPr>
        <w:t> </w:t>
      </w:r>
      <w:r>
        <w:rPr>
          <w:sz w:val="18"/>
        </w:rPr>
        <w:t>341-348.</w:t>
      </w:r>
    </w:p>
    <w:p>
      <w:pPr>
        <w:spacing w:line="278" w:lineRule="auto" w:before="0"/>
        <w:ind w:left="457" w:right="511" w:hanging="341"/>
        <w:jc w:val="both"/>
        <w:rPr>
          <w:sz w:val="18"/>
        </w:rPr>
      </w:pPr>
      <w:r>
        <w:rPr>
          <w:b/>
          <w:sz w:val="18"/>
        </w:rPr>
        <w:t>Shilling, </w:t>
      </w:r>
      <w:r>
        <w:rPr>
          <w:sz w:val="18"/>
        </w:rPr>
        <w:t>N. and R. Jones, 2003: The Response of Gas Turbines to a CO</w:t>
      </w:r>
      <w:r>
        <w:rPr>
          <w:position w:val="-5"/>
          <w:sz w:val="10"/>
        </w:rPr>
        <w:t>2</w:t>
      </w:r>
      <w:r>
        <w:rPr>
          <w:spacing w:val="7"/>
          <w:position w:val="-5"/>
          <w:sz w:val="10"/>
        </w:rPr>
        <w:t> </w:t>
      </w:r>
      <w:r>
        <w:rPr>
          <w:sz w:val="18"/>
        </w:rPr>
        <w:t>Constrained</w:t>
      </w:r>
      <w:r>
        <w:rPr>
          <w:spacing w:val="-13"/>
          <w:sz w:val="18"/>
        </w:rPr>
        <w:t> </w:t>
      </w:r>
      <w:r>
        <w:rPr>
          <w:sz w:val="18"/>
        </w:rPr>
        <w:t>Environment</w:t>
      </w:r>
      <w:r>
        <w:rPr>
          <w:spacing w:val="-12"/>
          <w:sz w:val="18"/>
        </w:rPr>
        <w:t> </w:t>
      </w:r>
      <w:r>
        <w:rPr>
          <w:sz w:val="18"/>
        </w:rPr>
        <w:t>Paper</w:t>
      </w:r>
      <w:r>
        <w:rPr>
          <w:spacing w:val="-13"/>
          <w:sz w:val="18"/>
        </w:rPr>
        <w:t> </w:t>
      </w:r>
      <w:r>
        <w:rPr>
          <w:sz w:val="18"/>
        </w:rPr>
        <w:t>Presented</w:t>
      </w:r>
      <w:r>
        <w:rPr>
          <w:spacing w:val="-12"/>
          <w:sz w:val="18"/>
        </w:rPr>
        <w:t> </w:t>
      </w:r>
      <w:r>
        <w:rPr>
          <w:sz w:val="18"/>
        </w:rPr>
        <w:t>at</w:t>
      </w:r>
      <w:r>
        <w:rPr>
          <w:spacing w:val="-13"/>
          <w:sz w:val="18"/>
        </w:rPr>
        <w:t> </w:t>
      </w:r>
      <w:r>
        <w:rPr>
          <w:sz w:val="18"/>
        </w:rPr>
        <w:t>the</w:t>
      </w:r>
      <w:r>
        <w:rPr>
          <w:spacing w:val="-12"/>
          <w:sz w:val="18"/>
        </w:rPr>
        <w:t> </w:t>
      </w:r>
      <w:r>
        <w:rPr>
          <w:sz w:val="18"/>
        </w:rPr>
        <w:t>Gasification</w:t>
      </w:r>
    </w:p>
    <w:p>
      <w:pPr>
        <w:spacing w:line="164" w:lineRule="exact" w:before="0"/>
        <w:ind w:left="457" w:right="0" w:firstLine="0"/>
        <w:jc w:val="both"/>
        <w:rPr>
          <w:sz w:val="18"/>
        </w:rPr>
      </w:pPr>
      <w:r>
        <w:rPr>
          <w:sz w:val="18"/>
        </w:rPr>
        <w:t>Technology</w:t>
      </w:r>
      <w:r>
        <w:rPr>
          <w:spacing w:val="-10"/>
          <w:sz w:val="18"/>
        </w:rPr>
        <w:t> </w:t>
      </w:r>
      <w:r>
        <w:rPr>
          <w:sz w:val="18"/>
        </w:rPr>
        <w:t>Conference,</w:t>
      </w:r>
      <w:r>
        <w:rPr>
          <w:spacing w:val="-10"/>
          <w:sz w:val="18"/>
        </w:rPr>
        <w:t> </w:t>
      </w:r>
      <w:r>
        <w:rPr>
          <w:sz w:val="18"/>
        </w:rPr>
        <w:t>October</w:t>
      </w:r>
      <w:r>
        <w:rPr>
          <w:spacing w:val="-10"/>
          <w:sz w:val="18"/>
        </w:rPr>
        <w:t> </w:t>
      </w:r>
      <w:r>
        <w:rPr>
          <w:sz w:val="18"/>
        </w:rPr>
        <w:t>2003,</w:t>
      </w:r>
      <w:r>
        <w:rPr>
          <w:spacing w:val="-10"/>
          <w:sz w:val="18"/>
        </w:rPr>
        <w:t> </w:t>
      </w:r>
      <w:r>
        <w:rPr>
          <w:sz w:val="18"/>
        </w:rPr>
        <w:t>San</w:t>
      </w:r>
      <w:r>
        <w:rPr>
          <w:spacing w:val="-10"/>
          <w:sz w:val="18"/>
        </w:rPr>
        <w:t> </w:t>
      </w:r>
      <w:r>
        <w:rPr>
          <w:sz w:val="18"/>
        </w:rPr>
        <w:t>Francisco,</w:t>
      </w:r>
      <w:r>
        <w:rPr>
          <w:spacing w:val="-10"/>
          <w:sz w:val="18"/>
        </w:rPr>
        <w:t> </w:t>
      </w:r>
      <w:r>
        <w:rPr>
          <w:sz w:val="18"/>
        </w:rPr>
        <w:t>CA,</w:t>
      </w:r>
      <w:r>
        <w:rPr>
          <w:spacing w:val="-9"/>
          <w:sz w:val="18"/>
        </w:rPr>
        <w:t> </w:t>
      </w:r>
      <w:r>
        <w:rPr>
          <w:sz w:val="18"/>
        </w:rPr>
        <w:t>USA,</w:t>
      </w:r>
    </w:p>
    <w:p>
      <w:pPr>
        <w:spacing w:before="31"/>
        <w:ind w:left="457" w:right="0" w:firstLine="0"/>
        <w:jc w:val="both"/>
        <w:rPr>
          <w:sz w:val="18"/>
        </w:rPr>
      </w:pPr>
      <w:r>
        <w:rPr>
          <w:sz w:val="18"/>
        </w:rPr>
        <w:t>Available at </w:t>
      </w:r>
      <w:hyperlink r:id="rId225">
        <w:r>
          <w:rPr>
            <w:sz w:val="18"/>
          </w:rPr>
          <w:t>www.gasfication.org.</w:t>
        </w:r>
      </w:hyperlink>
    </w:p>
    <w:p>
      <w:pPr>
        <w:spacing w:line="240" w:lineRule="exact" w:before="9"/>
        <w:ind w:left="457" w:right="511" w:hanging="341"/>
        <w:jc w:val="both"/>
        <w:rPr>
          <w:sz w:val="18"/>
        </w:rPr>
      </w:pPr>
      <w:r>
        <w:rPr>
          <w:b/>
          <w:sz w:val="18"/>
        </w:rPr>
        <w:t>Shimizu, </w:t>
      </w:r>
      <w:r>
        <w:rPr>
          <w:spacing w:val="-7"/>
          <w:sz w:val="18"/>
        </w:rPr>
        <w:t>T, T. </w:t>
      </w:r>
      <w:r>
        <w:rPr>
          <w:sz w:val="18"/>
        </w:rPr>
        <w:t>Hirama, H. Hosoda, K. Kitano, M. Inagaki, and K. Tejima,</w:t>
      </w:r>
      <w:r>
        <w:rPr>
          <w:spacing w:val="-9"/>
          <w:sz w:val="18"/>
        </w:rPr>
        <w:t> </w:t>
      </w:r>
      <w:r>
        <w:rPr>
          <w:sz w:val="18"/>
        </w:rPr>
        <w:t>1999:</w:t>
      </w:r>
      <w:r>
        <w:rPr>
          <w:spacing w:val="-19"/>
          <w:sz w:val="18"/>
        </w:rPr>
        <w:t> </w:t>
      </w:r>
      <w:r>
        <w:rPr>
          <w:sz w:val="18"/>
        </w:rPr>
        <w:t>A</w:t>
      </w:r>
      <w:r>
        <w:rPr>
          <w:spacing w:val="-21"/>
          <w:sz w:val="18"/>
        </w:rPr>
        <w:t> </w:t>
      </w:r>
      <w:r>
        <w:rPr>
          <w:spacing w:val="-4"/>
          <w:sz w:val="18"/>
        </w:rPr>
        <w:t>Twin</w:t>
      </w:r>
      <w:r>
        <w:rPr>
          <w:spacing w:val="-9"/>
          <w:sz w:val="18"/>
        </w:rPr>
        <w:t> </w:t>
      </w:r>
      <w:r>
        <w:rPr>
          <w:sz w:val="18"/>
        </w:rPr>
        <w:t>Fluid-Bed</w:t>
      </w:r>
      <w:r>
        <w:rPr>
          <w:spacing w:val="-8"/>
          <w:sz w:val="18"/>
        </w:rPr>
        <w:t> </w:t>
      </w:r>
      <w:r>
        <w:rPr>
          <w:sz w:val="18"/>
        </w:rPr>
        <w:t>Reactor</w:t>
      </w:r>
      <w:r>
        <w:rPr>
          <w:spacing w:val="-9"/>
          <w:sz w:val="18"/>
        </w:rPr>
        <w:t> </w:t>
      </w:r>
      <w:r>
        <w:rPr>
          <w:sz w:val="18"/>
        </w:rPr>
        <w:t>for</w:t>
      </w:r>
      <w:r>
        <w:rPr>
          <w:spacing w:val="-9"/>
          <w:sz w:val="18"/>
        </w:rPr>
        <w:t> </w:t>
      </w:r>
      <w:r>
        <w:rPr>
          <w:sz w:val="18"/>
        </w:rPr>
        <w:t>removal</w:t>
      </w:r>
      <w:r>
        <w:rPr>
          <w:spacing w:val="-9"/>
          <w:sz w:val="18"/>
        </w:rPr>
        <w:t> </w:t>
      </w:r>
      <w:r>
        <w:rPr>
          <w:sz w:val="18"/>
        </w:rPr>
        <w:t>of</w:t>
      </w:r>
      <w:r>
        <w:rPr>
          <w:spacing w:val="-9"/>
          <w:sz w:val="18"/>
        </w:rPr>
        <w:t> </w:t>
      </w:r>
      <w:r>
        <w:rPr>
          <w:sz w:val="18"/>
        </w:rPr>
        <w:t>CO</w:t>
      </w:r>
      <w:r>
        <w:rPr>
          <w:position w:val="-5"/>
          <w:sz w:val="10"/>
        </w:rPr>
        <w:t>2</w:t>
      </w:r>
      <w:r>
        <w:rPr>
          <w:spacing w:val="12"/>
          <w:position w:val="-5"/>
          <w:sz w:val="10"/>
        </w:rPr>
        <w:t> </w:t>
      </w:r>
      <w:r>
        <w:rPr>
          <w:sz w:val="18"/>
        </w:rPr>
        <w:t>from combustion processes. </w:t>
      </w:r>
      <w:r>
        <w:rPr>
          <w:i/>
          <w:sz w:val="18"/>
        </w:rPr>
        <w:t>IChemE</w:t>
      </w:r>
      <w:r>
        <w:rPr>
          <w:sz w:val="18"/>
        </w:rPr>
        <w:t>., </w:t>
      </w:r>
      <w:r>
        <w:rPr>
          <w:b/>
          <w:sz w:val="18"/>
        </w:rPr>
        <w:t>77</w:t>
      </w:r>
      <w:r>
        <w:rPr>
          <w:sz w:val="18"/>
        </w:rPr>
        <w:t>- A,</w:t>
      </w:r>
      <w:r>
        <w:rPr>
          <w:spacing w:val="-13"/>
          <w:sz w:val="18"/>
        </w:rPr>
        <w:t> </w:t>
      </w:r>
      <w:r>
        <w:rPr>
          <w:sz w:val="18"/>
        </w:rPr>
        <w:t>62-70.</w:t>
      </w:r>
    </w:p>
    <w:p>
      <w:pPr>
        <w:spacing w:before="24"/>
        <w:ind w:left="116" w:right="0" w:firstLine="0"/>
        <w:jc w:val="both"/>
        <w:rPr>
          <w:sz w:val="18"/>
        </w:rPr>
      </w:pPr>
      <w:r>
        <w:rPr>
          <w:b/>
          <w:sz w:val="18"/>
        </w:rPr>
        <w:t>Sikdar, </w:t>
      </w:r>
      <w:r>
        <w:rPr>
          <w:sz w:val="18"/>
        </w:rPr>
        <w:t>S.K. and U. Diwekar (eds.), 1999: Tools and Methods for</w:t>
      </w:r>
    </w:p>
    <w:p>
      <w:pPr>
        <w:spacing w:after="0"/>
        <w:jc w:val="both"/>
        <w:rPr>
          <w:sz w:val="18"/>
        </w:rPr>
        <w:sectPr>
          <w:pgSz w:w="12240" w:h="15840"/>
          <w:pgMar w:header="567" w:footer="0" w:top="1120" w:bottom="280" w:left="620" w:right="620"/>
          <w:cols w:num="2" w:equalWidth="0">
            <w:col w:w="5202" w:space="125"/>
            <w:col w:w="5673"/>
          </w:cols>
        </w:sectPr>
      </w:pPr>
    </w:p>
    <w:p>
      <w:pPr>
        <w:spacing w:line="278" w:lineRule="auto" w:before="148"/>
        <w:ind w:left="854" w:right="9" w:firstLine="0"/>
        <w:jc w:val="both"/>
        <w:rPr>
          <w:sz w:val="18"/>
        </w:rPr>
      </w:pPr>
      <w:r>
        <w:rPr>
          <w:sz w:val="18"/>
        </w:rPr>
        <w:t>Pollution Prevention. Proceedings of </w:t>
      </w:r>
      <w:r>
        <w:rPr>
          <w:spacing w:val="-7"/>
          <w:sz w:val="18"/>
        </w:rPr>
        <w:t>NATO </w:t>
      </w:r>
      <w:r>
        <w:rPr>
          <w:sz w:val="18"/>
        </w:rPr>
        <w:t>Advanced Research Workshop. </w:t>
      </w:r>
      <w:r>
        <w:rPr>
          <w:spacing w:val="-7"/>
          <w:sz w:val="18"/>
        </w:rPr>
        <w:t>NATO </w:t>
      </w:r>
      <w:r>
        <w:rPr>
          <w:sz w:val="18"/>
        </w:rPr>
        <w:t>Science Series, No. 2: Environmental Security</w:t>
      </w:r>
    </w:p>
    <w:p>
      <w:pPr>
        <w:spacing w:line="278" w:lineRule="auto" w:before="0"/>
        <w:ind w:left="854" w:right="10" w:firstLine="0"/>
        <w:jc w:val="both"/>
        <w:rPr>
          <w:sz w:val="18"/>
        </w:rPr>
      </w:pPr>
      <w:r>
        <w:rPr>
          <w:sz w:val="18"/>
        </w:rPr>
        <w:t>-</w:t>
      </w:r>
      <w:r>
        <w:rPr>
          <w:spacing w:val="-9"/>
          <w:sz w:val="18"/>
        </w:rPr>
        <w:t> </w:t>
      </w:r>
      <w:r>
        <w:rPr>
          <w:spacing w:val="-6"/>
          <w:sz w:val="18"/>
        </w:rPr>
        <w:t>Vol.</w:t>
      </w:r>
      <w:r>
        <w:rPr>
          <w:spacing w:val="-5"/>
          <w:sz w:val="18"/>
        </w:rPr>
        <w:t> </w:t>
      </w:r>
      <w:r>
        <w:rPr>
          <w:sz w:val="18"/>
        </w:rPr>
        <w:t>62.</w:t>
      </w:r>
      <w:r>
        <w:rPr>
          <w:spacing w:val="-6"/>
          <w:sz w:val="18"/>
        </w:rPr>
        <w:t> </w:t>
      </w:r>
      <w:r>
        <w:rPr>
          <w:sz w:val="18"/>
        </w:rPr>
        <w:t>Dordrecht:</w:t>
      </w:r>
      <w:r>
        <w:rPr>
          <w:spacing w:val="-6"/>
          <w:sz w:val="18"/>
        </w:rPr>
        <w:t> </w:t>
      </w:r>
      <w:r>
        <w:rPr>
          <w:spacing w:val="-3"/>
          <w:sz w:val="18"/>
        </w:rPr>
        <w:t>Kluwer.</w:t>
      </w:r>
      <w:r>
        <w:rPr>
          <w:spacing w:val="-5"/>
          <w:sz w:val="18"/>
        </w:rPr>
        <w:t> </w:t>
      </w:r>
      <w:r>
        <w:rPr>
          <w:sz w:val="18"/>
        </w:rPr>
        <w:t>12-14</w:t>
      </w:r>
      <w:r>
        <w:rPr>
          <w:spacing w:val="-6"/>
          <w:sz w:val="18"/>
        </w:rPr>
        <w:t> </w:t>
      </w:r>
      <w:r>
        <w:rPr>
          <w:sz w:val="18"/>
        </w:rPr>
        <w:t>October</w:t>
      </w:r>
      <w:r>
        <w:rPr>
          <w:spacing w:val="-5"/>
          <w:sz w:val="18"/>
        </w:rPr>
        <w:t> </w:t>
      </w:r>
      <w:r>
        <w:rPr>
          <w:sz w:val="18"/>
        </w:rPr>
        <w:t>1998,</w:t>
      </w:r>
      <w:r>
        <w:rPr>
          <w:spacing w:val="-6"/>
          <w:sz w:val="18"/>
        </w:rPr>
        <w:t> </w:t>
      </w:r>
      <w:r>
        <w:rPr>
          <w:sz w:val="18"/>
        </w:rPr>
        <w:t>Prague,</w:t>
      </w:r>
      <w:r>
        <w:rPr>
          <w:spacing w:val="-5"/>
          <w:sz w:val="18"/>
        </w:rPr>
        <w:t> </w:t>
      </w:r>
      <w:r>
        <w:rPr>
          <w:sz w:val="18"/>
        </w:rPr>
        <w:t>Czech Republic.</w:t>
      </w:r>
    </w:p>
    <w:p>
      <w:pPr>
        <w:spacing w:line="278" w:lineRule="auto" w:before="0"/>
        <w:ind w:left="854" w:right="9" w:hanging="341"/>
        <w:jc w:val="both"/>
        <w:rPr>
          <w:sz w:val="18"/>
        </w:rPr>
      </w:pPr>
      <w:r>
        <w:rPr>
          <w:b/>
          <w:sz w:val="18"/>
        </w:rPr>
        <w:t>Simbeck, </w:t>
      </w:r>
      <w:r>
        <w:rPr>
          <w:sz w:val="18"/>
        </w:rPr>
        <w:t>D.R., 1999: A portfolio selection approach for  power  plant  CO</w:t>
      </w:r>
      <w:r>
        <w:rPr>
          <w:position w:val="-5"/>
          <w:sz w:val="10"/>
        </w:rPr>
        <w:t>2    </w:t>
      </w:r>
      <w:r>
        <w:rPr>
          <w:sz w:val="18"/>
        </w:rPr>
        <w:t>capture,  separation  and  R&amp;D  options.</w:t>
      </w:r>
      <w:r>
        <w:rPr>
          <w:spacing w:val="3"/>
          <w:sz w:val="18"/>
        </w:rPr>
        <w:t> </w:t>
      </w:r>
      <w:r>
        <w:rPr>
          <w:sz w:val="18"/>
        </w:rPr>
        <w:t>Proceedings</w:t>
      </w:r>
    </w:p>
    <w:p>
      <w:pPr>
        <w:spacing w:line="164" w:lineRule="exact" w:before="0"/>
        <w:ind w:left="854" w:right="0" w:firstLine="0"/>
        <w:jc w:val="both"/>
        <w:rPr>
          <w:sz w:val="18"/>
        </w:rPr>
      </w:pPr>
      <w:r>
        <w:rPr>
          <w:sz w:val="18"/>
        </w:rPr>
        <w:t>of</w:t>
      </w:r>
      <w:r>
        <w:rPr>
          <w:spacing w:val="13"/>
          <w:sz w:val="18"/>
        </w:rPr>
        <w:t> </w:t>
      </w:r>
      <w:r>
        <w:rPr>
          <w:sz w:val="18"/>
        </w:rPr>
        <w:t>the</w:t>
      </w:r>
      <w:r>
        <w:rPr>
          <w:spacing w:val="14"/>
          <w:sz w:val="18"/>
        </w:rPr>
        <w:t> </w:t>
      </w:r>
      <w:r>
        <w:rPr>
          <w:sz w:val="18"/>
        </w:rPr>
        <w:t>4th</w:t>
      </w:r>
      <w:r>
        <w:rPr>
          <w:spacing w:val="13"/>
          <w:sz w:val="18"/>
        </w:rPr>
        <w:t> </w:t>
      </w:r>
      <w:r>
        <w:rPr>
          <w:sz w:val="18"/>
        </w:rPr>
        <w:t>International</w:t>
      </w:r>
      <w:r>
        <w:rPr>
          <w:spacing w:val="14"/>
          <w:sz w:val="18"/>
        </w:rPr>
        <w:t> </w:t>
      </w:r>
      <w:r>
        <w:rPr>
          <w:sz w:val="18"/>
        </w:rPr>
        <w:t>Conference</w:t>
      </w:r>
      <w:r>
        <w:rPr>
          <w:spacing w:val="14"/>
          <w:sz w:val="18"/>
        </w:rPr>
        <w:t> </w:t>
      </w:r>
      <w:r>
        <w:rPr>
          <w:sz w:val="18"/>
        </w:rPr>
        <w:t>on</w:t>
      </w:r>
      <w:r>
        <w:rPr>
          <w:spacing w:val="13"/>
          <w:sz w:val="18"/>
        </w:rPr>
        <w:t> </w:t>
      </w:r>
      <w:r>
        <w:rPr>
          <w:sz w:val="18"/>
        </w:rPr>
        <w:t>Greenhouse</w:t>
      </w:r>
      <w:r>
        <w:rPr>
          <w:spacing w:val="14"/>
          <w:sz w:val="18"/>
        </w:rPr>
        <w:t> </w:t>
      </w:r>
      <w:r>
        <w:rPr>
          <w:sz w:val="18"/>
        </w:rPr>
        <w:t>Gas</w:t>
      </w:r>
      <w:r>
        <w:rPr>
          <w:spacing w:val="14"/>
          <w:sz w:val="18"/>
        </w:rPr>
        <w:t> </w:t>
      </w:r>
      <w:r>
        <w:rPr>
          <w:sz w:val="18"/>
        </w:rPr>
        <w:t>Control</w:t>
      </w:r>
    </w:p>
    <w:p>
      <w:pPr>
        <w:spacing w:line="278" w:lineRule="auto" w:before="32"/>
        <w:ind w:left="854" w:right="8" w:firstLine="0"/>
        <w:jc w:val="both"/>
        <w:rPr>
          <w:sz w:val="18"/>
        </w:rPr>
      </w:pPr>
      <w:r>
        <w:rPr>
          <w:sz w:val="18"/>
        </w:rPr>
        <w:t>Technologies,</w:t>
      </w:r>
      <w:r>
        <w:rPr>
          <w:spacing w:val="-4"/>
          <w:sz w:val="18"/>
        </w:rPr>
        <w:t> </w:t>
      </w:r>
      <w:r>
        <w:rPr>
          <w:sz w:val="18"/>
        </w:rPr>
        <w:t>30</w:t>
      </w:r>
      <w:r>
        <w:rPr>
          <w:spacing w:val="-12"/>
          <w:sz w:val="18"/>
        </w:rPr>
        <w:t> </w:t>
      </w:r>
      <w:r>
        <w:rPr>
          <w:sz w:val="18"/>
        </w:rPr>
        <w:t>Aug.</w:t>
      </w:r>
      <w:r>
        <w:rPr>
          <w:spacing w:val="-4"/>
          <w:sz w:val="18"/>
        </w:rPr>
        <w:t> </w:t>
      </w:r>
      <w:r>
        <w:rPr>
          <w:sz w:val="18"/>
        </w:rPr>
        <w:t>-</w:t>
      </w:r>
      <w:r>
        <w:rPr>
          <w:spacing w:val="-3"/>
          <w:sz w:val="18"/>
        </w:rPr>
        <w:t> </w:t>
      </w:r>
      <w:r>
        <w:rPr>
          <w:sz w:val="18"/>
        </w:rPr>
        <w:t>2</w:t>
      </w:r>
      <w:r>
        <w:rPr>
          <w:spacing w:val="-3"/>
          <w:sz w:val="18"/>
        </w:rPr>
        <w:t> </w:t>
      </w:r>
      <w:r>
        <w:rPr>
          <w:sz w:val="18"/>
        </w:rPr>
        <w:t>Sept.</w:t>
      </w:r>
      <w:r>
        <w:rPr>
          <w:spacing w:val="-4"/>
          <w:sz w:val="18"/>
        </w:rPr>
        <w:t> </w:t>
      </w:r>
      <w:r>
        <w:rPr>
          <w:sz w:val="18"/>
        </w:rPr>
        <w:t>1998,</w:t>
      </w:r>
      <w:r>
        <w:rPr>
          <w:spacing w:val="-3"/>
          <w:sz w:val="18"/>
        </w:rPr>
        <w:t> </w:t>
      </w:r>
      <w:r>
        <w:rPr>
          <w:sz w:val="18"/>
        </w:rPr>
        <w:t>Interlaken,</w:t>
      </w:r>
      <w:r>
        <w:rPr>
          <w:spacing w:val="-3"/>
          <w:sz w:val="18"/>
        </w:rPr>
        <w:t> </w:t>
      </w:r>
      <w:r>
        <w:rPr>
          <w:sz w:val="18"/>
        </w:rPr>
        <w:t>Switzerland,</w:t>
      </w:r>
      <w:r>
        <w:rPr>
          <w:spacing w:val="-3"/>
          <w:sz w:val="18"/>
        </w:rPr>
        <w:t> </w:t>
      </w:r>
      <w:r>
        <w:rPr>
          <w:sz w:val="18"/>
        </w:rPr>
        <w:t>B. Eliasson, </w:t>
      </w:r>
      <w:r>
        <w:rPr>
          <w:spacing w:val="-10"/>
          <w:sz w:val="18"/>
        </w:rPr>
        <w:t>P. </w:t>
      </w:r>
      <w:r>
        <w:rPr>
          <w:sz w:val="18"/>
        </w:rPr>
        <w:t>Riemer and A. </w:t>
      </w:r>
      <w:r>
        <w:rPr>
          <w:spacing w:val="-3"/>
          <w:sz w:val="18"/>
        </w:rPr>
        <w:t>Wokaun </w:t>
      </w:r>
      <w:r>
        <w:rPr>
          <w:sz w:val="18"/>
        </w:rPr>
        <w:t>(eds.), Elsevier Science Ltd., Oxford,</w:t>
      </w:r>
      <w:r>
        <w:rPr>
          <w:spacing w:val="-2"/>
          <w:sz w:val="18"/>
        </w:rPr>
        <w:t> </w:t>
      </w:r>
      <w:r>
        <w:rPr>
          <w:sz w:val="18"/>
        </w:rPr>
        <w:t>UK.</w:t>
      </w:r>
    </w:p>
    <w:p>
      <w:pPr>
        <w:spacing w:line="278" w:lineRule="auto" w:before="0"/>
        <w:ind w:left="854" w:right="7" w:hanging="341"/>
        <w:jc w:val="both"/>
        <w:rPr>
          <w:sz w:val="18"/>
        </w:rPr>
      </w:pPr>
      <w:r>
        <w:rPr>
          <w:b/>
          <w:sz w:val="18"/>
        </w:rPr>
        <w:t>Simbeck, </w:t>
      </w:r>
      <w:r>
        <w:rPr>
          <w:sz w:val="18"/>
        </w:rPr>
        <w:t>D.R., 2001a: </w:t>
      </w:r>
      <w:r>
        <w:rPr>
          <w:spacing w:val="-3"/>
          <w:sz w:val="18"/>
        </w:rPr>
        <w:t>World </w:t>
      </w:r>
      <w:r>
        <w:rPr>
          <w:sz w:val="18"/>
        </w:rPr>
        <w:t>Gasification Survey: Industrial Trends and</w:t>
      </w:r>
      <w:r>
        <w:rPr>
          <w:spacing w:val="-25"/>
          <w:sz w:val="18"/>
        </w:rPr>
        <w:t> </w:t>
      </w:r>
      <w:r>
        <w:rPr>
          <w:sz w:val="18"/>
        </w:rPr>
        <w:t>Developments.</w:t>
      </w:r>
      <w:r>
        <w:rPr>
          <w:spacing w:val="-23"/>
          <w:sz w:val="18"/>
        </w:rPr>
        <w:t> </w:t>
      </w:r>
      <w:r>
        <w:rPr>
          <w:sz w:val="18"/>
        </w:rPr>
        <w:t>Paper</w:t>
      </w:r>
      <w:r>
        <w:rPr>
          <w:spacing w:val="-23"/>
          <w:sz w:val="18"/>
        </w:rPr>
        <w:t> </w:t>
      </w:r>
      <w:r>
        <w:rPr>
          <w:sz w:val="18"/>
        </w:rPr>
        <w:t>presented</w:t>
      </w:r>
      <w:r>
        <w:rPr>
          <w:spacing w:val="-24"/>
          <w:sz w:val="18"/>
        </w:rPr>
        <w:t> </w:t>
      </w:r>
      <w:r>
        <w:rPr>
          <w:sz w:val="18"/>
        </w:rPr>
        <w:t>at</w:t>
      </w:r>
      <w:r>
        <w:rPr>
          <w:spacing w:val="-24"/>
          <w:sz w:val="18"/>
        </w:rPr>
        <w:t> </w:t>
      </w:r>
      <w:r>
        <w:rPr>
          <w:sz w:val="18"/>
        </w:rPr>
        <w:t>the</w:t>
      </w:r>
      <w:r>
        <w:rPr>
          <w:spacing w:val="-24"/>
          <w:sz w:val="18"/>
        </w:rPr>
        <w:t> </w:t>
      </w:r>
      <w:r>
        <w:rPr>
          <w:sz w:val="18"/>
        </w:rPr>
        <w:t>Gasification</w:t>
      </w:r>
      <w:r>
        <w:rPr>
          <w:spacing w:val="-26"/>
          <w:sz w:val="18"/>
        </w:rPr>
        <w:t> </w:t>
      </w:r>
      <w:r>
        <w:rPr>
          <w:sz w:val="18"/>
        </w:rPr>
        <w:t>Technology Conference, San Francisco, CA, USA,</w:t>
      </w:r>
      <w:r>
        <w:rPr>
          <w:spacing w:val="-23"/>
          <w:sz w:val="18"/>
        </w:rPr>
        <w:t> </w:t>
      </w:r>
      <w:r>
        <w:rPr>
          <w:sz w:val="18"/>
        </w:rPr>
        <w:t>October.www.gasfication. org.</w:t>
      </w:r>
    </w:p>
    <w:p>
      <w:pPr>
        <w:spacing w:line="207" w:lineRule="exact" w:before="0"/>
        <w:ind w:left="513" w:right="0" w:firstLine="0"/>
        <w:jc w:val="both"/>
        <w:rPr>
          <w:sz w:val="18"/>
        </w:rPr>
      </w:pPr>
      <w:r>
        <w:rPr>
          <w:b/>
          <w:sz w:val="18"/>
        </w:rPr>
        <w:t>Simbeck, </w:t>
      </w:r>
      <w:r>
        <w:rPr>
          <w:sz w:val="18"/>
        </w:rPr>
        <w:t>D. R. and M. McDonald, 2001b: Existing coal power plant</w:t>
      </w:r>
    </w:p>
    <w:p>
      <w:pPr>
        <w:spacing w:line="240" w:lineRule="exact" w:before="9"/>
        <w:ind w:left="854" w:right="8" w:hanging="1"/>
        <w:jc w:val="both"/>
        <w:rPr>
          <w:sz w:val="18"/>
        </w:rPr>
      </w:pPr>
      <w:r>
        <w:rPr>
          <w:sz w:val="18"/>
        </w:rPr>
        <w:t>retrofit CO</w:t>
      </w:r>
      <w:r>
        <w:rPr>
          <w:position w:val="-5"/>
          <w:sz w:val="10"/>
        </w:rPr>
        <w:t>2 </w:t>
      </w:r>
      <w:r>
        <w:rPr>
          <w:sz w:val="18"/>
        </w:rPr>
        <w:t>control options analysis, Greenhouse Gas Control Technologies, Proceedings of the 5th International Conference on Greenhouse Gas Control Technologies, 13-16 Aug. 2000, Cairns, Australia, D. Williams et al</w:t>
      </w:r>
      <w:r>
        <w:rPr>
          <w:i/>
          <w:sz w:val="18"/>
        </w:rPr>
        <w:t>. </w:t>
      </w:r>
      <w:r>
        <w:rPr>
          <w:sz w:val="18"/>
        </w:rPr>
        <w:t>(eds.), CSIRO Publishing, Collingwood, </w:t>
      </w:r>
      <w:r>
        <w:rPr>
          <w:spacing w:val="-3"/>
          <w:sz w:val="18"/>
        </w:rPr>
        <w:t>Vic.,</w:t>
      </w:r>
      <w:r>
        <w:rPr>
          <w:spacing w:val="-15"/>
          <w:sz w:val="18"/>
        </w:rPr>
        <w:t> </w:t>
      </w:r>
      <w:r>
        <w:rPr>
          <w:sz w:val="18"/>
        </w:rPr>
        <w:t>Australia.</w:t>
      </w:r>
    </w:p>
    <w:p>
      <w:pPr>
        <w:spacing w:line="245" w:lineRule="exact" w:before="24"/>
        <w:ind w:left="513" w:right="0" w:firstLine="0"/>
        <w:jc w:val="both"/>
        <w:rPr>
          <w:sz w:val="18"/>
        </w:rPr>
      </w:pPr>
      <w:r>
        <w:rPr>
          <w:b/>
          <w:sz w:val="18"/>
        </w:rPr>
        <w:t>Simbeck, </w:t>
      </w:r>
      <w:r>
        <w:rPr>
          <w:sz w:val="18"/>
        </w:rPr>
        <w:t>D.R., 2002: New power plant CO</w:t>
      </w:r>
      <w:r>
        <w:rPr>
          <w:position w:val="-5"/>
          <w:sz w:val="10"/>
        </w:rPr>
        <w:t>2 </w:t>
      </w:r>
      <w:r>
        <w:rPr>
          <w:sz w:val="18"/>
        </w:rPr>
        <w:t>mitigation costs, SFA</w:t>
      </w:r>
    </w:p>
    <w:p>
      <w:pPr>
        <w:spacing w:line="202" w:lineRule="exact" w:before="0"/>
        <w:ind w:left="854" w:right="0" w:firstLine="0"/>
        <w:jc w:val="both"/>
        <w:rPr>
          <w:sz w:val="18"/>
        </w:rPr>
      </w:pPr>
      <w:r>
        <w:rPr>
          <w:sz w:val="18"/>
        </w:rPr>
        <w:t>Pacific, Inc., Mountain View, California, April.</w:t>
      </w:r>
    </w:p>
    <w:p>
      <w:pPr>
        <w:spacing w:line="240" w:lineRule="exact" w:before="9"/>
        <w:ind w:left="854" w:right="8" w:hanging="341"/>
        <w:jc w:val="both"/>
        <w:rPr>
          <w:sz w:val="18"/>
        </w:rPr>
      </w:pPr>
      <w:r>
        <w:rPr>
          <w:b/>
          <w:sz w:val="18"/>
        </w:rPr>
        <w:t>Simbeck, </w:t>
      </w:r>
      <w:r>
        <w:rPr>
          <w:sz w:val="18"/>
        </w:rPr>
        <w:t>D.R., 2004: Overview and insights on the three basic CO</w:t>
      </w:r>
      <w:r>
        <w:rPr>
          <w:position w:val="-5"/>
          <w:sz w:val="10"/>
        </w:rPr>
        <w:t>2 </w:t>
      </w:r>
      <w:r>
        <w:rPr>
          <w:sz w:val="18"/>
        </w:rPr>
        <w:t>capture</w:t>
      </w:r>
      <w:r>
        <w:rPr>
          <w:spacing w:val="-8"/>
          <w:sz w:val="18"/>
        </w:rPr>
        <w:t> </w:t>
      </w:r>
      <w:r>
        <w:rPr>
          <w:sz w:val="18"/>
        </w:rPr>
        <w:t>options,</w:t>
      </w:r>
      <w:r>
        <w:rPr>
          <w:spacing w:val="-11"/>
          <w:sz w:val="18"/>
        </w:rPr>
        <w:t> </w:t>
      </w:r>
      <w:r>
        <w:rPr>
          <w:sz w:val="18"/>
        </w:rPr>
        <w:t>Third</w:t>
      </w:r>
      <w:r>
        <w:rPr>
          <w:spacing w:val="-16"/>
          <w:sz w:val="18"/>
        </w:rPr>
        <w:t> </w:t>
      </w:r>
      <w:r>
        <w:rPr>
          <w:sz w:val="18"/>
        </w:rPr>
        <w:t>Annual</w:t>
      </w:r>
      <w:r>
        <w:rPr>
          <w:spacing w:val="-7"/>
          <w:sz w:val="18"/>
        </w:rPr>
        <w:t> </w:t>
      </w:r>
      <w:r>
        <w:rPr>
          <w:sz w:val="18"/>
        </w:rPr>
        <w:t>Conference</w:t>
      </w:r>
      <w:r>
        <w:rPr>
          <w:spacing w:val="-7"/>
          <w:sz w:val="18"/>
        </w:rPr>
        <w:t> </w:t>
      </w:r>
      <w:r>
        <w:rPr>
          <w:sz w:val="18"/>
        </w:rPr>
        <w:t>on</w:t>
      </w:r>
      <w:r>
        <w:rPr>
          <w:spacing w:val="-7"/>
          <w:sz w:val="18"/>
        </w:rPr>
        <w:t> </w:t>
      </w:r>
      <w:r>
        <w:rPr>
          <w:sz w:val="18"/>
        </w:rPr>
        <w:t>Carbon</w:t>
      </w:r>
      <w:r>
        <w:rPr>
          <w:spacing w:val="-7"/>
          <w:sz w:val="18"/>
        </w:rPr>
        <w:t> </w:t>
      </w:r>
      <w:r>
        <w:rPr>
          <w:sz w:val="18"/>
        </w:rPr>
        <w:t>Capture</w:t>
      </w:r>
      <w:r>
        <w:rPr>
          <w:spacing w:val="-7"/>
          <w:sz w:val="18"/>
        </w:rPr>
        <w:t> </w:t>
      </w:r>
      <w:r>
        <w:rPr>
          <w:sz w:val="18"/>
        </w:rPr>
        <w:t>and Sequestration, Alexandria, Virginia,</w:t>
      </w:r>
      <w:r>
        <w:rPr>
          <w:spacing w:val="-17"/>
          <w:sz w:val="18"/>
        </w:rPr>
        <w:t> </w:t>
      </w:r>
      <w:r>
        <w:rPr>
          <w:spacing w:val="-4"/>
          <w:sz w:val="18"/>
        </w:rPr>
        <w:t>May.</w:t>
      </w:r>
    </w:p>
    <w:p>
      <w:pPr>
        <w:spacing w:line="245" w:lineRule="exact" w:before="24"/>
        <w:ind w:left="513" w:right="0" w:firstLine="0"/>
        <w:jc w:val="both"/>
        <w:rPr>
          <w:sz w:val="18"/>
        </w:rPr>
      </w:pPr>
      <w:r>
        <w:rPr>
          <w:b/>
          <w:sz w:val="18"/>
        </w:rPr>
        <w:t>Simbeck, </w:t>
      </w:r>
      <w:r>
        <w:rPr>
          <w:sz w:val="18"/>
        </w:rPr>
        <w:t>D.R., 2005: Hydrogen Costs with CO</w:t>
      </w:r>
      <w:r>
        <w:rPr>
          <w:position w:val="-5"/>
          <w:sz w:val="10"/>
        </w:rPr>
        <w:t>2 </w:t>
      </w:r>
      <w:r>
        <w:rPr>
          <w:sz w:val="18"/>
        </w:rPr>
        <w:t>Capture. M. Wilson,</w:t>
      </w:r>
    </w:p>
    <w:p>
      <w:pPr>
        <w:spacing w:line="278" w:lineRule="auto" w:before="0"/>
        <w:ind w:left="854" w:right="9" w:firstLine="0"/>
        <w:jc w:val="both"/>
        <w:rPr>
          <w:sz w:val="18"/>
        </w:rPr>
      </w:pPr>
      <w:r>
        <w:rPr>
          <w:spacing w:val="-7"/>
          <w:sz w:val="18"/>
        </w:rPr>
        <w:t>T.</w:t>
      </w:r>
      <w:r>
        <w:rPr>
          <w:spacing w:val="31"/>
          <w:sz w:val="18"/>
        </w:rPr>
        <w:t> </w:t>
      </w:r>
      <w:r>
        <w:rPr>
          <w:sz w:val="18"/>
        </w:rPr>
        <w:t>Morris, J. Gale</w:t>
      </w:r>
      <w:r>
        <w:rPr>
          <w:spacing w:val="45"/>
          <w:sz w:val="18"/>
        </w:rPr>
        <w:t> </w:t>
      </w:r>
      <w:r>
        <w:rPr>
          <w:sz w:val="18"/>
        </w:rPr>
        <w:t>and</w:t>
      </w:r>
      <w:r>
        <w:rPr>
          <w:spacing w:val="45"/>
          <w:sz w:val="18"/>
        </w:rPr>
        <w:t> </w:t>
      </w:r>
      <w:r>
        <w:rPr>
          <w:sz w:val="18"/>
        </w:rPr>
        <w:t>K.</w:t>
      </w:r>
      <w:r>
        <w:rPr>
          <w:spacing w:val="45"/>
          <w:sz w:val="18"/>
        </w:rPr>
        <w:t> </w:t>
      </w:r>
      <w:r>
        <w:rPr>
          <w:sz w:val="18"/>
        </w:rPr>
        <w:t>Thambimuthu</w:t>
      </w:r>
      <w:r>
        <w:rPr>
          <w:spacing w:val="45"/>
          <w:sz w:val="18"/>
        </w:rPr>
        <w:t> </w:t>
      </w:r>
      <w:r>
        <w:rPr>
          <w:sz w:val="18"/>
        </w:rPr>
        <w:t>(eds.):</w:t>
      </w:r>
      <w:r>
        <w:rPr>
          <w:spacing w:val="45"/>
          <w:sz w:val="18"/>
        </w:rPr>
        <w:t> </w:t>
      </w:r>
      <w:r>
        <w:rPr>
          <w:sz w:val="18"/>
        </w:rPr>
        <w:t>Proceedings of 7th International Conference on Greenhouse Gas Control Technologies. </w:t>
      </w:r>
      <w:r>
        <w:rPr>
          <w:spacing w:val="-4"/>
          <w:sz w:val="18"/>
        </w:rPr>
        <w:t>Volume </w:t>
      </w:r>
      <w:r>
        <w:rPr>
          <w:sz w:val="18"/>
        </w:rPr>
        <w:t>II: Papers, Posters and Panel Discussion, Elsevier Science, Oxford UK,</w:t>
      </w:r>
      <w:r>
        <w:rPr>
          <w:spacing w:val="-5"/>
          <w:sz w:val="18"/>
        </w:rPr>
        <w:t> </w:t>
      </w:r>
      <w:r>
        <w:rPr>
          <w:sz w:val="18"/>
        </w:rPr>
        <w:t>1059-1066.</w:t>
      </w:r>
    </w:p>
    <w:p>
      <w:pPr>
        <w:spacing w:line="278" w:lineRule="auto" w:before="0"/>
        <w:ind w:left="854" w:right="8" w:hanging="341"/>
        <w:jc w:val="both"/>
        <w:rPr>
          <w:sz w:val="18"/>
        </w:rPr>
      </w:pPr>
      <w:r>
        <w:rPr>
          <w:b/>
          <w:sz w:val="18"/>
        </w:rPr>
        <w:t>Singh, </w:t>
      </w:r>
      <w:r>
        <w:rPr>
          <w:sz w:val="18"/>
        </w:rPr>
        <w:t>D., E. Croiset, </w:t>
      </w:r>
      <w:r>
        <w:rPr>
          <w:spacing w:val="-5"/>
          <w:sz w:val="18"/>
        </w:rPr>
        <w:t>P.L. </w:t>
      </w:r>
      <w:r>
        <w:rPr>
          <w:sz w:val="18"/>
        </w:rPr>
        <w:t>Douglas and M.A. Douglas, 2003: Techno- economic study of CO</w:t>
      </w:r>
      <w:r>
        <w:rPr>
          <w:position w:val="-5"/>
          <w:sz w:val="10"/>
        </w:rPr>
        <w:t>2  </w:t>
      </w:r>
      <w:r>
        <w:rPr>
          <w:sz w:val="18"/>
        </w:rPr>
        <w:t>capture from an existing coal-fired</w:t>
      </w:r>
      <w:r>
        <w:rPr>
          <w:spacing w:val="-26"/>
          <w:sz w:val="18"/>
        </w:rPr>
        <w:t> </w:t>
      </w:r>
      <w:r>
        <w:rPr>
          <w:sz w:val="18"/>
        </w:rPr>
        <w:t>power</w:t>
      </w:r>
    </w:p>
    <w:p>
      <w:pPr>
        <w:spacing w:line="177" w:lineRule="auto" w:before="0"/>
        <w:ind w:left="854" w:right="0" w:firstLine="0"/>
        <w:jc w:val="both"/>
        <w:rPr>
          <w:i/>
          <w:sz w:val="18"/>
        </w:rPr>
      </w:pPr>
      <w:r>
        <w:rPr>
          <w:sz w:val="18"/>
        </w:rPr>
        <w:t>plant:  MEA scrubbing  vs.  O</w:t>
      </w:r>
      <w:r>
        <w:rPr>
          <w:position w:val="-5"/>
          <w:sz w:val="10"/>
        </w:rPr>
        <w:t>2</w:t>
      </w:r>
      <w:r>
        <w:rPr>
          <w:sz w:val="18"/>
        </w:rPr>
        <w:t>/CO</w:t>
      </w:r>
      <w:r>
        <w:rPr>
          <w:position w:val="-5"/>
          <w:sz w:val="10"/>
        </w:rPr>
        <w:t>2   </w:t>
      </w:r>
      <w:r>
        <w:rPr>
          <w:sz w:val="18"/>
        </w:rPr>
        <w:t>recycle  combustion.</w:t>
      </w:r>
      <w:r>
        <w:rPr>
          <w:spacing w:val="-17"/>
          <w:sz w:val="18"/>
        </w:rPr>
        <w:t> </w:t>
      </w:r>
      <w:r>
        <w:rPr>
          <w:i/>
          <w:sz w:val="18"/>
        </w:rPr>
        <w:t>Energy</w:t>
      </w:r>
    </w:p>
    <w:p>
      <w:pPr>
        <w:spacing w:before="0"/>
        <w:ind w:left="854" w:right="0" w:firstLine="0"/>
        <w:jc w:val="both"/>
        <w:rPr>
          <w:sz w:val="18"/>
        </w:rPr>
      </w:pPr>
      <w:r>
        <w:rPr>
          <w:i/>
          <w:sz w:val="18"/>
        </w:rPr>
        <w:t>Conversion and Management</w:t>
      </w:r>
      <w:r>
        <w:rPr>
          <w:sz w:val="18"/>
        </w:rPr>
        <w:t>, </w:t>
      </w:r>
      <w:r>
        <w:rPr>
          <w:b/>
          <w:sz w:val="18"/>
        </w:rPr>
        <w:t>44, </w:t>
      </w:r>
      <w:r>
        <w:rPr>
          <w:sz w:val="18"/>
        </w:rPr>
        <w:t>p. 3073-3091.</w:t>
      </w:r>
    </w:p>
    <w:p>
      <w:pPr>
        <w:spacing w:line="278" w:lineRule="auto" w:before="29"/>
        <w:ind w:left="854" w:right="8" w:hanging="341"/>
        <w:jc w:val="both"/>
        <w:rPr>
          <w:sz w:val="18"/>
        </w:rPr>
      </w:pPr>
      <w:r>
        <w:rPr>
          <w:b/>
          <w:sz w:val="18"/>
        </w:rPr>
        <w:t>Sircar, </w:t>
      </w:r>
      <w:r>
        <w:rPr>
          <w:sz w:val="18"/>
        </w:rPr>
        <w:t>S., 1979: Separation of multi-component gas mixtures, US Patent No. 4171206, October 16th.</w:t>
      </w:r>
    </w:p>
    <w:p>
      <w:pPr>
        <w:spacing w:line="278" w:lineRule="auto" w:before="0"/>
        <w:ind w:left="854" w:right="9" w:hanging="341"/>
        <w:jc w:val="both"/>
        <w:rPr>
          <w:sz w:val="18"/>
        </w:rPr>
      </w:pPr>
      <w:r>
        <w:rPr>
          <w:b/>
          <w:sz w:val="18"/>
        </w:rPr>
        <w:t>Sircar, </w:t>
      </w:r>
      <w:r>
        <w:rPr>
          <w:sz w:val="18"/>
        </w:rPr>
        <w:t>S., C.M.A. Golden, 2001: PSA process for removal of bulk carbon dioxide from a wet high-temperature gas. US Patent No. 6322612.</w:t>
      </w:r>
    </w:p>
    <w:p>
      <w:pPr>
        <w:spacing w:line="278" w:lineRule="auto" w:before="0"/>
        <w:ind w:left="854" w:right="8" w:hanging="341"/>
        <w:jc w:val="both"/>
        <w:rPr>
          <w:sz w:val="18"/>
        </w:rPr>
      </w:pPr>
      <w:r>
        <w:rPr>
          <w:b/>
          <w:spacing w:val="-3"/>
          <w:sz w:val="18"/>
        </w:rPr>
        <w:t>Skinner,</w:t>
      </w:r>
      <w:r>
        <w:rPr>
          <w:b/>
          <w:spacing w:val="-4"/>
          <w:sz w:val="18"/>
        </w:rPr>
        <w:t> </w:t>
      </w:r>
      <w:r>
        <w:rPr>
          <w:sz w:val="18"/>
        </w:rPr>
        <w:t>S.J.and</w:t>
      </w:r>
      <w:r>
        <w:rPr>
          <w:spacing w:val="-5"/>
          <w:sz w:val="18"/>
        </w:rPr>
        <w:t> </w:t>
      </w:r>
      <w:r>
        <w:rPr>
          <w:sz w:val="18"/>
        </w:rPr>
        <w:t>J.A.</w:t>
      </w:r>
      <w:r>
        <w:rPr>
          <w:spacing w:val="-5"/>
          <w:sz w:val="18"/>
        </w:rPr>
        <w:t> </w:t>
      </w:r>
      <w:r>
        <w:rPr>
          <w:sz w:val="18"/>
        </w:rPr>
        <w:t>Kilner,</w:t>
      </w:r>
      <w:r>
        <w:rPr>
          <w:spacing w:val="-5"/>
          <w:sz w:val="18"/>
        </w:rPr>
        <w:t> </w:t>
      </w:r>
      <w:r>
        <w:rPr>
          <w:sz w:val="18"/>
        </w:rPr>
        <w:t>2003:</w:t>
      </w:r>
      <w:r>
        <w:rPr>
          <w:spacing w:val="-5"/>
          <w:sz w:val="18"/>
        </w:rPr>
        <w:t> </w:t>
      </w:r>
      <w:r>
        <w:rPr>
          <w:sz w:val="18"/>
        </w:rPr>
        <w:t>Oxygen</w:t>
      </w:r>
      <w:r>
        <w:rPr>
          <w:spacing w:val="-5"/>
          <w:sz w:val="18"/>
        </w:rPr>
        <w:t> </w:t>
      </w:r>
      <w:r>
        <w:rPr>
          <w:sz w:val="18"/>
        </w:rPr>
        <w:t>ion</w:t>
      </w:r>
      <w:r>
        <w:rPr>
          <w:spacing w:val="-5"/>
          <w:sz w:val="18"/>
        </w:rPr>
        <w:t> </w:t>
      </w:r>
      <w:r>
        <w:rPr>
          <w:sz w:val="18"/>
        </w:rPr>
        <w:t>conductors.</w:t>
      </w:r>
      <w:r>
        <w:rPr>
          <w:spacing w:val="-4"/>
          <w:sz w:val="18"/>
        </w:rPr>
        <w:t> </w:t>
      </w:r>
      <w:r>
        <w:rPr>
          <w:i/>
          <w:sz w:val="18"/>
        </w:rPr>
        <w:t>Materials </w:t>
      </w:r>
      <w:r>
        <w:rPr>
          <w:i/>
          <w:spacing w:val="-3"/>
          <w:sz w:val="18"/>
        </w:rPr>
        <w:t>Today</w:t>
      </w:r>
      <w:r>
        <w:rPr>
          <w:spacing w:val="-3"/>
          <w:sz w:val="18"/>
        </w:rPr>
        <w:t>, </w:t>
      </w:r>
      <w:r>
        <w:rPr>
          <w:b/>
          <w:sz w:val="18"/>
        </w:rPr>
        <w:t>6</w:t>
      </w:r>
      <w:r>
        <w:rPr>
          <w:sz w:val="18"/>
        </w:rPr>
        <w:t>(3),</w:t>
      </w:r>
      <w:r>
        <w:rPr>
          <w:spacing w:val="3"/>
          <w:sz w:val="18"/>
        </w:rPr>
        <w:t> </w:t>
      </w:r>
      <w:r>
        <w:rPr>
          <w:sz w:val="18"/>
        </w:rPr>
        <w:t>30-37.</w:t>
      </w:r>
    </w:p>
    <w:p>
      <w:pPr>
        <w:spacing w:line="278" w:lineRule="auto" w:before="0"/>
        <w:ind w:left="854" w:right="8" w:hanging="341"/>
        <w:jc w:val="both"/>
        <w:rPr>
          <w:sz w:val="18"/>
        </w:rPr>
      </w:pPr>
      <w:r>
        <w:rPr>
          <w:b/>
          <w:sz w:val="18"/>
        </w:rPr>
        <w:t>Stobbs, </w:t>
      </w:r>
      <w:r>
        <w:rPr>
          <w:sz w:val="18"/>
        </w:rPr>
        <w:t>R. and Clark, </w:t>
      </w:r>
      <w:r>
        <w:rPr>
          <w:spacing w:val="-7"/>
          <w:sz w:val="18"/>
        </w:rPr>
        <w:t>P., </w:t>
      </w:r>
      <w:r>
        <w:rPr>
          <w:sz w:val="18"/>
        </w:rPr>
        <w:t>2005: Canadian Clean Power Coalition: The Evaluation</w:t>
      </w:r>
      <w:r>
        <w:rPr>
          <w:spacing w:val="11"/>
          <w:sz w:val="18"/>
        </w:rPr>
        <w:t> </w:t>
      </w:r>
      <w:r>
        <w:rPr>
          <w:sz w:val="18"/>
        </w:rPr>
        <w:t>of</w:t>
      </w:r>
      <w:r>
        <w:rPr>
          <w:spacing w:val="13"/>
          <w:sz w:val="18"/>
        </w:rPr>
        <w:t> </w:t>
      </w:r>
      <w:r>
        <w:rPr>
          <w:sz w:val="18"/>
        </w:rPr>
        <w:t>Options</w:t>
      </w:r>
      <w:r>
        <w:rPr>
          <w:spacing w:val="12"/>
          <w:sz w:val="18"/>
        </w:rPr>
        <w:t> </w:t>
      </w:r>
      <w:r>
        <w:rPr>
          <w:sz w:val="18"/>
        </w:rPr>
        <w:t>for</w:t>
      </w:r>
      <w:r>
        <w:rPr>
          <w:spacing w:val="13"/>
          <w:sz w:val="18"/>
        </w:rPr>
        <w:t> </w:t>
      </w:r>
      <w:r>
        <w:rPr>
          <w:sz w:val="18"/>
        </w:rPr>
        <w:t>CO</w:t>
      </w:r>
      <w:r>
        <w:rPr>
          <w:position w:val="-5"/>
          <w:sz w:val="10"/>
        </w:rPr>
        <w:t>2 </w:t>
      </w:r>
      <w:r>
        <w:rPr>
          <w:spacing w:val="7"/>
          <w:position w:val="-5"/>
          <w:sz w:val="10"/>
        </w:rPr>
        <w:t> </w:t>
      </w:r>
      <w:r>
        <w:rPr>
          <w:sz w:val="18"/>
        </w:rPr>
        <w:t>Capture</w:t>
      </w:r>
      <w:r>
        <w:rPr>
          <w:spacing w:val="12"/>
          <w:sz w:val="18"/>
        </w:rPr>
        <w:t> </w:t>
      </w:r>
      <w:r>
        <w:rPr>
          <w:sz w:val="18"/>
        </w:rPr>
        <w:t>From</w:t>
      </w:r>
      <w:r>
        <w:rPr>
          <w:spacing w:val="12"/>
          <w:sz w:val="18"/>
        </w:rPr>
        <w:t> </w:t>
      </w:r>
      <w:r>
        <w:rPr>
          <w:sz w:val="18"/>
        </w:rPr>
        <w:t>Existing</w:t>
      </w:r>
      <w:r>
        <w:rPr>
          <w:spacing w:val="12"/>
          <w:sz w:val="18"/>
        </w:rPr>
        <w:t> </w:t>
      </w:r>
      <w:r>
        <w:rPr>
          <w:sz w:val="18"/>
        </w:rPr>
        <w:t>and</w:t>
      </w:r>
      <w:r>
        <w:rPr>
          <w:spacing w:val="13"/>
          <w:sz w:val="18"/>
        </w:rPr>
        <w:t> </w:t>
      </w:r>
      <w:r>
        <w:rPr>
          <w:sz w:val="18"/>
        </w:rPr>
        <w:t>New</w:t>
      </w:r>
    </w:p>
    <w:p>
      <w:pPr>
        <w:spacing w:line="164" w:lineRule="exact" w:before="0"/>
        <w:ind w:left="854" w:right="0" w:firstLine="0"/>
        <w:jc w:val="both"/>
        <w:rPr>
          <w:sz w:val="18"/>
        </w:rPr>
      </w:pPr>
      <w:r>
        <w:rPr>
          <w:sz w:val="18"/>
        </w:rPr>
        <w:t>Coal-Fired</w:t>
      </w:r>
      <w:r>
        <w:rPr>
          <w:spacing w:val="-11"/>
          <w:sz w:val="18"/>
        </w:rPr>
        <w:t> </w:t>
      </w:r>
      <w:r>
        <w:rPr>
          <w:sz w:val="18"/>
        </w:rPr>
        <w:t>Power</w:t>
      </w:r>
      <w:r>
        <w:rPr>
          <w:spacing w:val="-11"/>
          <w:sz w:val="18"/>
        </w:rPr>
        <w:t> </w:t>
      </w:r>
      <w:r>
        <w:rPr>
          <w:sz w:val="18"/>
        </w:rPr>
        <w:t>Plants,</w:t>
      </w:r>
      <w:r>
        <w:rPr>
          <w:spacing w:val="-11"/>
          <w:sz w:val="18"/>
        </w:rPr>
        <w:t> </w:t>
      </w:r>
      <w:r>
        <w:rPr>
          <w:sz w:val="18"/>
        </w:rPr>
        <w:t>In,</w:t>
      </w:r>
      <w:r>
        <w:rPr>
          <w:spacing w:val="-14"/>
          <w:sz w:val="18"/>
        </w:rPr>
        <w:t> </w:t>
      </w:r>
      <w:r>
        <w:rPr>
          <w:sz w:val="18"/>
        </w:rPr>
        <w:t>Wilson,</w:t>
      </w:r>
      <w:r>
        <w:rPr>
          <w:spacing w:val="-11"/>
          <w:sz w:val="18"/>
        </w:rPr>
        <w:t> </w:t>
      </w:r>
      <w:r>
        <w:rPr>
          <w:sz w:val="18"/>
        </w:rPr>
        <w:t>M.,</w:t>
      </w:r>
      <w:r>
        <w:rPr>
          <w:spacing w:val="-14"/>
          <w:sz w:val="18"/>
        </w:rPr>
        <w:t> </w:t>
      </w:r>
      <w:r>
        <w:rPr>
          <w:spacing w:val="-7"/>
          <w:sz w:val="18"/>
        </w:rPr>
        <w:t>T.</w:t>
      </w:r>
      <w:r>
        <w:rPr>
          <w:spacing w:val="-11"/>
          <w:sz w:val="18"/>
        </w:rPr>
        <w:t> </w:t>
      </w:r>
      <w:r>
        <w:rPr>
          <w:sz w:val="18"/>
        </w:rPr>
        <w:t>Morris,</w:t>
      </w:r>
      <w:r>
        <w:rPr>
          <w:spacing w:val="-11"/>
          <w:sz w:val="18"/>
        </w:rPr>
        <w:t> </w:t>
      </w:r>
      <w:r>
        <w:rPr>
          <w:sz w:val="18"/>
        </w:rPr>
        <w:t>J.</w:t>
      </w:r>
      <w:r>
        <w:rPr>
          <w:spacing w:val="-11"/>
          <w:sz w:val="18"/>
        </w:rPr>
        <w:t> </w:t>
      </w:r>
      <w:r>
        <w:rPr>
          <w:sz w:val="18"/>
        </w:rPr>
        <w:t>Gale</w:t>
      </w:r>
      <w:r>
        <w:rPr>
          <w:spacing w:val="-11"/>
          <w:sz w:val="18"/>
        </w:rPr>
        <w:t> </w:t>
      </w:r>
      <w:r>
        <w:rPr>
          <w:sz w:val="18"/>
        </w:rPr>
        <w:t>and</w:t>
      </w:r>
      <w:r>
        <w:rPr>
          <w:spacing w:val="-10"/>
          <w:sz w:val="18"/>
        </w:rPr>
        <w:t> </w:t>
      </w:r>
      <w:r>
        <w:rPr>
          <w:sz w:val="18"/>
        </w:rPr>
        <w:t>K.</w:t>
      </w:r>
    </w:p>
    <w:p>
      <w:pPr>
        <w:spacing w:line="278" w:lineRule="auto" w:before="33"/>
        <w:ind w:left="854" w:right="9" w:firstLine="0"/>
        <w:jc w:val="both"/>
        <w:rPr>
          <w:sz w:val="18"/>
        </w:rPr>
      </w:pPr>
      <w:r>
        <w:rPr>
          <w:sz w:val="18"/>
        </w:rPr>
        <w:t>Thambimuthu</w:t>
      </w:r>
      <w:r>
        <w:rPr>
          <w:spacing w:val="-10"/>
          <w:sz w:val="18"/>
        </w:rPr>
        <w:t> </w:t>
      </w:r>
      <w:r>
        <w:rPr>
          <w:sz w:val="18"/>
        </w:rPr>
        <w:t>(eds.),</w:t>
      </w:r>
      <w:r>
        <w:rPr>
          <w:spacing w:val="-10"/>
          <w:sz w:val="18"/>
        </w:rPr>
        <w:t> </w:t>
      </w:r>
      <w:r>
        <w:rPr>
          <w:sz w:val="18"/>
        </w:rPr>
        <w:t>Proceedings</w:t>
      </w:r>
      <w:r>
        <w:rPr>
          <w:spacing w:val="-9"/>
          <w:sz w:val="18"/>
        </w:rPr>
        <w:t> </w:t>
      </w:r>
      <w:r>
        <w:rPr>
          <w:sz w:val="18"/>
        </w:rPr>
        <w:t>of</w:t>
      </w:r>
      <w:r>
        <w:rPr>
          <w:spacing w:val="-10"/>
          <w:sz w:val="18"/>
        </w:rPr>
        <w:t> </w:t>
      </w:r>
      <w:r>
        <w:rPr>
          <w:sz w:val="18"/>
        </w:rPr>
        <w:t>7th</w:t>
      </w:r>
      <w:r>
        <w:rPr>
          <w:spacing w:val="-9"/>
          <w:sz w:val="18"/>
        </w:rPr>
        <w:t> </w:t>
      </w:r>
      <w:r>
        <w:rPr>
          <w:sz w:val="18"/>
        </w:rPr>
        <w:t>International</w:t>
      </w:r>
      <w:r>
        <w:rPr>
          <w:spacing w:val="-10"/>
          <w:sz w:val="18"/>
        </w:rPr>
        <w:t> </w:t>
      </w:r>
      <w:r>
        <w:rPr>
          <w:sz w:val="18"/>
        </w:rPr>
        <w:t>Conference on Greenhouse Gas Control Technologies. </w:t>
      </w:r>
      <w:r>
        <w:rPr>
          <w:spacing w:val="-4"/>
          <w:sz w:val="18"/>
        </w:rPr>
        <w:t>Volume </w:t>
      </w:r>
      <w:r>
        <w:rPr>
          <w:sz w:val="18"/>
        </w:rPr>
        <w:t>II: Papers, Posters and Panel Discussion, Elsevier Science, Oxford, UK, 1187-1192.</w:t>
      </w:r>
    </w:p>
    <w:p>
      <w:pPr>
        <w:spacing w:line="278" w:lineRule="auto" w:before="0"/>
        <w:ind w:left="854" w:right="7" w:hanging="341"/>
        <w:jc w:val="both"/>
        <w:rPr>
          <w:sz w:val="18"/>
        </w:rPr>
      </w:pPr>
      <w:r>
        <w:rPr>
          <w:b/>
          <w:sz w:val="18"/>
        </w:rPr>
        <w:t>Sundnes, </w:t>
      </w:r>
      <w:r>
        <w:rPr>
          <w:sz w:val="18"/>
        </w:rPr>
        <w:t>A., 1998: Process for generating power and/or heat comprising a mixed conducting membrane reactor. International patent number WO98/55394 Dec. 1998.</w:t>
      </w:r>
    </w:p>
    <w:p>
      <w:pPr>
        <w:spacing w:line="278" w:lineRule="auto" w:before="0"/>
        <w:ind w:left="854" w:right="8" w:hanging="341"/>
        <w:jc w:val="both"/>
        <w:rPr>
          <w:sz w:val="18"/>
        </w:rPr>
      </w:pPr>
      <w:r>
        <w:rPr>
          <w:b/>
          <w:spacing w:val="-17"/>
          <w:w w:val="200"/>
          <w:sz w:val="18"/>
        </w:rPr>
        <w:t>t</w:t>
      </w:r>
      <w:r>
        <w:rPr>
          <w:b/>
          <w:sz w:val="18"/>
        </w:rPr>
        <w:t>abe-</w:t>
      </w:r>
      <w:r>
        <w:rPr>
          <w:b/>
          <w:w w:val="113"/>
          <w:sz w:val="18"/>
        </w:rPr>
        <w:t>m</w:t>
      </w:r>
      <w:r>
        <w:rPr>
          <w:b/>
          <w:sz w:val="18"/>
        </w:rPr>
        <w:t>ohammadi,</w:t>
      </w:r>
      <w:r>
        <w:rPr>
          <w:b/>
          <w:spacing w:val="-18"/>
          <w:sz w:val="18"/>
        </w:rPr>
        <w:t> </w:t>
      </w:r>
      <w:r>
        <w:rPr>
          <w:spacing w:val="-1"/>
          <w:sz w:val="18"/>
        </w:rPr>
        <w:t>A.</w:t>
      </w:r>
      <w:r>
        <w:rPr>
          <w:sz w:val="18"/>
        </w:rPr>
        <w:t>,</w:t>
      </w:r>
      <w:r>
        <w:rPr>
          <w:spacing w:val="-18"/>
          <w:sz w:val="18"/>
        </w:rPr>
        <w:t> </w:t>
      </w:r>
      <w:r>
        <w:rPr>
          <w:sz w:val="18"/>
        </w:rPr>
        <w:t>1999</w:t>
      </w:r>
      <w:r>
        <w:rPr>
          <w:b/>
          <w:sz w:val="18"/>
        </w:rPr>
        <w:t>:</w:t>
      </w:r>
      <w:r>
        <w:rPr>
          <w:b/>
          <w:spacing w:val="-18"/>
          <w:sz w:val="18"/>
        </w:rPr>
        <w:t> </w:t>
      </w:r>
      <w:r>
        <w:rPr>
          <w:sz w:val="18"/>
        </w:rPr>
        <w:t>A</w:t>
      </w:r>
      <w:r>
        <w:rPr>
          <w:spacing w:val="-28"/>
          <w:sz w:val="18"/>
        </w:rPr>
        <w:t> </w:t>
      </w:r>
      <w:r>
        <w:rPr>
          <w:sz w:val="18"/>
        </w:rPr>
        <w:t>review</w:t>
      </w:r>
      <w:r>
        <w:rPr>
          <w:spacing w:val="-18"/>
          <w:sz w:val="18"/>
        </w:rPr>
        <w:t> </w:t>
      </w:r>
      <w:r>
        <w:rPr>
          <w:sz w:val="18"/>
        </w:rPr>
        <w:t>of</w:t>
      </w:r>
      <w:r>
        <w:rPr>
          <w:spacing w:val="-18"/>
          <w:sz w:val="18"/>
        </w:rPr>
        <w:t> </w:t>
      </w:r>
      <w:r>
        <w:rPr>
          <w:sz w:val="18"/>
        </w:rPr>
        <w:t>the</w:t>
      </w:r>
      <w:r>
        <w:rPr>
          <w:spacing w:val="-18"/>
          <w:sz w:val="18"/>
        </w:rPr>
        <w:t> </w:t>
      </w:r>
      <w:r>
        <w:rPr>
          <w:sz w:val="18"/>
        </w:rPr>
        <w:t>application</w:t>
      </w:r>
      <w:r>
        <w:rPr>
          <w:spacing w:val="-18"/>
          <w:sz w:val="18"/>
        </w:rPr>
        <w:t> </w:t>
      </w:r>
      <w:r>
        <w:rPr>
          <w:sz w:val="18"/>
        </w:rPr>
        <w:t>of</w:t>
      </w:r>
      <w:r>
        <w:rPr>
          <w:spacing w:val="-18"/>
          <w:sz w:val="18"/>
        </w:rPr>
        <w:t> </w:t>
      </w:r>
      <w:r>
        <w:rPr>
          <w:spacing w:val="-2"/>
          <w:sz w:val="18"/>
        </w:rPr>
        <w:t>membrane</w:t>
      </w:r>
      <w:r>
        <w:rPr>
          <w:sz w:val="18"/>
        </w:rPr>
        <w:t> separation technology in natural gas treatment, </w:t>
      </w:r>
      <w:r>
        <w:rPr>
          <w:i/>
          <w:sz w:val="18"/>
        </w:rPr>
        <w:t>Sep. Sci. &amp; </w:t>
      </w:r>
      <w:r>
        <w:rPr>
          <w:i/>
          <w:spacing w:val="-3"/>
          <w:sz w:val="18"/>
        </w:rPr>
        <w:t>Tech.</w:t>
      </w:r>
      <w:r>
        <w:rPr>
          <w:spacing w:val="-3"/>
          <w:sz w:val="18"/>
        </w:rPr>
        <w:t>, </w:t>
      </w:r>
      <w:r>
        <w:rPr>
          <w:b/>
          <w:sz w:val="18"/>
        </w:rPr>
        <w:t>34</w:t>
      </w:r>
      <w:r>
        <w:rPr>
          <w:sz w:val="18"/>
        </w:rPr>
        <w:t>(10),</w:t>
      </w:r>
      <w:r>
        <w:rPr>
          <w:spacing w:val="-1"/>
          <w:sz w:val="18"/>
        </w:rPr>
        <w:t> </w:t>
      </w:r>
      <w:r>
        <w:rPr>
          <w:sz w:val="18"/>
        </w:rPr>
        <w:t>2095-2111.</w:t>
      </w:r>
    </w:p>
    <w:p>
      <w:pPr>
        <w:spacing w:line="278" w:lineRule="auto" w:before="0"/>
        <w:ind w:left="854" w:right="8" w:hanging="341"/>
        <w:jc w:val="both"/>
        <w:rPr>
          <w:sz w:val="18"/>
        </w:rPr>
      </w:pPr>
      <w:r>
        <w:rPr>
          <w:b/>
          <w:w w:val="200"/>
          <w:sz w:val="18"/>
        </w:rPr>
        <w:t>t</w:t>
      </w:r>
      <w:r>
        <w:rPr>
          <w:b/>
          <w:sz w:val="18"/>
        </w:rPr>
        <w:t>akamura, </w:t>
      </w:r>
      <w:r>
        <w:rPr>
          <w:sz w:val="18"/>
        </w:rPr>
        <w:t>Y. Y. Mori, H. Noda, S. Narita, A. Saji, S. Uchida, 1999: Study on CO</w:t>
      </w:r>
      <w:r>
        <w:rPr>
          <w:position w:val="-5"/>
          <w:sz w:val="10"/>
        </w:rPr>
        <w:t>2 </w:t>
      </w:r>
      <w:r>
        <w:rPr>
          <w:sz w:val="18"/>
        </w:rPr>
        <w:t>Removal Technology from Flue Gas of Thermal</w:t>
      </w:r>
    </w:p>
    <w:p>
      <w:pPr>
        <w:spacing w:line="278" w:lineRule="auto" w:before="148"/>
        <w:ind w:left="573" w:right="115" w:firstLine="0"/>
        <w:jc w:val="both"/>
        <w:rPr>
          <w:sz w:val="18"/>
        </w:rPr>
      </w:pPr>
      <w:r>
        <w:rPr/>
        <w:br w:type="column"/>
      </w:r>
      <w:r>
        <w:rPr>
          <w:sz w:val="18"/>
        </w:rPr>
        <w:t>Power</w:t>
      </w:r>
      <w:r>
        <w:rPr>
          <w:spacing w:val="-22"/>
          <w:sz w:val="18"/>
        </w:rPr>
        <w:t> </w:t>
      </w:r>
      <w:r>
        <w:rPr>
          <w:sz w:val="18"/>
        </w:rPr>
        <w:t>Plant</w:t>
      </w:r>
      <w:r>
        <w:rPr>
          <w:spacing w:val="-22"/>
          <w:sz w:val="18"/>
        </w:rPr>
        <w:t> </w:t>
      </w:r>
      <w:r>
        <w:rPr>
          <w:sz w:val="18"/>
        </w:rPr>
        <w:t>by</w:t>
      </w:r>
      <w:r>
        <w:rPr>
          <w:spacing w:val="-22"/>
          <w:sz w:val="18"/>
        </w:rPr>
        <w:t> </w:t>
      </w:r>
      <w:r>
        <w:rPr>
          <w:sz w:val="18"/>
        </w:rPr>
        <w:t>Combined</w:t>
      </w:r>
      <w:r>
        <w:rPr>
          <w:spacing w:val="-22"/>
          <w:sz w:val="18"/>
        </w:rPr>
        <w:t> </w:t>
      </w:r>
      <w:r>
        <w:rPr>
          <w:sz w:val="18"/>
        </w:rPr>
        <w:t>System</w:t>
      </w:r>
      <w:r>
        <w:rPr>
          <w:spacing w:val="-22"/>
          <w:sz w:val="18"/>
        </w:rPr>
        <w:t> </w:t>
      </w:r>
      <w:r>
        <w:rPr>
          <w:sz w:val="18"/>
        </w:rPr>
        <w:t>with</w:t>
      </w:r>
      <w:r>
        <w:rPr>
          <w:spacing w:val="-22"/>
          <w:sz w:val="18"/>
        </w:rPr>
        <w:t> </w:t>
      </w:r>
      <w:r>
        <w:rPr>
          <w:sz w:val="18"/>
        </w:rPr>
        <w:t>Pressure</w:t>
      </w:r>
      <w:r>
        <w:rPr>
          <w:spacing w:val="-22"/>
          <w:sz w:val="18"/>
        </w:rPr>
        <w:t> </w:t>
      </w:r>
      <w:r>
        <w:rPr>
          <w:sz w:val="18"/>
        </w:rPr>
        <w:t>Swing</w:t>
      </w:r>
      <w:r>
        <w:rPr>
          <w:spacing w:val="-31"/>
          <w:sz w:val="18"/>
        </w:rPr>
        <w:t> </w:t>
      </w:r>
      <w:r>
        <w:rPr>
          <w:sz w:val="18"/>
        </w:rPr>
        <w:t>Adsorption and Super Cold Separator. Proceedings of the 5th International Conference on Greenhouse Gas Control Technologies, 13-16 Aug. 2000, Cairns, Australia, D. Williams et al. (eds.), CSIRO Publishing, Collingwood, </w:t>
      </w:r>
      <w:r>
        <w:rPr>
          <w:spacing w:val="-3"/>
          <w:sz w:val="18"/>
        </w:rPr>
        <w:t>Vic.,</w:t>
      </w:r>
      <w:r>
        <w:rPr>
          <w:spacing w:val="-17"/>
          <w:sz w:val="18"/>
        </w:rPr>
        <w:t> </w:t>
      </w:r>
      <w:r>
        <w:rPr>
          <w:sz w:val="18"/>
        </w:rPr>
        <w:t>Australia.</w:t>
      </w:r>
    </w:p>
    <w:p>
      <w:pPr>
        <w:spacing w:line="206" w:lineRule="exact" w:before="0"/>
        <w:ind w:left="573" w:right="0" w:hanging="341"/>
        <w:jc w:val="both"/>
        <w:rPr>
          <w:sz w:val="18"/>
        </w:rPr>
      </w:pPr>
      <w:r>
        <w:rPr>
          <w:b/>
          <w:spacing w:val="-17"/>
          <w:w w:val="200"/>
          <w:sz w:val="18"/>
        </w:rPr>
        <w:t>t</w:t>
      </w:r>
      <w:r>
        <w:rPr>
          <w:b/>
          <w:sz w:val="18"/>
        </w:rPr>
        <w:t>an, </w:t>
      </w:r>
      <w:r>
        <w:rPr>
          <w:b/>
          <w:spacing w:val="-17"/>
          <w:sz w:val="18"/>
        </w:rPr>
        <w:t> </w:t>
      </w:r>
      <w:r>
        <w:rPr>
          <w:spacing w:val="-24"/>
          <w:sz w:val="18"/>
        </w:rPr>
        <w:t>Y</w:t>
      </w:r>
      <w:r>
        <w:rPr>
          <w:sz w:val="18"/>
        </w:rPr>
        <w:t>., </w:t>
      </w:r>
      <w:r>
        <w:rPr>
          <w:spacing w:val="-17"/>
          <w:sz w:val="18"/>
        </w:rPr>
        <w:t> </w:t>
      </w:r>
      <w:r>
        <w:rPr>
          <w:spacing w:val="-1"/>
          <w:sz w:val="18"/>
        </w:rPr>
        <w:t>M.A.</w:t>
      </w:r>
      <w:r>
        <w:rPr>
          <w:sz w:val="18"/>
        </w:rPr>
        <w:t>, </w:t>
      </w:r>
      <w:r>
        <w:rPr>
          <w:spacing w:val="-17"/>
          <w:sz w:val="18"/>
        </w:rPr>
        <w:t> </w:t>
      </w:r>
      <w:r>
        <w:rPr>
          <w:spacing w:val="-1"/>
          <w:sz w:val="18"/>
        </w:rPr>
        <w:t>Douglas</w:t>
      </w:r>
      <w:r>
        <w:rPr>
          <w:sz w:val="18"/>
        </w:rPr>
        <w:t>, </w:t>
      </w:r>
      <w:r>
        <w:rPr>
          <w:spacing w:val="-17"/>
          <w:sz w:val="18"/>
        </w:rPr>
        <w:t> </w:t>
      </w:r>
      <w:r>
        <w:rPr>
          <w:sz w:val="18"/>
        </w:rPr>
        <w:t>E. </w:t>
      </w:r>
      <w:r>
        <w:rPr>
          <w:spacing w:val="-17"/>
          <w:sz w:val="18"/>
        </w:rPr>
        <w:t> </w:t>
      </w:r>
      <w:r>
        <w:rPr>
          <w:sz w:val="18"/>
        </w:rPr>
        <w:t>Croiset, </w:t>
      </w:r>
      <w:r>
        <w:rPr>
          <w:spacing w:val="-17"/>
          <w:sz w:val="18"/>
        </w:rPr>
        <w:t> </w:t>
      </w:r>
      <w:r>
        <w:rPr>
          <w:sz w:val="18"/>
        </w:rPr>
        <w:t>and </w:t>
      </w:r>
      <w:r>
        <w:rPr>
          <w:spacing w:val="-17"/>
          <w:sz w:val="18"/>
        </w:rPr>
        <w:t> </w:t>
      </w:r>
      <w:r>
        <w:rPr>
          <w:spacing w:val="-1"/>
          <w:sz w:val="18"/>
        </w:rPr>
        <w:t>K.</w:t>
      </w:r>
      <w:r>
        <w:rPr>
          <w:spacing w:val="-24"/>
          <w:sz w:val="18"/>
        </w:rPr>
        <w:t>V</w:t>
      </w:r>
      <w:r>
        <w:rPr>
          <w:sz w:val="18"/>
        </w:rPr>
        <w:t>. </w:t>
      </w:r>
      <w:r>
        <w:rPr>
          <w:spacing w:val="-20"/>
          <w:sz w:val="18"/>
        </w:rPr>
        <w:t> </w:t>
      </w:r>
      <w:r>
        <w:rPr>
          <w:sz w:val="18"/>
        </w:rPr>
        <w:t>Thambimuthu, </w:t>
      </w:r>
      <w:r>
        <w:rPr>
          <w:spacing w:val="-17"/>
          <w:sz w:val="18"/>
        </w:rPr>
        <w:t> </w:t>
      </w:r>
      <w:r>
        <w:rPr>
          <w:sz w:val="18"/>
        </w:rPr>
        <w:t>2002:</w:t>
      </w:r>
    </w:p>
    <w:p>
      <w:pPr>
        <w:spacing w:line="230" w:lineRule="auto" w:before="38"/>
        <w:ind w:left="573" w:right="116" w:firstLine="0"/>
        <w:jc w:val="both"/>
        <w:rPr>
          <w:sz w:val="18"/>
        </w:rPr>
      </w:pPr>
      <w:r>
        <w:rPr>
          <w:sz w:val="18"/>
        </w:rPr>
        <w:t>CO</w:t>
      </w:r>
      <w:r>
        <w:rPr>
          <w:position w:val="-5"/>
          <w:sz w:val="10"/>
        </w:rPr>
        <w:t>2 </w:t>
      </w:r>
      <w:r>
        <w:rPr>
          <w:sz w:val="18"/>
        </w:rPr>
        <w:t>Capture Using Oxygen Enhanced Combustion Strategies for Natural Gas Power Plants, </w:t>
      </w:r>
      <w:r>
        <w:rPr>
          <w:i/>
          <w:sz w:val="18"/>
        </w:rPr>
        <w:t>Fuel</w:t>
      </w:r>
      <w:r>
        <w:rPr>
          <w:sz w:val="18"/>
        </w:rPr>
        <w:t>, </w:t>
      </w:r>
      <w:r>
        <w:rPr>
          <w:b/>
          <w:sz w:val="18"/>
        </w:rPr>
        <w:t>81</w:t>
      </w:r>
      <w:r>
        <w:rPr>
          <w:sz w:val="18"/>
        </w:rPr>
        <w:t>, 1007-1016.</w:t>
      </w:r>
    </w:p>
    <w:p>
      <w:pPr>
        <w:spacing w:line="278" w:lineRule="auto" w:before="35"/>
        <w:ind w:left="573" w:right="115" w:hanging="341"/>
        <w:jc w:val="both"/>
        <w:rPr>
          <w:sz w:val="18"/>
        </w:rPr>
      </w:pPr>
      <w:r>
        <w:rPr>
          <w:b/>
          <w:spacing w:val="-17"/>
          <w:w w:val="200"/>
          <w:sz w:val="18"/>
        </w:rPr>
        <w:t>t</w:t>
      </w:r>
      <w:r>
        <w:rPr>
          <w:b/>
          <w:sz w:val="18"/>
        </w:rPr>
        <w:t>eramoto, </w:t>
      </w:r>
      <w:r>
        <w:rPr>
          <w:b/>
          <w:spacing w:val="13"/>
          <w:sz w:val="18"/>
        </w:rPr>
        <w:t> </w:t>
      </w:r>
      <w:r>
        <w:rPr>
          <w:spacing w:val="-1"/>
          <w:sz w:val="18"/>
        </w:rPr>
        <w:t>M.</w:t>
      </w:r>
      <w:r>
        <w:rPr>
          <w:sz w:val="18"/>
        </w:rPr>
        <w:t>, </w:t>
      </w:r>
      <w:r>
        <w:rPr>
          <w:spacing w:val="13"/>
          <w:sz w:val="18"/>
        </w:rPr>
        <w:t> </w:t>
      </w:r>
      <w:r>
        <w:rPr>
          <w:spacing w:val="-1"/>
          <w:sz w:val="18"/>
        </w:rPr>
        <w:t>K</w:t>
      </w:r>
      <w:r>
        <w:rPr>
          <w:sz w:val="18"/>
        </w:rPr>
        <w:t>. </w:t>
      </w:r>
      <w:r>
        <w:rPr>
          <w:spacing w:val="13"/>
          <w:sz w:val="18"/>
        </w:rPr>
        <w:t> </w:t>
      </w:r>
      <w:r>
        <w:rPr>
          <w:spacing w:val="-1"/>
          <w:sz w:val="18"/>
        </w:rPr>
        <w:t>Nakai</w:t>
      </w:r>
      <w:r>
        <w:rPr>
          <w:sz w:val="18"/>
        </w:rPr>
        <w:t>, </w:t>
      </w:r>
      <w:r>
        <w:rPr>
          <w:spacing w:val="13"/>
          <w:sz w:val="18"/>
        </w:rPr>
        <w:t> </w:t>
      </w:r>
      <w:r>
        <w:rPr>
          <w:spacing w:val="-1"/>
          <w:sz w:val="18"/>
        </w:rPr>
        <w:t>N</w:t>
      </w:r>
      <w:r>
        <w:rPr>
          <w:sz w:val="18"/>
        </w:rPr>
        <w:t>. </w:t>
      </w:r>
      <w:r>
        <w:rPr>
          <w:spacing w:val="13"/>
          <w:sz w:val="18"/>
        </w:rPr>
        <w:t> </w:t>
      </w:r>
      <w:r>
        <w:rPr>
          <w:spacing w:val="-1"/>
          <w:sz w:val="18"/>
        </w:rPr>
        <w:t>Ohnishi</w:t>
      </w:r>
      <w:r>
        <w:rPr>
          <w:sz w:val="18"/>
        </w:rPr>
        <w:t>, </w:t>
      </w:r>
      <w:r>
        <w:rPr>
          <w:spacing w:val="13"/>
          <w:sz w:val="18"/>
        </w:rPr>
        <w:t> </w:t>
      </w:r>
      <w:r>
        <w:rPr>
          <w:spacing w:val="-1"/>
          <w:sz w:val="18"/>
        </w:rPr>
        <w:t>Q</w:t>
      </w:r>
      <w:r>
        <w:rPr>
          <w:sz w:val="18"/>
        </w:rPr>
        <w:t>. </w:t>
      </w:r>
      <w:r>
        <w:rPr>
          <w:spacing w:val="13"/>
          <w:sz w:val="18"/>
        </w:rPr>
        <w:t> </w:t>
      </w:r>
      <w:r>
        <w:rPr>
          <w:spacing w:val="-1"/>
          <w:sz w:val="18"/>
        </w:rPr>
        <w:t>Huang</w:t>
      </w:r>
      <w:r>
        <w:rPr>
          <w:sz w:val="18"/>
        </w:rPr>
        <w:t>, </w:t>
      </w:r>
      <w:r>
        <w:rPr>
          <w:spacing w:val="10"/>
          <w:sz w:val="18"/>
        </w:rPr>
        <w:t> </w:t>
      </w:r>
      <w:r>
        <w:rPr>
          <w:spacing w:val="-14"/>
          <w:sz w:val="18"/>
        </w:rPr>
        <w:t>T</w:t>
      </w:r>
      <w:r>
        <w:rPr>
          <w:sz w:val="18"/>
        </w:rPr>
        <w:t>. </w:t>
      </w:r>
      <w:r>
        <w:rPr>
          <w:spacing w:val="10"/>
          <w:sz w:val="18"/>
        </w:rPr>
        <w:t> </w:t>
      </w:r>
      <w:r>
        <w:rPr>
          <w:spacing w:val="-15"/>
          <w:sz w:val="18"/>
        </w:rPr>
        <w:t>W</w:t>
      </w:r>
      <w:r>
        <w:rPr>
          <w:sz w:val="18"/>
        </w:rPr>
        <w:t>atari, </w:t>
      </w:r>
      <w:r>
        <w:rPr>
          <w:spacing w:val="13"/>
          <w:sz w:val="18"/>
        </w:rPr>
        <w:t> </w:t>
      </w:r>
      <w:r>
        <w:rPr>
          <w:spacing w:val="-1"/>
          <w:sz w:val="18"/>
        </w:rPr>
        <w:t>H. </w:t>
      </w:r>
      <w:r>
        <w:rPr>
          <w:sz w:val="18"/>
        </w:rPr>
        <w:t>Matsuyama,</w:t>
      </w:r>
      <w:r>
        <w:rPr>
          <w:spacing w:val="-10"/>
          <w:sz w:val="18"/>
        </w:rPr>
        <w:t> </w:t>
      </w:r>
      <w:r>
        <w:rPr>
          <w:sz w:val="18"/>
        </w:rPr>
        <w:t>1996:</w:t>
      </w:r>
      <w:r>
        <w:rPr>
          <w:spacing w:val="-9"/>
          <w:sz w:val="18"/>
        </w:rPr>
        <w:t> </w:t>
      </w:r>
      <w:r>
        <w:rPr>
          <w:sz w:val="18"/>
        </w:rPr>
        <w:t>Facilitated</w:t>
      </w:r>
      <w:r>
        <w:rPr>
          <w:spacing w:val="-10"/>
          <w:sz w:val="18"/>
        </w:rPr>
        <w:t> </w:t>
      </w:r>
      <w:r>
        <w:rPr>
          <w:sz w:val="18"/>
        </w:rPr>
        <w:t>transport</w:t>
      </w:r>
      <w:r>
        <w:rPr>
          <w:spacing w:val="-9"/>
          <w:sz w:val="18"/>
        </w:rPr>
        <w:t> </w:t>
      </w:r>
      <w:r>
        <w:rPr>
          <w:sz w:val="18"/>
        </w:rPr>
        <w:t>of</w:t>
      </w:r>
      <w:r>
        <w:rPr>
          <w:spacing w:val="-10"/>
          <w:sz w:val="18"/>
        </w:rPr>
        <w:t> </w:t>
      </w:r>
      <w:r>
        <w:rPr>
          <w:sz w:val="18"/>
        </w:rPr>
        <w:t>carbon</w:t>
      </w:r>
      <w:r>
        <w:rPr>
          <w:spacing w:val="-9"/>
          <w:sz w:val="18"/>
        </w:rPr>
        <w:t> </w:t>
      </w:r>
      <w:r>
        <w:rPr>
          <w:sz w:val="18"/>
        </w:rPr>
        <w:t>dioxide</w:t>
      </w:r>
      <w:r>
        <w:rPr>
          <w:spacing w:val="-10"/>
          <w:sz w:val="18"/>
        </w:rPr>
        <w:t> </w:t>
      </w:r>
      <w:r>
        <w:rPr>
          <w:sz w:val="18"/>
        </w:rPr>
        <w:t>through supported liquid membranes of aqueous amine solutions, </w:t>
      </w:r>
      <w:r>
        <w:rPr>
          <w:i/>
          <w:sz w:val="18"/>
        </w:rPr>
        <w:t>Ind. </w:t>
      </w:r>
      <w:r>
        <w:rPr>
          <w:i/>
          <w:sz w:val="18"/>
        </w:rPr>
        <w:t>Eng. Chem., </w:t>
      </w:r>
      <w:r>
        <w:rPr>
          <w:b/>
          <w:sz w:val="18"/>
        </w:rPr>
        <w:t>35</w:t>
      </w:r>
      <w:r>
        <w:rPr>
          <w:sz w:val="18"/>
        </w:rPr>
        <w:t>,</w:t>
      </w:r>
      <w:r>
        <w:rPr>
          <w:spacing w:val="-1"/>
          <w:sz w:val="18"/>
        </w:rPr>
        <w:t> </w:t>
      </w:r>
      <w:r>
        <w:rPr>
          <w:sz w:val="18"/>
        </w:rPr>
        <w:t>538-545.</w:t>
      </w:r>
    </w:p>
    <w:p>
      <w:pPr>
        <w:spacing w:line="278" w:lineRule="auto" w:before="0"/>
        <w:ind w:left="573" w:right="115" w:hanging="341"/>
        <w:jc w:val="both"/>
        <w:rPr>
          <w:sz w:val="18"/>
        </w:rPr>
      </w:pPr>
      <w:r>
        <w:rPr>
          <w:b/>
          <w:spacing w:val="-17"/>
          <w:w w:val="200"/>
          <w:sz w:val="18"/>
        </w:rPr>
        <w:t>t</w:t>
      </w:r>
      <w:r>
        <w:rPr>
          <w:b/>
          <w:sz w:val="18"/>
        </w:rPr>
        <w:t>odd,  </w:t>
      </w:r>
      <w:r>
        <w:rPr>
          <w:spacing w:val="-1"/>
          <w:sz w:val="18"/>
        </w:rPr>
        <w:t>D.M</w:t>
      </w:r>
      <w:r>
        <w:rPr>
          <w:sz w:val="18"/>
        </w:rPr>
        <w:t>.  and  Battista,  R.A.,  2001: </w:t>
      </w:r>
      <w:r>
        <w:rPr>
          <w:spacing w:val="-1"/>
          <w:sz w:val="18"/>
        </w:rPr>
        <w:t> Demonstrate</w:t>
      </w:r>
      <w:r>
        <w:rPr>
          <w:sz w:val="18"/>
        </w:rPr>
        <w:t>d  </w:t>
      </w:r>
      <w:r>
        <w:rPr>
          <w:spacing w:val="-1"/>
          <w:sz w:val="18"/>
        </w:rPr>
        <w:t>Applicability </w:t>
      </w:r>
      <w:r>
        <w:rPr>
          <w:sz w:val="18"/>
        </w:rPr>
        <w:t>of Hydrogen Fuel for Gas Turbines, 4th European Gasification Conference 11-13th April, Noordwijk Netherlands.</w:t>
      </w:r>
    </w:p>
    <w:p>
      <w:pPr>
        <w:spacing w:line="278" w:lineRule="auto" w:before="0"/>
        <w:ind w:left="573" w:right="114" w:hanging="341"/>
        <w:jc w:val="both"/>
        <w:rPr>
          <w:sz w:val="18"/>
        </w:rPr>
      </w:pPr>
      <w:r>
        <w:rPr>
          <w:b/>
          <w:spacing w:val="-6"/>
          <w:sz w:val="18"/>
        </w:rPr>
        <w:t>van </w:t>
      </w:r>
      <w:r>
        <w:rPr>
          <w:b/>
          <w:sz w:val="18"/>
        </w:rPr>
        <w:t>der Sluijs, </w:t>
      </w:r>
      <w:r>
        <w:rPr>
          <w:spacing w:val="-6"/>
          <w:sz w:val="18"/>
        </w:rPr>
        <w:t>J.P, </w:t>
      </w:r>
      <w:r>
        <w:rPr>
          <w:sz w:val="18"/>
        </w:rPr>
        <w:t>C.A. Hendriks, and K. Blok, 1992: Feasibility of polymer membranes for carbon dioxide recovery from flue</w:t>
      </w:r>
      <w:r>
        <w:rPr>
          <w:spacing w:val="-29"/>
          <w:sz w:val="18"/>
        </w:rPr>
        <w:t> </w:t>
      </w:r>
      <w:r>
        <w:rPr>
          <w:sz w:val="18"/>
        </w:rPr>
        <w:t>gases, </w:t>
      </w:r>
      <w:r>
        <w:rPr>
          <w:i/>
          <w:sz w:val="18"/>
        </w:rPr>
        <w:t>Energy Conversion Management, </w:t>
      </w:r>
      <w:r>
        <w:rPr>
          <w:b/>
          <w:sz w:val="18"/>
        </w:rPr>
        <w:t>33</w:t>
      </w:r>
      <w:r>
        <w:rPr>
          <w:sz w:val="18"/>
        </w:rPr>
        <w:t>(5-8),</w:t>
      </w:r>
      <w:r>
        <w:rPr>
          <w:spacing w:val="-3"/>
          <w:sz w:val="18"/>
        </w:rPr>
        <w:t> </w:t>
      </w:r>
      <w:r>
        <w:rPr>
          <w:sz w:val="18"/>
        </w:rPr>
        <w:t>429-436.</w:t>
      </w:r>
    </w:p>
    <w:p>
      <w:pPr>
        <w:spacing w:line="278" w:lineRule="auto" w:before="0"/>
        <w:ind w:left="573" w:right="115" w:hanging="341"/>
        <w:jc w:val="both"/>
        <w:rPr>
          <w:sz w:val="18"/>
        </w:rPr>
      </w:pPr>
      <w:r>
        <w:rPr>
          <w:b/>
          <w:spacing w:val="-6"/>
          <w:sz w:val="18"/>
        </w:rPr>
        <w:t>von </w:t>
      </w:r>
      <w:r>
        <w:rPr>
          <w:b/>
          <w:sz w:val="18"/>
        </w:rPr>
        <w:t>Bogdandy, </w:t>
      </w:r>
      <w:r>
        <w:rPr>
          <w:sz w:val="18"/>
        </w:rPr>
        <w:t>L., </w:t>
      </w:r>
      <w:r>
        <w:rPr>
          <w:spacing w:val="-9"/>
          <w:sz w:val="18"/>
        </w:rPr>
        <w:t>W. </w:t>
      </w:r>
      <w:r>
        <w:rPr>
          <w:sz w:val="18"/>
        </w:rPr>
        <w:t>Nieder, G. Schmidt, U. Schroer, 1989: Smelting</w:t>
      </w:r>
      <w:r>
        <w:rPr>
          <w:spacing w:val="-11"/>
          <w:sz w:val="18"/>
        </w:rPr>
        <w:t> </w:t>
      </w:r>
      <w:r>
        <w:rPr>
          <w:sz w:val="18"/>
        </w:rPr>
        <w:t>reduction</w:t>
      </w:r>
      <w:r>
        <w:rPr>
          <w:spacing w:val="-11"/>
          <w:sz w:val="18"/>
        </w:rPr>
        <w:t> </w:t>
      </w:r>
      <w:r>
        <w:rPr>
          <w:sz w:val="18"/>
        </w:rPr>
        <w:t>of</w:t>
      </w:r>
      <w:r>
        <w:rPr>
          <w:spacing w:val="-11"/>
          <w:sz w:val="18"/>
        </w:rPr>
        <w:t> </w:t>
      </w:r>
      <w:r>
        <w:rPr>
          <w:sz w:val="18"/>
        </w:rPr>
        <w:t>iron</w:t>
      </w:r>
      <w:r>
        <w:rPr>
          <w:spacing w:val="-10"/>
          <w:sz w:val="18"/>
        </w:rPr>
        <w:t> </w:t>
      </w:r>
      <w:r>
        <w:rPr>
          <w:sz w:val="18"/>
        </w:rPr>
        <w:t>ore</w:t>
      </w:r>
      <w:r>
        <w:rPr>
          <w:spacing w:val="-11"/>
          <w:sz w:val="18"/>
        </w:rPr>
        <w:t> </w:t>
      </w:r>
      <w:r>
        <w:rPr>
          <w:sz w:val="18"/>
        </w:rPr>
        <w:t>using</w:t>
      </w:r>
      <w:r>
        <w:rPr>
          <w:spacing w:val="-11"/>
          <w:sz w:val="18"/>
        </w:rPr>
        <w:t> </w:t>
      </w:r>
      <w:r>
        <w:rPr>
          <w:sz w:val="18"/>
        </w:rPr>
        <w:t>the</w:t>
      </w:r>
      <w:r>
        <w:rPr>
          <w:spacing w:val="-10"/>
          <w:sz w:val="18"/>
        </w:rPr>
        <w:t> </w:t>
      </w:r>
      <w:r>
        <w:rPr>
          <w:sz w:val="18"/>
        </w:rPr>
        <w:t>COREX</w:t>
      </w:r>
      <w:r>
        <w:rPr>
          <w:spacing w:val="-11"/>
          <w:sz w:val="18"/>
        </w:rPr>
        <w:t> </w:t>
      </w:r>
      <w:r>
        <w:rPr>
          <w:sz w:val="18"/>
        </w:rPr>
        <w:t>process</w:t>
      </w:r>
      <w:r>
        <w:rPr>
          <w:spacing w:val="-11"/>
          <w:sz w:val="18"/>
        </w:rPr>
        <w:t> </w:t>
      </w:r>
      <w:r>
        <w:rPr>
          <w:sz w:val="18"/>
        </w:rPr>
        <w:t>in</w:t>
      </w:r>
      <w:r>
        <w:rPr>
          <w:spacing w:val="-10"/>
          <w:sz w:val="18"/>
        </w:rPr>
        <w:t> </w:t>
      </w:r>
      <w:r>
        <w:rPr>
          <w:sz w:val="18"/>
        </w:rPr>
        <w:t>power compound systems. </w:t>
      </w:r>
      <w:r>
        <w:rPr>
          <w:i/>
          <w:sz w:val="18"/>
        </w:rPr>
        <w:t>Stahl und Eisen, </w:t>
      </w:r>
      <w:r>
        <w:rPr>
          <w:b/>
          <w:sz w:val="18"/>
        </w:rPr>
        <w:t>109</w:t>
      </w:r>
      <w:r>
        <w:rPr>
          <w:sz w:val="18"/>
        </w:rPr>
        <w:t>(9,10), p</w:t>
      </w:r>
      <w:r>
        <w:rPr>
          <w:spacing w:val="-4"/>
          <w:sz w:val="18"/>
        </w:rPr>
        <w:t> </w:t>
      </w:r>
      <w:r>
        <w:rPr>
          <w:sz w:val="18"/>
        </w:rPr>
        <w:t>445.</w:t>
      </w:r>
    </w:p>
    <w:p>
      <w:pPr>
        <w:spacing w:line="278" w:lineRule="auto" w:before="0"/>
        <w:ind w:left="573" w:right="115" w:hanging="341"/>
        <w:jc w:val="both"/>
        <w:rPr>
          <w:sz w:val="18"/>
        </w:rPr>
      </w:pPr>
      <w:r>
        <w:rPr>
          <w:b/>
          <w:sz w:val="18"/>
        </w:rPr>
        <w:t>Wabash River Energy Ltd., </w:t>
      </w:r>
      <w:r>
        <w:rPr>
          <w:sz w:val="18"/>
        </w:rPr>
        <w:t>2000: </w:t>
      </w:r>
      <w:r>
        <w:rPr>
          <w:spacing w:val="-3"/>
          <w:sz w:val="18"/>
        </w:rPr>
        <w:t>Wabash </w:t>
      </w:r>
      <w:r>
        <w:rPr>
          <w:sz w:val="18"/>
        </w:rPr>
        <w:t>River Coal Gasification Repowering</w:t>
      </w:r>
      <w:r>
        <w:rPr>
          <w:spacing w:val="-23"/>
          <w:sz w:val="18"/>
        </w:rPr>
        <w:t> </w:t>
      </w:r>
      <w:r>
        <w:rPr>
          <w:sz w:val="18"/>
        </w:rPr>
        <w:t>Project,</w:t>
      </w:r>
      <w:r>
        <w:rPr>
          <w:spacing w:val="-22"/>
          <w:sz w:val="18"/>
        </w:rPr>
        <w:t> </w:t>
      </w:r>
      <w:r>
        <w:rPr>
          <w:sz w:val="18"/>
        </w:rPr>
        <w:t>Final</w:t>
      </w:r>
      <w:r>
        <w:rPr>
          <w:spacing w:val="-25"/>
          <w:sz w:val="18"/>
        </w:rPr>
        <w:t> </w:t>
      </w:r>
      <w:r>
        <w:rPr>
          <w:sz w:val="18"/>
        </w:rPr>
        <w:t>Technical</w:t>
      </w:r>
      <w:r>
        <w:rPr>
          <w:spacing w:val="-22"/>
          <w:sz w:val="18"/>
        </w:rPr>
        <w:t> </w:t>
      </w:r>
      <w:r>
        <w:rPr>
          <w:sz w:val="18"/>
        </w:rPr>
        <w:t>Report</w:t>
      </w:r>
      <w:r>
        <w:rPr>
          <w:spacing w:val="-22"/>
          <w:sz w:val="18"/>
        </w:rPr>
        <w:t> </w:t>
      </w:r>
      <w:r>
        <w:rPr>
          <w:sz w:val="18"/>
        </w:rPr>
        <w:t>to</w:t>
      </w:r>
      <w:r>
        <w:rPr>
          <w:spacing w:val="-22"/>
          <w:sz w:val="18"/>
        </w:rPr>
        <w:t> </w:t>
      </w:r>
      <w:r>
        <w:rPr>
          <w:sz w:val="18"/>
        </w:rPr>
        <w:t>the</w:t>
      </w:r>
      <w:r>
        <w:rPr>
          <w:spacing w:val="-22"/>
          <w:sz w:val="18"/>
        </w:rPr>
        <w:t> </w:t>
      </w:r>
      <w:r>
        <w:rPr>
          <w:sz w:val="18"/>
        </w:rPr>
        <w:t>National</w:t>
      </w:r>
      <w:r>
        <w:rPr>
          <w:spacing w:val="-22"/>
          <w:sz w:val="18"/>
        </w:rPr>
        <w:t> </w:t>
      </w:r>
      <w:r>
        <w:rPr>
          <w:sz w:val="18"/>
        </w:rPr>
        <w:t>Energy Technology Laboratory, US Department of </w:t>
      </w:r>
      <w:r>
        <w:rPr>
          <w:spacing w:val="-3"/>
          <w:sz w:val="18"/>
        </w:rPr>
        <w:t>Energy,</w:t>
      </w:r>
      <w:r>
        <w:rPr>
          <w:spacing w:val="-26"/>
          <w:sz w:val="18"/>
        </w:rPr>
        <w:t> </w:t>
      </w:r>
      <w:r>
        <w:rPr>
          <w:sz w:val="18"/>
        </w:rPr>
        <w:t>August.</w:t>
      </w:r>
    </w:p>
    <w:p>
      <w:pPr>
        <w:spacing w:line="278" w:lineRule="auto" w:before="0"/>
        <w:ind w:left="573" w:right="114" w:hanging="341"/>
        <w:jc w:val="both"/>
        <w:rPr>
          <w:sz w:val="18"/>
        </w:rPr>
      </w:pPr>
      <w:r>
        <w:rPr>
          <w:b/>
          <w:sz w:val="18"/>
        </w:rPr>
        <w:t>Wang, </w:t>
      </w:r>
      <w:r>
        <w:rPr>
          <w:sz w:val="18"/>
        </w:rPr>
        <w:t>J., E.J. Anthony, J.C. Abanades, 2004: Clean and efficient use of petroleum coke for combustion and power generation. </w:t>
      </w:r>
      <w:r>
        <w:rPr>
          <w:i/>
          <w:sz w:val="18"/>
        </w:rPr>
        <w:t>Fuel, </w:t>
      </w:r>
      <w:r>
        <w:rPr>
          <w:b/>
          <w:sz w:val="18"/>
        </w:rPr>
        <w:t>83</w:t>
      </w:r>
      <w:r>
        <w:rPr>
          <w:sz w:val="18"/>
        </w:rPr>
        <w:t>, 1341-1348.</w:t>
      </w:r>
    </w:p>
    <w:p>
      <w:pPr>
        <w:spacing w:line="278" w:lineRule="auto" w:before="0"/>
        <w:ind w:left="573" w:right="115" w:hanging="341"/>
        <w:jc w:val="both"/>
        <w:rPr>
          <w:sz w:val="18"/>
        </w:rPr>
      </w:pPr>
      <w:r>
        <w:rPr>
          <w:b/>
          <w:sz w:val="18"/>
        </w:rPr>
        <w:t>Wilkinson, </w:t>
      </w:r>
      <w:r>
        <w:rPr>
          <w:sz w:val="18"/>
        </w:rPr>
        <w:t>M.B. and Clarke, S.C., 2002: Hydrogen Fuel Production: Advanced Syngas Technology Screening Study.14</w:t>
      </w:r>
      <w:r>
        <w:rPr>
          <w:position w:val="6"/>
          <w:sz w:val="10"/>
        </w:rPr>
        <w:t>th </w:t>
      </w:r>
      <w:r>
        <w:rPr>
          <w:sz w:val="18"/>
        </w:rPr>
        <w:t>World Hydrogen Energy Conference, June 9-14, 2002, Montreal, Canada.</w:t>
      </w:r>
    </w:p>
    <w:p>
      <w:pPr>
        <w:spacing w:line="278" w:lineRule="auto" w:before="0"/>
        <w:ind w:left="573" w:right="115" w:hanging="341"/>
        <w:jc w:val="both"/>
        <w:rPr>
          <w:sz w:val="18"/>
        </w:rPr>
      </w:pPr>
      <w:r>
        <w:rPr>
          <w:b/>
          <w:sz w:val="18"/>
        </w:rPr>
        <w:t>Wilkinson,</w:t>
      </w:r>
      <w:r>
        <w:rPr>
          <w:b/>
          <w:spacing w:val="-5"/>
          <w:sz w:val="18"/>
        </w:rPr>
        <w:t> </w:t>
      </w:r>
      <w:r>
        <w:rPr>
          <w:sz w:val="18"/>
        </w:rPr>
        <w:t>M.B.,</w:t>
      </w:r>
      <w:r>
        <w:rPr>
          <w:spacing w:val="-4"/>
          <w:sz w:val="18"/>
        </w:rPr>
        <w:t> </w:t>
      </w:r>
      <w:r>
        <w:rPr>
          <w:sz w:val="18"/>
        </w:rPr>
        <w:t>J.C.</w:t>
      </w:r>
      <w:r>
        <w:rPr>
          <w:spacing w:val="-4"/>
          <w:sz w:val="18"/>
        </w:rPr>
        <w:t> </w:t>
      </w:r>
      <w:r>
        <w:rPr>
          <w:sz w:val="18"/>
        </w:rPr>
        <w:t>Boden,</w:t>
      </w:r>
      <w:r>
        <w:rPr>
          <w:spacing w:val="-7"/>
          <w:sz w:val="18"/>
        </w:rPr>
        <w:t> T.</w:t>
      </w:r>
      <w:r>
        <w:rPr>
          <w:spacing w:val="-4"/>
          <w:sz w:val="18"/>
        </w:rPr>
        <w:t> </w:t>
      </w:r>
      <w:r>
        <w:rPr>
          <w:sz w:val="18"/>
        </w:rPr>
        <w:t>Gilmartin,</w:t>
      </w:r>
      <w:r>
        <w:rPr>
          <w:spacing w:val="-4"/>
          <w:sz w:val="18"/>
        </w:rPr>
        <w:t> </w:t>
      </w:r>
      <w:r>
        <w:rPr>
          <w:sz w:val="18"/>
        </w:rPr>
        <w:t>C.</w:t>
      </w:r>
      <w:r>
        <w:rPr>
          <w:spacing w:val="-7"/>
          <w:sz w:val="18"/>
        </w:rPr>
        <w:t> </w:t>
      </w:r>
      <w:r>
        <w:rPr>
          <w:spacing w:val="-3"/>
          <w:sz w:val="18"/>
        </w:rPr>
        <w:t>Ward,</w:t>
      </w:r>
      <w:r>
        <w:rPr>
          <w:spacing w:val="-5"/>
          <w:sz w:val="18"/>
        </w:rPr>
        <w:t> </w:t>
      </w:r>
      <w:r>
        <w:rPr>
          <w:sz w:val="18"/>
        </w:rPr>
        <w:t>D.A.</w:t>
      </w:r>
      <w:r>
        <w:rPr>
          <w:spacing w:val="-4"/>
          <w:sz w:val="18"/>
        </w:rPr>
        <w:t> </w:t>
      </w:r>
      <w:r>
        <w:rPr>
          <w:sz w:val="18"/>
        </w:rPr>
        <w:t>Cross,</w:t>
      </w:r>
      <w:r>
        <w:rPr>
          <w:spacing w:val="-3"/>
          <w:sz w:val="18"/>
        </w:rPr>
        <w:t> </w:t>
      </w:r>
      <w:r>
        <w:rPr>
          <w:sz w:val="18"/>
        </w:rPr>
        <w:t>R.J. Allam,</w:t>
      </w:r>
      <w:r>
        <w:rPr>
          <w:spacing w:val="31"/>
          <w:sz w:val="18"/>
        </w:rPr>
        <w:t> </w:t>
      </w:r>
      <w:r>
        <w:rPr>
          <w:sz w:val="18"/>
        </w:rPr>
        <w:t>and</w:t>
      </w:r>
      <w:r>
        <w:rPr>
          <w:spacing w:val="32"/>
          <w:sz w:val="18"/>
        </w:rPr>
        <w:t> </w:t>
      </w:r>
      <w:r>
        <w:rPr>
          <w:spacing w:val="-5"/>
          <w:sz w:val="18"/>
        </w:rPr>
        <w:t>N.W.</w:t>
      </w:r>
      <w:r>
        <w:rPr>
          <w:spacing w:val="32"/>
          <w:sz w:val="18"/>
        </w:rPr>
        <w:t> </w:t>
      </w:r>
      <w:r>
        <w:rPr>
          <w:sz w:val="18"/>
        </w:rPr>
        <w:t>Ivens,</w:t>
      </w:r>
      <w:r>
        <w:rPr>
          <w:spacing w:val="31"/>
          <w:sz w:val="18"/>
        </w:rPr>
        <w:t> </w:t>
      </w:r>
      <w:r>
        <w:rPr>
          <w:sz w:val="18"/>
        </w:rPr>
        <w:t>2003b:</w:t>
      </w:r>
      <w:r>
        <w:rPr>
          <w:spacing w:val="33"/>
          <w:sz w:val="18"/>
        </w:rPr>
        <w:t> </w:t>
      </w:r>
      <w:r>
        <w:rPr>
          <w:sz w:val="18"/>
        </w:rPr>
        <w:t>CO</w:t>
      </w:r>
      <w:r>
        <w:rPr>
          <w:position w:val="-5"/>
          <w:sz w:val="10"/>
        </w:rPr>
        <w:t>2  </w:t>
      </w:r>
      <w:r>
        <w:rPr>
          <w:spacing w:val="2"/>
          <w:position w:val="-5"/>
          <w:sz w:val="10"/>
        </w:rPr>
        <w:t> </w:t>
      </w:r>
      <w:r>
        <w:rPr>
          <w:sz w:val="18"/>
        </w:rPr>
        <w:t>capture</w:t>
      </w:r>
      <w:r>
        <w:rPr>
          <w:spacing w:val="31"/>
          <w:sz w:val="18"/>
        </w:rPr>
        <w:t> </w:t>
      </w:r>
      <w:r>
        <w:rPr>
          <w:sz w:val="18"/>
        </w:rPr>
        <w:t>from</w:t>
      </w:r>
      <w:r>
        <w:rPr>
          <w:spacing w:val="32"/>
          <w:sz w:val="18"/>
        </w:rPr>
        <w:t> </w:t>
      </w:r>
      <w:r>
        <w:rPr>
          <w:sz w:val="18"/>
        </w:rPr>
        <w:t>oil</w:t>
      </w:r>
      <w:r>
        <w:rPr>
          <w:spacing w:val="32"/>
          <w:sz w:val="18"/>
        </w:rPr>
        <w:t> </w:t>
      </w:r>
      <w:r>
        <w:rPr>
          <w:sz w:val="18"/>
        </w:rPr>
        <w:t>refinery</w:t>
      </w:r>
    </w:p>
    <w:p>
      <w:pPr>
        <w:spacing w:line="164" w:lineRule="exact" w:before="0"/>
        <w:ind w:left="573" w:right="0" w:firstLine="0"/>
        <w:jc w:val="both"/>
        <w:rPr>
          <w:sz w:val="18"/>
        </w:rPr>
      </w:pPr>
      <w:r>
        <w:rPr>
          <w:sz w:val="18"/>
        </w:rPr>
        <w:t>process</w:t>
      </w:r>
      <w:r>
        <w:rPr>
          <w:spacing w:val="29"/>
          <w:sz w:val="18"/>
        </w:rPr>
        <w:t> </w:t>
      </w:r>
      <w:r>
        <w:rPr>
          <w:sz w:val="18"/>
        </w:rPr>
        <w:t>heaters</w:t>
      </w:r>
      <w:r>
        <w:rPr>
          <w:spacing w:val="29"/>
          <w:sz w:val="18"/>
        </w:rPr>
        <w:t> </w:t>
      </w:r>
      <w:r>
        <w:rPr>
          <w:sz w:val="18"/>
        </w:rPr>
        <w:t>through</w:t>
      </w:r>
      <w:r>
        <w:rPr>
          <w:spacing w:val="29"/>
          <w:sz w:val="18"/>
        </w:rPr>
        <w:t> </w:t>
      </w:r>
      <w:r>
        <w:rPr>
          <w:sz w:val="18"/>
        </w:rPr>
        <w:t>oxy-fuel</w:t>
      </w:r>
      <w:r>
        <w:rPr>
          <w:spacing w:val="29"/>
          <w:sz w:val="18"/>
        </w:rPr>
        <w:t> </w:t>
      </w:r>
      <w:r>
        <w:rPr>
          <w:sz w:val="18"/>
        </w:rPr>
        <w:t>combustion,</w:t>
      </w:r>
      <w:r>
        <w:rPr>
          <w:spacing w:val="29"/>
          <w:sz w:val="18"/>
        </w:rPr>
        <w:t> </w:t>
      </w:r>
      <w:r>
        <w:rPr>
          <w:sz w:val="18"/>
        </w:rPr>
        <w:t>Greenhouse</w:t>
      </w:r>
      <w:r>
        <w:rPr>
          <w:spacing w:val="29"/>
          <w:sz w:val="18"/>
        </w:rPr>
        <w:t> </w:t>
      </w:r>
      <w:r>
        <w:rPr>
          <w:sz w:val="18"/>
        </w:rPr>
        <w:t>Gas</w:t>
      </w:r>
    </w:p>
    <w:p>
      <w:pPr>
        <w:spacing w:line="278" w:lineRule="auto" w:before="30"/>
        <w:ind w:left="573" w:right="115" w:firstLine="0"/>
        <w:jc w:val="both"/>
        <w:rPr>
          <w:sz w:val="18"/>
        </w:rPr>
      </w:pPr>
      <w:r>
        <w:rPr>
          <w:sz w:val="18"/>
        </w:rPr>
        <w:t>Control</w:t>
      </w:r>
      <w:r>
        <w:rPr>
          <w:spacing w:val="-12"/>
          <w:sz w:val="18"/>
        </w:rPr>
        <w:t> </w:t>
      </w:r>
      <w:r>
        <w:rPr>
          <w:sz w:val="18"/>
        </w:rPr>
        <w:t>Technologies,</w:t>
      </w:r>
      <w:r>
        <w:rPr>
          <w:spacing w:val="-9"/>
          <w:sz w:val="18"/>
        </w:rPr>
        <w:t> </w:t>
      </w:r>
      <w:r>
        <w:rPr>
          <w:sz w:val="18"/>
        </w:rPr>
        <w:t>Proc.</w:t>
      </w:r>
      <w:r>
        <w:rPr>
          <w:spacing w:val="-9"/>
          <w:sz w:val="18"/>
        </w:rPr>
        <w:t> </w:t>
      </w:r>
      <w:r>
        <w:rPr>
          <w:sz w:val="18"/>
        </w:rPr>
        <w:t>of</w:t>
      </w:r>
      <w:r>
        <w:rPr>
          <w:spacing w:val="-8"/>
          <w:sz w:val="18"/>
        </w:rPr>
        <w:t> </w:t>
      </w:r>
      <w:r>
        <w:rPr>
          <w:sz w:val="18"/>
        </w:rPr>
        <w:t>the</w:t>
      </w:r>
      <w:r>
        <w:rPr>
          <w:spacing w:val="-9"/>
          <w:sz w:val="18"/>
        </w:rPr>
        <w:t> </w:t>
      </w:r>
      <w:r>
        <w:rPr>
          <w:sz w:val="18"/>
        </w:rPr>
        <w:t>6</w:t>
      </w:r>
      <w:r>
        <w:rPr>
          <w:position w:val="6"/>
          <w:sz w:val="10"/>
        </w:rPr>
        <w:t>th</w:t>
      </w:r>
      <w:r>
        <w:rPr>
          <w:spacing w:val="11"/>
          <w:position w:val="6"/>
          <w:sz w:val="10"/>
        </w:rPr>
        <w:t> </w:t>
      </w:r>
      <w:r>
        <w:rPr>
          <w:sz w:val="18"/>
        </w:rPr>
        <w:t>International</w:t>
      </w:r>
      <w:r>
        <w:rPr>
          <w:spacing w:val="-9"/>
          <w:sz w:val="18"/>
        </w:rPr>
        <w:t> </w:t>
      </w:r>
      <w:r>
        <w:rPr>
          <w:sz w:val="18"/>
        </w:rPr>
        <w:t>Conference</w:t>
      </w:r>
      <w:r>
        <w:rPr>
          <w:spacing w:val="-9"/>
          <w:sz w:val="18"/>
        </w:rPr>
        <w:t> </w:t>
      </w:r>
      <w:r>
        <w:rPr>
          <w:sz w:val="18"/>
        </w:rPr>
        <w:t>on Greenhouse</w:t>
      </w:r>
      <w:r>
        <w:rPr>
          <w:spacing w:val="-7"/>
          <w:sz w:val="18"/>
        </w:rPr>
        <w:t> </w:t>
      </w:r>
      <w:r>
        <w:rPr>
          <w:sz w:val="18"/>
        </w:rPr>
        <w:t>Gas</w:t>
      </w:r>
      <w:r>
        <w:rPr>
          <w:spacing w:val="-7"/>
          <w:sz w:val="18"/>
        </w:rPr>
        <w:t> </w:t>
      </w:r>
      <w:r>
        <w:rPr>
          <w:sz w:val="18"/>
        </w:rPr>
        <w:t>Control</w:t>
      </w:r>
      <w:r>
        <w:rPr>
          <w:spacing w:val="-10"/>
          <w:sz w:val="18"/>
        </w:rPr>
        <w:t> </w:t>
      </w:r>
      <w:r>
        <w:rPr>
          <w:sz w:val="18"/>
        </w:rPr>
        <w:t>Technologies</w:t>
      </w:r>
      <w:r>
        <w:rPr>
          <w:spacing w:val="-7"/>
          <w:sz w:val="18"/>
        </w:rPr>
        <w:t> </w:t>
      </w:r>
      <w:r>
        <w:rPr>
          <w:sz w:val="18"/>
        </w:rPr>
        <w:t>(GHGT-6),</w:t>
      </w:r>
      <w:r>
        <w:rPr>
          <w:spacing w:val="-7"/>
          <w:sz w:val="18"/>
        </w:rPr>
        <w:t> </w:t>
      </w:r>
      <w:r>
        <w:rPr>
          <w:sz w:val="18"/>
        </w:rPr>
        <w:t>1-4</w:t>
      </w:r>
      <w:r>
        <w:rPr>
          <w:spacing w:val="-7"/>
          <w:sz w:val="18"/>
        </w:rPr>
        <w:t> </w:t>
      </w:r>
      <w:r>
        <w:rPr>
          <w:sz w:val="18"/>
        </w:rPr>
        <w:t>Oct.</w:t>
      </w:r>
      <w:r>
        <w:rPr>
          <w:spacing w:val="-7"/>
          <w:sz w:val="18"/>
        </w:rPr>
        <w:t> </w:t>
      </w:r>
      <w:r>
        <w:rPr>
          <w:sz w:val="18"/>
        </w:rPr>
        <w:t>2002, Kyoto, Japan, J. Gale and </w:t>
      </w:r>
      <w:r>
        <w:rPr>
          <w:spacing w:val="-12"/>
          <w:sz w:val="18"/>
        </w:rPr>
        <w:t>Y. </w:t>
      </w:r>
      <w:r>
        <w:rPr>
          <w:sz w:val="18"/>
        </w:rPr>
        <w:t>Kaya (eds.), Elsevier Science Ltd, Oxford, UK.</w:t>
      </w:r>
      <w:r>
        <w:rPr>
          <w:spacing w:val="-3"/>
          <w:sz w:val="18"/>
        </w:rPr>
        <w:t> </w:t>
      </w:r>
      <w:r>
        <w:rPr>
          <w:sz w:val="18"/>
        </w:rPr>
        <w:t>69-74.</w:t>
      </w:r>
    </w:p>
    <w:p>
      <w:pPr>
        <w:spacing w:line="278" w:lineRule="auto" w:before="0"/>
        <w:ind w:left="573" w:right="114" w:hanging="341"/>
        <w:jc w:val="both"/>
        <w:rPr>
          <w:sz w:val="18"/>
        </w:rPr>
      </w:pPr>
      <w:r>
        <w:rPr>
          <w:b/>
          <w:sz w:val="18"/>
        </w:rPr>
        <w:t>Wilkinson, </w:t>
      </w:r>
      <w:r>
        <w:rPr>
          <w:sz w:val="18"/>
        </w:rPr>
        <w:t>M.B., M. Simmonds, R.J. Allam, and </w:t>
      </w:r>
      <w:r>
        <w:rPr>
          <w:spacing w:val="-12"/>
          <w:sz w:val="18"/>
        </w:rPr>
        <w:t>V. </w:t>
      </w:r>
      <w:r>
        <w:rPr>
          <w:sz w:val="18"/>
        </w:rPr>
        <w:t>White, 2003a: Oxy-fuel</w:t>
      </w:r>
      <w:r>
        <w:rPr>
          <w:spacing w:val="9"/>
          <w:sz w:val="18"/>
        </w:rPr>
        <w:t> </w:t>
      </w:r>
      <w:r>
        <w:rPr>
          <w:sz w:val="18"/>
        </w:rPr>
        <w:t>conversion</w:t>
      </w:r>
      <w:r>
        <w:rPr>
          <w:spacing w:val="9"/>
          <w:sz w:val="18"/>
        </w:rPr>
        <w:t> </w:t>
      </w:r>
      <w:r>
        <w:rPr>
          <w:sz w:val="18"/>
        </w:rPr>
        <w:t>of</w:t>
      </w:r>
      <w:r>
        <w:rPr>
          <w:spacing w:val="10"/>
          <w:sz w:val="18"/>
        </w:rPr>
        <w:t> </w:t>
      </w:r>
      <w:r>
        <w:rPr>
          <w:sz w:val="18"/>
        </w:rPr>
        <w:t>heaters</w:t>
      </w:r>
      <w:r>
        <w:rPr>
          <w:spacing w:val="9"/>
          <w:sz w:val="18"/>
        </w:rPr>
        <w:t> </w:t>
      </w:r>
      <w:r>
        <w:rPr>
          <w:sz w:val="18"/>
        </w:rPr>
        <w:t>and</w:t>
      </w:r>
      <w:r>
        <w:rPr>
          <w:spacing w:val="10"/>
          <w:sz w:val="18"/>
        </w:rPr>
        <w:t> </w:t>
      </w:r>
      <w:r>
        <w:rPr>
          <w:sz w:val="18"/>
        </w:rPr>
        <w:t>boilers</w:t>
      </w:r>
      <w:r>
        <w:rPr>
          <w:spacing w:val="9"/>
          <w:sz w:val="18"/>
        </w:rPr>
        <w:t> </w:t>
      </w:r>
      <w:r>
        <w:rPr>
          <w:sz w:val="18"/>
        </w:rPr>
        <w:t>for</w:t>
      </w:r>
      <w:r>
        <w:rPr>
          <w:spacing w:val="10"/>
          <w:sz w:val="18"/>
        </w:rPr>
        <w:t> </w:t>
      </w:r>
      <w:r>
        <w:rPr>
          <w:sz w:val="18"/>
        </w:rPr>
        <w:t>CO</w:t>
      </w:r>
      <w:r>
        <w:rPr>
          <w:position w:val="-5"/>
          <w:sz w:val="10"/>
        </w:rPr>
        <w:t>2 </w:t>
      </w:r>
      <w:r>
        <w:rPr>
          <w:spacing w:val="4"/>
          <w:position w:val="-5"/>
          <w:sz w:val="10"/>
        </w:rPr>
        <w:t> </w:t>
      </w:r>
      <w:r>
        <w:rPr>
          <w:sz w:val="18"/>
        </w:rPr>
        <w:t>capture,</w:t>
      </w:r>
      <w:r>
        <w:rPr>
          <w:spacing w:val="10"/>
          <w:sz w:val="18"/>
        </w:rPr>
        <w:t> </w:t>
      </w:r>
      <w:r>
        <w:rPr>
          <w:sz w:val="18"/>
        </w:rPr>
        <w:t>2nd</w:t>
      </w:r>
    </w:p>
    <w:p>
      <w:pPr>
        <w:spacing w:line="164" w:lineRule="exact" w:before="0"/>
        <w:ind w:left="573" w:right="0" w:firstLine="0"/>
        <w:jc w:val="both"/>
        <w:rPr>
          <w:sz w:val="18"/>
        </w:rPr>
      </w:pPr>
      <w:r>
        <w:rPr>
          <w:sz w:val="18"/>
        </w:rPr>
        <w:t>Annual  Conf  on  Carbon  Sequestration,  Virginia  (USA),</w:t>
      </w:r>
      <w:r>
        <w:rPr>
          <w:spacing w:val="13"/>
          <w:sz w:val="18"/>
        </w:rPr>
        <w:t> </w:t>
      </w:r>
      <w:r>
        <w:rPr>
          <w:sz w:val="18"/>
        </w:rPr>
        <w:t>May</w:t>
      </w:r>
    </w:p>
    <w:p>
      <w:pPr>
        <w:spacing w:before="33"/>
        <w:ind w:left="573" w:right="0" w:firstLine="0"/>
        <w:jc w:val="left"/>
        <w:rPr>
          <w:sz w:val="18"/>
        </w:rPr>
      </w:pPr>
      <w:r>
        <w:rPr>
          <w:sz w:val="18"/>
        </w:rPr>
        <w:t>2003.</w:t>
      </w:r>
    </w:p>
    <w:p>
      <w:pPr>
        <w:spacing w:line="278" w:lineRule="auto" w:before="33"/>
        <w:ind w:left="573" w:right="114" w:hanging="341"/>
        <w:jc w:val="both"/>
        <w:rPr>
          <w:sz w:val="18"/>
        </w:rPr>
      </w:pPr>
      <w:r>
        <w:rPr>
          <w:b/>
          <w:sz w:val="18"/>
        </w:rPr>
        <w:t>Williams, </w:t>
      </w:r>
      <w:r>
        <w:rPr>
          <w:sz w:val="18"/>
        </w:rPr>
        <w:t>R.H. (Convening Lead Author), 2000: Advanced energy supply technologies, Chapter 8, 274-329, in </w:t>
      </w:r>
      <w:r>
        <w:rPr>
          <w:i/>
          <w:sz w:val="18"/>
        </w:rPr>
        <w:t>Energy and the </w:t>
      </w:r>
      <w:r>
        <w:rPr>
          <w:i/>
          <w:sz w:val="18"/>
        </w:rPr>
        <w:t>Challenge of Sustainability - the </w:t>
      </w:r>
      <w:r>
        <w:rPr>
          <w:i/>
          <w:spacing w:val="-4"/>
          <w:sz w:val="18"/>
        </w:rPr>
        <w:t>World </w:t>
      </w:r>
      <w:r>
        <w:rPr>
          <w:i/>
          <w:sz w:val="18"/>
        </w:rPr>
        <w:t>Energy Assessment </w:t>
      </w:r>
      <w:r>
        <w:rPr>
          <w:i/>
          <w:spacing w:val="-7"/>
          <w:sz w:val="18"/>
        </w:rPr>
        <w:t>World </w:t>
      </w:r>
      <w:r>
        <w:rPr>
          <w:i/>
          <w:sz w:val="18"/>
        </w:rPr>
        <w:t>Energy Assessment</w:t>
      </w:r>
      <w:r>
        <w:rPr>
          <w:sz w:val="18"/>
        </w:rPr>
        <w:t>, 508 pp., UN Development Programme, New </w:t>
      </w:r>
      <w:r>
        <w:rPr>
          <w:spacing w:val="-4"/>
          <w:sz w:val="18"/>
        </w:rPr>
        <w:t>York.</w:t>
      </w:r>
    </w:p>
    <w:p>
      <w:pPr>
        <w:spacing w:line="278" w:lineRule="auto" w:before="0"/>
        <w:ind w:left="573" w:right="115" w:hanging="341"/>
        <w:jc w:val="both"/>
        <w:rPr>
          <w:sz w:val="18"/>
        </w:rPr>
      </w:pPr>
      <w:r>
        <w:rPr>
          <w:b/>
          <w:sz w:val="18"/>
        </w:rPr>
        <w:t>World Bank, </w:t>
      </w:r>
      <w:r>
        <w:rPr>
          <w:sz w:val="18"/>
        </w:rPr>
        <w:t>1999: Pollution Prevention and Abatement Handbook: </w:t>
      </w:r>
      <w:r>
        <w:rPr>
          <w:spacing w:val="-3"/>
          <w:sz w:val="18"/>
        </w:rPr>
        <w:t>Toward</w:t>
      </w:r>
      <w:r>
        <w:rPr>
          <w:spacing w:val="-7"/>
          <w:sz w:val="18"/>
        </w:rPr>
        <w:t> </w:t>
      </w:r>
      <w:r>
        <w:rPr>
          <w:sz w:val="18"/>
        </w:rPr>
        <w:t>Cleaner</w:t>
      </w:r>
      <w:r>
        <w:rPr>
          <w:spacing w:val="-6"/>
          <w:sz w:val="18"/>
        </w:rPr>
        <w:t> </w:t>
      </w:r>
      <w:r>
        <w:rPr>
          <w:sz w:val="18"/>
        </w:rPr>
        <w:t>Production.</w:t>
      </w:r>
      <w:r>
        <w:rPr>
          <w:spacing w:val="-9"/>
          <w:sz w:val="18"/>
        </w:rPr>
        <w:t> </w:t>
      </w:r>
      <w:r>
        <w:rPr>
          <w:sz w:val="18"/>
        </w:rPr>
        <w:t>Washington:</w:t>
      </w:r>
      <w:r>
        <w:rPr>
          <w:spacing w:val="-10"/>
          <w:sz w:val="18"/>
        </w:rPr>
        <w:t> </w:t>
      </w:r>
      <w:r>
        <w:rPr>
          <w:sz w:val="18"/>
        </w:rPr>
        <w:t>The</w:t>
      </w:r>
      <w:r>
        <w:rPr>
          <w:spacing w:val="-9"/>
          <w:sz w:val="18"/>
        </w:rPr>
        <w:t> </w:t>
      </w:r>
      <w:r>
        <w:rPr>
          <w:spacing w:val="-3"/>
          <w:sz w:val="18"/>
        </w:rPr>
        <w:t>World</w:t>
      </w:r>
      <w:r>
        <w:rPr>
          <w:spacing w:val="-6"/>
          <w:sz w:val="18"/>
        </w:rPr>
        <w:t> </w:t>
      </w:r>
      <w:r>
        <w:rPr>
          <w:sz w:val="18"/>
        </w:rPr>
        <w:t>Bank</w:t>
      </w:r>
      <w:r>
        <w:rPr>
          <w:spacing w:val="-7"/>
          <w:sz w:val="18"/>
        </w:rPr>
        <w:t> </w:t>
      </w:r>
      <w:r>
        <w:rPr>
          <w:sz w:val="18"/>
        </w:rPr>
        <w:t>Group in collaboration with United Nations Industrial Development Organization and United Nations Environment</w:t>
      </w:r>
      <w:r>
        <w:rPr>
          <w:spacing w:val="-11"/>
          <w:sz w:val="18"/>
        </w:rPr>
        <w:t> </w:t>
      </w:r>
      <w:r>
        <w:rPr>
          <w:sz w:val="18"/>
        </w:rPr>
        <w:t>Programme.</w:t>
      </w:r>
    </w:p>
    <w:p>
      <w:pPr>
        <w:spacing w:line="278" w:lineRule="auto" w:before="0"/>
        <w:ind w:left="573" w:right="115" w:hanging="341"/>
        <w:jc w:val="both"/>
        <w:rPr>
          <w:sz w:val="18"/>
        </w:rPr>
      </w:pPr>
      <w:r>
        <w:rPr>
          <w:b/>
          <w:sz w:val="18"/>
        </w:rPr>
        <w:t>yantovskii, </w:t>
      </w:r>
      <w:r>
        <w:rPr>
          <w:sz w:val="18"/>
        </w:rPr>
        <w:t>E.I., K.N. Zvagolsky, and V.A. Gavrilenko</w:t>
      </w:r>
      <w:r>
        <w:rPr>
          <w:b/>
          <w:sz w:val="18"/>
        </w:rPr>
        <w:t>, </w:t>
      </w:r>
      <w:r>
        <w:rPr>
          <w:sz w:val="18"/>
        </w:rPr>
        <w:t>1992</w:t>
      </w:r>
      <w:r>
        <w:rPr>
          <w:b/>
          <w:sz w:val="18"/>
        </w:rPr>
        <w:t>: </w:t>
      </w:r>
      <w:r>
        <w:rPr>
          <w:sz w:val="18"/>
        </w:rPr>
        <w:t>Computer exergonomics of power plants without exhaust gases </w:t>
      </w:r>
      <w:r>
        <w:rPr>
          <w:i/>
          <w:sz w:val="18"/>
        </w:rPr>
        <w:t>Energy Conversion and Management, </w:t>
      </w:r>
      <w:r>
        <w:rPr>
          <w:b/>
          <w:sz w:val="18"/>
        </w:rPr>
        <w:t>33</w:t>
      </w:r>
      <w:r>
        <w:rPr>
          <w:sz w:val="18"/>
        </w:rPr>
        <w:t>, No. 5-8, 405-412.</w:t>
      </w:r>
    </w:p>
    <w:p>
      <w:pPr>
        <w:spacing w:line="230" w:lineRule="auto" w:before="4"/>
        <w:ind w:left="573" w:right="115" w:hanging="341"/>
        <w:jc w:val="both"/>
        <w:rPr>
          <w:sz w:val="18"/>
        </w:rPr>
      </w:pPr>
      <w:r>
        <w:rPr>
          <w:b/>
          <w:spacing w:val="-3"/>
          <w:sz w:val="18"/>
        </w:rPr>
        <w:t>yokoyama, </w:t>
      </w:r>
      <w:r>
        <w:rPr>
          <w:spacing w:val="-5"/>
          <w:sz w:val="18"/>
        </w:rPr>
        <w:t>T., </w:t>
      </w:r>
      <w:r>
        <w:rPr>
          <w:sz w:val="18"/>
        </w:rPr>
        <w:t>2003: Japanese R&amp;D on CO</w:t>
      </w:r>
      <w:r>
        <w:rPr>
          <w:position w:val="-5"/>
          <w:sz w:val="10"/>
        </w:rPr>
        <w:t>2 </w:t>
      </w:r>
      <w:r>
        <w:rPr>
          <w:sz w:val="18"/>
        </w:rPr>
        <w:t>Capture. Greenhouse</w:t>
      </w:r>
      <w:r>
        <w:rPr>
          <w:spacing w:val="-28"/>
          <w:sz w:val="18"/>
        </w:rPr>
        <w:t> </w:t>
      </w:r>
      <w:r>
        <w:rPr>
          <w:sz w:val="18"/>
        </w:rPr>
        <w:t>Gas Control</w:t>
      </w:r>
      <w:r>
        <w:rPr>
          <w:spacing w:val="-12"/>
          <w:sz w:val="18"/>
        </w:rPr>
        <w:t> </w:t>
      </w:r>
      <w:r>
        <w:rPr>
          <w:sz w:val="18"/>
        </w:rPr>
        <w:t>Technologies,</w:t>
      </w:r>
      <w:r>
        <w:rPr>
          <w:spacing w:val="-9"/>
          <w:sz w:val="18"/>
        </w:rPr>
        <w:t> </w:t>
      </w:r>
      <w:r>
        <w:rPr>
          <w:sz w:val="18"/>
        </w:rPr>
        <w:t>Proc.</w:t>
      </w:r>
      <w:r>
        <w:rPr>
          <w:spacing w:val="-9"/>
          <w:sz w:val="18"/>
        </w:rPr>
        <w:t> </w:t>
      </w:r>
      <w:r>
        <w:rPr>
          <w:sz w:val="18"/>
        </w:rPr>
        <w:t>of</w:t>
      </w:r>
      <w:r>
        <w:rPr>
          <w:spacing w:val="-8"/>
          <w:sz w:val="18"/>
        </w:rPr>
        <w:t> </w:t>
      </w:r>
      <w:r>
        <w:rPr>
          <w:sz w:val="18"/>
        </w:rPr>
        <w:t>the</w:t>
      </w:r>
      <w:r>
        <w:rPr>
          <w:spacing w:val="-9"/>
          <w:sz w:val="18"/>
        </w:rPr>
        <w:t> </w:t>
      </w:r>
      <w:r>
        <w:rPr>
          <w:sz w:val="18"/>
        </w:rPr>
        <w:t>6</w:t>
      </w:r>
      <w:r>
        <w:rPr>
          <w:position w:val="6"/>
          <w:sz w:val="10"/>
        </w:rPr>
        <w:t>th</w:t>
      </w:r>
      <w:r>
        <w:rPr>
          <w:spacing w:val="11"/>
          <w:position w:val="6"/>
          <w:sz w:val="10"/>
        </w:rPr>
        <w:t> </w:t>
      </w:r>
      <w:r>
        <w:rPr>
          <w:sz w:val="18"/>
        </w:rPr>
        <w:t>International</w:t>
      </w:r>
      <w:r>
        <w:rPr>
          <w:spacing w:val="-9"/>
          <w:sz w:val="18"/>
        </w:rPr>
        <w:t> </w:t>
      </w:r>
      <w:r>
        <w:rPr>
          <w:sz w:val="18"/>
        </w:rPr>
        <w:t>Conference</w:t>
      </w:r>
      <w:r>
        <w:rPr>
          <w:spacing w:val="-9"/>
          <w:sz w:val="18"/>
        </w:rPr>
        <w:t> </w:t>
      </w:r>
      <w:r>
        <w:rPr>
          <w:sz w:val="18"/>
        </w:rPr>
        <w:t>on</w:t>
      </w:r>
    </w:p>
    <w:p>
      <w:pPr>
        <w:spacing w:after="0" w:line="230" w:lineRule="auto"/>
        <w:jc w:val="both"/>
        <w:rPr>
          <w:sz w:val="18"/>
        </w:rPr>
        <w:sectPr>
          <w:pgSz w:w="12240" w:h="15840"/>
          <w:pgMar w:header="567" w:footer="0" w:top="1120" w:bottom="280" w:left="620" w:right="620"/>
          <w:cols w:num="2" w:equalWidth="0">
            <w:col w:w="5568" w:space="40"/>
            <w:col w:w="5392"/>
          </w:cols>
        </w:sectPr>
      </w:pPr>
    </w:p>
    <w:p>
      <w:pPr>
        <w:spacing w:line="278" w:lineRule="auto" w:before="148"/>
        <w:ind w:left="457" w:right="5838" w:firstLine="0"/>
        <w:jc w:val="both"/>
        <w:rPr>
          <w:sz w:val="18"/>
        </w:rPr>
      </w:pPr>
      <w:r>
        <w:rPr>
          <w:sz w:val="18"/>
        </w:rPr>
        <w:t>Greenhouse</w:t>
      </w:r>
      <w:r>
        <w:rPr>
          <w:spacing w:val="-7"/>
          <w:sz w:val="18"/>
        </w:rPr>
        <w:t> </w:t>
      </w:r>
      <w:r>
        <w:rPr>
          <w:sz w:val="18"/>
        </w:rPr>
        <w:t>Gas</w:t>
      </w:r>
      <w:r>
        <w:rPr>
          <w:spacing w:val="-7"/>
          <w:sz w:val="18"/>
        </w:rPr>
        <w:t> </w:t>
      </w:r>
      <w:r>
        <w:rPr>
          <w:sz w:val="18"/>
        </w:rPr>
        <w:t>Control</w:t>
      </w:r>
      <w:r>
        <w:rPr>
          <w:spacing w:val="-10"/>
          <w:sz w:val="18"/>
        </w:rPr>
        <w:t> </w:t>
      </w:r>
      <w:r>
        <w:rPr>
          <w:sz w:val="18"/>
        </w:rPr>
        <w:t>Technologies</w:t>
      </w:r>
      <w:r>
        <w:rPr>
          <w:spacing w:val="-7"/>
          <w:sz w:val="18"/>
        </w:rPr>
        <w:t> </w:t>
      </w:r>
      <w:r>
        <w:rPr>
          <w:sz w:val="18"/>
        </w:rPr>
        <w:t>(GHGT-6),</w:t>
      </w:r>
      <w:r>
        <w:rPr>
          <w:spacing w:val="-7"/>
          <w:sz w:val="18"/>
        </w:rPr>
        <w:t> </w:t>
      </w:r>
      <w:r>
        <w:rPr>
          <w:sz w:val="18"/>
        </w:rPr>
        <w:t>1-4</w:t>
      </w:r>
      <w:r>
        <w:rPr>
          <w:spacing w:val="-7"/>
          <w:sz w:val="18"/>
        </w:rPr>
        <w:t> </w:t>
      </w:r>
      <w:r>
        <w:rPr>
          <w:sz w:val="18"/>
        </w:rPr>
        <w:t>Oct.</w:t>
      </w:r>
      <w:r>
        <w:rPr>
          <w:spacing w:val="-7"/>
          <w:sz w:val="18"/>
        </w:rPr>
        <w:t> </w:t>
      </w:r>
      <w:r>
        <w:rPr>
          <w:sz w:val="18"/>
        </w:rPr>
        <w:t>2002, Kyoto, Japan, J. Gale and </w:t>
      </w:r>
      <w:r>
        <w:rPr>
          <w:spacing w:val="-12"/>
          <w:sz w:val="18"/>
        </w:rPr>
        <w:t>Y. </w:t>
      </w:r>
      <w:r>
        <w:rPr>
          <w:sz w:val="18"/>
        </w:rPr>
        <w:t>Kaya (eds.), Elsevier Science Ltd, Oxford, UK.</w:t>
      </w:r>
      <w:r>
        <w:rPr>
          <w:spacing w:val="-3"/>
          <w:sz w:val="18"/>
        </w:rPr>
        <w:t> </w:t>
      </w:r>
      <w:r>
        <w:rPr>
          <w:sz w:val="18"/>
        </w:rPr>
        <w:t>13-18.</w:t>
      </w:r>
    </w:p>
    <w:p>
      <w:pPr>
        <w:spacing w:line="278" w:lineRule="auto" w:before="0"/>
        <w:ind w:left="457" w:right="5428" w:hanging="341"/>
        <w:jc w:val="left"/>
        <w:rPr>
          <w:sz w:val="18"/>
        </w:rPr>
      </w:pPr>
      <w:r>
        <w:rPr>
          <w:b/>
          <w:spacing w:val="-3"/>
          <w:sz w:val="18"/>
        </w:rPr>
        <w:t>Zafar,</w:t>
      </w:r>
      <w:r>
        <w:rPr>
          <w:b/>
          <w:spacing w:val="-10"/>
          <w:sz w:val="18"/>
        </w:rPr>
        <w:t> </w:t>
      </w:r>
      <w:r>
        <w:rPr>
          <w:sz w:val="18"/>
        </w:rPr>
        <w:t>Q.,</w:t>
      </w:r>
      <w:r>
        <w:rPr>
          <w:spacing w:val="-12"/>
          <w:sz w:val="18"/>
        </w:rPr>
        <w:t> </w:t>
      </w:r>
      <w:r>
        <w:rPr>
          <w:spacing w:val="-7"/>
          <w:sz w:val="18"/>
        </w:rPr>
        <w:t>T.</w:t>
      </w:r>
      <w:r>
        <w:rPr>
          <w:spacing w:val="-9"/>
          <w:sz w:val="18"/>
        </w:rPr>
        <w:t> </w:t>
      </w:r>
      <w:r>
        <w:rPr>
          <w:sz w:val="18"/>
        </w:rPr>
        <w:t>Mattisson,</w:t>
      </w:r>
      <w:r>
        <w:rPr>
          <w:spacing w:val="-9"/>
          <w:sz w:val="18"/>
        </w:rPr>
        <w:t> </w:t>
      </w:r>
      <w:r>
        <w:rPr>
          <w:sz w:val="18"/>
        </w:rPr>
        <w:t>and</w:t>
      </w:r>
      <w:r>
        <w:rPr>
          <w:spacing w:val="-9"/>
          <w:sz w:val="18"/>
        </w:rPr>
        <w:t> </w:t>
      </w:r>
      <w:r>
        <w:rPr>
          <w:sz w:val="18"/>
        </w:rPr>
        <w:t>B.</w:t>
      </w:r>
      <w:r>
        <w:rPr>
          <w:spacing w:val="-9"/>
          <w:sz w:val="18"/>
        </w:rPr>
        <w:t> </w:t>
      </w:r>
      <w:r>
        <w:rPr>
          <w:sz w:val="18"/>
        </w:rPr>
        <w:t>Gevert,</w:t>
      </w:r>
      <w:r>
        <w:rPr>
          <w:spacing w:val="-9"/>
          <w:sz w:val="18"/>
        </w:rPr>
        <w:t> </w:t>
      </w:r>
      <w:r>
        <w:rPr>
          <w:sz w:val="18"/>
        </w:rPr>
        <w:t>2005:</w:t>
      </w:r>
      <w:r>
        <w:rPr>
          <w:spacing w:val="-9"/>
          <w:sz w:val="18"/>
        </w:rPr>
        <w:t> </w:t>
      </w:r>
      <w:r>
        <w:rPr>
          <w:sz w:val="18"/>
        </w:rPr>
        <w:t>Integrated</w:t>
      </w:r>
      <w:r>
        <w:rPr>
          <w:spacing w:val="-11"/>
          <w:sz w:val="18"/>
        </w:rPr>
        <w:t> </w:t>
      </w:r>
      <w:r>
        <w:rPr>
          <w:sz w:val="18"/>
        </w:rPr>
        <w:t>Hydrogen</w:t>
      </w:r>
      <w:r>
        <w:rPr>
          <w:spacing w:val="-9"/>
          <w:sz w:val="18"/>
        </w:rPr>
        <w:t> </w:t>
      </w:r>
      <w:r>
        <w:rPr>
          <w:sz w:val="18"/>
        </w:rPr>
        <w:t>and Power</w:t>
      </w:r>
      <w:r>
        <w:rPr>
          <w:spacing w:val="30"/>
          <w:sz w:val="18"/>
        </w:rPr>
        <w:t> </w:t>
      </w:r>
      <w:r>
        <w:rPr>
          <w:sz w:val="18"/>
        </w:rPr>
        <w:t>Production</w:t>
      </w:r>
      <w:r>
        <w:rPr>
          <w:spacing w:val="30"/>
          <w:sz w:val="18"/>
        </w:rPr>
        <w:t> </w:t>
      </w:r>
      <w:r>
        <w:rPr>
          <w:sz w:val="18"/>
        </w:rPr>
        <w:t>with</w:t>
      </w:r>
      <w:r>
        <w:rPr>
          <w:spacing w:val="30"/>
          <w:sz w:val="18"/>
        </w:rPr>
        <w:t> </w:t>
      </w:r>
      <w:r>
        <w:rPr>
          <w:sz w:val="18"/>
        </w:rPr>
        <w:t>CO</w:t>
      </w:r>
      <w:r>
        <w:rPr>
          <w:position w:val="-5"/>
          <w:sz w:val="10"/>
        </w:rPr>
        <w:t>2   </w:t>
      </w:r>
      <w:r>
        <w:rPr>
          <w:sz w:val="18"/>
        </w:rPr>
        <w:t>Capture</w:t>
      </w:r>
      <w:r>
        <w:rPr>
          <w:spacing w:val="31"/>
          <w:sz w:val="18"/>
        </w:rPr>
        <w:t> </w:t>
      </w:r>
      <w:r>
        <w:rPr>
          <w:sz w:val="18"/>
        </w:rPr>
        <w:t>Using</w:t>
      </w:r>
      <w:r>
        <w:rPr>
          <w:spacing w:val="30"/>
          <w:sz w:val="18"/>
        </w:rPr>
        <w:t> </w:t>
      </w:r>
      <w:r>
        <w:rPr>
          <w:sz w:val="18"/>
        </w:rPr>
        <w:t>Chemical-Looping</w:t>
      </w:r>
    </w:p>
    <w:p>
      <w:pPr>
        <w:spacing w:line="177" w:lineRule="auto" w:before="0"/>
        <w:ind w:left="457" w:right="0" w:firstLine="0"/>
        <w:jc w:val="left"/>
        <w:rPr>
          <w:sz w:val="18"/>
        </w:rPr>
      </w:pPr>
      <w:r>
        <w:rPr>
          <w:sz w:val="18"/>
        </w:rPr>
        <w:t>Reforming-Redox</w:t>
      </w:r>
      <w:r>
        <w:rPr>
          <w:spacing w:val="19"/>
          <w:sz w:val="18"/>
        </w:rPr>
        <w:t> </w:t>
      </w:r>
      <w:r>
        <w:rPr>
          <w:sz w:val="18"/>
        </w:rPr>
        <w:t>Reactivity</w:t>
      </w:r>
      <w:r>
        <w:rPr>
          <w:spacing w:val="20"/>
          <w:sz w:val="18"/>
        </w:rPr>
        <w:t> </w:t>
      </w:r>
      <w:r>
        <w:rPr>
          <w:sz w:val="18"/>
        </w:rPr>
        <w:t>of</w:t>
      </w:r>
      <w:r>
        <w:rPr>
          <w:spacing w:val="20"/>
          <w:sz w:val="18"/>
        </w:rPr>
        <w:t> </w:t>
      </w:r>
      <w:r>
        <w:rPr>
          <w:sz w:val="18"/>
        </w:rPr>
        <w:t>Particles</w:t>
      </w:r>
      <w:r>
        <w:rPr>
          <w:spacing w:val="20"/>
          <w:sz w:val="18"/>
        </w:rPr>
        <w:t> </w:t>
      </w:r>
      <w:r>
        <w:rPr>
          <w:sz w:val="18"/>
        </w:rPr>
        <w:t>of</w:t>
      </w:r>
      <w:r>
        <w:rPr>
          <w:spacing w:val="19"/>
          <w:sz w:val="18"/>
        </w:rPr>
        <w:t> </w:t>
      </w:r>
      <w:r>
        <w:rPr>
          <w:sz w:val="18"/>
        </w:rPr>
        <w:t>CuO,</w:t>
      </w:r>
      <w:r>
        <w:rPr>
          <w:spacing w:val="20"/>
          <w:sz w:val="18"/>
        </w:rPr>
        <w:t> </w:t>
      </w:r>
      <w:r>
        <w:rPr>
          <w:sz w:val="18"/>
        </w:rPr>
        <w:t>Mn</w:t>
      </w:r>
      <w:r>
        <w:rPr>
          <w:position w:val="-5"/>
          <w:sz w:val="10"/>
        </w:rPr>
        <w:t>2</w:t>
      </w:r>
      <w:r>
        <w:rPr>
          <w:sz w:val="18"/>
        </w:rPr>
        <w:t>O</w:t>
      </w:r>
      <w:r>
        <w:rPr>
          <w:position w:val="-5"/>
          <w:sz w:val="10"/>
        </w:rPr>
        <w:t>3</w:t>
      </w:r>
      <w:r>
        <w:rPr>
          <w:sz w:val="18"/>
        </w:rPr>
        <w:t>,</w:t>
      </w:r>
      <w:r>
        <w:rPr>
          <w:spacing w:val="20"/>
          <w:sz w:val="18"/>
        </w:rPr>
        <w:t> </w:t>
      </w:r>
      <w:r>
        <w:rPr>
          <w:sz w:val="18"/>
        </w:rPr>
        <w:t>NiO,</w:t>
      </w:r>
    </w:p>
    <w:p>
      <w:pPr>
        <w:spacing w:line="230" w:lineRule="auto" w:before="6"/>
        <w:ind w:left="457" w:right="5428" w:firstLine="0"/>
        <w:jc w:val="left"/>
        <w:rPr>
          <w:sz w:val="18"/>
        </w:rPr>
      </w:pPr>
      <w:r>
        <w:rPr>
          <w:sz w:val="18"/>
        </w:rPr>
        <w:t>and Fe</w:t>
      </w:r>
      <w:r>
        <w:rPr>
          <w:position w:val="-5"/>
          <w:sz w:val="10"/>
        </w:rPr>
        <w:t>2</w:t>
      </w:r>
      <w:r>
        <w:rPr>
          <w:sz w:val="18"/>
        </w:rPr>
        <w:t>O</w:t>
      </w:r>
      <w:r>
        <w:rPr>
          <w:position w:val="-5"/>
          <w:sz w:val="10"/>
        </w:rPr>
        <w:t>3 </w:t>
      </w:r>
      <w:r>
        <w:rPr>
          <w:sz w:val="18"/>
        </w:rPr>
        <w:t>Using SiO</w:t>
      </w:r>
      <w:r>
        <w:rPr>
          <w:position w:val="-5"/>
          <w:sz w:val="10"/>
        </w:rPr>
        <w:t>2 </w:t>
      </w:r>
      <w:r>
        <w:rPr>
          <w:sz w:val="18"/>
        </w:rPr>
        <w:t>as a Support, </w:t>
      </w:r>
      <w:r>
        <w:rPr>
          <w:i/>
          <w:sz w:val="18"/>
        </w:rPr>
        <w:t>Industrial and Engineering </w:t>
      </w:r>
      <w:r>
        <w:rPr>
          <w:i/>
          <w:sz w:val="18"/>
        </w:rPr>
        <w:t>Chemistry Research, </w:t>
      </w:r>
      <w:r>
        <w:rPr>
          <w:b/>
          <w:sz w:val="18"/>
        </w:rPr>
        <w:t>44</w:t>
      </w:r>
      <w:r>
        <w:rPr>
          <w:sz w:val="18"/>
        </w:rPr>
        <w:t>(10), 3485-3496.</w:t>
      </w:r>
    </w:p>
    <w:p>
      <w:pPr>
        <w:spacing w:line="278" w:lineRule="auto" w:before="35"/>
        <w:ind w:left="457" w:right="5839" w:hanging="341"/>
        <w:jc w:val="both"/>
        <w:rPr>
          <w:sz w:val="18"/>
        </w:rPr>
      </w:pPr>
      <w:r>
        <w:rPr>
          <w:b/>
          <w:sz w:val="18"/>
        </w:rPr>
        <w:t>Zheng,</w:t>
      </w:r>
      <w:r>
        <w:rPr>
          <w:b/>
          <w:spacing w:val="-8"/>
          <w:sz w:val="18"/>
        </w:rPr>
        <w:t> </w:t>
      </w:r>
      <w:r>
        <w:rPr>
          <w:spacing w:val="-7"/>
          <w:sz w:val="18"/>
        </w:rPr>
        <w:t>X.Y,</w:t>
      </w:r>
      <w:r>
        <w:rPr>
          <w:spacing w:val="-13"/>
          <w:sz w:val="18"/>
        </w:rPr>
        <w:t> </w:t>
      </w:r>
      <w:r>
        <w:rPr>
          <w:spacing w:val="-8"/>
          <w:sz w:val="18"/>
        </w:rPr>
        <w:t>Y.-F.</w:t>
      </w:r>
      <w:r>
        <w:rPr>
          <w:spacing w:val="-7"/>
          <w:sz w:val="18"/>
        </w:rPr>
        <w:t> </w:t>
      </w:r>
      <w:r>
        <w:rPr>
          <w:sz w:val="18"/>
        </w:rPr>
        <w:t>Diao,</w:t>
      </w:r>
      <w:r>
        <w:rPr>
          <w:spacing w:val="-7"/>
          <w:sz w:val="18"/>
        </w:rPr>
        <w:t> </w:t>
      </w:r>
      <w:r>
        <w:rPr>
          <w:sz w:val="18"/>
        </w:rPr>
        <w:t>B.-S.</w:t>
      </w:r>
      <w:r>
        <w:rPr>
          <w:spacing w:val="-7"/>
          <w:sz w:val="18"/>
        </w:rPr>
        <w:t> </w:t>
      </w:r>
      <w:r>
        <w:rPr>
          <w:sz w:val="18"/>
        </w:rPr>
        <w:t>He,</w:t>
      </w:r>
      <w:r>
        <w:rPr>
          <w:spacing w:val="-8"/>
          <w:sz w:val="18"/>
        </w:rPr>
        <w:t> </w:t>
      </w:r>
      <w:r>
        <w:rPr>
          <w:sz w:val="18"/>
        </w:rPr>
        <w:t>C.-H.</w:t>
      </w:r>
      <w:r>
        <w:rPr>
          <w:spacing w:val="-7"/>
          <w:sz w:val="18"/>
        </w:rPr>
        <w:t> </w:t>
      </w:r>
      <w:r>
        <w:rPr>
          <w:sz w:val="18"/>
        </w:rPr>
        <w:t>Chen,</w:t>
      </w:r>
      <w:r>
        <w:rPr>
          <w:spacing w:val="-7"/>
          <w:sz w:val="18"/>
        </w:rPr>
        <w:t> </w:t>
      </w:r>
      <w:r>
        <w:rPr>
          <w:sz w:val="18"/>
        </w:rPr>
        <w:t>X.-C.</w:t>
      </w:r>
      <w:r>
        <w:rPr>
          <w:spacing w:val="-7"/>
          <w:sz w:val="18"/>
        </w:rPr>
        <w:t> </w:t>
      </w:r>
      <w:r>
        <w:rPr>
          <w:sz w:val="18"/>
        </w:rPr>
        <w:t>Xu,</w:t>
      </w:r>
      <w:r>
        <w:rPr>
          <w:spacing w:val="-7"/>
          <w:sz w:val="18"/>
        </w:rPr>
        <w:t> </w:t>
      </w:r>
      <w:r>
        <w:rPr>
          <w:sz w:val="18"/>
        </w:rPr>
        <w:t>and</w:t>
      </w:r>
      <w:r>
        <w:rPr>
          <w:spacing w:val="-10"/>
          <w:sz w:val="18"/>
        </w:rPr>
        <w:t> </w:t>
      </w:r>
      <w:r>
        <w:rPr>
          <w:spacing w:val="-9"/>
          <w:sz w:val="18"/>
        </w:rPr>
        <w:t>W.</w:t>
      </w:r>
      <w:r>
        <w:rPr>
          <w:spacing w:val="-7"/>
          <w:sz w:val="18"/>
        </w:rPr>
        <w:t> </w:t>
      </w:r>
      <w:r>
        <w:rPr>
          <w:sz w:val="18"/>
        </w:rPr>
        <w:t>Feng, 2003: Carbon Dioxide Recovery from Flue Gases by Ammonia Scrubbing. Greenhouse Gas Control  Technologies,  Proc.  of  the 6</w:t>
      </w:r>
      <w:r>
        <w:rPr>
          <w:position w:val="6"/>
          <w:sz w:val="10"/>
        </w:rPr>
        <w:t>th </w:t>
      </w:r>
      <w:r>
        <w:rPr>
          <w:sz w:val="18"/>
        </w:rPr>
        <w:t>International Conference on Greenhouse Gas Control Technologies</w:t>
      </w:r>
      <w:r>
        <w:rPr>
          <w:spacing w:val="-14"/>
          <w:sz w:val="18"/>
        </w:rPr>
        <w:t> </w:t>
      </w:r>
      <w:r>
        <w:rPr>
          <w:sz w:val="18"/>
        </w:rPr>
        <w:t>(GHGT-6),</w:t>
      </w:r>
      <w:r>
        <w:rPr>
          <w:spacing w:val="-13"/>
          <w:sz w:val="18"/>
        </w:rPr>
        <w:t> </w:t>
      </w:r>
      <w:r>
        <w:rPr>
          <w:sz w:val="18"/>
        </w:rPr>
        <w:t>1-4</w:t>
      </w:r>
      <w:r>
        <w:rPr>
          <w:spacing w:val="-14"/>
          <w:sz w:val="18"/>
        </w:rPr>
        <w:t> </w:t>
      </w:r>
      <w:r>
        <w:rPr>
          <w:sz w:val="18"/>
        </w:rPr>
        <w:t>Oct.</w:t>
      </w:r>
      <w:r>
        <w:rPr>
          <w:spacing w:val="-14"/>
          <w:sz w:val="18"/>
        </w:rPr>
        <w:t> </w:t>
      </w:r>
      <w:r>
        <w:rPr>
          <w:sz w:val="18"/>
        </w:rPr>
        <w:t>2002,</w:t>
      </w:r>
      <w:r>
        <w:rPr>
          <w:spacing w:val="-14"/>
          <w:sz w:val="18"/>
        </w:rPr>
        <w:t> </w:t>
      </w:r>
      <w:r>
        <w:rPr>
          <w:sz w:val="18"/>
        </w:rPr>
        <w:t>Kyoto,</w:t>
      </w:r>
      <w:r>
        <w:rPr>
          <w:spacing w:val="-13"/>
          <w:sz w:val="18"/>
        </w:rPr>
        <w:t> </w:t>
      </w:r>
      <w:r>
        <w:rPr>
          <w:sz w:val="18"/>
        </w:rPr>
        <w:t>Japan,</w:t>
      </w:r>
      <w:r>
        <w:rPr>
          <w:spacing w:val="-14"/>
          <w:sz w:val="18"/>
        </w:rPr>
        <w:t> </w:t>
      </w:r>
      <w:r>
        <w:rPr>
          <w:sz w:val="18"/>
        </w:rPr>
        <w:t>J.</w:t>
      </w:r>
      <w:r>
        <w:rPr>
          <w:spacing w:val="-13"/>
          <w:sz w:val="18"/>
        </w:rPr>
        <w:t> </w:t>
      </w:r>
      <w:r>
        <w:rPr>
          <w:sz w:val="18"/>
        </w:rPr>
        <w:t>Gale</w:t>
      </w:r>
      <w:r>
        <w:rPr>
          <w:spacing w:val="-14"/>
          <w:sz w:val="18"/>
        </w:rPr>
        <w:t> </w:t>
      </w:r>
      <w:r>
        <w:rPr>
          <w:sz w:val="18"/>
        </w:rPr>
        <w:t>and</w:t>
      </w:r>
    </w:p>
    <w:p>
      <w:pPr>
        <w:spacing w:line="206" w:lineRule="exact" w:before="0"/>
        <w:ind w:left="457" w:right="0" w:firstLine="0"/>
        <w:jc w:val="both"/>
        <w:rPr>
          <w:sz w:val="18"/>
        </w:rPr>
      </w:pPr>
      <w:r>
        <w:rPr>
          <w:sz w:val="18"/>
        </w:rPr>
        <w:t>Y. Kaya (eds.), Elsevier Science Ltd, Oxford, UK. 193-200.</w:t>
      </w:r>
    </w:p>
    <w:sectPr>
      <w:pgSz w:w="12240" w:h="15840"/>
      <w:pgMar w:header="567" w:footer="0" w:top="1120" w:bottom="280" w:left="62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50399pt;margin-top:27.346399pt;width:21pt;height:12pt;mso-position-horizontal-relative:page;mso-position-vertical-relative:page;z-index:-272472064" type="#_x0000_t202" filled="false" stroked="false">
          <v:textbox inset="0,0,0,0">
            <w:txbxContent>
              <w:p>
                <w:pPr>
                  <w:spacing w:line="213" w:lineRule="exact" w:before="0"/>
                  <w:ind w:left="60" w:right="0" w:firstLine="0"/>
                  <w:jc w:val="left"/>
                  <w:rPr>
                    <w:b/>
                    <w:sz w:val="20"/>
                  </w:rPr>
                </w:pPr>
                <w:r>
                  <w:rPr/>
                  <w:fldChar w:fldCharType="begin"/>
                </w:r>
                <w:r>
                  <w:rPr>
                    <w:b/>
                    <w:sz w:val="20"/>
                  </w:rPr>
                  <w:instrText> PAGE </w:instrText>
                </w:r>
                <w:r>
                  <w:rPr/>
                  <w:fldChar w:fldCharType="separate"/>
                </w:r>
                <w:r>
                  <w:rPr/>
                  <w:t>106</w:t>
                </w:r>
                <w:r>
                  <w:rPr/>
                  <w:fldChar w:fldCharType="end"/>
                </w:r>
              </w:p>
            </w:txbxContent>
          </v:textbox>
          <w10:wrap type="none"/>
        </v:shape>
      </w:pict>
    </w:r>
    <w:r>
      <w:rPr/>
      <w:pict>
        <v:shape style="position:absolute;margin-left:306.362793pt;margin-top:27.346399pt;width:250pt;height:12pt;mso-position-horizontal-relative:page;mso-position-vertical-relative:page;z-index:-272471040" type="#_x0000_t202" filled="false" stroked="false">
          <v:textbox inset="0,0,0,0">
            <w:txbxContent>
              <w:p>
                <w:pPr>
                  <w:spacing w:line="213" w:lineRule="exact" w:before="0"/>
                  <w:ind w:left="20" w:right="0" w:firstLine="0"/>
                  <w:jc w:val="left"/>
                  <w:rPr>
                    <w:i/>
                    <w:sz w:val="20"/>
                  </w:rPr>
                </w:pPr>
                <w:r>
                  <w:rPr>
                    <w:i/>
                    <w:sz w:val="20"/>
                  </w:rPr>
                  <w:t>IPCC Special Report on Carbon dioxide Capture and Storage</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7.346399pt;width:110.1pt;height:14.25pt;mso-position-horizontal-relative:page;mso-position-vertical-relative:page;z-index:-272458752" type="#_x0000_t202" filled="false" stroked="false">
          <v:textbox inset="0,0,0,0">
            <w:txbxContent>
              <w:p>
                <w:pPr>
                  <w:spacing w:line="218" w:lineRule="auto" w:before="0"/>
                  <w:ind w:left="20" w:right="0" w:firstLine="0"/>
                  <w:jc w:val="left"/>
                  <w:rPr>
                    <w:i/>
                    <w:sz w:val="11"/>
                  </w:rPr>
                </w:pPr>
                <w:r>
                  <w:rPr>
                    <w:i/>
                    <w:sz w:val="20"/>
                  </w:rPr>
                  <w:t>Chapter 3: Capture of CO</w:t>
                </w:r>
                <w:r>
                  <w:rPr>
                    <w:i/>
                    <w:position w:val="-6"/>
                    <w:sz w:val="11"/>
                  </w:rPr>
                  <w:t>2</w:t>
                </w:r>
              </w:p>
            </w:txbxContent>
          </v:textbox>
          <w10:wrap type="none"/>
        </v:shape>
      </w:pict>
    </w:r>
    <w:r>
      <w:rPr/>
      <w:pict>
        <v:shape style="position:absolute;margin-left:557.149597pt;margin-top:27.346399pt;width:21pt;height:12pt;mso-position-horizontal-relative:page;mso-position-vertical-relative:page;z-index:-272457728" type="#_x0000_t202" filled="false" stroked="false">
          <v:textbox inset="0,0,0,0">
            <w:txbxContent>
              <w:p>
                <w:pPr>
                  <w:spacing w:line="213" w:lineRule="exact" w:before="0"/>
                  <w:ind w:left="60" w:right="0" w:firstLine="0"/>
                  <w:jc w:val="left"/>
                  <w:rPr>
                    <w:b/>
                    <w:sz w:val="20"/>
                  </w:rPr>
                </w:pPr>
                <w:r>
                  <w:rPr/>
                  <w:fldChar w:fldCharType="begin"/>
                </w:r>
                <w:r>
                  <w:rPr>
                    <w:b/>
                    <w:sz w:val="20"/>
                  </w:rPr>
                  <w:instrText> PAGE </w:instrText>
                </w:r>
                <w:r>
                  <w:rPr/>
                  <w:fldChar w:fldCharType="separate"/>
                </w:r>
                <w:r>
                  <w:rPr/>
                  <w:t>155</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17.2677pt;width:297.9pt;height:13.05pt;mso-position-horizontal-relative:page;mso-position-vertical-relative:page;z-index:-272456704" type="#_x0000_t202" filled="false" stroked="false">
          <v:textbox inset="0,0,0,0">
            <w:txbxContent>
              <w:p>
                <w:pPr>
                  <w:spacing w:line="220" w:lineRule="auto" w:before="0"/>
                  <w:ind w:left="20" w:right="0" w:firstLine="0"/>
                  <w:jc w:val="left"/>
                  <w:rPr>
                    <w:sz w:val="18"/>
                  </w:rPr>
                </w:pPr>
                <w:r>
                  <w:rPr>
                    <w:b/>
                    <w:spacing w:val="-17"/>
                    <w:w w:val="200"/>
                    <w:sz w:val="18"/>
                  </w:rPr>
                  <w:t>t</w:t>
                </w:r>
                <w:r>
                  <w:rPr>
                    <w:b/>
                    <w:sz w:val="18"/>
                  </w:rPr>
                  <w:t>able</w:t>
                </w:r>
                <w:r>
                  <w:rPr>
                    <w:b/>
                    <w:spacing w:val="4"/>
                    <w:sz w:val="18"/>
                  </w:rPr>
                  <w:t> </w:t>
                </w:r>
                <w:r>
                  <w:rPr>
                    <w:b/>
                    <w:sz w:val="18"/>
                  </w:rPr>
                  <w:t>3.10</w:t>
                </w:r>
                <w:r>
                  <w:rPr>
                    <w:b/>
                    <w:spacing w:val="4"/>
                    <w:sz w:val="18"/>
                  </w:rPr>
                  <w:t> </w:t>
                </w:r>
                <w:r>
                  <w:rPr>
                    <w:sz w:val="18"/>
                  </w:rPr>
                  <w:t>CO</w:t>
                </w:r>
                <w:r>
                  <w:rPr>
                    <w:w w:val="104"/>
                    <w:position w:val="-5"/>
                    <w:sz w:val="10"/>
                  </w:rPr>
                  <w:t>2</w:t>
                </w:r>
                <w:r>
                  <w:rPr>
                    <w:position w:val="-5"/>
                    <w:sz w:val="10"/>
                  </w:rPr>
                  <w:t> </w:t>
                </w:r>
                <w:r>
                  <w:rPr>
                    <w:spacing w:val="-1"/>
                    <w:position w:val="-5"/>
                    <w:sz w:val="10"/>
                  </w:rPr>
                  <w:t> </w:t>
                </w:r>
                <w:r>
                  <w:rPr>
                    <w:sz w:val="18"/>
                  </w:rPr>
                  <w:t>capture</w:t>
                </w:r>
                <w:r>
                  <w:rPr>
                    <w:spacing w:val="4"/>
                    <w:sz w:val="18"/>
                  </w:rPr>
                  <w:t> </w:t>
                </w:r>
                <w:r>
                  <w:rPr>
                    <w:sz w:val="18"/>
                  </w:rPr>
                  <w:t>costs: </w:t>
                </w:r>
                <w:r>
                  <w:rPr>
                    <w:spacing w:val="9"/>
                    <w:sz w:val="18"/>
                  </w:rPr>
                  <w:t> </w:t>
                </w:r>
                <w:r>
                  <w:rPr>
                    <w:sz w:val="18"/>
                  </w:rPr>
                  <w:t>new</w:t>
                </w:r>
                <w:r>
                  <w:rPr>
                    <w:spacing w:val="4"/>
                    <w:sz w:val="18"/>
                  </w:rPr>
                  <w:t> </w:t>
                </w:r>
                <w:r>
                  <w:rPr>
                    <w:sz w:val="18"/>
                  </w:rPr>
                  <w:t>IGCC</w:t>
                </w:r>
                <w:r>
                  <w:rPr>
                    <w:spacing w:val="4"/>
                    <w:sz w:val="18"/>
                  </w:rPr>
                  <w:t> </w:t>
                </w:r>
                <w:r>
                  <w:rPr>
                    <w:sz w:val="18"/>
                  </w:rPr>
                  <w:t>power</w:t>
                </w:r>
                <w:r>
                  <w:rPr>
                    <w:spacing w:val="4"/>
                    <w:sz w:val="18"/>
                  </w:rPr>
                  <w:t> </w:t>
                </w:r>
                <w:r>
                  <w:rPr>
                    <w:sz w:val="18"/>
                  </w:rPr>
                  <w:t>plants</w:t>
                </w:r>
                <w:r>
                  <w:rPr>
                    <w:spacing w:val="4"/>
                    <w:sz w:val="18"/>
                  </w:rPr>
                  <w:t> </w:t>
                </w:r>
                <w:r>
                  <w:rPr>
                    <w:sz w:val="18"/>
                  </w:rPr>
                  <w:t>using</w:t>
                </w:r>
                <w:r>
                  <w:rPr>
                    <w:spacing w:val="4"/>
                    <w:sz w:val="18"/>
                  </w:rPr>
                  <w:t> </w:t>
                </w:r>
                <w:r>
                  <w:rPr>
                    <w:sz w:val="18"/>
                  </w:rPr>
                  <w:t>current</w:t>
                </w:r>
                <w:r>
                  <w:rPr>
                    <w:spacing w:val="4"/>
                    <w:sz w:val="18"/>
                  </w:rPr>
                  <w:t> </w:t>
                </w:r>
                <w:r>
                  <w:rPr>
                    <w:sz w:val="18"/>
                  </w:rPr>
                  <w:t>technolog</w:t>
                </w:r>
                <w:r>
                  <w:rPr>
                    <w:spacing w:val="-12"/>
                    <w:sz w:val="18"/>
                  </w:rPr>
                  <w:t>y</w:t>
                </w:r>
                <w:r>
                  <w:rPr>
                    <w:sz w:val="18"/>
                  </w:rPr>
                  <w:t>.</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50399pt;margin-top:27.346399pt;width:21pt;height:12pt;mso-position-horizontal-relative:page;mso-position-vertical-relative:page;z-index:-272455680" type="#_x0000_t202" filled="false" stroked="false">
          <v:textbox inset="0,0,0,0">
            <w:txbxContent>
              <w:p>
                <w:pPr>
                  <w:spacing w:line="213" w:lineRule="exact" w:before="0"/>
                  <w:ind w:left="60" w:right="0" w:firstLine="0"/>
                  <w:jc w:val="left"/>
                  <w:rPr>
                    <w:b/>
                    <w:sz w:val="20"/>
                  </w:rPr>
                </w:pPr>
                <w:r>
                  <w:rPr/>
                  <w:fldChar w:fldCharType="begin"/>
                </w:r>
                <w:r>
                  <w:rPr>
                    <w:b/>
                    <w:sz w:val="20"/>
                  </w:rPr>
                  <w:instrText> PAGE </w:instrText>
                </w:r>
                <w:r>
                  <w:rPr/>
                  <w:fldChar w:fldCharType="separate"/>
                </w:r>
                <w:r>
                  <w:rPr/>
                  <w:t>158</w:t>
                </w:r>
                <w:r>
                  <w:rPr/>
                  <w:fldChar w:fldCharType="end"/>
                </w:r>
              </w:p>
            </w:txbxContent>
          </v:textbox>
          <w10:wrap type="none"/>
        </v:shape>
      </w:pict>
    </w:r>
    <w:r>
      <w:rPr/>
      <w:pict>
        <v:shape style="position:absolute;margin-left:306.362793pt;margin-top:27.346399pt;width:250pt;height:12pt;mso-position-horizontal-relative:page;mso-position-vertical-relative:page;z-index:-272454656" type="#_x0000_t202" filled="false" stroked="false">
          <v:textbox inset="0,0,0,0">
            <w:txbxContent>
              <w:p>
                <w:pPr>
                  <w:spacing w:line="213" w:lineRule="exact" w:before="0"/>
                  <w:ind w:left="20" w:right="0" w:firstLine="0"/>
                  <w:jc w:val="left"/>
                  <w:rPr>
                    <w:i/>
                    <w:sz w:val="20"/>
                  </w:rPr>
                </w:pPr>
                <w:r>
                  <w:rPr>
                    <w:i/>
                    <w:sz w:val="20"/>
                  </w:rPr>
                  <w:t>IPCC Special Report on Carbon dioxide Capture and Storage</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7.346399pt;width:110.1pt;height:14.25pt;mso-position-horizontal-relative:page;mso-position-vertical-relative:page;z-index:-272453632" type="#_x0000_t202" filled="false" stroked="false">
          <v:textbox inset="0,0,0,0">
            <w:txbxContent>
              <w:p>
                <w:pPr>
                  <w:spacing w:line="218" w:lineRule="auto" w:before="0"/>
                  <w:ind w:left="20" w:right="0" w:firstLine="0"/>
                  <w:jc w:val="left"/>
                  <w:rPr>
                    <w:i/>
                    <w:sz w:val="11"/>
                  </w:rPr>
                </w:pPr>
                <w:r>
                  <w:rPr>
                    <w:i/>
                    <w:sz w:val="20"/>
                  </w:rPr>
                  <w:t>Chapter 3: Capture of CO</w:t>
                </w:r>
                <w:r>
                  <w:rPr>
                    <w:i/>
                    <w:position w:val="-6"/>
                    <w:sz w:val="11"/>
                  </w:rPr>
                  <w:t>2</w:t>
                </w:r>
              </w:p>
            </w:txbxContent>
          </v:textbox>
          <w10:wrap type="none"/>
        </v:shape>
      </w:pict>
    </w:r>
    <w:r>
      <w:rPr/>
      <w:pict>
        <v:shape style="position:absolute;margin-left:557.149597pt;margin-top:27.346399pt;width:21pt;height:12pt;mso-position-horizontal-relative:page;mso-position-vertical-relative:page;z-index:-272452608" type="#_x0000_t202" filled="false" stroked="false">
          <v:textbox inset="0,0,0,0">
            <w:txbxContent>
              <w:p>
                <w:pPr>
                  <w:spacing w:line="213" w:lineRule="exact" w:before="0"/>
                  <w:ind w:left="60" w:right="0" w:firstLine="0"/>
                  <w:jc w:val="left"/>
                  <w:rPr>
                    <w:b/>
                    <w:sz w:val="20"/>
                  </w:rPr>
                </w:pPr>
                <w:r>
                  <w:rPr/>
                  <w:fldChar w:fldCharType="begin"/>
                </w:r>
                <w:r>
                  <w:rPr>
                    <w:b/>
                    <w:sz w:val="20"/>
                  </w:rPr>
                  <w:instrText> PAGE </w:instrText>
                </w:r>
                <w:r>
                  <w:rPr/>
                  <w:fldChar w:fldCharType="separate"/>
                </w:r>
                <w:r>
                  <w:rPr/>
                  <w:t>159</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692902pt;margin-top:35.850399pt;width:258.75pt;height:9pt;mso-position-horizontal-relative:page;mso-position-vertical-relative:page;z-index:-272451584" type="#_x0000_t202" filled="false" stroked="false">
          <v:textbox inset="0,0,0,0">
            <w:txbxContent>
              <w:p>
                <w:pPr>
                  <w:spacing w:line="155" w:lineRule="exact" w:before="0"/>
                  <w:ind w:left="20" w:right="0" w:firstLine="0"/>
                  <w:jc w:val="left"/>
                  <w:rPr>
                    <w:sz w:val="14"/>
                  </w:rPr>
                </w:pPr>
                <w:r>
                  <w:rPr>
                    <w:b/>
                    <w:spacing w:val="-13"/>
                    <w:w w:val="200"/>
                    <w:sz w:val="14"/>
                  </w:rPr>
                  <w:t>t</w:t>
                </w:r>
                <w:r>
                  <w:rPr>
                    <w:b/>
                    <w:sz w:val="14"/>
                  </w:rPr>
                  <w:t>able 3.12. </w:t>
                </w:r>
                <w:r>
                  <w:rPr>
                    <w:sz w:val="14"/>
                  </w:rPr>
                  <w:t>Capture costs: </w:t>
                </w:r>
                <w:r>
                  <w:rPr>
                    <w:spacing w:val="-1"/>
                    <w:sz w:val="14"/>
                  </w:rPr>
                  <w:t>Othe</w:t>
                </w:r>
                <w:r>
                  <w:rPr>
                    <w:sz w:val="14"/>
                  </w:rPr>
                  <w:t>r</w:t>
                </w:r>
                <w:r>
                  <w:rPr>
                    <w:spacing w:val="-1"/>
                    <w:sz w:val="14"/>
                  </w:rPr>
                  <w:t> </w:t>
                </w:r>
                <w:r>
                  <w:rPr>
                    <w:sz w:val="14"/>
                  </w:rPr>
                  <w:t>industrial processes using current or advanced technolog</w:t>
                </w:r>
                <w:r>
                  <w:rPr>
                    <w:spacing w:val="-10"/>
                    <w:sz w:val="14"/>
                  </w:rPr>
                  <w:t>y</w:t>
                </w:r>
                <w:r>
                  <w:rPr>
                    <w:sz w:val="14"/>
                  </w:rPr>
                  <w:t>.</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152.653595pt;width:110.1pt;height:14.25pt;mso-position-horizontal-relative:page;mso-position-vertical-relative:page;z-index:-272450560" type="#_x0000_t202" filled="false" stroked="false">
          <v:textbox inset="0,0,0,0">
            <w:txbxContent>
              <w:p>
                <w:pPr>
                  <w:spacing w:line="218" w:lineRule="auto" w:before="0"/>
                  <w:ind w:left="20" w:right="0" w:firstLine="0"/>
                  <w:jc w:val="left"/>
                  <w:rPr>
                    <w:i/>
                    <w:sz w:val="11"/>
                  </w:rPr>
                </w:pPr>
                <w:r>
                  <w:rPr>
                    <w:i/>
                    <w:sz w:val="20"/>
                  </w:rPr>
                  <w:t>Chapter 3: Capture of CO</w:t>
                </w:r>
                <w:r>
                  <w:rPr>
                    <w:i/>
                    <w:position w:val="-6"/>
                    <w:sz w:val="11"/>
                  </w:rPr>
                  <w:t>2</w:t>
                </w:r>
              </w:p>
            </w:txbxContent>
          </v:textbox>
          <w10:wrap type="none"/>
        </v:shape>
      </w:pict>
    </w:r>
    <w:r>
      <w:rPr/>
      <w:pict>
        <v:shape style="position:absolute;margin-left:557.149597pt;margin-top:-152.653595pt;width:21pt;height:12pt;mso-position-horizontal-relative:page;mso-position-vertical-relative:page;z-index:-272449536" type="#_x0000_t202" filled="false" stroked="false">
          <v:textbox inset="0,0,0,0">
            <w:txbxContent>
              <w:p>
                <w:pPr>
                  <w:spacing w:line="213" w:lineRule="exact" w:before="0"/>
                  <w:ind w:left="60" w:right="0" w:firstLine="0"/>
                  <w:jc w:val="left"/>
                  <w:rPr>
                    <w:b/>
                    <w:sz w:val="20"/>
                  </w:rPr>
                </w:pPr>
                <w:r>
                  <w:rPr>
                    <w:b/>
                    <w:sz w:val="20"/>
                  </w:rPr>
                  <w:t>163</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692902pt;margin-top:38.850399pt;width:324.6pt;height:10pt;mso-position-horizontal-relative:page;mso-position-vertical-relative:page;z-index:-272448512" type="#_x0000_t202" filled="false" stroked="false">
          <v:textbox inset="0,0,0,0">
            <w:txbxContent>
              <w:p>
                <w:pPr>
                  <w:spacing w:line="175" w:lineRule="exact" w:before="0"/>
                  <w:ind w:left="20" w:right="0" w:firstLine="0"/>
                  <w:jc w:val="left"/>
                  <w:rPr>
                    <w:sz w:val="16"/>
                  </w:rPr>
                </w:pPr>
                <w:r>
                  <w:rPr>
                    <w:b/>
                    <w:spacing w:val="-15"/>
                    <w:w w:val="200"/>
                    <w:sz w:val="16"/>
                  </w:rPr>
                  <w:t>t</w:t>
                </w:r>
                <w:r>
                  <w:rPr>
                    <w:b/>
                    <w:sz w:val="16"/>
                  </w:rPr>
                  <w:t>able 3.13 </w:t>
                </w:r>
                <w:r>
                  <w:rPr>
                    <w:sz w:val="16"/>
                  </w:rPr>
                  <w:t>Capture costs:</w:t>
                </w:r>
                <w:r>
                  <w:rPr>
                    <w:spacing w:val="-9"/>
                    <w:sz w:val="16"/>
                  </w:rPr>
                  <w:t> </w:t>
                </w:r>
                <w:r>
                  <w:rPr>
                    <w:spacing w:val="-1"/>
                    <w:sz w:val="16"/>
                  </w:rPr>
                  <w:t>Advance</w:t>
                </w:r>
                <w:r>
                  <w:rPr>
                    <w:sz w:val="16"/>
                  </w:rPr>
                  <w:t>d</w:t>
                </w:r>
                <w:r>
                  <w:rPr>
                    <w:spacing w:val="-1"/>
                    <w:sz w:val="16"/>
                  </w:rPr>
                  <w:t> </w:t>
                </w:r>
                <w:r>
                  <w:rPr>
                    <w:sz w:val="16"/>
                  </w:rPr>
                  <w:t>technologies for electric power plants. (continued on next page)</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908699pt;margin-top:58.692902pt;width:74.2pt;height:10pt;mso-position-horizontal-relative:page;mso-position-vertical-relative:page;z-index:-272447488" type="#_x0000_t202" filled="false" stroked="false">
          <v:textbox inset="0,0,0,0">
            <w:txbxContent>
              <w:p>
                <w:pPr>
                  <w:spacing w:line="175" w:lineRule="exact" w:before="0"/>
                  <w:ind w:left="20" w:right="0" w:firstLine="0"/>
                  <w:jc w:val="left"/>
                  <w:rPr>
                    <w:i/>
                    <w:sz w:val="16"/>
                  </w:rPr>
                </w:pPr>
                <w:r>
                  <w:rPr>
                    <w:b/>
                    <w:spacing w:val="-15"/>
                    <w:w w:val="200"/>
                    <w:sz w:val="16"/>
                  </w:rPr>
                  <w:t>t</w:t>
                </w:r>
                <w:r>
                  <w:rPr>
                    <w:b/>
                    <w:sz w:val="16"/>
                  </w:rPr>
                  <w:t>able 3.13 </w:t>
                </w:r>
                <w:r>
                  <w:rPr>
                    <w:i/>
                    <w:sz w:val="16"/>
                  </w:rPr>
                  <w:t>Continued.</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50399pt;margin-top:27.346399pt;width:21pt;height:12pt;mso-position-horizontal-relative:page;mso-position-vertical-relative:page;z-index:-272446464" type="#_x0000_t202" filled="false" stroked="false">
          <v:textbox inset="0,0,0,0">
            <w:txbxContent>
              <w:p>
                <w:pPr>
                  <w:spacing w:line="213" w:lineRule="exact" w:before="0"/>
                  <w:ind w:left="60" w:right="0" w:firstLine="0"/>
                  <w:jc w:val="left"/>
                  <w:rPr>
                    <w:b/>
                    <w:sz w:val="20"/>
                  </w:rPr>
                </w:pPr>
                <w:r>
                  <w:rPr/>
                  <w:fldChar w:fldCharType="begin"/>
                </w:r>
                <w:r>
                  <w:rPr>
                    <w:b/>
                    <w:sz w:val="20"/>
                  </w:rPr>
                  <w:instrText> PAGE </w:instrText>
                </w:r>
                <w:r>
                  <w:rPr/>
                  <w:fldChar w:fldCharType="separate"/>
                </w:r>
                <w:r>
                  <w:rPr/>
                  <w:t>166</w:t>
                </w:r>
                <w:r>
                  <w:rPr/>
                  <w:fldChar w:fldCharType="end"/>
                </w:r>
              </w:p>
            </w:txbxContent>
          </v:textbox>
          <w10:wrap type="none"/>
        </v:shape>
      </w:pict>
    </w:r>
    <w:r>
      <w:rPr/>
      <w:pict>
        <v:shape style="position:absolute;margin-left:306.362793pt;margin-top:27.346399pt;width:250pt;height:12pt;mso-position-horizontal-relative:page;mso-position-vertical-relative:page;z-index:-272445440" type="#_x0000_t202" filled="false" stroked="false">
          <v:textbox inset="0,0,0,0">
            <w:txbxContent>
              <w:p>
                <w:pPr>
                  <w:spacing w:line="213" w:lineRule="exact" w:before="0"/>
                  <w:ind w:left="20" w:right="0" w:firstLine="0"/>
                  <w:jc w:val="left"/>
                  <w:rPr>
                    <w:i/>
                    <w:sz w:val="20"/>
                  </w:rPr>
                </w:pPr>
                <w:r>
                  <w:rPr>
                    <w:i/>
                    <w:sz w:val="20"/>
                  </w:rPr>
                  <w:t>IPCC Special Report on Carbon dioxide Capture and Storage</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38.692902pt;width:256.6pt;height:11.8pt;mso-position-horizontal-relative:page;mso-position-vertical-relative:page;z-index:-272444416" type="#_x0000_t202" filled="false" stroked="false">
          <v:textbox inset="0,0,0,0">
            <w:txbxContent>
              <w:p>
                <w:pPr>
                  <w:spacing w:line="209" w:lineRule="exact" w:before="0"/>
                  <w:ind w:left="20" w:right="0" w:firstLine="0"/>
                  <w:jc w:val="left"/>
                  <w:rPr>
                    <w:sz w:val="16"/>
                  </w:rPr>
                </w:pPr>
                <w:r>
                  <w:rPr>
                    <w:b/>
                    <w:spacing w:val="-15"/>
                    <w:w w:val="200"/>
                    <w:sz w:val="16"/>
                  </w:rPr>
                  <w:t>t</w:t>
                </w:r>
                <w:r>
                  <w:rPr>
                    <w:b/>
                    <w:sz w:val="16"/>
                  </w:rPr>
                  <w:t>able 3.14 </w:t>
                </w:r>
                <w:r>
                  <w:rPr>
                    <w:sz w:val="16"/>
                  </w:rPr>
                  <w:t>CO</w:t>
                </w:r>
                <w:r>
                  <w:rPr>
                    <w:w w:val="103"/>
                    <w:position w:val="-4"/>
                    <w:sz w:val="9"/>
                  </w:rPr>
                  <w:t>2</w:t>
                </w:r>
                <w:r>
                  <w:rPr>
                    <w:position w:val="-4"/>
                    <w:sz w:val="9"/>
                  </w:rPr>
                  <w:t> </w:t>
                </w:r>
                <w:r>
                  <w:rPr>
                    <w:spacing w:val="-5"/>
                    <w:position w:val="-4"/>
                    <w:sz w:val="9"/>
                  </w:rPr>
                  <w:t> </w:t>
                </w:r>
                <w:r>
                  <w:rPr>
                    <w:sz w:val="16"/>
                  </w:rPr>
                  <w:t>capture costs: </w:t>
                </w:r>
                <w:r>
                  <w:rPr>
                    <w:spacing w:val="-1"/>
                    <w:sz w:val="16"/>
                  </w:rPr>
                  <w:t>Multi-produc</w:t>
                </w:r>
                <w:r>
                  <w:rPr>
                    <w:sz w:val="16"/>
                  </w:rPr>
                  <w:t>t</w:t>
                </w:r>
                <w:r>
                  <w:rPr>
                    <w:spacing w:val="-1"/>
                    <w:sz w:val="16"/>
                  </w:rPr>
                  <w:t> </w:t>
                </w:r>
                <w:r>
                  <w:rPr>
                    <w:sz w:val="16"/>
                  </w:rPr>
                  <w:t>plants using advanced technolog</w:t>
                </w:r>
                <w:r>
                  <w:rPr>
                    <w:spacing w:val="-11"/>
                    <w:sz w:val="16"/>
                  </w:rPr>
                  <w:t>y</w:t>
                </w:r>
                <w:r>
                  <w:rPr>
                    <w:sz w:val="16"/>
                  </w:rPr>
                  <w: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7.346399pt;width:110.1pt;height:14.25pt;mso-position-horizontal-relative:page;mso-position-vertical-relative:page;z-index:-272470016" type="#_x0000_t202" filled="false" stroked="false">
          <v:textbox inset="0,0,0,0">
            <w:txbxContent>
              <w:p>
                <w:pPr>
                  <w:spacing w:line="218" w:lineRule="auto" w:before="0"/>
                  <w:ind w:left="20" w:right="0" w:firstLine="0"/>
                  <w:jc w:val="left"/>
                  <w:rPr>
                    <w:i/>
                    <w:sz w:val="11"/>
                  </w:rPr>
                </w:pPr>
                <w:r>
                  <w:rPr>
                    <w:i/>
                    <w:sz w:val="20"/>
                  </w:rPr>
                  <w:t>Chapter 3: Capture of CO</w:t>
                </w:r>
                <w:r>
                  <w:rPr>
                    <w:i/>
                    <w:position w:val="-6"/>
                    <w:sz w:val="11"/>
                  </w:rPr>
                  <w:t>2</w:t>
                </w:r>
              </w:p>
            </w:txbxContent>
          </v:textbox>
          <w10:wrap type="none"/>
        </v:shape>
      </w:pict>
    </w:r>
    <w:r>
      <w:rPr/>
      <w:pict>
        <v:shape style="position:absolute;margin-left:557.149597pt;margin-top:27.346399pt;width:21pt;height:12pt;mso-position-horizontal-relative:page;mso-position-vertical-relative:page;z-index:-272468992" type="#_x0000_t202" filled="false" stroked="false">
          <v:textbox inset="0,0,0,0">
            <w:txbxContent>
              <w:p>
                <w:pPr>
                  <w:spacing w:line="213" w:lineRule="exact" w:before="0"/>
                  <w:ind w:left="60" w:right="0" w:firstLine="0"/>
                  <w:jc w:val="left"/>
                  <w:rPr>
                    <w:b/>
                    <w:sz w:val="20"/>
                  </w:rPr>
                </w:pPr>
                <w:r>
                  <w:rPr/>
                  <w:fldChar w:fldCharType="begin"/>
                </w:r>
                <w:r>
                  <w:rPr>
                    <w:b/>
                    <w:sz w:val="20"/>
                  </w:rPr>
                  <w:instrText> PAGE </w:instrText>
                </w:r>
                <w:r>
                  <w:rPr/>
                  <w:fldChar w:fldCharType="separate"/>
                </w:r>
                <w:r>
                  <w:rPr/>
                  <w:t>107</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57.192902pt;width:317.7pt;height:11.8pt;mso-position-horizontal-relative:page;mso-position-vertical-relative:page;z-index:-272443392" type="#_x0000_t202" filled="false" stroked="false">
          <v:textbox inset="0,0,0,0">
            <w:txbxContent>
              <w:p>
                <w:pPr>
                  <w:spacing w:line="209" w:lineRule="exact" w:before="0"/>
                  <w:ind w:left="20" w:right="0" w:firstLine="0"/>
                  <w:jc w:val="left"/>
                  <w:rPr>
                    <w:sz w:val="16"/>
                  </w:rPr>
                </w:pPr>
                <w:r>
                  <w:rPr>
                    <w:b/>
                    <w:spacing w:val="-15"/>
                    <w:w w:val="200"/>
                    <w:sz w:val="16"/>
                  </w:rPr>
                  <w:t>t</w:t>
                </w:r>
                <w:r>
                  <w:rPr>
                    <w:b/>
                    <w:sz w:val="16"/>
                  </w:rPr>
                  <w:t>able 3.15 </w:t>
                </w:r>
                <w:r>
                  <w:rPr>
                    <w:spacing w:val="-1"/>
                    <w:sz w:val="16"/>
                  </w:rPr>
                  <w:t>Summar</w:t>
                </w:r>
                <w:r>
                  <w:rPr>
                    <w:sz w:val="16"/>
                  </w:rPr>
                  <w:t>y</w:t>
                </w:r>
                <w:r>
                  <w:rPr>
                    <w:spacing w:val="-1"/>
                    <w:sz w:val="16"/>
                  </w:rPr>
                  <w:t> </w:t>
                </w:r>
                <w:r>
                  <w:rPr>
                    <w:sz w:val="16"/>
                  </w:rPr>
                  <w:t>of new plant performance and CO</w:t>
                </w:r>
                <w:r>
                  <w:rPr>
                    <w:w w:val="103"/>
                    <w:position w:val="-4"/>
                    <w:sz w:val="9"/>
                  </w:rPr>
                  <w:t>2</w:t>
                </w:r>
                <w:r>
                  <w:rPr>
                    <w:position w:val="-4"/>
                    <w:sz w:val="9"/>
                  </w:rPr>
                  <w:t> </w:t>
                </w:r>
                <w:r>
                  <w:rPr>
                    <w:spacing w:val="-5"/>
                    <w:position w:val="-4"/>
                    <w:sz w:val="9"/>
                  </w:rPr>
                  <w:t> </w:t>
                </w:r>
                <w:r>
                  <w:rPr>
                    <w:sz w:val="16"/>
                  </w:rPr>
                  <w:t>capture cost based on current technolog</w:t>
                </w:r>
                <w:r>
                  <w:rPr>
                    <w:spacing w:val="-11"/>
                    <w:sz w:val="16"/>
                  </w:rPr>
                  <w:t>y</w:t>
                </w:r>
                <w:r>
                  <w:rPr>
                    <w:sz w:val="16"/>
                  </w:rPr>
                  <w:t>.</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50399pt;margin-top:-152.653595pt;width:21pt;height:12pt;mso-position-horizontal-relative:page;mso-position-vertical-relative:page;z-index:-272442368" type="#_x0000_t202" filled="false" stroked="false">
          <v:textbox inset="0,0,0,0">
            <w:txbxContent>
              <w:p>
                <w:pPr>
                  <w:spacing w:line="213" w:lineRule="exact" w:before="0"/>
                  <w:ind w:left="60" w:right="0" w:firstLine="0"/>
                  <w:jc w:val="left"/>
                  <w:rPr>
                    <w:b/>
                    <w:sz w:val="20"/>
                  </w:rPr>
                </w:pPr>
                <w:r>
                  <w:rPr>
                    <w:b/>
                    <w:sz w:val="20"/>
                  </w:rPr>
                  <w:t>170</w:t>
                </w:r>
              </w:p>
            </w:txbxContent>
          </v:textbox>
          <w10:wrap type="none"/>
        </v:shape>
      </w:pict>
    </w:r>
    <w:r>
      <w:rPr/>
      <w:pict>
        <v:shape style="position:absolute;margin-left:306.362793pt;margin-top:-152.653595pt;width:250pt;height:12pt;mso-position-horizontal-relative:page;mso-position-vertical-relative:page;z-index:-272441344" type="#_x0000_t202" filled="false" stroked="false">
          <v:textbox inset="0,0,0,0">
            <w:txbxContent>
              <w:p>
                <w:pPr>
                  <w:spacing w:line="213" w:lineRule="exact" w:before="0"/>
                  <w:ind w:left="20" w:right="0" w:firstLine="0"/>
                  <w:jc w:val="left"/>
                  <w:rPr>
                    <w:i/>
                    <w:sz w:val="20"/>
                  </w:rPr>
                </w:pPr>
                <w:r>
                  <w:rPr>
                    <w:i/>
                    <w:sz w:val="20"/>
                  </w:rPr>
                  <w:t>IPCC Special Report on Carbon dioxide Capture and Storage</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7.346399pt;width:110.1pt;height:14.25pt;mso-position-horizontal-relative:page;mso-position-vertical-relative:page;z-index:-272440320" type="#_x0000_t202" filled="false" stroked="false">
          <v:textbox inset="0,0,0,0">
            <w:txbxContent>
              <w:p>
                <w:pPr>
                  <w:spacing w:line="218" w:lineRule="auto" w:before="0"/>
                  <w:ind w:left="20" w:right="0" w:firstLine="0"/>
                  <w:jc w:val="left"/>
                  <w:rPr>
                    <w:i/>
                    <w:sz w:val="11"/>
                  </w:rPr>
                </w:pPr>
                <w:r>
                  <w:rPr>
                    <w:i/>
                    <w:sz w:val="20"/>
                  </w:rPr>
                  <w:t>Chapter 3: Capture of CO</w:t>
                </w:r>
                <w:r>
                  <w:rPr>
                    <w:i/>
                    <w:position w:val="-6"/>
                    <w:sz w:val="11"/>
                  </w:rPr>
                  <w:t>2</w:t>
                </w:r>
              </w:p>
            </w:txbxContent>
          </v:textbox>
          <w10:wrap type="none"/>
        </v:shape>
      </w:pict>
    </w:r>
    <w:r>
      <w:rPr/>
      <w:pict>
        <v:shape style="position:absolute;margin-left:557.149597pt;margin-top:27.346399pt;width:21pt;height:12pt;mso-position-horizontal-relative:page;mso-position-vertical-relative:page;z-index:-272439296" type="#_x0000_t202" filled="false" stroked="false">
          <v:textbox inset="0,0,0,0">
            <w:txbxContent>
              <w:p>
                <w:pPr>
                  <w:spacing w:line="213" w:lineRule="exact" w:before="0"/>
                  <w:ind w:left="60" w:right="0" w:firstLine="0"/>
                  <w:jc w:val="left"/>
                  <w:rPr>
                    <w:b/>
                    <w:sz w:val="20"/>
                  </w:rPr>
                </w:pPr>
                <w:r>
                  <w:rPr/>
                  <w:fldChar w:fldCharType="begin"/>
                </w:r>
                <w:r>
                  <w:rPr>
                    <w:b/>
                    <w:sz w:val="20"/>
                  </w:rPr>
                  <w:instrText> PAGE </w:instrText>
                </w:r>
                <w:r>
                  <w:rPr/>
                  <w:fldChar w:fldCharType="separate"/>
                </w:r>
                <w:r>
                  <w:rPr/>
                  <w:t>171</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50399pt;margin-top:27.346399pt;width:21pt;height:12pt;mso-position-horizontal-relative:page;mso-position-vertical-relative:page;z-index:-272438272" type="#_x0000_t202" filled="false" stroked="false">
          <v:textbox inset="0,0,0,0">
            <w:txbxContent>
              <w:p>
                <w:pPr>
                  <w:spacing w:line="213" w:lineRule="exact" w:before="0"/>
                  <w:ind w:left="60" w:right="0" w:firstLine="0"/>
                  <w:jc w:val="left"/>
                  <w:rPr>
                    <w:b/>
                    <w:sz w:val="20"/>
                  </w:rPr>
                </w:pPr>
                <w:r>
                  <w:rPr/>
                  <w:fldChar w:fldCharType="begin"/>
                </w:r>
                <w:r>
                  <w:rPr>
                    <w:b/>
                    <w:sz w:val="20"/>
                  </w:rPr>
                  <w:instrText> PAGE </w:instrText>
                </w:r>
                <w:r>
                  <w:rPr/>
                  <w:fldChar w:fldCharType="separate"/>
                </w:r>
                <w:r>
                  <w:rPr/>
                  <w:t>172</w:t>
                </w:r>
                <w:r>
                  <w:rPr/>
                  <w:fldChar w:fldCharType="end"/>
                </w:r>
              </w:p>
            </w:txbxContent>
          </v:textbox>
          <w10:wrap type="none"/>
        </v:shape>
      </w:pict>
    </w:r>
    <w:r>
      <w:rPr/>
      <w:pict>
        <v:shape style="position:absolute;margin-left:306.362793pt;margin-top:27.346399pt;width:250pt;height:12pt;mso-position-horizontal-relative:page;mso-position-vertical-relative:page;z-index:-272437248" type="#_x0000_t202" filled="false" stroked="false">
          <v:textbox inset="0,0,0,0">
            <w:txbxContent>
              <w:p>
                <w:pPr>
                  <w:spacing w:line="213" w:lineRule="exact" w:before="0"/>
                  <w:ind w:left="20" w:right="0" w:firstLine="0"/>
                  <w:jc w:val="left"/>
                  <w:rPr>
                    <w:i/>
                    <w:sz w:val="20"/>
                  </w:rPr>
                </w:pPr>
                <w:r>
                  <w:rPr>
                    <w:i/>
                    <w:sz w:val="20"/>
                  </w:rPr>
                  <w:t>IPCC Special Report on Carbon dioxide Capture and Storage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27.346399pt;width:110.1pt;height:14.25pt;mso-position-horizontal-relative:page;mso-position-vertical-relative:page;z-index:-272467968" type="#_x0000_t202" filled="false" stroked="false">
          <v:textbox inset="0,0,0,0">
            <w:txbxContent>
              <w:p>
                <w:pPr>
                  <w:spacing w:line="218" w:lineRule="auto" w:before="0"/>
                  <w:ind w:left="20" w:right="0" w:firstLine="0"/>
                  <w:jc w:val="left"/>
                  <w:rPr>
                    <w:i/>
                    <w:sz w:val="11"/>
                  </w:rPr>
                </w:pPr>
                <w:r>
                  <w:rPr>
                    <w:i/>
                    <w:sz w:val="20"/>
                  </w:rPr>
                  <w:t>Chapter 3: Capture of CO</w:t>
                </w:r>
                <w:r>
                  <w:rPr>
                    <w:i/>
                    <w:position w:val="-6"/>
                    <w:sz w:val="11"/>
                  </w:rPr>
                  <w:t>2</w:t>
                </w:r>
              </w:p>
            </w:txbxContent>
          </v:textbox>
          <w10:wrap type="none"/>
        </v:shape>
      </w:pict>
    </w:r>
    <w:r>
      <w:rPr/>
      <w:pict>
        <v:shape style="position:absolute;margin-left:557.149597pt;margin-top:27.346399pt;width:21pt;height:12pt;mso-position-horizontal-relative:page;mso-position-vertical-relative:page;z-index:-272466944" type="#_x0000_t202" filled="false" stroked="false">
          <v:textbox inset="0,0,0,0">
            <w:txbxContent>
              <w:p>
                <w:pPr>
                  <w:spacing w:line="213" w:lineRule="exact" w:before="0"/>
                  <w:ind w:left="60" w:right="0" w:firstLine="0"/>
                  <w:jc w:val="left"/>
                  <w:rPr>
                    <w:b/>
                    <w:sz w:val="20"/>
                  </w:rPr>
                </w:pPr>
                <w:r>
                  <w:rPr/>
                  <w:fldChar w:fldCharType="begin"/>
                </w:r>
                <w:r>
                  <w:rPr>
                    <w:b/>
                    <w:sz w:val="20"/>
                  </w:rPr>
                  <w:instrText> PAGE </w:instrText>
                </w:r>
                <w:r>
                  <w:rPr/>
                  <w:fldChar w:fldCharType="separate"/>
                </w:r>
                <w:r>
                  <w:rPr/>
                  <w:t>145</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50399pt;margin-top:27.346399pt;width:21pt;height:12pt;mso-position-horizontal-relative:page;mso-position-vertical-relative:page;z-index:-272465920" type="#_x0000_t202" filled="false" stroked="false">
          <v:textbox inset="0,0,0,0">
            <w:txbxContent>
              <w:p>
                <w:pPr>
                  <w:spacing w:line="213" w:lineRule="exact" w:before="0"/>
                  <w:ind w:left="60" w:right="0" w:firstLine="0"/>
                  <w:jc w:val="left"/>
                  <w:rPr>
                    <w:b/>
                    <w:sz w:val="20"/>
                  </w:rPr>
                </w:pPr>
                <w:r>
                  <w:rPr/>
                  <w:fldChar w:fldCharType="begin"/>
                </w:r>
                <w:r>
                  <w:rPr>
                    <w:b/>
                    <w:sz w:val="20"/>
                  </w:rPr>
                  <w:instrText> PAGE </w:instrText>
                </w:r>
                <w:r>
                  <w:rPr/>
                  <w:fldChar w:fldCharType="separate"/>
                </w:r>
                <w:r>
                  <w:rPr/>
                  <w:t>146</w:t>
                </w:r>
                <w:r>
                  <w:rPr/>
                  <w:fldChar w:fldCharType="end"/>
                </w:r>
              </w:p>
            </w:txbxContent>
          </v:textbox>
          <w10:wrap type="none"/>
        </v:shape>
      </w:pict>
    </w:r>
    <w:r>
      <w:rPr/>
      <w:pict>
        <v:shape style="position:absolute;margin-left:306.362793pt;margin-top:27.346399pt;width:250pt;height:12pt;mso-position-horizontal-relative:page;mso-position-vertical-relative:page;z-index:-272464896" type="#_x0000_t202" filled="false" stroked="false">
          <v:textbox inset="0,0,0,0">
            <w:txbxContent>
              <w:p>
                <w:pPr>
                  <w:spacing w:line="213" w:lineRule="exact" w:before="0"/>
                  <w:ind w:left="20" w:right="0" w:firstLine="0"/>
                  <w:jc w:val="left"/>
                  <w:rPr>
                    <w:i/>
                    <w:sz w:val="20"/>
                  </w:rPr>
                </w:pPr>
                <w:r>
                  <w:rPr>
                    <w:i/>
                    <w:sz w:val="20"/>
                  </w:rPr>
                  <w:t>IPCC Special Report on Carbon dioxide Capture and Storage</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925499pt;margin-top:56.039398pt;width:325.4pt;height:13.05pt;mso-position-horizontal-relative:page;mso-position-vertical-relative:page;z-index:-272463872" type="#_x0000_t202" filled="false" stroked="false">
          <v:textbox inset="0,0,0,0">
            <w:txbxContent>
              <w:p>
                <w:pPr>
                  <w:spacing w:line="220" w:lineRule="auto" w:before="0"/>
                  <w:ind w:left="20" w:right="0" w:firstLine="0"/>
                  <w:jc w:val="left"/>
                  <w:rPr>
                    <w:sz w:val="18"/>
                  </w:rPr>
                </w:pPr>
                <w:r>
                  <w:rPr>
                    <w:b/>
                    <w:spacing w:val="-17"/>
                    <w:w w:val="200"/>
                    <w:sz w:val="18"/>
                  </w:rPr>
                  <w:t>t</w:t>
                </w:r>
                <w:r>
                  <w:rPr>
                    <w:b/>
                    <w:sz w:val="18"/>
                  </w:rPr>
                  <w:t>able</w:t>
                </w:r>
                <w:r>
                  <w:rPr>
                    <w:b/>
                    <w:spacing w:val="4"/>
                    <w:sz w:val="18"/>
                  </w:rPr>
                  <w:t> </w:t>
                </w:r>
                <w:r>
                  <w:rPr>
                    <w:b/>
                    <w:sz w:val="18"/>
                  </w:rPr>
                  <w:t>3.7</w:t>
                </w:r>
                <w:r>
                  <w:rPr>
                    <w:b/>
                    <w:spacing w:val="4"/>
                    <w:sz w:val="18"/>
                  </w:rPr>
                  <w:t> </w:t>
                </w:r>
                <w:r>
                  <w:rPr>
                    <w:sz w:val="18"/>
                  </w:rPr>
                  <w:t>CO</w:t>
                </w:r>
                <w:r>
                  <w:rPr>
                    <w:w w:val="104"/>
                    <w:position w:val="-5"/>
                    <w:sz w:val="10"/>
                  </w:rPr>
                  <w:t>2</w:t>
                </w:r>
                <w:r>
                  <w:rPr>
                    <w:position w:val="-5"/>
                    <w:sz w:val="10"/>
                  </w:rPr>
                  <w:t> </w:t>
                </w:r>
                <w:r>
                  <w:rPr>
                    <w:spacing w:val="-1"/>
                    <w:position w:val="-5"/>
                    <w:sz w:val="10"/>
                  </w:rPr>
                  <w:t> </w:t>
                </w:r>
                <w:r>
                  <w:rPr>
                    <w:sz w:val="18"/>
                  </w:rPr>
                  <w:t>capture</w:t>
                </w:r>
                <w:r>
                  <w:rPr>
                    <w:spacing w:val="4"/>
                    <w:sz w:val="18"/>
                  </w:rPr>
                  <w:t> </w:t>
                </w:r>
                <w:r>
                  <w:rPr>
                    <w:sz w:val="18"/>
                  </w:rPr>
                  <w:t>costs:</w:t>
                </w:r>
                <w:r>
                  <w:rPr>
                    <w:spacing w:val="4"/>
                    <w:sz w:val="18"/>
                  </w:rPr>
                  <w:t> </w:t>
                </w:r>
                <w:r>
                  <w:rPr>
                    <w:sz w:val="18"/>
                  </w:rPr>
                  <w:t>new</w:t>
                </w:r>
                <w:r>
                  <w:rPr>
                    <w:spacing w:val="4"/>
                    <w:sz w:val="18"/>
                  </w:rPr>
                  <w:t> </w:t>
                </w:r>
                <w:r>
                  <w:rPr>
                    <w:sz w:val="18"/>
                  </w:rPr>
                  <w:t>pulverized-coal</w:t>
                </w:r>
                <w:r>
                  <w:rPr>
                    <w:spacing w:val="4"/>
                    <w:sz w:val="18"/>
                  </w:rPr>
                  <w:t> </w:t>
                </w:r>
                <w:r>
                  <w:rPr>
                    <w:sz w:val="18"/>
                  </w:rPr>
                  <w:t>power</w:t>
                </w:r>
                <w:r>
                  <w:rPr>
                    <w:spacing w:val="4"/>
                    <w:sz w:val="18"/>
                  </w:rPr>
                  <w:t> </w:t>
                </w:r>
                <w:r>
                  <w:rPr>
                    <w:sz w:val="18"/>
                  </w:rPr>
                  <w:t>plants</w:t>
                </w:r>
                <w:r>
                  <w:rPr>
                    <w:spacing w:val="4"/>
                    <w:sz w:val="18"/>
                  </w:rPr>
                  <w:t> </w:t>
                </w:r>
                <w:r>
                  <w:rPr>
                    <w:sz w:val="18"/>
                  </w:rPr>
                  <w:t>using</w:t>
                </w:r>
                <w:r>
                  <w:rPr>
                    <w:spacing w:val="4"/>
                    <w:sz w:val="18"/>
                  </w:rPr>
                  <w:t> </w:t>
                </w:r>
                <w:r>
                  <w:rPr>
                    <w:sz w:val="18"/>
                  </w:rPr>
                  <w:t>current</w:t>
                </w:r>
                <w:r>
                  <w:rPr>
                    <w:spacing w:val="4"/>
                    <w:sz w:val="18"/>
                  </w:rPr>
                  <w:t> </w:t>
                </w:r>
                <w:r>
                  <w:rPr>
                    <w:sz w:val="18"/>
                  </w:rPr>
                  <w:t>technol</w:t>
                </w:r>
                <w:r>
                  <w:rPr>
                    <w:spacing w:val="-1"/>
                    <w:sz w:val="18"/>
                  </w:rPr>
                  <w:t>o</w:t>
                </w:r>
                <w:r>
                  <w:rPr>
                    <w:sz w:val="18"/>
                  </w:rPr>
                  <w:t>g</w:t>
                </w:r>
                <w:r>
                  <w:rPr>
                    <w:spacing w:val="-12"/>
                    <w:sz w:val="18"/>
                  </w:rPr>
                  <w:t>y</w:t>
                </w:r>
                <w:r>
                  <w:rPr>
                    <w:sz w:val="18"/>
                  </w:rPr>
                  <w:t>.</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850399pt;margin-top:-152.653595pt;width:21pt;height:12pt;mso-position-horizontal-relative:page;mso-position-vertical-relative:page;z-index:-272462848" type="#_x0000_t202" filled="false" stroked="false">
          <v:textbox inset="0,0,0,0">
            <w:txbxContent>
              <w:p>
                <w:pPr>
                  <w:spacing w:line="213" w:lineRule="exact" w:before="0"/>
                  <w:ind w:left="60" w:right="0" w:firstLine="0"/>
                  <w:jc w:val="left"/>
                  <w:rPr>
                    <w:b/>
                    <w:sz w:val="20"/>
                  </w:rPr>
                </w:pPr>
                <w:r>
                  <w:rPr>
                    <w:b/>
                    <w:sz w:val="20"/>
                  </w:rPr>
                  <w:t>152</w:t>
                </w:r>
              </w:p>
            </w:txbxContent>
          </v:textbox>
          <w10:wrap type="none"/>
        </v:shape>
      </w:pict>
    </w:r>
    <w:r>
      <w:rPr/>
      <w:pict>
        <v:shape style="position:absolute;margin-left:306.362793pt;margin-top:-152.653595pt;width:250pt;height:12pt;mso-position-horizontal-relative:page;mso-position-vertical-relative:page;z-index:-272461824" type="#_x0000_t202" filled="false" stroked="false">
          <v:textbox inset="0,0,0,0">
            <w:txbxContent>
              <w:p>
                <w:pPr>
                  <w:spacing w:line="213" w:lineRule="exact" w:before="0"/>
                  <w:ind w:left="20" w:right="0" w:firstLine="0"/>
                  <w:jc w:val="left"/>
                  <w:rPr>
                    <w:i/>
                    <w:sz w:val="20"/>
                  </w:rPr>
                </w:pPr>
                <w:r>
                  <w:rPr>
                    <w:i/>
                    <w:sz w:val="20"/>
                  </w:rPr>
                  <w:t>IPCC Special Report on Carbon dioxide Capture and Storage</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55.692902pt;width:338.9pt;height:13.05pt;mso-position-horizontal-relative:page;mso-position-vertical-relative:page;z-index:-272460800" type="#_x0000_t202" filled="false" stroked="false">
          <v:textbox inset="0,0,0,0">
            <w:txbxContent>
              <w:p>
                <w:pPr>
                  <w:spacing w:line="220" w:lineRule="auto" w:before="0"/>
                  <w:ind w:left="20" w:right="0" w:firstLine="0"/>
                  <w:jc w:val="left"/>
                  <w:rPr>
                    <w:sz w:val="18"/>
                  </w:rPr>
                </w:pPr>
                <w:r>
                  <w:rPr>
                    <w:b/>
                    <w:spacing w:val="-17"/>
                    <w:w w:val="200"/>
                    <w:sz w:val="18"/>
                  </w:rPr>
                  <w:t>t</w:t>
                </w:r>
                <w:r>
                  <w:rPr>
                    <w:b/>
                    <w:sz w:val="18"/>
                  </w:rPr>
                  <w:t>able</w:t>
                </w:r>
                <w:r>
                  <w:rPr>
                    <w:b/>
                    <w:spacing w:val="4"/>
                    <w:sz w:val="18"/>
                  </w:rPr>
                  <w:t> </w:t>
                </w:r>
                <w:r>
                  <w:rPr>
                    <w:b/>
                    <w:sz w:val="18"/>
                  </w:rPr>
                  <w:t>3.8</w:t>
                </w:r>
                <w:r>
                  <w:rPr>
                    <w:b/>
                    <w:spacing w:val="4"/>
                    <w:sz w:val="18"/>
                  </w:rPr>
                  <w:t> </w:t>
                </w:r>
                <w:r>
                  <w:rPr>
                    <w:sz w:val="18"/>
                  </w:rPr>
                  <w:t>CO</w:t>
                </w:r>
                <w:r>
                  <w:rPr>
                    <w:w w:val="104"/>
                    <w:position w:val="-5"/>
                    <w:sz w:val="10"/>
                  </w:rPr>
                  <w:t>2</w:t>
                </w:r>
                <w:r>
                  <w:rPr>
                    <w:position w:val="-5"/>
                    <w:sz w:val="10"/>
                  </w:rPr>
                  <w:t> </w:t>
                </w:r>
                <w:r>
                  <w:rPr>
                    <w:spacing w:val="-1"/>
                    <w:position w:val="-5"/>
                    <w:sz w:val="10"/>
                  </w:rPr>
                  <w:t> </w:t>
                </w:r>
                <w:r>
                  <w:rPr>
                    <w:sz w:val="18"/>
                  </w:rPr>
                  <w:t>capture</w:t>
                </w:r>
                <w:r>
                  <w:rPr>
                    <w:spacing w:val="4"/>
                    <w:sz w:val="18"/>
                  </w:rPr>
                  <w:t> </w:t>
                </w:r>
                <w:r>
                  <w:rPr>
                    <w:sz w:val="18"/>
                  </w:rPr>
                  <w:t>costs:</w:t>
                </w:r>
                <w:r>
                  <w:rPr>
                    <w:spacing w:val="4"/>
                    <w:sz w:val="18"/>
                  </w:rPr>
                  <w:t> </w:t>
                </w:r>
                <w:r>
                  <w:rPr>
                    <w:sz w:val="18"/>
                  </w:rPr>
                  <w:t>existing</w:t>
                </w:r>
                <w:r>
                  <w:rPr>
                    <w:spacing w:val="4"/>
                    <w:sz w:val="18"/>
                  </w:rPr>
                  <w:t> </w:t>
                </w:r>
                <w:r>
                  <w:rPr>
                    <w:sz w:val="18"/>
                  </w:rPr>
                  <w:t>pulverized-coal</w:t>
                </w:r>
                <w:r>
                  <w:rPr>
                    <w:spacing w:val="4"/>
                    <w:sz w:val="18"/>
                  </w:rPr>
                  <w:t> </w:t>
                </w:r>
                <w:r>
                  <w:rPr>
                    <w:sz w:val="18"/>
                  </w:rPr>
                  <w:t>power</w:t>
                </w:r>
                <w:r>
                  <w:rPr>
                    <w:spacing w:val="4"/>
                    <w:sz w:val="18"/>
                  </w:rPr>
                  <w:t> </w:t>
                </w:r>
                <w:r>
                  <w:rPr>
                    <w:sz w:val="18"/>
                  </w:rPr>
                  <w:t>plants</w:t>
                </w:r>
                <w:r>
                  <w:rPr>
                    <w:spacing w:val="4"/>
                    <w:sz w:val="18"/>
                  </w:rPr>
                  <w:t> </w:t>
                </w:r>
                <w:r>
                  <w:rPr>
                    <w:sz w:val="18"/>
                  </w:rPr>
                  <w:t>using</w:t>
                </w:r>
                <w:r>
                  <w:rPr>
                    <w:spacing w:val="4"/>
                    <w:sz w:val="18"/>
                  </w:rPr>
                  <w:t> </w:t>
                </w:r>
                <w:r>
                  <w:rPr>
                    <w:sz w:val="18"/>
                  </w:rPr>
                  <w:t>current</w:t>
                </w:r>
                <w:r>
                  <w:rPr>
                    <w:spacing w:val="4"/>
                    <w:sz w:val="18"/>
                  </w:rPr>
                  <w:t> </w:t>
                </w:r>
                <w:r>
                  <w:rPr>
                    <w:sz w:val="18"/>
                  </w:rPr>
                  <w:t>tec</w:t>
                </w:r>
                <w:r>
                  <w:rPr>
                    <w:spacing w:val="-1"/>
                    <w:sz w:val="18"/>
                  </w:rPr>
                  <w:t>h</w:t>
                </w:r>
                <w:r>
                  <w:rPr>
                    <w:sz w:val="18"/>
                  </w:rPr>
                  <w:t>nolog</w:t>
                </w:r>
                <w:r>
                  <w:rPr>
                    <w:spacing w:val="-12"/>
                    <w:sz w:val="18"/>
                  </w:rPr>
                  <w:t>y</w:t>
                </w:r>
                <w:r>
                  <w:rPr>
                    <w:sz w:val="18"/>
                  </w:rPr>
                  <w:t>.</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9.9874pt;margin-top:35.850399pt;width:313.9pt;height:13.05pt;mso-position-horizontal-relative:page;mso-position-vertical-relative:page;z-index:-272459776" type="#_x0000_t202" filled="false" stroked="false">
          <v:textbox inset="0,0,0,0">
            <w:txbxContent>
              <w:p>
                <w:pPr>
                  <w:spacing w:line="220" w:lineRule="auto" w:before="0"/>
                  <w:ind w:left="20" w:right="0" w:firstLine="0"/>
                  <w:jc w:val="left"/>
                  <w:rPr>
                    <w:sz w:val="18"/>
                  </w:rPr>
                </w:pPr>
                <w:r>
                  <w:rPr>
                    <w:b/>
                    <w:spacing w:val="-17"/>
                    <w:w w:val="200"/>
                    <w:sz w:val="18"/>
                  </w:rPr>
                  <w:t>t</w:t>
                </w:r>
                <w:r>
                  <w:rPr>
                    <w:b/>
                    <w:sz w:val="18"/>
                  </w:rPr>
                  <w:t>able</w:t>
                </w:r>
                <w:r>
                  <w:rPr>
                    <w:b/>
                    <w:spacing w:val="4"/>
                    <w:sz w:val="18"/>
                  </w:rPr>
                  <w:t> </w:t>
                </w:r>
                <w:r>
                  <w:rPr>
                    <w:b/>
                    <w:sz w:val="18"/>
                  </w:rPr>
                  <w:t>3.9 </w:t>
                </w:r>
                <w:r>
                  <w:rPr>
                    <w:b/>
                    <w:spacing w:val="9"/>
                    <w:sz w:val="18"/>
                  </w:rPr>
                  <w:t> </w:t>
                </w:r>
                <w:r>
                  <w:rPr>
                    <w:sz w:val="18"/>
                  </w:rPr>
                  <w:t>CO</w:t>
                </w:r>
                <w:r>
                  <w:rPr>
                    <w:w w:val="104"/>
                    <w:position w:val="-5"/>
                    <w:sz w:val="10"/>
                  </w:rPr>
                  <w:t>2</w:t>
                </w:r>
                <w:r>
                  <w:rPr>
                    <w:position w:val="-5"/>
                    <w:sz w:val="10"/>
                  </w:rPr>
                  <w:t> </w:t>
                </w:r>
                <w:r>
                  <w:rPr>
                    <w:spacing w:val="-1"/>
                    <w:position w:val="-5"/>
                    <w:sz w:val="10"/>
                  </w:rPr>
                  <w:t> </w:t>
                </w:r>
                <w:r>
                  <w:rPr>
                    <w:sz w:val="18"/>
                  </w:rPr>
                  <w:t>capture</w:t>
                </w:r>
                <w:r>
                  <w:rPr>
                    <w:spacing w:val="4"/>
                    <w:sz w:val="18"/>
                  </w:rPr>
                  <w:t> </w:t>
                </w:r>
                <w:r>
                  <w:rPr>
                    <w:sz w:val="18"/>
                  </w:rPr>
                  <w:t>costs:</w:t>
                </w:r>
                <w:r>
                  <w:rPr>
                    <w:spacing w:val="4"/>
                    <w:sz w:val="18"/>
                  </w:rPr>
                  <w:t> </w:t>
                </w:r>
                <w:r>
                  <w:rPr>
                    <w:sz w:val="18"/>
                  </w:rPr>
                  <w:t>natural</w:t>
                </w:r>
                <w:r>
                  <w:rPr>
                    <w:spacing w:val="4"/>
                    <w:sz w:val="18"/>
                  </w:rPr>
                  <w:t> </w:t>
                </w:r>
                <w:r>
                  <w:rPr>
                    <w:sz w:val="18"/>
                  </w:rPr>
                  <w:t>gas-fired</w:t>
                </w:r>
                <w:r>
                  <w:rPr>
                    <w:spacing w:val="4"/>
                    <w:sz w:val="18"/>
                  </w:rPr>
                  <w:t> </w:t>
                </w:r>
                <w:r>
                  <w:rPr>
                    <w:sz w:val="18"/>
                  </w:rPr>
                  <w:t>power</w:t>
                </w:r>
                <w:r>
                  <w:rPr>
                    <w:spacing w:val="4"/>
                    <w:sz w:val="18"/>
                  </w:rPr>
                  <w:t> </w:t>
                </w:r>
                <w:r>
                  <w:rPr>
                    <w:sz w:val="18"/>
                  </w:rPr>
                  <w:t>plants</w:t>
                </w:r>
                <w:r>
                  <w:rPr>
                    <w:spacing w:val="4"/>
                    <w:sz w:val="18"/>
                  </w:rPr>
                  <w:t> </w:t>
                </w:r>
                <w:r>
                  <w:rPr>
                    <w:sz w:val="18"/>
                  </w:rPr>
                  <w:t>using</w:t>
                </w:r>
                <w:r>
                  <w:rPr>
                    <w:spacing w:val="4"/>
                    <w:sz w:val="18"/>
                  </w:rPr>
                  <w:t> </w:t>
                </w:r>
                <w:r>
                  <w:rPr>
                    <w:sz w:val="18"/>
                  </w:rPr>
                  <w:t>current</w:t>
                </w:r>
                <w:r>
                  <w:rPr>
                    <w:spacing w:val="4"/>
                    <w:sz w:val="18"/>
                  </w:rPr>
                  <w:t> </w:t>
                </w:r>
                <w:r>
                  <w:rPr>
                    <w:sz w:val="18"/>
                  </w:rPr>
                  <w:t>technolog</w:t>
                </w:r>
                <w:r>
                  <w:rPr>
                    <w:spacing w:val="-12"/>
                    <w:sz w:val="18"/>
                  </w:rPr>
                  <w:t>y</w:t>
                </w:r>
                <w:r>
                  <w:rPr>
                    <w:sz w:val="18"/>
                  </w:rPr>
                  <w: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797" w:hanging="284"/>
      </w:pPr>
      <w:rPr>
        <w:rFonts w:hint="default" w:ascii="Times New Roman" w:hAnsi="Times New Roman" w:eastAsia="Times New Roman" w:cs="Times New Roman"/>
        <w:spacing w:val="-22"/>
        <w:w w:val="98"/>
        <w:sz w:val="20"/>
        <w:szCs w:val="20"/>
      </w:rPr>
    </w:lvl>
    <w:lvl w:ilvl="1">
      <w:start w:val="0"/>
      <w:numFmt w:val="bullet"/>
      <w:lvlText w:val="•"/>
      <w:lvlJc w:val="left"/>
      <w:pPr>
        <w:ind w:left="1275" w:hanging="284"/>
      </w:pPr>
      <w:rPr>
        <w:rFonts w:hint="default"/>
      </w:rPr>
    </w:lvl>
    <w:lvl w:ilvl="2">
      <w:start w:val="0"/>
      <w:numFmt w:val="bullet"/>
      <w:lvlText w:val="•"/>
      <w:lvlJc w:val="left"/>
      <w:pPr>
        <w:ind w:left="1751" w:hanging="284"/>
      </w:pPr>
      <w:rPr>
        <w:rFonts w:hint="default"/>
      </w:rPr>
    </w:lvl>
    <w:lvl w:ilvl="3">
      <w:start w:val="0"/>
      <w:numFmt w:val="bullet"/>
      <w:lvlText w:val="•"/>
      <w:lvlJc w:val="left"/>
      <w:pPr>
        <w:ind w:left="2227" w:hanging="284"/>
      </w:pPr>
      <w:rPr>
        <w:rFonts w:hint="default"/>
      </w:rPr>
    </w:lvl>
    <w:lvl w:ilvl="4">
      <w:start w:val="0"/>
      <w:numFmt w:val="bullet"/>
      <w:lvlText w:val="•"/>
      <w:lvlJc w:val="left"/>
      <w:pPr>
        <w:ind w:left="2702" w:hanging="284"/>
      </w:pPr>
      <w:rPr>
        <w:rFonts w:hint="default"/>
      </w:rPr>
    </w:lvl>
    <w:lvl w:ilvl="5">
      <w:start w:val="0"/>
      <w:numFmt w:val="bullet"/>
      <w:lvlText w:val="•"/>
      <w:lvlJc w:val="left"/>
      <w:pPr>
        <w:ind w:left="3178" w:hanging="284"/>
      </w:pPr>
      <w:rPr>
        <w:rFonts w:hint="default"/>
      </w:rPr>
    </w:lvl>
    <w:lvl w:ilvl="6">
      <w:start w:val="0"/>
      <w:numFmt w:val="bullet"/>
      <w:lvlText w:val="•"/>
      <w:lvlJc w:val="left"/>
      <w:pPr>
        <w:ind w:left="3654" w:hanging="284"/>
      </w:pPr>
      <w:rPr>
        <w:rFonts w:hint="default"/>
      </w:rPr>
    </w:lvl>
    <w:lvl w:ilvl="7">
      <w:start w:val="0"/>
      <w:numFmt w:val="bullet"/>
      <w:lvlText w:val="•"/>
      <w:lvlJc w:val="left"/>
      <w:pPr>
        <w:ind w:left="4130" w:hanging="284"/>
      </w:pPr>
      <w:rPr>
        <w:rFonts w:hint="default"/>
      </w:rPr>
    </w:lvl>
    <w:lvl w:ilvl="8">
      <w:start w:val="0"/>
      <w:numFmt w:val="bullet"/>
      <w:lvlText w:val="•"/>
      <w:lvlJc w:val="left"/>
      <w:pPr>
        <w:ind w:left="4605" w:hanging="284"/>
      </w:pPr>
      <w:rPr>
        <w:rFonts w:hint="default"/>
      </w:rPr>
    </w:lvl>
  </w:abstractNum>
  <w:abstractNum w:abstractNumId="5">
    <w:multiLevelType w:val="hybridMultilevel"/>
    <w:lvl w:ilvl="0">
      <w:start w:val="1"/>
      <w:numFmt w:val="decimal"/>
      <w:lvlText w:val="%1."/>
      <w:lvlJc w:val="left"/>
      <w:pPr>
        <w:ind w:left="525" w:hanging="284"/>
        <w:jc w:val="left"/>
      </w:pPr>
      <w:rPr>
        <w:rFonts w:hint="default" w:ascii="Times New Roman" w:hAnsi="Times New Roman" w:eastAsia="Times New Roman" w:cs="Times New Roman"/>
        <w:spacing w:val="-17"/>
        <w:w w:val="98"/>
        <w:sz w:val="20"/>
        <w:szCs w:val="20"/>
      </w:rPr>
    </w:lvl>
    <w:lvl w:ilvl="1">
      <w:start w:val="0"/>
      <w:numFmt w:val="bullet"/>
      <w:lvlText w:val="•"/>
      <w:lvlJc w:val="left"/>
      <w:pPr>
        <w:ind w:left="1070" w:hanging="284"/>
      </w:pPr>
      <w:rPr>
        <w:rFonts w:hint="default"/>
      </w:rPr>
    </w:lvl>
    <w:lvl w:ilvl="2">
      <w:start w:val="0"/>
      <w:numFmt w:val="bullet"/>
      <w:lvlText w:val="•"/>
      <w:lvlJc w:val="left"/>
      <w:pPr>
        <w:ind w:left="1620" w:hanging="284"/>
      </w:pPr>
      <w:rPr>
        <w:rFonts w:hint="default"/>
      </w:rPr>
    </w:lvl>
    <w:lvl w:ilvl="3">
      <w:start w:val="0"/>
      <w:numFmt w:val="bullet"/>
      <w:lvlText w:val="•"/>
      <w:lvlJc w:val="left"/>
      <w:pPr>
        <w:ind w:left="2170" w:hanging="284"/>
      </w:pPr>
      <w:rPr>
        <w:rFonts w:hint="default"/>
      </w:rPr>
    </w:lvl>
    <w:lvl w:ilvl="4">
      <w:start w:val="0"/>
      <w:numFmt w:val="bullet"/>
      <w:lvlText w:val="•"/>
      <w:lvlJc w:val="left"/>
      <w:pPr>
        <w:ind w:left="2720" w:hanging="284"/>
      </w:pPr>
      <w:rPr>
        <w:rFonts w:hint="default"/>
      </w:rPr>
    </w:lvl>
    <w:lvl w:ilvl="5">
      <w:start w:val="0"/>
      <w:numFmt w:val="bullet"/>
      <w:lvlText w:val="•"/>
      <w:lvlJc w:val="left"/>
      <w:pPr>
        <w:ind w:left="3271" w:hanging="284"/>
      </w:pPr>
      <w:rPr>
        <w:rFonts w:hint="default"/>
      </w:rPr>
    </w:lvl>
    <w:lvl w:ilvl="6">
      <w:start w:val="0"/>
      <w:numFmt w:val="bullet"/>
      <w:lvlText w:val="•"/>
      <w:lvlJc w:val="left"/>
      <w:pPr>
        <w:ind w:left="3821" w:hanging="284"/>
      </w:pPr>
      <w:rPr>
        <w:rFonts w:hint="default"/>
      </w:rPr>
    </w:lvl>
    <w:lvl w:ilvl="7">
      <w:start w:val="0"/>
      <w:numFmt w:val="bullet"/>
      <w:lvlText w:val="•"/>
      <w:lvlJc w:val="left"/>
      <w:pPr>
        <w:ind w:left="4371" w:hanging="284"/>
      </w:pPr>
      <w:rPr>
        <w:rFonts w:hint="default"/>
      </w:rPr>
    </w:lvl>
    <w:lvl w:ilvl="8">
      <w:start w:val="0"/>
      <w:numFmt w:val="bullet"/>
      <w:lvlText w:val="•"/>
      <w:lvlJc w:val="left"/>
      <w:pPr>
        <w:ind w:left="4921" w:hanging="284"/>
      </w:pPr>
      <w:rPr>
        <w:rFonts w:hint="default"/>
      </w:rPr>
    </w:lvl>
  </w:abstractNum>
  <w:abstractNum w:abstractNumId="30">
    <w:multiLevelType w:val="hybridMultilevel"/>
    <w:lvl w:ilvl="0">
      <w:start w:val="1"/>
      <w:numFmt w:val="upperLetter"/>
      <w:lvlText w:val="%1"/>
      <w:lvlJc w:val="left"/>
      <w:pPr>
        <w:ind w:left="457" w:hanging="430"/>
        <w:jc w:val="left"/>
      </w:pPr>
      <w:rPr>
        <w:rFonts w:hint="default"/>
      </w:rPr>
    </w:lvl>
    <w:lvl w:ilvl="1">
      <w:start w:val="6"/>
      <w:numFmt w:val="upperLetter"/>
      <w:lvlText w:val="%1.%2."/>
      <w:lvlJc w:val="left"/>
      <w:pPr>
        <w:ind w:left="457" w:hanging="430"/>
        <w:jc w:val="left"/>
      </w:pPr>
      <w:rPr>
        <w:rFonts w:hint="default" w:ascii="Times New Roman" w:hAnsi="Times New Roman" w:eastAsia="Times New Roman" w:cs="Times New Roman"/>
        <w:spacing w:val="-15"/>
        <w:w w:val="100"/>
        <w:sz w:val="18"/>
        <w:szCs w:val="18"/>
      </w:rPr>
    </w:lvl>
    <w:lvl w:ilvl="2">
      <w:start w:val="15"/>
      <w:numFmt w:val="upperLetter"/>
      <w:lvlText w:val="%3."/>
      <w:lvlJc w:val="left"/>
      <w:pPr>
        <w:ind w:left="582" w:hanging="236"/>
        <w:jc w:val="left"/>
      </w:pPr>
      <w:rPr>
        <w:rFonts w:hint="default" w:ascii="Times New Roman" w:hAnsi="Times New Roman" w:eastAsia="Times New Roman" w:cs="Times New Roman"/>
        <w:spacing w:val="-1"/>
        <w:w w:val="100"/>
        <w:sz w:val="18"/>
        <w:szCs w:val="18"/>
      </w:rPr>
    </w:lvl>
    <w:lvl w:ilvl="3">
      <w:start w:val="0"/>
      <w:numFmt w:val="bullet"/>
      <w:lvlText w:val="•"/>
      <w:lvlJc w:val="left"/>
      <w:pPr>
        <w:ind w:left="1651" w:hanging="236"/>
      </w:pPr>
      <w:rPr>
        <w:rFonts w:hint="default"/>
      </w:rPr>
    </w:lvl>
    <w:lvl w:ilvl="4">
      <w:start w:val="0"/>
      <w:numFmt w:val="bullet"/>
      <w:lvlText w:val="•"/>
      <w:lvlJc w:val="left"/>
      <w:pPr>
        <w:ind w:left="2187" w:hanging="236"/>
      </w:pPr>
      <w:rPr>
        <w:rFonts w:hint="default"/>
      </w:rPr>
    </w:lvl>
    <w:lvl w:ilvl="5">
      <w:start w:val="0"/>
      <w:numFmt w:val="bullet"/>
      <w:lvlText w:val="•"/>
      <w:lvlJc w:val="left"/>
      <w:pPr>
        <w:ind w:left="2723" w:hanging="236"/>
      </w:pPr>
      <w:rPr>
        <w:rFonts w:hint="default"/>
      </w:rPr>
    </w:lvl>
    <w:lvl w:ilvl="6">
      <w:start w:val="0"/>
      <w:numFmt w:val="bullet"/>
      <w:lvlText w:val="•"/>
      <w:lvlJc w:val="left"/>
      <w:pPr>
        <w:ind w:left="3258" w:hanging="236"/>
      </w:pPr>
      <w:rPr>
        <w:rFonts w:hint="default"/>
      </w:rPr>
    </w:lvl>
    <w:lvl w:ilvl="7">
      <w:start w:val="0"/>
      <w:numFmt w:val="bullet"/>
      <w:lvlText w:val="•"/>
      <w:lvlJc w:val="left"/>
      <w:pPr>
        <w:ind w:left="3794" w:hanging="236"/>
      </w:pPr>
      <w:rPr>
        <w:rFonts w:hint="default"/>
      </w:rPr>
    </w:lvl>
    <w:lvl w:ilvl="8">
      <w:start w:val="0"/>
      <w:numFmt w:val="bullet"/>
      <w:lvlText w:val="•"/>
      <w:lvlJc w:val="left"/>
      <w:pPr>
        <w:ind w:left="4330" w:hanging="236"/>
      </w:pPr>
      <w:rPr>
        <w:rFonts w:hint="default"/>
      </w:rPr>
    </w:lvl>
  </w:abstractNum>
  <w:abstractNum w:abstractNumId="29">
    <w:multiLevelType w:val="hybridMultilevel"/>
    <w:lvl w:ilvl="0">
      <w:start w:val="3"/>
      <w:numFmt w:val="decimal"/>
      <w:lvlText w:val="%1"/>
      <w:lvlJc w:val="left"/>
      <w:pPr>
        <w:ind w:left="1333" w:hanging="820"/>
        <w:jc w:val="left"/>
      </w:pPr>
      <w:rPr>
        <w:rFonts w:hint="default"/>
      </w:rPr>
    </w:lvl>
    <w:lvl w:ilvl="1">
      <w:start w:val="7"/>
      <w:numFmt w:val="decimal"/>
      <w:lvlText w:val="%1.%2"/>
      <w:lvlJc w:val="left"/>
      <w:pPr>
        <w:ind w:left="1333" w:hanging="820"/>
        <w:jc w:val="left"/>
      </w:pPr>
      <w:rPr>
        <w:rFonts w:hint="default"/>
      </w:rPr>
    </w:lvl>
    <w:lvl w:ilvl="2">
      <w:start w:val="8"/>
      <w:numFmt w:val="decimal"/>
      <w:lvlText w:val="%1.%2.%3"/>
      <w:lvlJc w:val="left"/>
      <w:pPr>
        <w:ind w:left="1333" w:hanging="820"/>
        <w:jc w:val="right"/>
      </w:pPr>
      <w:rPr>
        <w:rFonts w:hint="default" w:ascii="Times New Roman" w:hAnsi="Times New Roman" w:eastAsia="Times New Roman" w:cs="Times New Roman"/>
        <w:b/>
        <w:bCs/>
        <w:i/>
        <w:spacing w:val="-2"/>
        <w:w w:val="100"/>
        <w:sz w:val="20"/>
        <w:szCs w:val="20"/>
      </w:rPr>
    </w:lvl>
    <w:lvl w:ilvl="3">
      <w:start w:val="1"/>
      <w:numFmt w:val="decimal"/>
      <w:lvlText w:val="%1.%2.%3.%4"/>
      <w:lvlJc w:val="left"/>
      <w:pPr>
        <w:ind w:left="1364" w:hanging="851"/>
        <w:jc w:val="right"/>
      </w:pPr>
      <w:rPr>
        <w:rFonts w:hint="default" w:ascii="Times New Roman" w:hAnsi="Times New Roman" w:eastAsia="Times New Roman" w:cs="Times New Roman"/>
        <w:i/>
        <w:spacing w:val="-8"/>
        <w:w w:val="97"/>
        <w:sz w:val="20"/>
        <w:szCs w:val="20"/>
      </w:rPr>
    </w:lvl>
    <w:lvl w:ilvl="4">
      <w:start w:val="0"/>
      <w:numFmt w:val="bullet"/>
      <w:lvlText w:val="•"/>
      <w:lvlJc w:val="left"/>
      <w:pPr>
        <w:ind w:left="977" w:hanging="851"/>
      </w:pPr>
      <w:rPr>
        <w:rFonts w:hint="default"/>
      </w:rPr>
    </w:lvl>
    <w:lvl w:ilvl="5">
      <w:start w:val="0"/>
      <w:numFmt w:val="bullet"/>
      <w:lvlText w:val="•"/>
      <w:lvlJc w:val="left"/>
      <w:pPr>
        <w:ind w:left="786" w:hanging="851"/>
      </w:pPr>
      <w:rPr>
        <w:rFonts w:hint="default"/>
      </w:rPr>
    </w:lvl>
    <w:lvl w:ilvl="6">
      <w:start w:val="0"/>
      <w:numFmt w:val="bullet"/>
      <w:lvlText w:val="•"/>
      <w:lvlJc w:val="left"/>
      <w:pPr>
        <w:ind w:left="595" w:hanging="851"/>
      </w:pPr>
      <w:rPr>
        <w:rFonts w:hint="default"/>
      </w:rPr>
    </w:lvl>
    <w:lvl w:ilvl="7">
      <w:start w:val="0"/>
      <w:numFmt w:val="bullet"/>
      <w:lvlText w:val="•"/>
      <w:lvlJc w:val="left"/>
      <w:pPr>
        <w:ind w:left="404" w:hanging="851"/>
      </w:pPr>
      <w:rPr>
        <w:rFonts w:hint="default"/>
      </w:rPr>
    </w:lvl>
    <w:lvl w:ilvl="8">
      <w:start w:val="0"/>
      <w:numFmt w:val="bullet"/>
      <w:lvlText w:val="•"/>
      <w:lvlJc w:val="left"/>
      <w:pPr>
        <w:ind w:left="213" w:hanging="851"/>
      </w:pPr>
      <w:rPr>
        <w:rFonts w:hint="default"/>
      </w:rPr>
    </w:lvl>
  </w:abstractNum>
  <w:abstractNum w:abstractNumId="28">
    <w:multiLevelType w:val="hybridMultilevel"/>
    <w:lvl w:ilvl="0">
      <w:start w:val="3"/>
      <w:numFmt w:val="decimal"/>
      <w:lvlText w:val="%1"/>
      <w:lvlJc w:val="left"/>
      <w:pPr>
        <w:ind w:left="936" w:hanging="820"/>
        <w:jc w:val="left"/>
      </w:pPr>
      <w:rPr>
        <w:rFonts w:hint="default"/>
      </w:rPr>
    </w:lvl>
    <w:lvl w:ilvl="1">
      <w:start w:val="7"/>
      <w:numFmt w:val="decimal"/>
      <w:lvlText w:val="%1.%2"/>
      <w:lvlJc w:val="left"/>
      <w:pPr>
        <w:ind w:left="936" w:hanging="820"/>
        <w:jc w:val="left"/>
      </w:pPr>
      <w:rPr>
        <w:rFonts w:hint="default"/>
      </w:rPr>
    </w:lvl>
    <w:lvl w:ilvl="2">
      <w:start w:val="5"/>
      <w:numFmt w:val="decimal"/>
      <w:lvlText w:val="%1.%2.%3"/>
      <w:lvlJc w:val="left"/>
      <w:pPr>
        <w:ind w:left="936" w:hanging="820"/>
        <w:jc w:val="left"/>
      </w:pPr>
      <w:rPr>
        <w:rFonts w:hint="default" w:ascii="Times New Roman" w:hAnsi="Times New Roman" w:eastAsia="Times New Roman" w:cs="Times New Roman"/>
        <w:b/>
        <w:bCs/>
        <w:i/>
        <w:spacing w:val="-5"/>
        <w:w w:val="100"/>
        <w:sz w:val="20"/>
        <w:szCs w:val="20"/>
      </w:rPr>
    </w:lvl>
    <w:lvl w:ilvl="3">
      <w:start w:val="1"/>
      <w:numFmt w:val="decimal"/>
      <w:lvlText w:val="%1.%2.%3.%4"/>
      <w:lvlJc w:val="left"/>
      <w:pPr>
        <w:ind w:left="937" w:hanging="820"/>
        <w:jc w:val="left"/>
      </w:pPr>
      <w:rPr>
        <w:rFonts w:hint="default" w:ascii="Times New Roman" w:hAnsi="Times New Roman" w:eastAsia="Times New Roman" w:cs="Times New Roman"/>
        <w:i/>
        <w:spacing w:val="-8"/>
        <w:w w:val="100"/>
        <w:sz w:val="20"/>
        <w:szCs w:val="20"/>
      </w:rPr>
    </w:lvl>
    <w:lvl w:ilvl="4">
      <w:start w:val="0"/>
      <w:numFmt w:val="bullet"/>
      <w:lvlText w:val="•"/>
      <w:lvlJc w:val="left"/>
      <w:pPr>
        <w:ind w:left="513" w:hanging="820"/>
      </w:pPr>
      <w:rPr>
        <w:rFonts w:hint="default"/>
      </w:rPr>
    </w:lvl>
    <w:lvl w:ilvl="5">
      <w:start w:val="0"/>
      <w:numFmt w:val="bullet"/>
      <w:lvlText w:val="•"/>
      <w:lvlJc w:val="left"/>
      <w:pPr>
        <w:ind w:left="407" w:hanging="820"/>
      </w:pPr>
      <w:rPr>
        <w:rFonts w:hint="default"/>
      </w:rPr>
    </w:lvl>
    <w:lvl w:ilvl="6">
      <w:start w:val="0"/>
      <w:numFmt w:val="bullet"/>
      <w:lvlText w:val="•"/>
      <w:lvlJc w:val="left"/>
      <w:pPr>
        <w:ind w:left="300" w:hanging="820"/>
      </w:pPr>
      <w:rPr>
        <w:rFonts w:hint="default"/>
      </w:rPr>
    </w:lvl>
    <w:lvl w:ilvl="7">
      <w:start w:val="0"/>
      <w:numFmt w:val="bullet"/>
      <w:lvlText w:val="•"/>
      <w:lvlJc w:val="left"/>
      <w:pPr>
        <w:ind w:left="194" w:hanging="820"/>
      </w:pPr>
      <w:rPr>
        <w:rFonts w:hint="default"/>
      </w:rPr>
    </w:lvl>
    <w:lvl w:ilvl="8">
      <w:start w:val="0"/>
      <w:numFmt w:val="bullet"/>
      <w:lvlText w:val="•"/>
      <w:lvlJc w:val="left"/>
      <w:pPr>
        <w:ind w:left="87" w:hanging="820"/>
      </w:pPr>
      <w:rPr>
        <w:rFonts w:hint="default"/>
      </w:rPr>
    </w:lvl>
  </w:abstractNum>
  <w:abstractNum w:abstractNumId="27">
    <w:multiLevelType w:val="hybridMultilevel"/>
    <w:lvl w:ilvl="0">
      <w:start w:val="3"/>
      <w:numFmt w:val="decimal"/>
      <w:lvlText w:val="%1"/>
      <w:lvlJc w:val="left"/>
      <w:pPr>
        <w:ind w:left="1333" w:hanging="820"/>
        <w:jc w:val="left"/>
      </w:pPr>
      <w:rPr>
        <w:rFonts w:hint="default"/>
      </w:rPr>
    </w:lvl>
    <w:lvl w:ilvl="1">
      <w:start w:val="7"/>
      <w:numFmt w:val="decimal"/>
      <w:lvlText w:val="%1.%2"/>
      <w:lvlJc w:val="left"/>
      <w:pPr>
        <w:ind w:left="1333" w:hanging="820"/>
        <w:jc w:val="left"/>
      </w:pPr>
      <w:rPr>
        <w:rFonts w:hint="default"/>
      </w:rPr>
    </w:lvl>
    <w:lvl w:ilvl="2">
      <w:start w:val="2"/>
      <w:numFmt w:val="decimal"/>
      <w:lvlText w:val="%1.%2.%3"/>
      <w:lvlJc w:val="left"/>
      <w:pPr>
        <w:ind w:left="1333" w:hanging="820"/>
        <w:jc w:val="right"/>
      </w:pPr>
      <w:rPr>
        <w:rFonts w:hint="default"/>
        <w:b/>
        <w:bCs/>
        <w:i/>
        <w:spacing w:val="-4"/>
        <w:w w:val="100"/>
      </w:rPr>
    </w:lvl>
    <w:lvl w:ilvl="3">
      <w:start w:val="1"/>
      <w:numFmt w:val="decimal"/>
      <w:lvlText w:val="%1.%2.%3.%4"/>
      <w:lvlJc w:val="left"/>
      <w:pPr>
        <w:ind w:left="936" w:hanging="820"/>
        <w:jc w:val="left"/>
      </w:pPr>
      <w:rPr>
        <w:rFonts w:hint="default" w:ascii="Times New Roman" w:hAnsi="Times New Roman" w:eastAsia="Times New Roman" w:cs="Times New Roman"/>
        <w:i/>
        <w:spacing w:val="-8"/>
        <w:w w:val="98"/>
        <w:sz w:val="20"/>
        <w:szCs w:val="20"/>
      </w:rPr>
    </w:lvl>
    <w:lvl w:ilvl="4">
      <w:start w:val="0"/>
      <w:numFmt w:val="bullet"/>
      <w:lvlText w:val="•"/>
      <w:lvlJc w:val="left"/>
      <w:pPr>
        <w:ind w:left="29" w:hanging="820"/>
      </w:pPr>
      <w:rPr>
        <w:rFonts w:hint="default"/>
      </w:rPr>
    </w:lvl>
    <w:lvl w:ilvl="5">
      <w:start w:val="0"/>
      <w:numFmt w:val="bullet"/>
      <w:lvlText w:val="•"/>
      <w:lvlJc w:val="left"/>
      <w:pPr>
        <w:ind w:left="-407" w:hanging="820"/>
      </w:pPr>
      <w:rPr>
        <w:rFonts w:hint="default"/>
      </w:rPr>
    </w:lvl>
    <w:lvl w:ilvl="6">
      <w:start w:val="0"/>
      <w:numFmt w:val="bullet"/>
      <w:lvlText w:val="•"/>
      <w:lvlJc w:val="left"/>
      <w:pPr>
        <w:ind w:left="-844" w:hanging="820"/>
      </w:pPr>
      <w:rPr>
        <w:rFonts w:hint="default"/>
      </w:rPr>
    </w:lvl>
    <w:lvl w:ilvl="7">
      <w:start w:val="0"/>
      <w:numFmt w:val="bullet"/>
      <w:lvlText w:val="•"/>
      <w:lvlJc w:val="left"/>
      <w:pPr>
        <w:ind w:left="-1281" w:hanging="820"/>
      </w:pPr>
      <w:rPr>
        <w:rFonts w:hint="default"/>
      </w:rPr>
    </w:lvl>
    <w:lvl w:ilvl="8">
      <w:start w:val="0"/>
      <w:numFmt w:val="bullet"/>
      <w:lvlText w:val="•"/>
      <w:lvlJc w:val="left"/>
      <w:pPr>
        <w:ind w:left="-1717" w:hanging="820"/>
      </w:pPr>
      <w:rPr>
        <w:rFonts w:hint="default"/>
      </w:rPr>
    </w:lvl>
  </w:abstractNum>
  <w:abstractNum w:abstractNumId="26">
    <w:multiLevelType w:val="hybridMultilevel"/>
    <w:lvl w:ilvl="0">
      <w:start w:val="3"/>
      <w:numFmt w:val="decimal"/>
      <w:lvlText w:val="%1"/>
      <w:lvlJc w:val="left"/>
      <w:pPr>
        <w:ind w:left="1092" w:hanging="851"/>
        <w:jc w:val="left"/>
      </w:pPr>
      <w:rPr>
        <w:rFonts w:hint="default"/>
      </w:rPr>
    </w:lvl>
    <w:lvl w:ilvl="1">
      <w:start w:val="7"/>
      <w:numFmt w:val="decimal"/>
      <w:lvlText w:val="%1.%2"/>
      <w:lvlJc w:val="left"/>
      <w:pPr>
        <w:ind w:left="1092" w:hanging="851"/>
        <w:jc w:val="left"/>
      </w:pPr>
      <w:rPr>
        <w:rFonts w:hint="default"/>
      </w:rPr>
    </w:lvl>
    <w:lvl w:ilvl="2">
      <w:start w:val="2"/>
      <w:numFmt w:val="decimal"/>
      <w:lvlText w:val="%1.%2.%3"/>
      <w:lvlJc w:val="left"/>
      <w:pPr>
        <w:ind w:left="1092" w:hanging="851"/>
        <w:jc w:val="left"/>
      </w:pPr>
      <w:rPr>
        <w:rFonts w:hint="default"/>
      </w:rPr>
    </w:lvl>
    <w:lvl w:ilvl="3">
      <w:start w:val="1"/>
      <w:numFmt w:val="decimal"/>
      <w:lvlText w:val="%1.%2.%3.%4"/>
      <w:lvlJc w:val="left"/>
      <w:pPr>
        <w:ind w:left="1092" w:hanging="851"/>
        <w:jc w:val="right"/>
      </w:pPr>
      <w:rPr>
        <w:rFonts w:hint="default" w:ascii="Times New Roman" w:hAnsi="Times New Roman" w:eastAsia="Times New Roman" w:cs="Times New Roman"/>
        <w:i/>
        <w:w w:val="100"/>
        <w:sz w:val="20"/>
        <w:szCs w:val="20"/>
      </w:rPr>
    </w:lvl>
    <w:lvl w:ilvl="4">
      <w:start w:val="0"/>
      <w:numFmt w:val="bullet"/>
      <w:lvlText w:val="•"/>
      <w:lvlJc w:val="left"/>
      <w:pPr>
        <w:ind w:left="2820" w:hanging="851"/>
      </w:pPr>
      <w:rPr>
        <w:rFonts w:hint="default"/>
      </w:rPr>
    </w:lvl>
    <w:lvl w:ilvl="5">
      <w:start w:val="0"/>
      <w:numFmt w:val="bullet"/>
      <w:lvlText w:val="•"/>
      <w:lvlJc w:val="left"/>
      <w:pPr>
        <w:ind w:left="3250" w:hanging="851"/>
      </w:pPr>
      <w:rPr>
        <w:rFonts w:hint="default"/>
      </w:rPr>
    </w:lvl>
    <w:lvl w:ilvl="6">
      <w:start w:val="0"/>
      <w:numFmt w:val="bullet"/>
      <w:lvlText w:val="•"/>
      <w:lvlJc w:val="left"/>
      <w:pPr>
        <w:ind w:left="3680" w:hanging="851"/>
      </w:pPr>
      <w:rPr>
        <w:rFonts w:hint="default"/>
      </w:rPr>
    </w:lvl>
    <w:lvl w:ilvl="7">
      <w:start w:val="0"/>
      <w:numFmt w:val="bullet"/>
      <w:lvlText w:val="•"/>
      <w:lvlJc w:val="left"/>
      <w:pPr>
        <w:ind w:left="4110" w:hanging="851"/>
      </w:pPr>
      <w:rPr>
        <w:rFonts w:hint="default"/>
      </w:rPr>
    </w:lvl>
    <w:lvl w:ilvl="8">
      <w:start w:val="0"/>
      <w:numFmt w:val="bullet"/>
      <w:lvlText w:val="•"/>
      <w:lvlJc w:val="left"/>
      <w:pPr>
        <w:ind w:left="4540" w:hanging="851"/>
      </w:pPr>
      <w:rPr>
        <w:rFonts w:hint="default"/>
      </w:rPr>
    </w:lvl>
  </w:abstractNum>
  <w:abstractNum w:abstractNumId="25">
    <w:multiLevelType w:val="hybridMultilevel"/>
    <w:lvl w:ilvl="0">
      <w:start w:val="3"/>
      <w:numFmt w:val="decimal"/>
      <w:lvlText w:val="%1"/>
      <w:lvlJc w:val="left"/>
      <w:pPr>
        <w:ind w:left="826" w:hanging="709"/>
        <w:jc w:val="left"/>
      </w:pPr>
      <w:rPr>
        <w:rFonts w:hint="default"/>
      </w:rPr>
    </w:lvl>
    <w:lvl w:ilvl="1">
      <w:start w:val="7"/>
      <w:numFmt w:val="decimal"/>
      <w:lvlText w:val="%1.%2"/>
      <w:lvlJc w:val="left"/>
      <w:pPr>
        <w:ind w:left="826" w:hanging="709"/>
        <w:jc w:val="left"/>
      </w:pPr>
      <w:rPr>
        <w:rFonts w:hint="default" w:ascii="Times New Roman" w:hAnsi="Times New Roman" w:eastAsia="Times New Roman" w:cs="Times New Roman"/>
        <w:b/>
        <w:bCs/>
        <w:spacing w:val="-5"/>
        <w:w w:val="100"/>
        <w:sz w:val="20"/>
        <w:szCs w:val="20"/>
      </w:rPr>
    </w:lvl>
    <w:lvl w:ilvl="2">
      <w:start w:val="1"/>
      <w:numFmt w:val="decimal"/>
      <w:lvlText w:val="%1.%2.%3"/>
      <w:lvlJc w:val="left"/>
      <w:pPr>
        <w:ind w:left="937" w:hanging="820"/>
        <w:jc w:val="left"/>
      </w:pPr>
      <w:rPr>
        <w:rFonts w:hint="default" w:ascii="Times New Roman" w:hAnsi="Times New Roman" w:eastAsia="Times New Roman" w:cs="Times New Roman"/>
        <w:b/>
        <w:bCs/>
        <w:i/>
        <w:spacing w:val="-5"/>
        <w:w w:val="100"/>
        <w:sz w:val="20"/>
        <w:szCs w:val="20"/>
      </w:rPr>
    </w:lvl>
    <w:lvl w:ilvl="3">
      <w:start w:val="1"/>
      <w:numFmt w:val="decimal"/>
      <w:lvlText w:val="%1.%2.%3.%4"/>
      <w:lvlJc w:val="left"/>
      <w:pPr>
        <w:ind w:left="937" w:hanging="820"/>
        <w:jc w:val="right"/>
      </w:pPr>
      <w:rPr>
        <w:rFonts w:hint="default" w:ascii="Times New Roman" w:hAnsi="Times New Roman" w:eastAsia="Times New Roman" w:cs="Times New Roman"/>
        <w:i/>
        <w:spacing w:val="-8"/>
        <w:w w:val="98"/>
        <w:sz w:val="20"/>
        <w:szCs w:val="20"/>
      </w:rPr>
    </w:lvl>
    <w:lvl w:ilvl="4">
      <w:start w:val="0"/>
      <w:numFmt w:val="bullet"/>
      <w:lvlText w:val="•"/>
      <w:lvlJc w:val="left"/>
      <w:pPr>
        <w:ind w:left="2517" w:hanging="820"/>
      </w:pPr>
      <w:rPr>
        <w:rFonts w:hint="default"/>
      </w:rPr>
    </w:lvl>
    <w:lvl w:ilvl="5">
      <w:start w:val="0"/>
      <w:numFmt w:val="bullet"/>
      <w:lvlText w:val="•"/>
      <w:lvlJc w:val="left"/>
      <w:pPr>
        <w:ind w:left="3043" w:hanging="820"/>
      </w:pPr>
      <w:rPr>
        <w:rFonts w:hint="default"/>
      </w:rPr>
    </w:lvl>
    <w:lvl w:ilvl="6">
      <w:start w:val="0"/>
      <w:numFmt w:val="bullet"/>
      <w:lvlText w:val="•"/>
      <w:lvlJc w:val="left"/>
      <w:pPr>
        <w:ind w:left="3569" w:hanging="820"/>
      </w:pPr>
      <w:rPr>
        <w:rFonts w:hint="default"/>
      </w:rPr>
    </w:lvl>
    <w:lvl w:ilvl="7">
      <w:start w:val="0"/>
      <w:numFmt w:val="bullet"/>
      <w:lvlText w:val="•"/>
      <w:lvlJc w:val="left"/>
      <w:pPr>
        <w:ind w:left="4095" w:hanging="820"/>
      </w:pPr>
      <w:rPr>
        <w:rFonts w:hint="default"/>
      </w:rPr>
    </w:lvl>
    <w:lvl w:ilvl="8">
      <w:start w:val="0"/>
      <w:numFmt w:val="bullet"/>
      <w:lvlText w:val="•"/>
      <w:lvlJc w:val="left"/>
      <w:pPr>
        <w:ind w:left="4621" w:hanging="820"/>
      </w:pPr>
      <w:rPr>
        <w:rFonts w:hint="default"/>
      </w:rPr>
    </w:lvl>
  </w:abstractNum>
  <w:abstractNum w:abstractNumId="24">
    <w:multiLevelType w:val="hybridMultilevel"/>
    <w:lvl w:ilvl="0">
      <w:start w:val="3"/>
      <w:numFmt w:val="decimal"/>
      <w:lvlText w:val="%1"/>
      <w:lvlJc w:val="left"/>
      <w:pPr>
        <w:ind w:left="1333" w:hanging="820"/>
        <w:jc w:val="left"/>
      </w:pPr>
      <w:rPr>
        <w:rFonts w:hint="default"/>
      </w:rPr>
    </w:lvl>
    <w:lvl w:ilvl="1">
      <w:start w:val="6"/>
      <w:numFmt w:val="decimal"/>
      <w:lvlText w:val="%1.%2"/>
      <w:lvlJc w:val="left"/>
      <w:pPr>
        <w:ind w:left="1333" w:hanging="820"/>
        <w:jc w:val="left"/>
      </w:pPr>
      <w:rPr>
        <w:rFonts w:hint="default"/>
      </w:rPr>
    </w:lvl>
    <w:lvl w:ilvl="2">
      <w:start w:val="2"/>
      <w:numFmt w:val="decimal"/>
      <w:lvlText w:val="%1.%2.%3"/>
      <w:lvlJc w:val="left"/>
      <w:pPr>
        <w:ind w:left="1333" w:hanging="820"/>
        <w:jc w:val="right"/>
      </w:pPr>
      <w:rPr>
        <w:rFonts w:hint="default" w:ascii="Times New Roman" w:hAnsi="Times New Roman" w:eastAsia="Times New Roman" w:cs="Times New Roman"/>
        <w:b/>
        <w:bCs/>
        <w:i/>
        <w:spacing w:val="-1"/>
        <w:w w:val="98"/>
        <w:sz w:val="20"/>
        <w:szCs w:val="20"/>
      </w:rPr>
    </w:lvl>
    <w:lvl w:ilvl="3">
      <w:start w:val="0"/>
      <w:numFmt w:val="bullet"/>
      <w:lvlText w:val="•"/>
      <w:lvlJc w:val="left"/>
      <w:pPr>
        <w:ind w:left="2609" w:hanging="820"/>
      </w:pPr>
      <w:rPr>
        <w:rFonts w:hint="default"/>
      </w:rPr>
    </w:lvl>
    <w:lvl w:ilvl="4">
      <w:start w:val="0"/>
      <w:numFmt w:val="bullet"/>
      <w:lvlText w:val="•"/>
      <w:lvlJc w:val="left"/>
      <w:pPr>
        <w:ind w:left="3032" w:hanging="820"/>
      </w:pPr>
      <w:rPr>
        <w:rFonts w:hint="default"/>
      </w:rPr>
    </w:lvl>
    <w:lvl w:ilvl="5">
      <w:start w:val="0"/>
      <w:numFmt w:val="bullet"/>
      <w:lvlText w:val="•"/>
      <w:lvlJc w:val="left"/>
      <w:pPr>
        <w:ind w:left="3455" w:hanging="820"/>
      </w:pPr>
      <w:rPr>
        <w:rFonts w:hint="default"/>
      </w:rPr>
    </w:lvl>
    <w:lvl w:ilvl="6">
      <w:start w:val="0"/>
      <w:numFmt w:val="bullet"/>
      <w:lvlText w:val="•"/>
      <w:lvlJc w:val="left"/>
      <w:pPr>
        <w:ind w:left="3879" w:hanging="820"/>
      </w:pPr>
      <w:rPr>
        <w:rFonts w:hint="default"/>
      </w:rPr>
    </w:lvl>
    <w:lvl w:ilvl="7">
      <w:start w:val="0"/>
      <w:numFmt w:val="bullet"/>
      <w:lvlText w:val="•"/>
      <w:lvlJc w:val="left"/>
      <w:pPr>
        <w:ind w:left="4302" w:hanging="820"/>
      </w:pPr>
      <w:rPr>
        <w:rFonts w:hint="default"/>
      </w:rPr>
    </w:lvl>
    <w:lvl w:ilvl="8">
      <w:start w:val="0"/>
      <w:numFmt w:val="bullet"/>
      <w:lvlText w:val="•"/>
      <w:lvlJc w:val="left"/>
      <w:pPr>
        <w:ind w:left="4725" w:hanging="820"/>
      </w:pPr>
      <w:rPr>
        <w:rFonts w:hint="default"/>
      </w:rPr>
    </w:lvl>
  </w:abstractNum>
  <w:abstractNum w:abstractNumId="23">
    <w:multiLevelType w:val="hybridMultilevel"/>
    <w:lvl w:ilvl="0">
      <w:start w:val="0"/>
      <w:numFmt w:val="bullet"/>
      <w:lvlText w:val="-"/>
      <w:lvlJc w:val="left"/>
      <w:pPr>
        <w:ind w:left="241" w:hanging="153"/>
      </w:pPr>
      <w:rPr>
        <w:rFonts w:hint="default" w:ascii="Times New Roman" w:hAnsi="Times New Roman" w:eastAsia="Times New Roman" w:cs="Times New Roman"/>
        <w:spacing w:val="-14"/>
        <w:w w:val="100"/>
        <w:sz w:val="20"/>
        <w:szCs w:val="20"/>
      </w:rPr>
    </w:lvl>
    <w:lvl w:ilvl="1">
      <w:start w:val="0"/>
      <w:numFmt w:val="bullet"/>
      <w:lvlText w:val="•"/>
      <w:lvlJc w:val="left"/>
      <w:pPr>
        <w:ind w:left="818" w:hanging="153"/>
      </w:pPr>
      <w:rPr>
        <w:rFonts w:hint="default"/>
      </w:rPr>
    </w:lvl>
    <w:lvl w:ilvl="2">
      <w:start w:val="0"/>
      <w:numFmt w:val="bullet"/>
      <w:lvlText w:val="•"/>
      <w:lvlJc w:val="left"/>
      <w:pPr>
        <w:ind w:left="1396" w:hanging="153"/>
      </w:pPr>
      <w:rPr>
        <w:rFonts w:hint="default"/>
      </w:rPr>
    </w:lvl>
    <w:lvl w:ilvl="3">
      <w:start w:val="0"/>
      <w:numFmt w:val="bullet"/>
      <w:lvlText w:val="•"/>
      <w:lvlJc w:val="left"/>
      <w:pPr>
        <w:ind w:left="1974" w:hanging="153"/>
      </w:pPr>
      <w:rPr>
        <w:rFonts w:hint="default"/>
      </w:rPr>
    </w:lvl>
    <w:lvl w:ilvl="4">
      <w:start w:val="0"/>
      <w:numFmt w:val="bullet"/>
      <w:lvlText w:val="•"/>
      <w:lvlJc w:val="left"/>
      <w:pPr>
        <w:ind w:left="2552" w:hanging="153"/>
      </w:pPr>
      <w:rPr>
        <w:rFonts w:hint="default"/>
      </w:rPr>
    </w:lvl>
    <w:lvl w:ilvl="5">
      <w:start w:val="0"/>
      <w:numFmt w:val="bullet"/>
      <w:lvlText w:val="•"/>
      <w:lvlJc w:val="left"/>
      <w:pPr>
        <w:ind w:left="3130" w:hanging="153"/>
      </w:pPr>
      <w:rPr>
        <w:rFonts w:hint="default"/>
      </w:rPr>
    </w:lvl>
    <w:lvl w:ilvl="6">
      <w:start w:val="0"/>
      <w:numFmt w:val="bullet"/>
      <w:lvlText w:val="•"/>
      <w:lvlJc w:val="left"/>
      <w:pPr>
        <w:ind w:left="3709" w:hanging="153"/>
      </w:pPr>
      <w:rPr>
        <w:rFonts w:hint="default"/>
      </w:rPr>
    </w:lvl>
    <w:lvl w:ilvl="7">
      <w:start w:val="0"/>
      <w:numFmt w:val="bullet"/>
      <w:lvlText w:val="•"/>
      <w:lvlJc w:val="left"/>
      <w:pPr>
        <w:ind w:left="4287" w:hanging="153"/>
      </w:pPr>
      <w:rPr>
        <w:rFonts w:hint="default"/>
      </w:rPr>
    </w:lvl>
    <w:lvl w:ilvl="8">
      <w:start w:val="0"/>
      <w:numFmt w:val="bullet"/>
      <w:lvlText w:val="•"/>
      <w:lvlJc w:val="left"/>
      <w:pPr>
        <w:ind w:left="4865" w:hanging="153"/>
      </w:pPr>
      <w:rPr>
        <w:rFonts w:hint="default"/>
      </w:rPr>
    </w:lvl>
  </w:abstractNum>
  <w:abstractNum w:abstractNumId="22">
    <w:multiLevelType w:val="hybridMultilevel"/>
    <w:lvl w:ilvl="0">
      <w:start w:val="3"/>
      <w:numFmt w:val="decimal"/>
      <w:lvlText w:val="%1"/>
      <w:lvlJc w:val="left"/>
      <w:pPr>
        <w:ind w:left="1051" w:hanging="820"/>
        <w:jc w:val="left"/>
      </w:pPr>
      <w:rPr>
        <w:rFonts w:hint="default"/>
      </w:rPr>
    </w:lvl>
    <w:lvl w:ilvl="1">
      <w:start w:val="6"/>
      <w:numFmt w:val="decimal"/>
      <w:lvlText w:val="%1.%2"/>
      <w:lvlJc w:val="left"/>
      <w:pPr>
        <w:ind w:left="1051" w:hanging="820"/>
        <w:jc w:val="right"/>
      </w:pPr>
      <w:rPr>
        <w:rFonts w:hint="default"/>
        <w:b/>
        <w:bCs/>
        <w:spacing w:val="-4"/>
        <w:w w:val="100"/>
      </w:rPr>
    </w:lvl>
    <w:lvl w:ilvl="2">
      <w:start w:val="1"/>
      <w:numFmt w:val="decimal"/>
      <w:lvlText w:val="%1.%2.%3"/>
      <w:lvlJc w:val="left"/>
      <w:pPr>
        <w:ind w:left="1051" w:hanging="820"/>
        <w:jc w:val="left"/>
      </w:pPr>
      <w:rPr>
        <w:rFonts w:hint="default" w:ascii="Times New Roman" w:hAnsi="Times New Roman" w:eastAsia="Times New Roman" w:cs="Times New Roman"/>
        <w:b/>
        <w:bCs/>
        <w:i/>
        <w:spacing w:val="-1"/>
        <w:w w:val="100"/>
        <w:sz w:val="20"/>
        <w:szCs w:val="20"/>
      </w:rPr>
    </w:lvl>
    <w:lvl w:ilvl="3">
      <w:start w:val="1"/>
      <w:numFmt w:val="decimal"/>
      <w:lvlText w:val="%1.%2.%3.%4"/>
      <w:lvlJc w:val="left"/>
      <w:pPr>
        <w:ind w:left="1051" w:hanging="820"/>
        <w:jc w:val="right"/>
      </w:pPr>
      <w:rPr>
        <w:rFonts w:hint="default" w:ascii="Times New Roman" w:hAnsi="Times New Roman" w:eastAsia="Times New Roman" w:cs="Times New Roman"/>
        <w:i/>
        <w:spacing w:val="-8"/>
        <w:w w:val="100"/>
        <w:sz w:val="20"/>
        <w:szCs w:val="20"/>
      </w:rPr>
    </w:lvl>
    <w:lvl w:ilvl="4">
      <w:start w:val="1"/>
      <w:numFmt w:val="lowerLetter"/>
      <w:lvlText w:val="%5."/>
      <w:lvlJc w:val="left"/>
      <w:pPr>
        <w:ind w:left="740" w:hanging="227"/>
        <w:jc w:val="left"/>
      </w:pPr>
      <w:rPr>
        <w:rFonts w:hint="default" w:ascii="Times New Roman" w:hAnsi="Times New Roman" w:eastAsia="Times New Roman" w:cs="Times New Roman"/>
        <w:spacing w:val="-5"/>
        <w:w w:val="100"/>
        <w:sz w:val="16"/>
        <w:szCs w:val="16"/>
      </w:rPr>
    </w:lvl>
    <w:lvl w:ilvl="5">
      <w:start w:val="0"/>
      <w:numFmt w:val="bullet"/>
      <w:lvlText w:val="•"/>
      <w:lvlJc w:val="left"/>
      <w:pPr>
        <w:ind w:left="3260" w:hanging="227"/>
      </w:pPr>
      <w:rPr>
        <w:rFonts w:hint="default"/>
      </w:rPr>
    </w:lvl>
    <w:lvl w:ilvl="6">
      <w:start w:val="0"/>
      <w:numFmt w:val="bullet"/>
      <w:lvlText w:val="•"/>
      <w:lvlJc w:val="left"/>
      <w:pPr>
        <w:ind w:left="3810" w:hanging="227"/>
      </w:pPr>
      <w:rPr>
        <w:rFonts w:hint="default"/>
      </w:rPr>
    </w:lvl>
    <w:lvl w:ilvl="7">
      <w:start w:val="0"/>
      <w:numFmt w:val="bullet"/>
      <w:lvlText w:val="•"/>
      <w:lvlJc w:val="left"/>
      <w:pPr>
        <w:ind w:left="4361" w:hanging="227"/>
      </w:pPr>
      <w:rPr>
        <w:rFonts w:hint="default"/>
      </w:rPr>
    </w:lvl>
    <w:lvl w:ilvl="8">
      <w:start w:val="0"/>
      <w:numFmt w:val="bullet"/>
      <w:lvlText w:val="•"/>
      <w:lvlJc w:val="left"/>
      <w:pPr>
        <w:ind w:left="4911" w:hanging="227"/>
      </w:pPr>
      <w:rPr>
        <w:rFonts w:hint="default"/>
      </w:rPr>
    </w:lvl>
  </w:abstractNum>
  <w:abstractNum w:abstractNumId="21">
    <w:multiLevelType w:val="hybridMultilevel"/>
    <w:lvl w:ilvl="0">
      <w:start w:val="3"/>
      <w:numFmt w:val="decimal"/>
      <w:lvlText w:val="%1"/>
      <w:lvlJc w:val="left"/>
      <w:pPr>
        <w:ind w:left="936" w:hanging="820"/>
        <w:jc w:val="left"/>
      </w:pPr>
      <w:rPr>
        <w:rFonts w:hint="default"/>
      </w:rPr>
    </w:lvl>
    <w:lvl w:ilvl="1">
      <w:start w:val="5"/>
      <w:numFmt w:val="decimal"/>
      <w:lvlText w:val="%1.%2"/>
      <w:lvlJc w:val="left"/>
      <w:pPr>
        <w:ind w:left="936" w:hanging="820"/>
        <w:jc w:val="left"/>
      </w:pPr>
      <w:rPr>
        <w:rFonts w:hint="default"/>
      </w:rPr>
    </w:lvl>
    <w:lvl w:ilvl="2">
      <w:start w:val="3"/>
      <w:numFmt w:val="decimal"/>
      <w:lvlText w:val="%1.%2.%3"/>
      <w:lvlJc w:val="left"/>
      <w:pPr>
        <w:ind w:left="936" w:hanging="820"/>
        <w:jc w:val="left"/>
      </w:pPr>
      <w:rPr>
        <w:rFonts w:hint="default" w:ascii="Times New Roman" w:hAnsi="Times New Roman" w:eastAsia="Times New Roman" w:cs="Times New Roman"/>
        <w:b/>
        <w:bCs/>
        <w:i/>
        <w:w w:val="100"/>
        <w:sz w:val="20"/>
        <w:szCs w:val="20"/>
      </w:rPr>
    </w:lvl>
    <w:lvl w:ilvl="3">
      <w:start w:val="1"/>
      <w:numFmt w:val="decimal"/>
      <w:lvlText w:val="%1.%2.%3.%4"/>
      <w:lvlJc w:val="left"/>
      <w:pPr>
        <w:ind w:left="1333" w:hanging="820"/>
        <w:jc w:val="right"/>
      </w:pPr>
      <w:rPr>
        <w:rFonts w:hint="default"/>
        <w:i/>
        <w:spacing w:val="-1"/>
        <w:w w:val="100"/>
      </w:rPr>
    </w:lvl>
    <w:lvl w:ilvl="4">
      <w:start w:val="0"/>
      <w:numFmt w:val="bullet"/>
      <w:lvlText w:val="•"/>
      <w:lvlJc w:val="left"/>
      <w:pPr>
        <w:ind w:left="2305" w:hanging="820"/>
      </w:pPr>
      <w:rPr>
        <w:rFonts w:hint="default"/>
      </w:rPr>
    </w:lvl>
    <w:lvl w:ilvl="5">
      <w:start w:val="0"/>
      <w:numFmt w:val="bullet"/>
      <w:lvlText w:val="•"/>
      <w:lvlJc w:val="left"/>
      <w:pPr>
        <w:ind w:left="2788" w:hanging="820"/>
      </w:pPr>
      <w:rPr>
        <w:rFonts w:hint="default"/>
      </w:rPr>
    </w:lvl>
    <w:lvl w:ilvl="6">
      <w:start w:val="0"/>
      <w:numFmt w:val="bullet"/>
      <w:lvlText w:val="•"/>
      <w:lvlJc w:val="left"/>
      <w:pPr>
        <w:ind w:left="3270" w:hanging="820"/>
      </w:pPr>
      <w:rPr>
        <w:rFonts w:hint="default"/>
      </w:rPr>
    </w:lvl>
    <w:lvl w:ilvl="7">
      <w:start w:val="0"/>
      <w:numFmt w:val="bullet"/>
      <w:lvlText w:val="•"/>
      <w:lvlJc w:val="left"/>
      <w:pPr>
        <w:ind w:left="3753" w:hanging="820"/>
      </w:pPr>
      <w:rPr>
        <w:rFonts w:hint="default"/>
      </w:rPr>
    </w:lvl>
    <w:lvl w:ilvl="8">
      <w:start w:val="0"/>
      <w:numFmt w:val="bullet"/>
      <w:lvlText w:val="•"/>
      <w:lvlJc w:val="left"/>
      <w:pPr>
        <w:ind w:left="4236" w:hanging="820"/>
      </w:pPr>
      <w:rPr>
        <w:rFonts w:hint="default"/>
      </w:rPr>
    </w:lvl>
  </w:abstractNum>
  <w:abstractNum w:abstractNumId="20">
    <w:multiLevelType w:val="hybridMultilevel"/>
    <w:lvl w:ilvl="0">
      <w:start w:val="3"/>
      <w:numFmt w:val="decimal"/>
      <w:lvlText w:val="%1"/>
      <w:lvlJc w:val="left"/>
      <w:pPr>
        <w:ind w:left="1061" w:hanging="820"/>
        <w:jc w:val="left"/>
      </w:pPr>
      <w:rPr>
        <w:rFonts w:hint="default"/>
      </w:rPr>
    </w:lvl>
    <w:lvl w:ilvl="1">
      <w:start w:val="5"/>
      <w:numFmt w:val="decimal"/>
      <w:lvlText w:val="%1.%2"/>
      <w:lvlJc w:val="left"/>
      <w:pPr>
        <w:ind w:left="1061" w:hanging="820"/>
        <w:jc w:val="left"/>
      </w:pPr>
      <w:rPr>
        <w:rFonts w:hint="default"/>
      </w:rPr>
    </w:lvl>
    <w:lvl w:ilvl="2">
      <w:start w:val="2"/>
      <w:numFmt w:val="decimal"/>
      <w:lvlText w:val="%1.%2.%3"/>
      <w:lvlJc w:val="left"/>
      <w:pPr>
        <w:ind w:left="1061" w:hanging="820"/>
        <w:jc w:val="left"/>
      </w:pPr>
      <w:rPr>
        <w:rFonts w:hint="default"/>
      </w:rPr>
    </w:lvl>
    <w:lvl w:ilvl="3">
      <w:start w:val="3"/>
      <w:numFmt w:val="decimal"/>
      <w:lvlText w:val="%1.%2.%3.%4"/>
      <w:lvlJc w:val="left"/>
      <w:pPr>
        <w:ind w:left="1061" w:hanging="820"/>
        <w:jc w:val="right"/>
      </w:pPr>
      <w:rPr>
        <w:rFonts w:hint="default" w:ascii="Times New Roman" w:hAnsi="Times New Roman" w:eastAsia="Times New Roman" w:cs="Times New Roman"/>
        <w:i/>
        <w:spacing w:val="-8"/>
        <w:w w:val="100"/>
        <w:sz w:val="20"/>
        <w:szCs w:val="20"/>
      </w:rPr>
    </w:lvl>
    <w:lvl w:ilvl="4">
      <w:start w:val="0"/>
      <w:numFmt w:val="bullet"/>
      <w:lvlText w:val="•"/>
      <w:lvlJc w:val="left"/>
      <w:pPr>
        <w:ind w:left="3041" w:hanging="820"/>
      </w:pPr>
      <w:rPr>
        <w:rFonts w:hint="default"/>
      </w:rPr>
    </w:lvl>
    <w:lvl w:ilvl="5">
      <w:start w:val="0"/>
      <w:numFmt w:val="bullet"/>
      <w:lvlText w:val="•"/>
      <w:lvlJc w:val="left"/>
      <w:pPr>
        <w:ind w:left="3537" w:hanging="820"/>
      </w:pPr>
      <w:rPr>
        <w:rFonts w:hint="default"/>
      </w:rPr>
    </w:lvl>
    <w:lvl w:ilvl="6">
      <w:start w:val="0"/>
      <w:numFmt w:val="bullet"/>
      <w:lvlText w:val="•"/>
      <w:lvlJc w:val="left"/>
      <w:pPr>
        <w:ind w:left="4032" w:hanging="820"/>
      </w:pPr>
      <w:rPr>
        <w:rFonts w:hint="default"/>
      </w:rPr>
    </w:lvl>
    <w:lvl w:ilvl="7">
      <w:start w:val="0"/>
      <w:numFmt w:val="bullet"/>
      <w:lvlText w:val="•"/>
      <w:lvlJc w:val="left"/>
      <w:pPr>
        <w:ind w:left="4528" w:hanging="820"/>
      </w:pPr>
      <w:rPr>
        <w:rFonts w:hint="default"/>
      </w:rPr>
    </w:lvl>
    <w:lvl w:ilvl="8">
      <w:start w:val="0"/>
      <w:numFmt w:val="bullet"/>
      <w:lvlText w:val="•"/>
      <w:lvlJc w:val="left"/>
      <w:pPr>
        <w:ind w:left="5023" w:hanging="820"/>
      </w:pPr>
      <w:rPr>
        <w:rFonts w:hint="default"/>
      </w:rPr>
    </w:lvl>
  </w:abstractNum>
  <w:abstractNum w:abstractNumId="19">
    <w:multiLevelType w:val="hybridMultilevel"/>
    <w:lvl w:ilvl="0">
      <w:start w:val="3"/>
      <w:numFmt w:val="decimal"/>
      <w:lvlText w:val="%1"/>
      <w:lvlJc w:val="left"/>
      <w:pPr>
        <w:ind w:left="936" w:hanging="820"/>
        <w:jc w:val="left"/>
      </w:pPr>
      <w:rPr>
        <w:rFonts w:hint="default"/>
      </w:rPr>
    </w:lvl>
    <w:lvl w:ilvl="1">
      <w:start w:val="5"/>
      <w:numFmt w:val="decimal"/>
      <w:lvlText w:val="%1.%2"/>
      <w:lvlJc w:val="left"/>
      <w:pPr>
        <w:ind w:left="936" w:hanging="820"/>
        <w:jc w:val="left"/>
      </w:pPr>
      <w:rPr>
        <w:rFonts w:hint="default"/>
      </w:rPr>
    </w:lvl>
    <w:lvl w:ilvl="2">
      <w:start w:val="2"/>
      <w:numFmt w:val="decimal"/>
      <w:lvlText w:val="%1.%2.%3"/>
      <w:lvlJc w:val="left"/>
      <w:pPr>
        <w:ind w:left="936" w:hanging="820"/>
        <w:jc w:val="left"/>
      </w:pPr>
      <w:rPr>
        <w:rFonts w:hint="default" w:ascii="Times New Roman" w:hAnsi="Times New Roman" w:eastAsia="Times New Roman" w:cs="Times New Roman"/>
        <w:b/>
        <w:bCs/>
        <w:i/>
        <w:w w:val="100"/>
        <w:sz w:val="20"/>
        <w:szCs w:val="20"/>
      </w:rPr>
    </w:lvl>
    <w:lvl w:ilvl="3">
      <w:start w:val="1"/>
      <w:numFmt w:val="decimal"/>
      <w:lvlText w:val="%1.%2.%3.%4"/>
      <w:lvlJc w:val="left"/>
      <w:pPr>
        <w:ind w:left="116" w:hanging="820"/>
        <w:jc w:val="left"/>
      </w:pPr>
      <w:rPr>
        <w:rFonts w:hint="default" w:ascii="Times New Roman" w:hAnsi="Times New Roman" w:eastAsia="Times New Roman" w:cs="Times New Roman"/>
        <w:i/>
        <w:spacing w:val="-8"/>
        <w:w w:val="100"/>
        <w:sz w:val="20"/>
        <w:szCs w:val="20"/>
      </w:rPr>
    </w:lvl>
    <w:lvl w:ilvl="4">
      <w:start w:val="0"/>
      <w:numFmt w:val="bullet"/>
      <w:lvlText w:val="•"/>
      <w:lvlJc w:val="left"/>
      <w:pPr>
        <w:ind w:left="2724" w:hanging="820"/>
      </w:pPr>
      <w:rPr>
        <w:rFonts w:hint="default"/>
      </w:rPr>
    </w:lvl>
    <w:lvl w:ilvl="5">
      <w:start w:val="0"/>
      <w:numFmt w:val="bullet"/>
      <w:lvlText w:val="•"/>
      <w:lvlJc w:val="left"/>
      <w:pPr>
        <w:ind w:left="3319" w:hanging="820"/>
      </w:pPr>
      <w:rPr>
        <w:rFonts w:hint="default"/>
      </w:rPr>
    </w:lvl>
    <w:lvl w:ilvl="6">
      <w:start w:val="0"/>
      <w:numFmt w:val="bullet"/>
      <w:lvlText w:val="•"/>
      <w:lvlJc w:val="left"/>
      <w:pPr>
        <w:ind w:left="3914" w:hanging="820"/>
      </w:pPr>
      <w:rPr>
        <w:rFonts w:hint="default"/>
      </w:rPr>
    </w:lvl>
    <w:lvl w:ilvl="7">
      <w:start w:val="0"/>
      <w:numFmt w:val="bullet"/>
      <w:lvlText w:val="•"/>
      <w:lvlJc w:val="left"/>
      <w:pPr>
        <w:ind w:left="4508" w:hanging="820"/>
      </w:pPr>
      <w:rPr>
        <w:rFonts w:hint="default"/>
      </w:rPr>
    </w:lvl>
    <w:lvl w:ilvl="8">
      <w:start w:val="0"/>
      <w:numFmt w:val="bullet"/>
      <w:lvlText w:val="•"/>
      <w:lvlJc w:val="left"/>
      <w:pPr>
        <w:ind w:left="5103" w:hanging="820"/>
      </w:pPr>
      <w:rPr>
        <w:rFonts w:hint="default"/>
      </w:rPr>
    </w:lvl>
  </w:abstractNum>
  <w:abstractNum w:abstractNumId="18">
    <w:multiLevelType w:val="hybridMultilevel"/>
    <w:lvl w:ilvl="0">
      <w:start w:val="4"/>
      <w:numFmt w:val="lowerLetter"/>
      <w:lvlText w:val="%1"/>
      <w:lvlJc w:val="left"/>
      <w:pPr>
        <w:ind w:left="251" w:hanging="244"/>
        <w:jc w:val="left"/>
      </w:pPr>
      <w:rPr>
        <w:rFonts w:hint="default"/>
      </w:rPr>
    </w:lvl>
    <w:lvl w:ilvl="1">
      <w:start w:val="1"/>
      <w:numFmt w:val="decimal"/>
      <w:lvlText w:val="%1-%2"/>
      <w:lvlJc w:val="left"/>
      <w:pPr>
        <w:ind w:left="251" w:hanging="244"/>
        <w:jc w:val="left"/>
      </w:pPr>
      <w:rPr>
        <w:rFonts w:hint="default" w:ascii="Times New Roman" w:hAnsi="Times New Roman" w:eastAsia="Times New Roman" w:cs="Times New Roman"/>
        <w:spacing w:val="-1"/>
        <w:w w:val="100"/>
        <w:sz w:val="20"/>
        <w:szCs w:val="20"/>
      </w:rPr>
    </w:lvl>
    <w:lvl w:ilvl="2">
      <w:start w:val="0"/>
      <w:numFmt w:val="bullet"/>
      <w:lvlText w:val="•"/>
      <w:lvlJc w:val="left"/>
      <w:pPr>
        <w:ind w:left="400" w:hanging="284"/>
      </w:pPr>
      <w:rPr>
        <w:rFonts w:hint="default" w:ascii="Times New Roman" w:hAnsi="Times New Roman" w:eastAsia="Times New Roman" w:cs="Times New Roman"/>
        <w:spacing w:val="-5"/>
        <w:w w:val="100"/>
        <w:sz w:val="20"/>
        <w:szCs w:val="20"/>
      </w:rPr>
    </w:lvl>
    <w:lvl w:ilvl="3">
      <w:start w:val="0"/>
      <w:numFmt w:val="bullet"/>
      <w:lvlText w:val="•"/>
      <w:lvlJc w:val="left"/>
      <w:pPr>
        <w:ind w:left="103" w:hanging="284"/>
      </w:pPr>
      <w:rPr>
        <w:rFonts w:hint="default"/>
      </w:rPr>
    </w:lvl>
    <w:lvl w:ilvl="4">
      <w:start w:val="0"/>
      <w:numFmt w:val="bullet"/>
      <w:lvlText w:val="•"/>
      <w:lvlJc w:val="left"/>
      <w:pPr>
        <w:ind w:left="-46" w:hanging="284"/>
      </w:pPr>
      <w:rPr>
        <w:rFonts w:hint="default"/>
      </w:rPr>
    </w:lvl>
    <w:lvl w:ilvl="5">
      <w:start w:val="0"/>
      <w:numFmt w:val="bullet"/>
      <w:lvlText w:val="•"/>
      <w:lvlJc w:val="left"/>
      <w:pPr>
        <w:ind w:left="-194" w:hanging="284"/>
      </w:pPr>
      <w:rPr>
        <w:rFonts w:hint="default"/>
      </w:rPr>
    </w:lvl>
    <w:lvl w:ilvl="6">
      <w:start w:val="0"/>
      <w:numFmt w:val="bullet"/>
      <w:lvlText w:val="•"/>
      <w:lvlJc w:val="left"/>
      <w:pPr>
        <w:ind w:left="-343" w:hanging="284"/>
      </w:pPr>
      <w:rPr>
        <w:rFonts w:hint="default"/>
      </w:rPr>
    </w:lvl>
    <w:lvl w:ilvl="7">
      <w:start w:val="0"/>
      <w:numFmt w:val="bullet"/>
      <w:lvlText w:val="•"/>
      <w:lvlJc w:val="left"/>
      <w:pPr>
        <w:ind w:left="-491" w:hanging="284"/>
      </w:pPr>
      <w:rPr>
        <w:rFonts w:hint="default"/>
      </w:rPr>
    </w:lvl>
    <w:lvl w:ilvl="8">
      <w:start w:val="0"/>
      <w:numFmt w:val="bullet"/>
      <w:lvlText w:val="•"/>
      <w:lvlJc w:val="left"/>
      <w:pPr>
        <w:ind w:left="-640" w:hanging="284"/>
      </w:pPr>
      <w:rPr>
        <w:rFonts w:hint="default"/>
      </w:rPr>
    </w:lvl>
  </w:abstractNum>
  <w:abstractNum w:abstractNumId="17">
    <w:multiLevelType w:val="hybridMultilevel"/>
    <w:lvl w:ilvl="0">
      <w:start w:val="0"/>
      <w:numFmt w:val="bullet"/>
      <w:lvlText w:val="•"/>
      <w:lvlJc w:val="left"/>
      <w:pPr>
        <w:ind w:left="524" w:hanging="284"/>
      </w:pPr>
      <w:rPr>
        <w:rFonts w:hint="default" w:ascii="Times New Roman" w:hAnsi="Times New Roman" w:eastAsia="Times New Roman" w:cs="Times New Roman"/>
        <w:spacing w:val="-1"/>
        <w:w w:val="100"/>
        <w:sz w:val="20"/>
        <w:szCs w:val="20"/>
      </w:rPr>
    </w:lvl>
    <w:lvl w:ilvl="1">
      <w:start w:val="0"/>
      <w:numFmt w:val="bullet"/>
      <w:lvlText w:val="•"/>
      <w:lvlJc w:val="left"/>
      <w:pPr>
        <w:ind w:left="1070" w:hanging="284"/>
      </w:pPr>
      <w:rPr>
        <w:rFonts w:hint="default"/>
      </w:rPr>
    </w:lvl>
    <w:lvl w:ilvl="2">
      <w:start w:val="0"/>
      <w:numFmt w:val="bullet"/>
      <w:lvlText w:val="•"/>
      <w:lvlJc w:val="left"/>
      <w:pPr>
        <w:ind w:left="1620" w:hanging="284"/>
      </w:pPr>
      <w:rPr>
        <w:rFonts w:hint="default"/>
      </w:rPr>
    </w:lvl>
    <w:lvl w:ilvl="3">
      <w:start w:val="0"/>
      <w:numFmt w:val="bullet"/>
      <w:lvlText w:val="•"/>
      <w:lvlJc w:val="left"/>
      <w:pPr>
        <w:ind w:left="2170" w:hanging="284"/>
      </w:pPr>
      <w:rPr>
        <w:rFonts w:hint="default"/>
      </w:rPr>
    </w:lvl>
    <w:lvl w:ilvl="4">
      <w:start w:val="0"/>
      <w:numFmt w:val="bullet"/>
      <w:lvlText w:val="•"/>
      <w:lvlJc w:val="left"/>
      <w:pPr>
        <w:ind w:left="2720" w:hanging="284"/>
      </w:pPr>
      <w:rPr>
        <w:rFonts w:hint="default"/>
      </w:rPr>
    </w:lvl>
    <w:lvl w:ilvl="5">
      <w:start w:val="0"/>
      <w:numFmt w:val="bullet"/>
      <w:lvlText w:val="•"/>
      <w:lvlJc w:val="left"/>
      <w:pPr>
        <w:ind w:left="3270" w:hanging="284"/>
      </w:pPr>
      <w:rPr>
        <w:rFonts w:hint="default"/>
      </w:rPr>
    </w:lvl>
    <w:lvl w:ilvl="6">
      <w:start w:val="0"/>
      <w:numFmt w:val="bullet"/>
      <w:lvlText w:val="•"/>
      <w:lvlJc w:val="left"/>
      <w:pPr>
        <w:ind w:left="3820" w:hanging="284"/>
      </w:pPr>
      <w:rPr>
        <w:rFonts w:hint="default"/>
      </w:rPr>
    </w:lvl>
    <w:lvl w:ilvl="7">
      <w:start w:val="0"/>
      <w:numFmt w:val="bullet"/>
      <w:lvlText w:val="•"/>
      <w:lvlJc w:val="left"/>
      <w:pPr>
        <w:ind w:left="4370" w:hanging="284"/>
      </w:pPr>
      <w:rPr>
        <w:rFonts w:hint="default"/>
      </w:rPr>
    </w:lvl>
    <w:lvl w:ilvl="8">
      <w:start w:val="0"/>
      <w:numFmt w:val="bullet"/>
      <w:lvlText w:val="•"/>
      <w:lvlJc w:val="left"/>
      <w:pPr>
        <w:ind w:left="4920" w:hanging="284"/>
      </w:pPr>
      <w:rPr>
        <w:rFonts w:hint="default"/>
      </w:rPr>
    </w:lvl>
  </w:abstractNum>
  <w:abstractNum w:abstractNumId="16">
    <w:multiLevelType w:val="hybridMultilevel"/>
    <w:lvl w:ilvl="0">
      <w:start w:val="0"/>
      <w:numFmt w:val="bullet"/>
      <w:lvlText w:val="•"/>
      <w:lvlJc w:val="left"/>
      <w:pPr>
        <w:ind w:left="525" w:hanging="284"/>
      </w:pPr>
      <w:rPr>
        <w:rFonts w:hint="default" w:ascii="Times New Roman" w:hAnsi="Times New Roman" w:eastAsia="Times New Roman" w:cs="Times New Roman"/>
        <w:spacing w:val="-4"/>
        <w:w w:val="97"/>
        <w:sz w:val="20"/>
        <w:szCs w:val="20"/>
      </w:rPr>
    </w:lvl>
    <w:lvl w:ilvl="1">
      <w:start w:val="0"/>
      <w:numFmt w:val="bullet"/>
      <w:lvlText w:val="•"/>
      <w:lvlJc w:val="left"/>
      <w:pPr>
        <w:ind w:left="1070" w:hanging="284"/>
      </w:pPr>
      <w:rPr>
        <w:rFonts w:hint="default"/>
      </w:rPr>
    </w:lvl>
    <w:lvl w:ilvl="2">
      <w:start w:val="0"/>
      <w:numFmt w:val="bullet"/>
      <w:lvlText w:val="•"/>
      <w:lvlJc w:val="left"/>
      <w:pPr>
        <w:ind w:left="1620" w:hanging="284"/>
      </w:pPr>
      <w:rPr>
        <w:rFonts w:hint="default"/>
      </w:rPr>
    </w:lvl>
    <w:lvl w:ilvl="3">
      <w:start w:val="0"/>
      <w:numFmt w:val="bullet"/>
      <w:lvlText w:val="•"/>
      <w:lvlJc w:val="left"/>
      <w:pPr>
        <w:ind w:left="2170" w:hanging="284"/>
      </w:pPr>
      <w:rPr>
        <w:rFonts w:hint="default"/>
      </w:rPr>
    </w:lvl>
    <w:lvl w:ilvl="4">
      <w:start w:val="0"/>
      <w:numFmt w:val="bullet"/>
      <w:lvlText w:val="•"/>
      <w:lvlJc w:val="left"/>
      <w:pPr>
        <w:ind w:left="2720" w:hanging="284"/>
      </w:pPr>
      <w:rPr>
        <w:rFonts w:hint="default"/>
      </w:rPr>
    </w:lvl>
    <w:lvl w:ilvl="5">
      <w:start w:val="0"/>
      <w:numFmt w:val="bullet"/>
      <w:lvlText w:val="•"/>
      <w:lvlJc w:val="left"/>
      <w:pPr>
        <w:ind w:left="3270" w:hanging="284"/>
      </w:pPr>
      <w:rPr>
        <w:rFonts w:hint="default"/>
      </w:rPr>
    </w:lvl>
    <w:lvl w:ilvl="6">
      <w:start w:val="0"/>
      <w:numFmt w:val="bullet"/>
      <w:lvlText w:val="•"/>
      <w:lvlJc w:val="left"/>
      <w:pPr>
        <w:ind w:left="3820" w:hanging="284"/>
      </w:pPr>
      <w:rPr>
        <w:rFonts w:hint="default"/>
      </w:rPr>
    </w:lvl>
    <w:lvl w:ilvl="7">
      <w:start w:val="0"/>
      <w:numFmt w:val="bullet"/>
      <w:lvlText w:val="•"/>
      <w:lvlJc w:val="left"/>
      <w:pPr>
        <w:ind w:left="4371" w:hanging="284"/>
      </w:pPr>
      <w:rPr>
        <w:rFonts w:hint="default"/>
      </w:rPr>
    </w:lvl>
    <w:lvl w:ilvl="8">
      <w:start w:val="0"/>
      <w:numFmt w:val="bullet"/>
      <w:lvlText w:val="•"/>
      <w:lvlJc w:val="left"/>
      <w:pPr>
        <w:ind w:left="4921" w:hanging="284"/>
      </w:pPr>
      <w:rPr>
        <w:rFonts w:hint="default"/>
      </w:rPr>
    </w:lvl>
  </w:abstractNum>
  <w:abstractNum w:abstractNumId="15">
    <w:multiLevelType w:val="hybridMultilevel"/>
    <w:lvl w:ilvl="0">
      <w:start w:val="4"/>
      <w:numFmt w:val="lowerLetter"/>
      <w:lvlText w:val="%1-"/>
      <w:lvlJc w:val="left"/>
      <w:pPr>
        <w:ind w:left="164" w:hanging="140"/>
        <w:jc w:val="left"/>
      </w:pPr>
      <w:rPr>
        <w:rFonts w:hint="default" w:ascii="Times New Roman" w:hAnsi="Times New Roman" w:eastAsia="Times New Roman" w:cs="Times New Roman"/>
        <w:spacing w:val="-1"/>
        <w:w w:val="100"/>
        <w:sz w:val="18"/>
        <w:szCs w:val="18"/>
      </w:rPr>
    </w:lvl>
    <w:lvl w:ilvl="1">
      <w:start w:val="0"/>
      <w:numFmt w:val="bullet"/>
      <w:lvlText w:val="•"/>
      <w:lvlJc w:val="left"/>
      <w:pPr>
        <w:ind w:left="400" w:hanging="284"/>
      </w:pPr>
      <w:rPr>
        <w:rFonts w:hint="default" w:ascii="Times New Roman" w:hAnsi="Times New Roman" w:eastAsia="Times New Roman" w:cs="Times New Roman"/>
        <w:spacing w:val="-25"/>
        <w:w w:val="96"/>
        <w:sz w:val="20"/>
        <w:szCs w:val="20"/>
      </w:rPr>
    </w:lvl>
    <w:lvl w:ilvl="2">
      <w:start w:val="0"/>
      <w:numFmt w:val="bullet"/>
      <w:lvlText w:val="•"/>
      <w:lvlJc w:val="left"/>
      <w:pPr>
        <w:ind w:left="209" w:hanging="284"/>
      </w:pPr>
      <w:rPr>
        <w:rFonts w:hint="default"/>
      </w:rPr>
    </w:lvl>
    <w:lvl w:ilvl="3">
      <w:start w:val="0"/>
      <w:numFmt w:val="bullet"/>
      <w:lvlText w:val="•"/>
      <w:lvlJc w:val="left"/>
      <w:pPr>
        <w:ind w:left="19" w:hanging="284"/>
      </w:pPr>
      <w:rPr>
        <w:rFonts w:hint="default"/>
      </w:rPr>
    </w:lvl>
    <w:lvl w:ilvl="4">
      <w:start w:val="0"/>
      <w:numFmt w:val="bullet"/>
      <w:lvlText w:val="•"/>
      <w:lvlJc w:val="left"/>
      <w:pPr>
        <w:ind w:left="-172" w:hanging="284"/>
      </w:pPr>
      <w:rPr>
        <w:rFonts w:hint="default"/>
      </w:rPr>
    </w:lvl>
    <w:lvl w:ilvl="5">
      <w:start w:val="0"/>
      <w:numFmt w:val="bullet"/>
      <w:lvlText w:val="•"/>
      <w:lvlJc w:val="left"/>
      <w:pPr>
        <w:ind w:left="-362" w:hanging="284"/>
      </w:pPr>
      <w:rPr>
        <w:rFonts w:hint="default"/>
      </w:rPr>
    </w:lvl>
    <w:lvl w:ilvl="6">
      <w:start w:val="0"/>
      <w:numFmt w:val="bullet"/>
      <w:lvlText w:val="•"/>
      <w:lvlJc w:val="left"/>
      <w:pPr>
        <w:ind w:left="-552" w:hanging="284"/>
      </w:pPr>
      <w:rPr>
        <w:rFonts w:hint="default"/>
      </w:rPr>
    </w:lvl>
    <w:lvl w:ilvl="7">
      <w:start w:val="0"/>
      <w:numFmt w:val="bullet"/>
      <w:lvlText w:val="•"/>
      <w:lvlJc w:val="left"/>
      <w:pPr>
        <w:ind w:left="-743" w:hanging="284"/>
      </w:pPr>
      <w:rPr>
        <w:rFonts w:hint="default"/>
      </w:rPr>
    </w:lvl>
    <w:lvl w:ilvl="8">
      <w:start w:val="0"/>
      <w:numFmt w:val="bullet"/>
      <w:lvlText w:val="•"/>
      <w:lvlJc w:val="left"/>
      <w:pPr>
        <w:ind w:left="-933" w:hanging="284"/>
      </w:pPr>
      <w:rPr>
        <w:rFonts w:hint="default"/>
      </w:rPr>
    </w:lvl>
  </w:abstractNum>
  <w:abstractNum w:abstractNumId="14">
    <w:multiLevelType w:val="hybridMultilevel"/>
    <w:lvl w:ilvl="0">
      <w:start w:val="0"/>
      <w:numFmt w:val="bullet"/>
      <w:lvlText w:val="•"/>
      <w:lvlJc w:val="left"/>
      <w:pPr>
        <w:ind w:left="524" w:hanging="284"/>
      </w:pPr>
      <w:rPr>
        <w:rFonts w:hint="default" w:ascii="Times New Roman" w:hAnsi="Times New Roman" w:eastAsia="Times New Roman" w:cs="Times New Roman"/>
        <w:spacing w:val="-19"/>
        <w:w w:val="96"/>
        <w:sz w:val="20"/>
        <w:szCs w:val="20"/>
      </w:rPr>
    </w:lvl>
    <w:lvl w:ilvl="1">
      <w:start w:val="0"/>
      <w:numFmt w:val="bullet"/>
      <w:lvlText w:val="•"/>
      <w:lvlJc w:val="left"/>
      <w:pPr>
        <w:ind w:left="1070" w:hanging="284"/>
      </w:pPr>
      <w:rPr>
        <w:rFonts w:hint="default"/>
      </w:rPr>
    </w:lvl>
    <w:lvl w:ilvl="2">
      <w:start w:val="0"/>
      <w:numFmt w:val="bullet"/>
      <w:lvlText w:val="•"/>
      <w:lvlJc w:val="left"/>
      <w:pPr>
        <w:ind w:left="1620" w:hanging="284"/>
      </w:pPr>
      <w:rPr>
        <w:rFonts w:hint="default"/>
      </w:rPr>
    </w:lvl>
    <w:lvl w:ilvl="3">
      <w:start w:val="0"/>
      <w:numFmt w:val="bullet"/>
      <w:lvlText w:val="•"/>
      <w:lvlJc w:val="left"/>
      <w:pPr>
        <w:ind w:left="2170" w:hanging="284"/>
      </w:pPr>
      <w:rPr>
        <w:rFonts w:hint="default"/>
      </w:rPr>
    </w:lvl>
    <w:lvl w:ilvl="4">
      <w:start w:val="0"/>
      <w:numFmt w:val="bullet"/>
      <w:lvlText w:val="•"/>
      <w:lvlJc w:val="left"/>
      <w:pPr>
        <w:ind w:left="2720" w:hanging="284"/>
      </w:pPr>
      <w:rPr>
        <w:rFonts w:hint="default"/>
      </w:rPr>
    </w:lvl>
    <w:lvl w:ilvl="5">
      <w:start w:val="0"/>
      <w:numFmt w:val="bullet"/>
      <w:lvlText w:val="•"/>
      <w:lvlJc w:val="left"/>
      <w:pPr>
        <w:ind w:left="3270" w:hanging="284"/>
      </w:pPr>
      <w:rPr>
        <w:rFonts w:hint="default"/>
      </w:rPr>
    </w:lvl>
    <w:lvl w:ilvl="6">
      <w:start w:val="0"/>
      <w:numFmt w:val="bullet"/>
      <w:lvlText w:val="•"/>
      <w:lvlJc w:val="left"/>
      <w:pPr>
        <w:ind w:left="3820" w:hanging="284"/>
      </w:pPr>
      <w:rPr>
        <w:rFonts w:hint="default"/>
      </w:rPr>
    </w:lvl>
    <w:lvl w:ilvl="7">
      <w:start w:val="0"/>
      <w:numFmt w:val="bullet"/>
      <w:lvlText w:val="•"/>
      <w:lvlJc w:val="left"/>
      <w:pPr>
        <w:ind w:left="4370" w:hanging="284"/>
      </w:pPr>
      <w:rPr>
        <w:rFonts w:hint="default"/>
      </w:rPr>
    </w:lvl>
    <w:lvl w:ilvl="8">
      <w:start w:val="0"/>
      <w:numFmt w:val="bullet"/>
      <w:lvlText w:val="•"/>
      <w:lvlJc w:val="left"/>
      <w:pPr>
        <w:ind w:left="4920" w:hanging="284"/>
      </w:pPr>
      <w:rPr>
        <w:rFonts w:hint="default"/>
      </w:rPr>
    </w:lvl>
  </w:abstractNum>
  <w:abstractNum w:abstractNumId="13">
    <w:multiLevelType w:val="hybridMultilevel"/>
    <w:lvl w:ilvl="0">
      <w:start w:val="0"/>
      <w:numFmt w:val="bullet"/>
      <w:lvlText w:val="•"/>
      <w:lvlJc w:val="left"/>
      <w:pPr>
        <w:ind w:left="797" w:hanging="284"/>
      </w:pPr>
      <w:rPr>
        <w:rFonts w:hint="default" w:ascii="Times New Roman" w:hAnsi="Times New Roman" w:eastAsia="Times New Roman" w:cs="Times New Roman"/>
        <w:spacing w:val="-19"/>
        <w:w w:val="96"/>
        <w:sz w:val="20"/>
        <w:szCs w:val="20"/>
      </w:rPr>
    </w:lvl>
    <w:lvl w:ilvl="1">
      <w:start w:val="0"/>
      <w:numFmt w:val="bullet"/>
      <w:lvlText w:val="•"/>
      <w:lvlJc w:val="left"/>
      <w:pPr>
        <w:ind w:left="1275" w:hanging="284"/>
      </w:pPr>
      <w:rPr>
        <w:rFonts w:hint="default"/>
      </w:rPr>
    </w:lvl>
    <w:lvl w:ilvl="2">
      <w:start w:val="0"/>
      <w:numFmt w:val="bullet"/>
      <w:lvlText w:val="•"/>
      <w:lvlJc w:val="left"/>
      <w:pPr>
        <w:ind w:left="1751" w:hanging="284"/>
      </w:pPr>
      <w:rPr>
        <w:rFonts w:hint="default"/>
      </w:rPr>
    </w:lvl>
    <w:lvl w:ilvl="3">
      <w:start w:val="0"/>
      <w:numFmt w:val="bullet"/>
      <w:lvlText w:val="•"/>
      <w:lvlJc w:val="left"/>
      <w:pPr>
        <w:ind w:left="2227" w:hanging="284"/>
      </w:pPr>
      <w:rPr>
        <w:rFonts w:hint="default"/>
      </w:rPr>
    </w:lvl>
    <w:lvl w:ilvl="4">
      <w:start w:val="0"/>
      <w:numFmt w:val="bullet"/>
      <w:lvlText w:val="•"/>
      <w:lvlJc w:val="left"/>
      <w:pPr>
        <w:ind w:left="2703" w:hanging="284"/>
      </w:pPr>
      <w:rPr>
        <w:rFonts w:hint="default"/>
      </w:rPr>
    </w:lvl>
    <w:lvl w:ilvl="5">
      <w:start w:val="0"/>
      <w:numFmt w:val="bullet"/>
      <w:lvlText w:val="•"/>
      <w:lvlJc w:val="left"/>
      <w:pPr>
        <w:ind w:left="3179" w:hanging="284"/>
      </w:pPr>
      <w:rPr>
        <w:rFonts w:hint="default"/>
      </w:rPr>
    </w:lvl>
    <w:lvl w:ilvl="6">
      <w:start w:val="0"/>
      <w:numFmt w:val="bullet"/>
      <w:lvlText w:val="•"/>
      <w:lvlJc w:val="left"/>
      <w:pPr>
        <w:ind w:left="3655" w:hanging="284"/>
      </w:pPr>
      <w:rPr>
        <w:rFonts w:hint="default"/>
      </w:rPr>
    </w:lvl>
    <w:lvl w:ilvl="7">
      <w:start w:val="0"/>
      <w:numFmt w:val="bullet"/>
      <w:lvlText w:val="•"/>
      <w:lvlJc w:val="left"/>
      <w:pPr>
        <w:ind w:left="4131" w:hanging="284"/>
      </w:pPr>
      <w:rPr>
        <w:rFonts w:hint="default"/>
      </w:rPr>
    </w:lvl>
    <w:lvl w:ilvl="8">
      <w:start w:val="0"/>
      <w:numFmt w:val="bullet"/>
      <w:lvlText w:val="•"/>
      <w:lvlJc w:val="left"/>
      <w:pPr>
        <w:ind w:left="4607" w:hanging="284"/>
      </w:pPr>
      <w:rPr>
        <w:rFonts w:hint="default"/>
      </w:rPr>
    </w:lvl>
  </w:abstractNum>
  <w:abstractNum w:abstractNumId="12">
    <w:multiLevelType w:val="hybridMultilevel"/>
    <w:lvl w:ilvl="0">
      <w:start w:val="1"/>
      <w:numFmt w:val="lowerLetter"/>
      <w:lvlText w:val="%1."/>
      <w:lvlJc w:val="left"/>
      <w:pPr>
        <w:ind w:left="802" w:hanging="285"/>
        <w:jc w:val="left"/>
      </w:pPr>
      <w:rPr>
        <w:rFonts w:hint="default" w:ascii="Times New Roman" w:hAnsi="Times New Roman" w:eastAsia="Times New Roman" w:cs="Times New Roman"/>
        <w:spacing w:val="-21"/>
        <w:w w:val="97"/>
        <w:sz w:val="18"/>
        <w:szCs w:val="18"/>
      </w:rPr>
    </w:lvl>
    <w:lvl w:ilvl="1">
      <w:start w:val="0"/>
      <w:numFmt w:val="bullet"/>
      <w:lvlText w:val="•"/>
      <w:lvlJc w:val="left"/>
      <w:pPr>
        <w:ind w:left="1882" w:hanging="285"/>
      </w:pPr>
      <w:rPr>
        <w:rFonts w:hint="default"/>
      </w:rPr>
    </w:lvl>
    <w:lvl w:ilvl="2">
      <w:start w:val="0"/>
      <w:numFmt w:val="bullet"/>
      <w:lvlText w:val="•"/>
      <w:lvlJc w:val="left"/>
      <w:pPr>
        <w:ind w:left="2964" w:hanging="285"/>
      </w:pPr>
      <w:rPr>
        <w:rFonts w:hint="default"/>
      </w:rPr>
    </w:lvl>
    <w:lvl w:ilvl="3">
      <w:start w:val="0"/>
      <w:numFmt w:val="bullet"/>
      <w:lvlText w:val="•"/>
      <w:lvlJc w:val="left"/>
      <w:pPr>
        <w:ind w:left="4046" w:hanging="285"/>
      </w:pPr>
      <w:rPr>
        <w:rFonts w:hint="default"/>
      </w:rPr>
    </w:lvl>
    <w:lvl w:ilvl="4">
      <w:start w:val="0"/>
      <w:numFmt w:val="bullet"/>
      <w:lvlText w:val="•"/>
      <w:lvlJc w:val="left"/>
      <w:pPr>
        <w:ind w:left="5128" w:hanging="285"/>
      </w:pPr>
      <w:rPr>
        <w:rFonts w:hint="default"/>
      </w:rPr>
    </w:lvl>
    <w:lvl w:ilvl="5">
      <w:start w:val="0"/>
      <w:numFmt w:val="bullet"/>
      <w:lvlText w:val="•"/>
      <w:lvlJc w:val="left"/>
      <w:pPr>
        <w:ind w:left="6210" w:hanging="285"/>
      </w:pPr>
      <w:rPr>
        <w:rFonts w:hint="default"/>
      </w:rPr>
    </w:lvl>
    <w:lvl w:ilvl="6">
      <w:start w:val="0"/>
      <w:numFmt w:val="bullet"/>
      <w:lvlText w:val="•"/>
      <w:lvlJc w:val="left"/>
      <w:pPr>
        <w:ind w:left="7292" w:hanging="285"/>
      </w:pPr>
      <w:rPr>
        <w:rFonts w:hint="default"/>
      </w:rPr>
    </w:lvl>
    <w:lvl w:ilvl="7">
      <w:start w:val="0"/>
      <w:numFmt w:val="bullet"/>
      <w:lvlText w:val="•"/>
      <w:lvlJc w:val="left"/>
      <w:pPr>
        <w:ind w:left="8374" w:hanging="285"/>
      </w:pPr>
      <w:rPr>
        <w:rFonts w:hint="default"/>
      </w:rPr>
    </w:lvl>
    <w:lvl w:ilvl="8">
      <w:start w:val="0"/>
      <w:numFmt w:val="bullet"/>
      <w:lvlText w:val="•"/>
      <w:lvlJc w:val="left"/>
      <w:pPr>
        <w:ind w:left="9456" w:hanging="285"/>
      </w:pPr>
      <w:rPr>
        <w:rFonts w:hint="default"/>
      </w:rPr>
    </w:lvl>
  </w:abstractNum>
  <w:abstractNum w:abstractNumId="11">
    <w:multiLevelType w:val="hybridMultilevel"/>
    <w:lvl w:ilvl="0">
      <w:start w:val="1"/>
      <w:numFmt w:val="lowerLetter"/>
      <w:lvlText w:val="%1."/>
      <w:lvlJc w:val="left"/>
      <w:pPr>
        <w:ind w:left="406" w:hanging="285"/>
        <w:jc w:val="left"/>
      </w:pPr>
      <w:rPr>
        <w:rFonts w:hint="default" w:ascii="Times New Roman" w:hAnsi="Times New Roman" w:eastAsia="Times New Roman" w:cs="Times New Roman"/>
        <w:spacing w:val="-21"/>
        <w:w w:val="98"/>
        <w:sz w:val="18"/>
        <w:szCs w:val="18"/>
      </w:rPr>
    </w:lvl>
    <w:lvl w:ilvl="1">
      <w:start w:val="0"/>
      <w:numFmt w:val="bullet"/>
      <w:lvlText w:val="•"/>
      <w:lvlJc w:val="left"/>
      <w:pPr>
        <w:ind w:left="1522" w:hanging="285"/>
      </w:pPr>
      <w:rPr>
        <w:rFonts w:hint="default"/>
      </w:rPr>
    </w:lvl>
    <w:lvl w:ilvl="2">
      <w:start w:val="0"/>
      <w:numFmt w:val="bullet"/>
      <w:lvlText w:val="•"/>
      <w:lvlJc w:val="left"/>
      <w:pPr>
        <w:ind w:left="2644" w:hanging="285"/>
      </w:pPr>
      <w:rPr>
        <w:rFonts w:hint="default"/>
      </w:rPr>
    </w:lvl>
    <w:lvl w:ilvl="3">
      <w:start w:val="0"/>
      <w:numFmt w:val="bullet"/>
      <w:lvlText w:val="•"/>
      <w:lvlJc w:val="left"/>
      <w:pPr>
        <w:ind w:left="3766" w:hanging="285"/>
      </w:pPr>
      <w:rPr>
        <w:rFonts w:hint="default"/>
      </w:rPr>
    </w:lvl>
    <w:lvl w:ilvl="4">
      <w:start w:val="0"/>
      <w:numFmt w:val="bullet"/>
      <w:lvlText w:val="•"/>
      <w:lvlJc w:val="left"/>
      <w:pPr>
        <w:ind w:left="4888" w:hanging="285"/>
      </w:pPr>
      <w:rPr>
        <w:rFonts w:hint="default"/>
      </w:rPr>
    </w:lvl>
    <w:lvl w:ilvl="5">
      <w:start w:val="0"/>
      <w:numFmt w:val="bullet"/>
      <w:lvlText w:val="•"/>
      <w:lvlJc w:val="left"/>
      <w:pPr>
        <w:ind w:left="6010" w:hanging="285"/>
      </w:pPr>
      <w:rPr>
        <w:rFonts w:hint="default"/>
      </w:rPr>
    </w:lvl>
    <w:lvl w:ilvl="6">
      <w:start w:val="0"/>
      <w:numFmt w:val="bullet"/>
      <w:lvlText w:val="•"/>
      <w:lvlJc w:val="left"/>
      <w:pPr>
        <w:ind w:left="7132" w:hanging="285"/>
      </w:pPr>
      <w:rPr>
        <w:rFonts w:hint="default"/>
      </w:rPr>
    </w:lvl>
    <w:lvl w:ilvl="7">
      <w:start w:val="0"/>
      <w:numFmt w:val="bullet"/>
      <w:lvlText w:val="•"/>
      <w:lvlJc w:val="left"/>
      <w:pPr>
        <w:ind w:left="8254" w:hanging="285"/>
      </w:pPr>
      <w:rPr>
        <w:rFonts w:hint="default"/>
      </w:rPr>
    </w:lvl>
    <w:lvl w:ilvl="8">
      <w:start w:val="0"/>
      <w:numFmt w:val="bullet"/>
      <w:lvlText w:val="•"/>
      <w:lvlJc w:val="left"/>
      <w:pPr>
        <w:ind w:left="9376" w:hanging="285"/>
      </w:pPr>
      <w:rPr>
        <w:rFonts w:hint="default"/>
      </w:rPr>
    </w:lvl>
  </w:abstractNum>
  <w:abstractNum w:abstractNumId="10">
    <w:multiLevelType w:val="hybridMultilevel"/>
    <w:lvl w:ilvl="0">
      <w:start w:val="3"/>
      <w:numFmt w:val="decimal"/>
      <w:lvlText w:val="%1"/>
      <w:lvlJc w:val="left"/>
      <w:pPr>
        <w:ind w:left="513" w:hanging="820"/>
        <w:jc w:val="left"/>
      </w:pPr>
      <w:rPr>
        <w:rFonts w:hint="default"/>
      </w:rPr>
    </w:lvl>
    <w:lvl w:ilvl="1">
      <w:start w:val="3"/>
      <w:numFmt w:val="decimal"/>
      <w:lvlText w:val="%1.%2"/>
      <w:lvlJc w:val="left"/>
      <w:pPr>
        <w:ind w:left="513" w:hanging="820"/>
        <w:jc w:val="left"/>
      </w:pPr>
      <w:rPr>
        <w:rFonts w:hint="default"/>
      </w:rPr>
    </w:lvl>
    <w:lvl w:ilvl="2">
      <w:start w:val="2"/>
      <w:numFmt w:val="decimal"/>
      <w:lvlText w:val="%1.%2.%3"/>
      <w:lvlJc w:val="left"/>
      <w:pPr>
        <w:ind w:left="513" w:hanging="820"/>
        <w:jc w:val="left"/>
      </w:pPr>
      <w:rPr>
        <w:rFonts w:hint="default"/>
      </w:rPr>
    </w:lvl>
    <w:lvl w:ilvl="3">
      <w:start w:val="3"/>
      <w:numFmt w:val="decimal"/>
      <w:lvlText w:val="%1.%2.%3.%4"/>
      <w:lvlJc w:val="left"/>
      <w:pPr>
        <w:ind w:left="513" w:hanging="820"/>
        <w:jc w:val="right"/>
      </w:pPr>
      <w:rPr>
        <w:rFonts w:hint="default" w:ascii="Times New Roman" w:hAnsi="Times New Roman" w:eastAsia="Times New Roman" w:cs="Times New Roman"/>
        <w:i/>
        <w:spacing w:val="-25"/>
        <w:w w:val="96"/>
        <w:sz w:val="20"/>
        <w:szCs w:val="20"/>
      </w:rPr>
    </w:lvl>
    <w:lvl w:ilvl="4">
      <w:start w:val="0"/>
      <w:numFmt w:val="bullet"/>
      <w:lvlText w:val="•"/>
      <w:lvlJc w:val="left"/>
      <w:pPr>
        <w:ind w:left="2535" w:hanging="820"/>
      </w:pPr>
      <w:rPr>
        <w:rFonts w:hint="default"/>
      </w:rPr>
    </w:lvl>
    <w:lvl w:ilvl="5">
      <w:start w:val="0"/>
      <w:numFmt w:val="bullet"/>
      <w:lvlText w:val="•"/>
      <w:lvlJc w:val="left"/>
      <w:pPr>
        <w:ind w:left="3039" w:hanging="820"/>
      </w:pPr>
      <w:rPr>
        <w:rFonts w:hint="default"/>
      </w:rPr>
    </w:lvl>
    <w:lvl w:ilvl="6">
      <w:start w:val="0"/>
      <w:numFmt w:val="bullet"/>
      <w:lvlText w:val="•"/>
      <w:lvlJc w:val="left"/>
      <w:pPr>
        <w:ind w:left="3543" w:hanging="820"/>
      </w:pPr>
      <w:rPr>
        <w:rFonts w:hint="default"/>
      </w:rPr>
    </w:lvl>
    <w:lvl w:ilvl="7">
      <w:start w:val="0"/>
      <w:numFmt w:val="bullet"/>
      <w:lvlText w:val="•"/>
      <w:lvlJc w:val="left"/>
      <w:pPr>
        <w:ind w:left="4046" w:hanging="820"/>
      </w:pPr>
      <w:rPr>
        <w:rFonts w:hint="default"/>
      </w:rPr>
    </w:lvl>
    <w:lvl w:ilvl="8">
      <w:start w:val="0"/>
      <w:numFmt w:val="bullet"/>
      <w:lvlText w:val="•"/>
      <w:lvlJc w:val="left"/>
      <w:pPr>
        <w:ind w:left="4550" w:hanging="820"/>
      </w:pPr>
      <w:rPr>
        <w:rFonts w:hint="default"/>
      </w:rPr>
    </w:lvl>
  </w:abstractNum>
  <w:abstractNum w:abstractNumId="9">
    <w:multiLevelType w:val="hybridMultilevel"/>
    <w:lvl w:ilvl="0">
      <w:start w:val="4"/>
      <w:numFmt w:val="lowerLetter"/>
      <w:lvlText w:val="%1"/>
      <w:lvlJc w:val="left"/>
      <w:pPr>
        <w:ind w:left="254" w:hanging="233"/>
        <w:jc w:val="left"/>
      </w:pPr>
      <w:rPr>
        <w:rFonts w:hint="default"/>
      </w:rPr>
    </w:lvl>
    <w:lvl w:ilvl="1">
      <w:start w:val="1"/>
      <w:numFmt w:val="decimal"/>
      <w:lvlText w:val="%1-%2"/>
      <w:lvlJc w:val="left"/>
      <w:pPr>
        <w:ind w:left="254" w:hanging="233"/>
        <w:jc w:val="left"/>
      </w:pPr>
      <w:rPr>
        <w:rFonts w:hint="default" w:ascii="Times New Roman" w:hAnsi="Times New Roman" w:eastAsia="Times New Roman" w:cs="Times New Roman"/>
        <w:w w:val="100"/>
        <w:sz w:val="20"/>
        <w:szCs w:val="20"/>
      </w:rPr>
    </w:lvl>
    <w:lvl w:ilvl="2">
      <w:start w:val="0"/>
      <w:numFmt w:val="bullet"/>
      <w:lvlText w:val="•"/>
      <w:lvlJc w:val="left"/>
      <w:pPr>
        <w:ind w:left="400" w:hanging="284"/>
      </w:pPr>
      <w:rPr>
        <w:rFonts w:hint="default" w:ascii="Times New Roman" w:hAnsi="Times New Roman" w:eastAsia="Times New Roman" w:cs="Times New Roman"/>
        <w:spacing w:val="-14"/>
        <w:w w:val="100"/>
        <w:sz w:val="20"/>
        <w:szCs w:val="20"/>
      </w:rPr>
    </w:lvl>
    <w:lvl w:ilvl="3">
      <w:start w:val="0"/>
      <w:numFmt w:val="bullet"/>
      <w:lvlText w:val="•"/>
      <w:lvlJc w:val="left"/>
      <w:pPr>
        <w:ind w:left="-438" w:hanging="284"/>
      </w:pPr>
      <w:rPr>
        <w:rFonts w:hint="default"/>
      </w:rPr>
    </w:lvl>
    <w:lvl w:ilvl="4">
      <w:start w:val="0"/>
      <w:numFmt w:val="bullet"/>
      <w:lvlText w:val="•"/>
      <w:lvlJc w:val="left"/>
      <w:pPr>
        <w:ind w:left="-856" w:hanging="284"/>
      </w:pPr>
      <w:rPr>
        <w:rFonts w:hint="default"/>
      </w:rPr>
    </w:lvl>
    <w:lvl w:ilvl="5">
      <w:start w:val="0"/>
      <w:numFmt w:val="bullet"/>
      <w:lvlText w:val="•"/>
      <w:lvlJc w:val="left"/>
      <w:pPr>
        <w:ind w:left="-1275" w:hanging="284"/>
      </w:pPr>
      <w:rPr>
        <w:rFonts w:hint="default"/>
      </w:rPr>
    </w:lvl>
    <w:lvl w:ilvl="6">
      <w:start w:val="0"/>
      <w:numFmt w:val="bullet"/>
      <w:lvlText w:val="•"/>
      <w:lvlJc w:val="left"/>
      <w:pPr>
        <w:ind w:left="-1693" w:hanging="284"/>
      </w:pPr>
      <w:rPr>
        <w:rFonts w:hint="default"/>
      </w:rPr>
    </w:lvl>
    <w:lvl w:ilvl="7">
      <w:start w:val="0"/>
      <w:numFmt w:val="bullet"/>
      <w:lvlText w:val="•"/>
      <w:lvlJc w:val="left"/>
      <w:pPr>
        <w:ind w:left="-2112" w:hanging="284"/>
      </w:pPr>
      <w:rPr>
        <w:rFonts w:hint="default"/>
      </w:rPr>
    </w:lvl>
    <w:lvl w:ilvl="8">
      <w:start w:val="0"/>
      <w:numFmt w:val="bullet"/>
      <w:lvlText w:val="•"/>
      <w:lvlJc w:val="left"/>
      <w:pPr>
        <w:ind w:left="-2530" w:hanging="284"/>
      </w:pPr>
      <w:rPr>
        <w:rFonts w:hint="default"/>
      </w:rPr>
    </w:lvl>
  </w:abstractNum>
  <w:abstractNum w:abstractNumId="8">
    <w:multiLevelType w:val="hybridMultilevel"/>
    <w:lvl w:ilvl="0">
      <w:start w:val="0"/>
      <w:numFmt w:val="bullet"/>
      <w:lvlText w:val="•"/>
      <w:lvlJc w:val="left"/>
      <w:pPr>
        <w:ind w:left="400" w:hanging="284"/>
      </w:pPr>
      <w:rPr>
        <w:rFonts w:hint="default" w:ascii="Times New Roman" w:hAnsi="Times New Roman" w:eastAsia="Times New Roman" w:cs="Times New Roman"/>
        <w:spacing w:val="-5"/>
        <w:w w:val="100"/>
        <w:sz w:val="20"/>
        <w:szCs w:val="20"/>
      </w:rPr>
    </w:lvl>
    <w:lvl w:ilvl="1">
      <w:start w:val="0"/>
      <w:numFmt w:val="bullet"/>
      <w:lvlText w:val="•"/>
      <w:lvlJc w:val="left"/>
      <w:pPr>
        <w:ind w:left="880" w:hanging="284"/>
      </w:pPr>
      <w:rPr>
        <w:rFonts w:hint="default"/>
      </w:rPr>
    </w:lvl>
    <w:lvl w:ilvl="2">
      <w:start w:val="0"/>
      <w:numFmt w:val="bullet"/>
      <w:lvlText w:val="•"/>
      <w:lvlJc w:val="left"/>
      <w:pPr>
        <w:ind w:left="1360" w:hanging="284"/>
      </w:pPr>
      <w:rPr>
        <w:rFonts w:hint="default"/>
      </w:rPr>
    </w:lvl>
    <w:lvl w:ilvl="3">
      <w:start w:val="0"/>
      <w:numFmt w:val="bullet"/>
      <w:lvlText w:val="•"/>
      <w:lvlJc w:val="left"/>
      <w:pPr>
        <w:ind w:left="1840" w:hanging="284"/>
      </w:pPr>
      <w:rPr>
        <w:rFonts w:hint="default"/>
      </w:rPr>
    </w:lvl>
    <w:lvl w:ilvl="4">
      <w:start w:val="0"/>
      <w:numFmt w:val="bullet"/>
      <w:lvlText w:val="•"/>
      <w:lvlJc w:val="left"/>
      <w:pPr>
        <w:ind w:left="2320" w:hanging="284"/>
      </w:pPr>
      <w:rPr>
        <w:rFonts w:hint="default"/>
      </w:rPr>
    </w:lvl>
    <w:lvl w:ilvl="5">
      <w:start w:val="0"/>
      <w:numFmt w:val="bullet"/>
      <w:lvlText w:val="•"/>
      <w:lvlJc w:val="left"/>
      <w:pPr>
        <w:ind w:left="2800" w:hanging="284"/>
      </w:pPr>
      <w:rPr>
        <w:rFonts w:hint="default"/>
      </w:rPr>
    </w:lvl>
    <w:lvl w:ilvl="6">
      <w:start w:val="0"/>
      <w:numFmt w:val="bullet"/>
      <w:lvlText w:val="•"/>
      <w:lvlJc w:val="left"/>
      <w:pPr>
        <w:ind w:left="3280" w:hanging="284"/>
      </w:pPr>
      <w:rPr>
        <w:rFonts w:hint="default"/>
      </w:rPr>
    </w:lvl>
    <w:lvl w:ilvl="7">
      <w:start w:val="0"/>
      <w:numFmt w:val="bullet"/>
      <w:lvlText w:val="•"/>
      <w:lvlJc w:val="left"/>
      <w:pPr>
        <w:ind w:left="3761" w:hanging="284"/>
      </w:pPr>
      <w:rPr>
        <w:rFonts w:hint="default"/>
      </w:rPr>
    </w:lvl>
    <w:lvl w:ilvl="8">
      <w:start w:val="0"/>
      <w:numFmt w:val="bullet"/>
      <w:lvlText w:val="•"/>
      <w:lvlJc w:val="left"/>
      <w:pPr>
        <w:ind w:left="4241" w:hanging="284"/>
      </w:pPr>
      <w:rPr>
        <w:rFonts w:hint="default"/>
      </w:rPr>
    </w:lvl>
  </w:abstractNum>
  <w:abstractNum w:abstractNumId="7">
    <w:multiLevelType w:val="hybridMultilevel"/>
    <w:lvl w:ilvl="0">
      <w:start w:val="4"/>
      <w:numFmt w:val="lowerLetter"/>
      <w:lvlText w:val="%1-"/>
      <w:lvlJc w:val="left"/>
      <w:pPr>
        <w:ind w:left="185" w:hanging="140"/>
        <w:jc w:val="left"/>
      </w:pPr>
      <w:rPr>
        <w:rFonts w:hint="default" w:ascii="Times New Roman" w:hAnsi="Times New Roman" w:eastAsia="Times New Roman" w:cs="Times New Roman"/>
        <w:spacing w:val="-15"/>
        <w:w w:val="100"/>
        <w:sz w:val="18"/>
        <w:szCs w:val="18"/>
      </w:rPr>
    </w:lvl>
    <w:lvl w:ilvl="1">
      <w:start w:val="1"/>
      <w:numFmt w:val="decimal"/>
      <w:lvlText w:val="%1-%2"/>
      <w:lvlJc w:val="left"/>
      <w:pPr>
        <w:ind w:left="262" w:hanging="236"/>
        <w:jc w:val="left"/>
      </w:pPr>
      <w:rPr>
        <w:rFonts w:hint="default" w:ascii="Times New Roman" w:hAnsi="Times New Roman" w:eastAsia="Times New Roman" w:cs="Times New Roman"/>
        <w:spacing w:val="-1"/>
        <w:w w:val="100"/>
        <w:sz w:val="20"/>
        <w:szCs w:val="20"/>
      </w:rPr>
    </w:lvl>
    <w:lvl w:ilvl="2">
      <w:start w:val="0"/>
      <w:numFmt w:val="bullet"/>
      <w:lvlText w:val="•"/>
      <w:lvlJc w:val="left"/>
      <w:pPr>
        <w:ind w:left="400" w:hanging="284"/>
      </w:pPr>
      <w:rPr>
        <w:rFonts w:hint="default" w:ascii="Times New Roman" w:hAnsi="Times New Roman" w:eastAsia="Times New Roman" w:cs="Times New Roman"/>
        <w:spacing w:val="-17"/>
        <w:w w:val="100"/>
        <w:sz w:val="20"/>
        <w:szCs w:val="20"/>
      </w:rPr>
    </w:lvl>
    <w:lvl w:ilvl="3">
      <w:start w:val="0"/>
      <w:numFmt w:val="bullet"/>
      <w:lvlText w:val="•"/>
      <w:lvlJc w:val="left"/>
      <w:pPr>
        <w:ind w:left="653" w:hanging="284"/>
      </w:pPr>
      <w:rPr>
        <w:rFonts w:hint="default"/>
      </w:rPr>
    </w:lvl>
    <w:lvl w:ilvl="4">
      <w:start w:val="0"/>
      <w:numFmt w:val="bullet"/>
      <w:lvlText w:val="•"/>
      <w:lvlJc w:val="left"/>
      <w:pPr>
        <w:ind w:left="906" w:hanging="284"/>
      </w:pPr>
      <w:rPr>
        <w:rFonts w:hint="default"/>
      </w:rPr>
    </w:lvl>
    <w:lvl w:ilvl="5">
      <w:start w:val="0"/>
      <w:numFmt w:val="bullet"/>
      <w:lvlText w:val="•"/>
      <w:lvlJc w:val="left"/>
      <w:pPr>
        <w:ind w:left="1160" w:hanging="284"/>
      </w:pPr>
      <w:rPr>
        <w:rFonts w:hint="default"/>
      </w:rPr>
    </w:lvl>
    <w:lvl w:ilvl="6">
      <w:start w:val="0"/>
      <w:numFmt w:val="bullet"/>
      <w:lvlText w:val="•"/>
      <w:lvlJc w:val="left"/>
      <w:pPr>
        <w:ind w:left="1413" w:hanging="284"/>
      </w:pPr>
      <w:rPr>
        <w:rFonts w:hint="default"/>
      </w:rPr>
    </w:lvl>
    <w:lvl w:ilvl="7">
      <w:start w:val="0"/>
      <w:numFmt w:val="bullet"/>
      <w:lvlText w:val="•"/>
      <w:lvlJc w:val="left"/>
      <w:pPr>
        <w:ind w:left="1667" w:hanging="284"/>
      </w:pPr>
      <w:rPr>
        <w:rFonts w:hint="default"/>
      </w:rPr>
    </w:lvl>
    <w:lvl w:ilvl="8">
      <w:start w:val="0"/>
      <w:numFmt w:val="bullet"/>
      <w:lvlText w:val="•"/>
      <w:lvlJc w:val="left"/>
      <w:pPr>
        <w:ind w:left="1920" w:hanging="284"/>
      </w:pPr>
      <w:rPr>
        <w:rFonts w:hint="default"/>
      </w:rPr>
    </w:lvl>
  </w:abstractNum>
  <w:abstractNum w:abstractNumId="4">
    <w:multiLevelType w:val="hybridMultilevel"/>
    <w:lvl w:ilvl="0">
      <w:start w:val="3"/>
      <w:numFmt w:val="decimal"/>
      <w:lvlText w:val="%1"/>
      <w:lvlJc w:val="left"/>
      <w:pPr>
        <w:ind w:left="6549" w:hanging="709"/>
        <w:jc w:val="left"/>
      </w:pPr>
      <w:rPr>
        <w:rFonts w:hint="default"/>
      </w:rPr>
    </w:lvl>
    <w:lvl w:ilvl="1">
      <w:start w:val="2"/>
      <w:numFmt w:val="decimal"/>
      <w:lvlText w:val="%1.%2"/>
      <w:lvlJc w:val="left"/>
      <w:pPr>
        <w:ind w:left="6549" w:hanging="709"/>
        <w:jc w:val="right"/>
      </w:pPr>
      <w:rPr>
        <w:rFonts w:hint="default"/>
        <w:b/>
        <w:bCs/>
        <w:spacing w:val="-4"/>
        <w:w w:val="100"/>
      </w:rPr>
    </w:lvl>
    <w:lvl w:ilvl="2">
      <w:start w:val="1"/>
      <w:numFmt w:val="decimal"/>
      <w:lvlText w:val="%1.%2.%3"/>
      <w:lvlJc w:val="left"/>
      <w:pPr>
        <w:ind w:left="936" w:hanging="820"/>
        <w:jc w:val="right"/>
      </w:pPr>
      <w:rPr>
        <w:rFonts w:hint="default"/>
        <w:b/>
        <w:bCs/>
        <w:i/>
        <w:spacing w:val="-1"/>
        <w:w w:val="100"/>
      </w:rPr>
    </w:lvl>
    <w:lvl w:ilvl="3">
      <w:start w:val="1"/>
      <w:numFmt w:val="decimal"/>
      <w:lvlText w:val="%1.%2.%3.%4"/>
      <w:lvlJc w:val="left"/>
      <w:pPr>
        <w:ind w:left="937" w:hanging="820"/>
        <w:jc w:val="left"/>
      </w:pPr>
      <w:rPr>
        <w:rFonts w:hint="default" w:ascii="Times New Roman" w:hAnsi="Times New Roman" w:eastAsia="Times New Roman" w:cs="Times New Roman"/>
        <w:i/>
        <w:spacing w:val="-8"/>
        <w:w w:val="100"/>
        <w:sz w:val="20"/>
        <w:szCs w:val="20"/>
      </w:rPr>
    </w:lvl>
    <w:lvl w:ilvl="4">
      <w:start w:val="0"/>
      <w:numFmt w:val="bullet"/>
      <w:lvlText w:val="•"/>
      <w:lvlJc w:val="left"/>
      <w:pPr>
        <w:ind w:left="524" w:hanging="820"/>
      </w:pPr>
      <w:rPr>
        <w:rFonts w:hint="default" w:ascii="Times New Roman" w:hAnsi="Times New Roman" w:eastAsia="Times New Roman" w:cs="Times New Roman"/>
        <w:spacing w:val="-12"/>
        <w:w w:val="96"/>
        <w:sz w:val="20"/>
        <w:szCs w:val="20"/>
      </w:rPr>
    </w:lvl>
    <w:lvl w:ilvl="5">
      <w:start w:val="0"/>
      <w:numFmt w:val="bullet"/>
      <w:lvlText w:val="•"/>
      <w:lvlJc w:val="left"/>
      <w:pPr>
        <w:ind w:left="6660" w:hanging="820"/>
      </w:pPr>
      <w:rPr>
        <w:rFonts w:hint="default"/>
      </w:rPr>
    </w:lvl>
    <w:lvl w:ilvl="6">
      <w:start w:val="0"/>
      <w:numFmt w:val="bullet"/>
      <w:lvlText w:val="•"/>
      <w:lvlJc w:val="left"/>
      <w:pPr>
        <w:ind w:left="4956" w:hanging="820"/>
      </w:pPr>
      <w:rPr>
        <w:rFonts w:hint="default"/>
      </w:rPr>
    </w:lvl>
    <w:lvl w:ilvl="7">
      <w:start w:val="0"/>
      <w:numFmt w:val="bullet"/>
      <w:lvlText w:val="•"/>
      <w:lvlJc w:val="left"/>
      <w:pPr>
        <w:ind w:left="3253" w:hanging="820"/>
      </w:pPr>
      <w:rPr>
        <w:rFonts w:hint="default"/>
      </w:rPr>
    </w:lvl>
    <w:lvl w:ilvl="8">
      <w:start w:val="0"/>
      <w:numFmt w:val="bullet"/>
      <w:lvlText w:val="•"/>
      <w:lvlJc w:val="left"/>
      <w:pPr>
        <w:ind w:left="1550" w:hanging="820"/>
      </w:pPr>
      <w:rPr>
        <w:rFonts w:hint="default"/>
      </w:rPr>
    </w:lvl>
  </w:abstractNum>
  <w:abstractNum w:abstractNumId="3">
    <w:multiLevelType w:val="hybridMultilevel"/>
    <w:lvl w:ilvl="0">
      <w:start w:val="0"/>
      <w:numFmt w:val="bullet"/>
      <w:lvlText w:val="•"/>
      <w:lvlJc w:val="left"/>
      <w:pPr>
        <w:ind w:left="6123" w:hanging="284"/>
      </w:pPr>
      <w:rPr>
        <w:rFonts w:hint="default" w:ascii="Times New Roman" w:hAnsi="Times New Roman" w:eastAsia="Times New Roman" w:cs="Times New Roman"/>
        <w:spacing w:val="-7"/>
        <w:w w:val="100"/>
        <w:sz w:val="20"/>
        <w:szCs w:val="20"/>
      </w:rPr>
    </w:lvl>
    <w:lvl w:ilvl="1">
      <w:start w:val="0"/>
      <w:numFmt w:val="bullet"/>
      <w:lvlText w:val="•"/>
      <w:lvlJc w:val="left"/>
      <w:pPr>
        <w:ind w:left="6670" w:hanging="284"/>
      </w:pPr>
      <w:rPr>
        <w:rFonts w:hint="default"/>
      </w:rPr>
    </w:lvl>
    <w:lvl w:ilvl="2">
      <w:start w:val="0"/>
      <w:numFmt w:val="bullet"/>
      <w:lvlText w:val="•"/>
      <w:lvlJc w:val="left"/>
      <w:pPr>
        <w:ind w:left="7220" w:hanging="284"/>
      </w:pPr>
      <w:rPr>
        <w:rFonts w:hint="default"/>
      </w:rPr>
    </w:lvl>
    <w:lvl w:ilvl="3">
      <w:start w:val="0"/>
      <w:numFmt w:val="bullet"/>
      <w:lvlText w:val="•"/>
      <w:lvlJc w:val="left"/>
      <w:pPr>
        <w:ind w:left="7770" w:hanging="284"/>
      </w:pPr>
      <w:rPr>
        <w:rFonts w:hint="default"/>
      </w:rPr>
    </w:lvl>
    <w:lvl w:ilvl="4">
      <w:start w:val="0"/>
      <w:numFmt w:val="bullet"/>
      <w:lvlText w:val="•"/>
      <w:lvlJc w:val="left"/>
      <w:pPr>
        <w:ind w:left="8320" w:hanging="284"/>
      </w:pPr>
      <w:rPr>
        <w:rFonts w:hint="default"/>
      </w:rPr>
    </w:lvl>
    <w:lvl w:ilvl="5">
      <w:start w:val="0"/>
      <w:numFmt w:val="bullet"/>
      <w:lvlText w:val="•"/>
      <w:lvlJc w:val="left"/>
      <w:pPr>
        <w:ind w:left="8870" w:hanging="284"/>
      </w:pPr>
      <w:rPr>
        <w:rFonts w:hint="default"/>
      </w:rPr>
    </w:lvl>
    <w:lvl w:ilvl="6">
      <w:start w:val="0"/>
      <w:numFmt w:val="bullet"/>
      <w:lvlText w:val="•"/>
      <w:lvlJc w:val="left"/>
      <w:pPr>
        <w:ind w:left="9420" w:hanging="284"/>
      </w:pPr>
      <w:rPr>
        <w:rFonts w:hint="default"/>
      </w:rPr>
    </w:lvl>
    <w:lvl w:ilvl="7">
      <w:start w:val="0"/>
      <w:numFmt w:val="bullet"/>
      <w:lvlText w:val="•"/>
      <w:lvlJc w:val="left"/>
      <w:pPr>
        <w:ind w:left="9970" w:hanging="284"/>
      </w:pPr>
      <w:rPr>
        <w:rFonts w:hint="default"/>
      </w:rPr>
    </w:lvl>
    <w:lvl w:ilvl="8">
      <w:start w:val="0"/>
      <w:numFmt w:val="bullet"/>
      <w:lvlText w:val="•"/>
      <w:lvlJc w:val="left"/>
      <w:pPr>
        <w:ind w:left="10520" w:hanging="284"/>
      </w:pPr>
      <w:rPr>
        <w:rFonts w:hint="default"/>
      </w:rPr>
    </w:lvl>
  </w:abstractNum>
  <w:abstractNum w:abstractNumId="2">
    <w:multiLevelType w:val="hybridMultilevel"/>
    <w:lvl w:ilvl="0">
      <w:start w:val="0"/>
      <w:numFmt w:val="bullet"/>
      <w:lvlText w:val="•"/>
      <w:lvlJc w:val="left"/>
      <w:pPr>
        <w:ind w:left="400" w:hanging="284"/>
      </w:pPr>
      <w:rPr>
        <w:rFonts w:hint="default" w:ascii="Times New Roman" w:hAnsi="Times New Roman" w:eastAsia="Times New Roman" w:cs="Times New Roman"/>
        <w:spacing w:val="-1"/>
        <w:w w:val="100"/>
        <w:sz w:val="20"/>
        <w:szCs w:val="20"/>
      </w:rPr>
    </w:lvl>
    <w:lvl w:ilvl="1">
      <w:start w:val="0"/>
      <w:numFmt w:val="bullet"/>
      <w:lvlText w:val="•"/>
      <w:lvlJc w:val="left"/>
      <w:pPr>
        <w:ind w:left="797" w:hanging="284"/>
      </w:pPr>
      <w:rPr>
        <w:rFonts w:hint="default" w:ascii="Times New Roman" w:hAnsi="Times New Roman" w:eastAsia="Times New Roman" w:cs="Times New Roman"/>
        <w:spacing w:val="-11"/>
        <w:w w:val="97"/>
        <w:sz w:val="20"/>
        <w:szCs w:val="20"/>
      </w:rPr>
    </w:lvl>
    <w:lvl w:ilvl="2">
      <w:start w:val="0"/>
      <w:numFmt w:val="bullet"/>
      <w:lvlText w:val="•"/>
      <w:lvlJc w:val="left"/>
      <w:pPr>
        <w:ind w:left="736" w:hanging="284"/>
      </w:pPr>
      <w:rPr>
        <w:rFonts w:hint="default"/>
      </w:rPr>
    </w:lvl>
    <w:lvl w:ilvl="3">
      <w:start w:val="0"/>
      <w:numFmt w:val="bullet"/>
      <w:lvlText w:val="•"/>
      <w:lvlJc w:val="left"/>
      <w:pPr>
        <w:ind w:left="673" w:hanging="284"/>
      </w:pPr>
      <w:rPr>
        <w:rFonts w:hint="default"/>
      </w:rPr>
    </w:lvl>
    <w:lvl w:ilvl="4">
      <w:start w:val="0"/>
      <w:numFmt w:val="bullet"/>
      <w:lvlText w:val="•"/>
      <w:lvlJc w:val="left"/>
      <w:pPr>
        <w:ind w:left="610" w:hanging="284"/>
      </w:pPr>
      <w:rPr>
        <w:rFonts w:hint="default"/>
      </w:rPr>
    </w:lvl>
    <w:lvl w:ilvl="5">
      <w:start w:val="0"/>
      <w:numFmt w:val="bullet"/>
      <w:lvlText w:val="•"/>
      <w:lvlJc w:val="left"/>
      <w:pPr>
        <w:ind w:left="547" w:hanging="284"/>
      </w:pPr>
      <w:rPr>
        <w:rFonts w:hint="default"/>
      </w:rPr>
    </w:lvl>
    <w:lvl w:ilvl="6">
      <w:start w:val="0"/>
      <w:numFmt w:val="bullet"/>
      <w:lvlText w:val="•"/>
      <w:lvlJc w:val="left"/>
      <w:pPr>
        <w:ind w:left="484" w:hanging="284"/>
      </w:pPr>
      <w:rPr>
        <w:rFonts w:hint="default"/>
      </w:rPr>
    </w:lvl>
    <w:lvl w:ilvl="7">
      <w:start w:val="0"/>
      <w:numFmt w:val="bullet"/>
      <w:lvlText w:val="•"/>
      <w:lvlJc w:val="left"/>
      <w:pPr>
        <w:ind w:left="420" w:hanging="284"/>
      </w:pPr>
      <w:rPr>
        <w:rFonts w:hint="default"/>
      </w:rPr>
    </w:lvl>
    <w:lvl w:ilvl="8">
      <w:start w:val="0"/>
      <w:numFmt w:val="bullet"/>
      <w:lvlText w:val="•"/>
      <w:lvlJc w:val="left"/>
      <w:pPr>
        <w:ind w:left="357" w:hanging="284"/>
      </w:pPr>
      <w:rPr>
        <w:rFonts w:hint="default"/>
      </w:rPr>
    </w:lvl>
  </w:abstractNum>
  <w:abstractNum w:abstractNumId="1">
    <w:multiLevelType w:val="hybridMultilevel"/>
    <w:lvl w:ilvl="0">
      <w:start w:val="3"/>
      <w:numFmt w:val="decimal"/>
      <w:lvlText w:val="%1"/>
      <w:lvlJc w:val="left"/>
      <w:pPr>
        <w:ind w:left="937" w:hanging="820"/>
        <w:jc w:val="left"/>
      </w:pPr>
      <w:rPr>
        <w:rFonts w:hint="default"/>
      </w:rPr>
    </w:lvl>
    <w:lvl w:ilvl="1">
      <w:start w:val="1"/>
      <w:numFmt w:val="decimal"/>
      <w:lvlText w:val="%1.%2"/>
      <w:lvlJc w:val="left"/>
      <w:pPr>
        <w:ind w:left="937" w:hanging="820"/>
        <w:jc w:val="left"/>
      </w:pPr>
      <w:rPr>
        <w:rFonts w:hint="default" w:ascii="Times New Roman" w:hAnsi="Times New Roman" w:eastAsia="Times New Roman" w:cs="Times New Roman"/>
        <w:b/>
        <w:bCs/>
        <w:spacing w:val="-4"/>
        <w:w w:val="100"/>
        <w:sz w:val="20"/>
        <w:szCs w:val="20"/>
      </w:rPr>
    </w:lvl>
    <w:lvl w:ilvl="2">
      <w:start w:val="1"/>
      <w:numFmt w:val="decimal"/>
      <w:lvlText w:val="%1.%2.%3"/>
      <w:lvlJc w:val="left"/>
      <w:pPr>
        <w:ind w:left="937" w:hanging="820"/>
        <w:jc w:val="right"/>
      </w:pPr>
      <w:rPr>
        <w:rFonts w:hint="default" w:ascii="Times New Roman" w:hAnsi="Times New Roman" w:eastAsia="Times New Roman" w:cs="Times New Roman"/>
        <w:b/>
        <w:bCs/>
        <w:i/>
        <w:spacing w:val="-5"/>
        <w:w w:val="100"/>
        <w:sz w:val="20"/>
        <w:szCs w:val="20"/>
      </w:rPr>
    </w:lvl>
    <w:lvl w:ilvl="3">
      <w:start w:val="1"/>
      <w:numFmt w:val="decimal"/>
      <w:lvlText w:val="%1.%2.%3.%4"/>
      <w:lvlJc w:val="left"/>
      <w:pPr>
        <w:ind w:left="968" w:hanging="851"/>
        <w:jc w:val="right"/>
      </w:pPr>
      <w:rPr>
        <w:rFonts w:hint="default" w:ascii="Times New Roman" w:hAnsi="Times New Roman" w:eastAsia="Times New Roman" w:cs="Times New Roman"/>
        <w:i/>
        <w:spacing w:val="-8"/>
        <w:w w:val="100"/>
        <w:sz w:val="20"/>
        <w:szCs w:val="20"/>
      </w:rPr>
    </w:lvl>
    <w:lvl w:ilvl="4">
      <w:start w:val="0"/>
      <w:numFmt w:val="bullet"/>
      <w:lvlText w:val="•"/>
      <w:lvlJc w:val="left"/>
      <w:pPr>
        <w:ind w:left="695" w:hanging="851"/>
      </w:pPr>
      <w:rPr>
        <w:rFonts w:hint="default"/>
      </w:rPr>
    </w:lvl>
    <w:lvl w:ilvl="5">
      <w:start w:val="0"/>
      <w:numFmt w:val="bullet"/>
      <w:lvlText w:val="•"/>
      <w:lvlJc w:val="left"/>
      <w:pPr>
        <w:ind w:left="513" w:hanging="851"/>
      </w:pPr>
      <w:rPr>
        <w:rFonts w:hint="default"/>
      </w:rPr>
    </w:lvl>
    <w:lvl w:ilvl="6">
      <w:start w:val="0"/>
      <w:numFmt w:val="bullet"/>
      <w:lvlText w:val="•"/>
      <w:lvlJc w:val="left"/>
      <w:pPr>
        <w:ind w:left="331" w:hanging="851"/>
      </w:pPr>
      <w:rPr>
        <w:rFonts w:hint="default"/>
      </w:rPr>
    </w:lvl>
    <w:lvl w:ilvl="7">
      <w:start w:val="0"/>
      <w:numFmt w:val="bullet"/>
      <w:lvlText w:val="•"/>
      <w:lvlJc w:val="left"/>
      <w:pPr>
        <w:ind w:left="149" w:hanging="851"/>
      </w:pPr>
      <w:rPr>
        <w:rFonts w:hint="default"/>
      </w:rPr>
    </w:lvl>
    <w:lvl w:ilvl="8">
      <w:start w:val="0"/>
      <w:numFmt w:val="bullet"/>
      <w:lvlText w:val="•"/>
      <w:lvlJc w:val="left"/>
      <w:pPr>
        <w:ind w:left="-33" w:hanging="851"/>
      </w:pPr>
      <w:rPr>
        <w:rFonts w:hint="default"/>
      </w:rPr>
    </w:lvl>
  </w:abstractNum>
  <w:abstractNum w:abstractNumId="0">
    <w:multiLevelType w:val="hybridMultilevel"/>
    <w:lvl w:ilvl="0">
      <w:start w:val="3"/>
      <w:numFmt w:val="decimal"/>
      <w:lvlText w:val="%1"/>
      <w:lvlJc w:val="left"/>
      <w:pPr>
        <w:ind w:left="734" w:hanging="567"/>
        <w:jc w:val="left"/>
      </w:pPr>
      <w:rPr>
        <w:rFonts w:hint="default"/>
      </w:rPr>
    </w:lvl>
    <w:lvl w:ilvl="1">
      <w:start w:val="7"/>
      <w:numFmt w:val="decimal"/>
      <w:lvlText w:val="%1.%2"/>
      <w:lvlJc w:val="left"/>
      <w:pPr>
        <w:ind w:left="734" w:hanging="567"/>
        <w:jc w:val="left"/>
      </w:pPr>
      <w:rPr>
        <w:rFonts w:hint="default"/>
      </w:rPr>
    </w:lvl>
    <w:lvl w:ilvl="2">
      <w:start w:val="9"/>
      <w:numFmt w:val="decimal"/>
      <w:lvlText w:val="%1.%2.%3"/>
      <w:lvlJc w:val="left"/>
      <w:pPr>
        <w:ind w:left="734" w:hanging="567"/>
        <w:jc w:val="left"/>
      </w:pPr>
      <w:rPr>
        <w:rFonts w:hint="default" w:ascii="Times New Roman" w:hAnsi="Times New Roman" w:eastAsia="Times New Roman" w:cs="Times New Roman"/>
        <w:spacing w:val="-5"/>
        <w:w w:val="100"/>
        <w:sz w:val="20"/>
        <w:szCs w:val="20"/>
      </w:rPr>
    </w:lvl>
    <w:lvl w:ilvl="3">
      <w:start w:val="0"/>
      <w:numFmt w:val="bullet"/>
      <w:lvlText w:val="•"/>
      <w:lvlJc w:val="left"/>
      <w:pPr>
        <w:ind w:left="1974" w:hanging="567"/>
      </w:pPr>
      <w:rPr>
        <w:rFonts w:hint="default"/>
      </w:rPr>
    </w:lvl>
    <w:lvl w:ilvl="4">
      <w:start w:val="0"/>
      <w:numFmt w:val="bullet"/>
      <w:lvlText w:val="•"/>
      <w:lvlJc w:val="left"/>
      <w:pPr>
        <w:ind w:left="2386" w:hanging="567"/>
      </w:pPr>
      <w:rPr>
        <w:rFonts w:hint="default"/>
      </w:rPr>
    </w:lvl>
    <w:lvl w:ilvl="5">
      <w:start w:val="0"/>
      <w:numFmt w:val="bullet"/>
      <w:lvlText w:val="•"/>
      <w:lvlJc w:val="left"/>
      <w:pPr>
        <w:ind w:left="2798" w:hanging="567"/>
      </w:pPr>
      <w:rPr>
        <w:rFonts w:hint="default"/>
      </w:rPr>
    </w:lvl>
    <w:lvl w:ilvl="6">
      <w:start w:val="0"/>
      <w:numFmt w:val="bullet"/>
      <w:lvlText w:val="•"/>
      <w:lvlJc w:val="left"/>
      <w:pPr>
        <w:ind w:left="3209" w:hanging="567"/>
      </w:pPr>
      <w:rPr>
        <w:rFonts w:hint="default"/>
      </w:rPr>
    </w:lvl>
    <w:lvl w:ilvl="7">
      <w:start w:val="0"/>
      <w:numFmt w:val="bullet"/>
      <w:lvlText w:val="•"/>
      <w:lvlJc w:val="left"/>
      <w:pPr>
        <w:ind w:left="3621" w:hanging="567"/>
      </w:pPr>
      <w:rPr>
        <w:rFonts w:hint="default"/>
      </w:rPr>
    </w:lvl>
    <w:lvl w:ilvl="8">
      <w:start w:val="0"/>
      <w:numFmt w:val="bullet"/>
      <w:lvlText w:val="•"/>
      <w:lvlJc w:val="left"/>
      <w:pPr>
        <w:ind w:left="4032" w:hanging="567"/>
      </w:pPr>
      <w:rPr>
        <w:rFonts w:hint="default"/>
      </w:rPr>
    </w:lvl>
  </w:abstractNum>
  <w:num w:numId="7">
    <w:abstractNumId w:val="6"/>
  </w:num>
  <w:num w:numId="6">
    <w:abstractNumId w:val="5"/>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line="213" w:lineRule="exact"/>
      <w:ind w:left="60"/>
      <w:outlineLvl w:val="1"/>
    </w:pPr>
    <w:rPr>
      <w:rFonts w:ascii="Times New Roman" w:hAnsi="Times New Roman" w:eastAsia="Times New Roman" w:cs="Times New Roman"/>
      <w:b/>
      <w:bCs/>
      <w:sz w:val="20"/>
      <w:szCs w:val="20"/>
    </w:rPr>
  </w:style>
  <w:style w:styleId="Heading2" w:type="paragraph">
    <w:name w:val="Heading 2"/>
    <w:basedOn w:val="Normal"/>
    <w:uiPriority w:val="1"/>
    <w:qFormat/>
    <w:pPr>
      <w:ind w:left="937" w:hanging="821"/>
      <w:outlineLvl w:val="2"/>
    </w:pPr>
    <w:rPr>
      <w:rFonts w:ascii="Times New Roman" w:hAnsi="Times New Roman" w:eastAsia="Times New Roman" w:cs="Times New Roman"/>
      <w:b/>
      <w:bCs/>
      <w:i/>
      <w:sz w:val="20"/>
      <w:szCs w:val="20"/>
    </w:rPr>
  </w:style>
  <w:style w:styleId="ListParagraph" w:type="paragraph">
    <w:name w:val="List Paragraph"/>
    <w:basedOn w:val="Normal"/>
    <w:uiPriority w:val="1"/>
    <w:qFormat/>
    <w:pPr>
      <w:ind w:left="937" w:hanging="821"/>
      <w:jc w:val="both"/>
    </w:pPr>
    <w:rPr>
      <w:rFonts w:ascii="Times New Roman" w:hAnsi="Times New Roman" w:eastAsia="Times New Roman" w:cs="Times New Roman"/>
    </w:rPr>
  </w:style>
  <w:style w:styleId="TableParagraph" w:type="paragraph">
    <w:name w:val="Table Paragraph"/>
    <w:basedOn w:val="Normal"/>
    <w:uiPriority w:val="1"/>
    <w:qFormat/>
    <w:pPr>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jpe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pn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jpeg"/><Relationship Id="rId170" Type="http://schemas.openxmlformats.org/officeDocument/2006/relationships/image" Target="media/image164.jpeg"/><Relationship Id="rId171" Type="http://schemas.openxmlformats.org/officeDocument/2006/relationships/image" Target="media/image165.jpeg"/><Relationship Id="rId172" Type="http://schemas.openxmlformats.org/officeDocument/2006/relationships/image" Target="media/image166.jpe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png"/><Relationship Id="rId176" Type="http://schemas.openxmlformats.org/officeDocument/2006/relationships/image" Target="media/image170.png"/><Relationship Id="rId177" Type="http://schemas.openxmlformats.org/officeDocument/2006/relationships/image" Target="media/image171.jpeg"/><Relationship Id="rId178" Type="http://schemas.openxmlformats.org/officeDocument/2006/relationships/header" Target="header3.xml"/><Relationship Id="rId179" Type="http://schemas.openxmlformats.org/officeDocument/2006/relationships/header" Target="header4.xml"/><Relationship Id="rId180" Type="http://schemas.openxmlformats.org/officeDocument/2006/relationships/header" Target="header5.xml"/><Relationship Id="rId181" Type="http://schemas.openxmlformats.org/officeDocument/2006/relationships/header" Target="header6.xml"/><Relationship Id="rId182" Type="http://schemas.openxmlformats.org/officeDocument/2006/relationships/header" Target="header7.xml"/><Relationship Id="rId183" Type="http://schemas.openxmlformats.org/officeDocument/2006/relationships/header" Target="header8.xml"/><Relationship Id="rId184" Type="http://schemas.openxmlformats.org/officeDocument/2006/relationships/header" Target="header9.xml"/><Relationship Id="rId185" Type="http://schemas.openxmlformats.org/officeDocument/2006/relationships/header" Target="header10.xml"/><Relationship Id="rId186" Type="http://schemas.openxmlformats.org/officeDocument/2006/relationships/header" Target="header11.xml"/><Relationship Id="rId187" Type="http://schemas.openxmlformats.org/officeDocument/2006/relationships/header" Target="header12.xml"/><Relationship Id="rId188" Type="http://schemas.openxmlformats.org/officeDocument/2006/relationships/header" Target="header13.xml"/><Relationship Id="rId189" Type="http://schemas.openxmlformats.org/officeDocument/2006/relationships/image" Target="media/image172.png"/><Relationship Id="rId190" Type="http://schemas.openxmlformats.org/officeDocument/2006/relationships/header" Target="header14.xml"/><Relationship Id="rId191" Type="http://schemas.openxmlformats.org/officeDocument/2006/relationships/header" Target="header15.xml"/><Relationship Id="rId192" Type="http://schemas.openxmlformats.org/officeDocument/2006/relationships/header" Target="header16.xml"/><Relationship Id="rId193" Type="http://schemas.openxmlformats.org/officeDocument/2006/relationships/header" Target="header17.xml"/><Relationship Id="rId194" Type="http://schemas.openxmlformats.org/officeDocument/2006/relationships/header" Target="header18.xml"/><Relationship Id="rId195" Type="http://schemas.openxmlformats.org/officeDocument/2006/relationships/header" Target="header19.xml"/><Relationship Id="rId196" Type="http://schemas.openxmlformats.org/officeDocument/2006/relationships/header" Target="header20.xml"/><Relationship Id="rId197" Type="http://schemas.openxmlformats.org/officeDocument/2006/relationships/header" Target="header21.xml"/><Relationship Id="rId198" Type="http://schemas.openxmlformats.org/officeDocument/2006/relationships/image" Target="media/image173.png"/><Relationship Id="rId199" Type="http://schemas.openxmlformats.org/officeDocument/2006/relationships/image" Target="media/image174.png"/><Relationship Id="rId200" Type="http://schemas.openxmlformats.org/officeDocument/2006/relationships/image" Target="media/image175.png"/><Relationship Id="rId201" Type="http://schemas.openxmlformats.org/officeDocument/2006/relationships/image" Target="media/image176.png"/><Relationship Id="rId202" Type="http://schemas.openxmlformats.org/officeDocument/2006/relationships/image" Target="media/image177.png"/><Relationship Id="rId203" Type="http://schemas.openxmlformats.org/officeDocument/2006/relationships/image" Target="media/image178.png"/><Relationship Id="rId204" Type="http://schemas.openxmlformats.org/officeDocument/2006/relationships/image" Target="media/image179.png"/><Relationship Id="rId205" Type="http://schemas.openxmlformats.org/officeDocument/2006/relationships/image" Target="media/image180.png"/><Relationship Id="rId206" Type="http://schemas.openxmlformats.org/officeDocument/2006/relationships/image" Target="media/image181.png"/><Relationship Id="rId207" Type="http://schemas.openxmlformats.org/officeDocument/2006/relationships/image" Target="media/image182.png"/><Relationship Id="rId208" Type="http://schemas.openxmlformats.org/officeDocument/2006/relationships/image" Target="media/image183.png"/><Relationship Id="rId209" Type="http://schemas.openxmlformats.org/officeDocument/2006/relationships/image" Target="media/image184.png"/><Relationship Id="rId210" Type="http://schemas.openxmlformats.org/officeDocument/2006/relationships/image" Target="media/image185.png"/><Relationship Id="rId211" Type="http://schemas.openxmlformats.org/officeDocument/2006/relationships/image" Target="media/image186.png"/><Relationship Id="rId212" Type="http://schemas.openxmlformats.org/officeDocument/2006/relationships/image" Target="media/image187.png"/><Relationship Id="rId213" Type="http://schemas.openxmlformats.org/officeDocument/2006/relationships/image" Target="media/image188.png"/><Relationship Id="rId214" Type="http://schemas.openxmlformats.org/officeDocument/2006/relationships/image" Target="media/image189.png"/><Relationship Id="rId215" Type="http://schemas.openxmlformats.org/officeDocument/2006/relationships/image" Target="media/image190.png"/><Relationship Id="rId216" Type="http://schemas.openxmlformats.org/officeDocument/2006/relationships/image" Target="media/image191.png"/><Relationship Id="rId217" Type="http://schemas.openxmlformats.org/officeDocument/2006/relationships/image" Target="media/image192.png"/><Relationship Id="rId218" Type="http://schemas.openxmlformats.org/officeDocument/2006/relationships/image" Target="media/image193.png"/><Relationship Id="rId219" Type="http://schemas.openxmlformats.org/officeDocument/2006/relationships/image" Target="media/image194.png"/><Relationship Id="rId220" Type="http://schemas.openxmlformats.org/officeDocument/2006/relationships/image" Target="media/image195.png"/><Relationship Id="rId221" Type="http://schemas.openxmlformats.org/officeDocument/2006/relationships/header" Target="header22.xml"/><Relationship Id="rId222" Type="http://schemas.openxmlformats.org/officeDocument/2006/relationships/header" Target="header23.xml"/><Relationship Id="rId223" Type="http://schemas.openxmlformats.org/officeDocument/2006/relationships/hyperlink" Target="http://www.bp.com/" TargetMode="External"/><Relationship Id="rId224" Type="http://schemas.openxmlformats.org/officeDocument/2006/relationships/hyperlink" Target="http://www.netl.doe.gov/coalpower/" TargetMode="External"/><Relationship Id="rId225" Type="http://schemas.openxmlformats.org/officeDocument/2006/relationships/hyperlink" Target="http://www.gasfication.org/" TargetMode="External"/><Relationship Id="rId2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2020-03-02T15:46:12Z</dcterms:created>
  <dcterms:modified xsi:type="dcterms:W3CDTF">2020-03-02T15:46:12Z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2006-01-09T00:00:00Z</vt:filetime>
  </property>
  <property fmtid="{D5CDD505-2E9C-101B-9397-08002B2CF9AE}" pid="3" name="Creator">
    <vt:lpwstr>Adobe InDesign CS2 (4.0)</vt:lpwstr>
  </property>
  <property fmtid="{D5CDD505-2E9C-101B-9397-08002B2CF9AE}" pid="4" name="LastSaved">
    <vt:filetime>2020-03-02T00:00:00Z</vt:filetime>
  </property>
</Properties>
</file>